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3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charts/chart1.xml" ContentType="application/vnd.openxmlformats-officedocument.drawingml.chart+xml"/>
  <Override PartName="/word/header39.xml" ContentType="application/vnd.openxmlformats-officedocument.wordprocessingml.header+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footer3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drawings/drawing1.xml" ContentType="application/vnd.openxmlformats-officedocument.drawingml.chartshapes+xml"/>
  <Override PartName="/word/header20.xml" ContentType="application/vnd.openxmlformats-officedocument.wordprocessingml.header+xml"/>
  <Override PartName="/word/footer23.xml" ContentType="application/vnd.openxmlformats-officedocument.wordprocessingml.footer+xml"/>
  <Override PartName="/word/footer32.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2FC4" w:rsidRDefault="00E252C4" w:rsidP="0038699D">
      <w:pPr>
        <w:pStyle w:val="BR-normal-CopyrightPage"/>
      </w:pPr>
      <w:r>
        <w:rPr>
          <w:noProof/>
          <w:lang w:val="en-AU" w:eastAsia="en-AU"/>
        </w:rPr>
        <w:pict>
          <v:group id="Group 14" o:spid="_x0000_s1029" alt="Title: IESC and Department of the Environment logos&#10;&#10;The Independent Expert Scientific Committee on Coal Seam Gas and Large Coal Mining Development (IESC) symbol on the left, and the Australian Government Department of the Environment symbol on the right." style="position:absolute;margin-left:-15.35pt;margin-top:13.85pt;width:481.45pt;height:117.15pt;z-index:251727872"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0" type="#_x0000_t75" alt="The Independent Expert Scientific Committee on Coal Seam Gas and Large Coal Mining Development (IESC) symbol." style="position:absolute;top:2320;width:29615;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7" o:title="The Independent Expert Scientific Committee on Coal Seam Gas and Large Coal Mining Development (IESC) symbol"/>
              <v:path arrowok="t"/>
            </v:shape>
            <v:shape id="Picture 20" o:spid="_x0000_s1031" type="#_x0000_t75" alt="The Australian Government Department of the Environment symbol." style="position:absolute;left:38077;width:23064;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8" o:title="The Australian Government Department of the Environment symbol"/>
              <v:path arrowok="t"/>
            </v:shape>
            <w10:wrap type="square"/>
          </v:group>
        </w:pict>
      </w:r>
    </w:p>
    <w:p w:rsidR="0038699D" w:rsidRDefault="0038699D" w:rsidP="0038699D">
      <w:pPr>
        <w:pStyle w:val="BR-normal-CopyrightPage"/>
      </w:pPr>
    </w:p>
    <w:p w:rsidR="00CA626F" w:rsidRPr="00CA626F" w:rsidRDefault="001354ED" w:rsidP="00651B28">
      <w:pPr>
        <w:pStyle w:val="BRCoverPageH1"/>
      </w:pPr>
      <w:r w:rsidRPr="00651B28">
        <w:t>Knowledge</w:t>
      </w:r>
      <w:r>
        <w:t xml:space="preserve"> </w:t>
      </w:r>
      <w:r w:rsidR="003A2F76">
        <w:t>report</w:t>
      </w:r>
    </w:p>
    <w:p w:rsidR="00CA626F" w:rsidRPr="004923D3" w:rsidRDefault="0004340D" w:rsidP="00651B28">
      <w:pPr>
        <w:pStyle w:val="BRCoverPageH2"/>
      </w:pPr>
      <w:r w:rsidRPr="0004340D">
        <w:t>Monitoring and management of subsidence induced by coal seam gas extraction</w:t>
      </w:r>
    </w:p>
    <w:p w:rsidR="00CA626F" w:rsidRPr="00CF283E" w:rsidRDefault="00CA626F" w:rsidP="00651B28">
      <w:pPr>
        <w:pStyle w:val="BRCoverPageH3"/>
      </w:pPr>
      <w:r w:rsidRPr="00CF283E">
        <w:t xml:space="preserve">This </w:t>
      </w:r>
      <w:r w:rsidR="00E17C06">
        <w:t>report</w:t>
      </w:r>
      <w:r w:rsidRPr="00CF283E">
        <w:rPr>
          <w:lang w:val="en-AU"/>
        </w:rPr>
        <w:t xml:space="preserve"> </w:t>
      </w:r>
      <w:r w:rsidRPr="00CF283E">
        <w:t>was commissioned by the</w:t>
      </w:r>
      <w:r>
        <w:t xml:space="preserve"> Department of the </w:t>
      </w:r>
      <w:r w:rsidRPr="00CA626F">
        <w:t>Environment</w:t>
      </w:r>
      <w:r w:rsidRPr="00CF283E">
        <w:t xml:space="preserve"> on the advice of the</w:t>
      </w:r>
      <w:r>
        <w:rPr>
          <w:lang w:val="en-AU"/>
        </w:rPr>
        <w:t xml:space="preserve"> </w:t>
      </w:r>
      <w:r w:rsidRPr="00CF283E">
        <w:t xml:space="preserve">Independent Expert Scientific Committee on </w:t>
      </w:r>
      <w:r w:rsidRPr="00651B28">
        <w:t>Coal</w:t>
      </w:r>
      <w:r>
        <w:t xml:space="preserve"> Seam Gas and </w:t>
      </w:r>
      <w:r w:rsidR="009F492A">
        <w:t xml:space="preserve">Large </w:t>
      </w:r>
      <w:r>
        <w:t>Coal Mining</w:t>
      </w:r>
      <w:r w:rsidR="009F492A">
        <w:t xml:space="preserve"> Development (IESC)</w:t>
      </w:r>
      <w:r>
        <w:t xml:space="preserve">. </w:t>
      </w:r>
      <w:r w:rsidRPr="00CF283E">
        <w:t xml:space="preserve">The review was prepared by </w:t>
      </w:r>
      <w:r w:rsidR="00E17C06">
        <w:t>Coffey Geotechnics Pty Ltd</w:t>
      </w:r>
      <w:r w:rsidR="00A92F57">
        <w:t xml:space="preserve"> </w:t>
      </w:r>
      <w:r w:rsidRPr="000061F4">
        <w:t>and</w:t>
      </w:r>
      <w:r w:rsidRPr="00CF283E">
        <w:t xml:space="preserve"> revised by the </w:t>
      </w:r>
      <w:r>
        <w:t xml:space="preserve">Department of the </w:t>
      </w:r>
      <w:r w:rsidRPr="004923D3">
        <w:t>Environment</w:t>
      </w:r>
      <w:r w:rsidR="00E17C06">
        <w:t xml:space="preserve"> following peer review.</w:t>
      </w:r>
    </w:p>
    <w:p w:rsidR="00CA626F" w:rsidRDefault="00B4560C" w:rsidP="00651B28">
      <w:pPr>
        <w:pStyle w:val="BRCoverPageH3"/>
      </w:pPr>
      <w:r>
        <w:t>October</w:t>
      </w:r>
      <w:r w:rsidR="00E17C06">
        <w:t xml:space="preserve"> 2014</w:t>
      </w:r>
    </w:p>
    <w:p w:rsidR="00AC7D91" w:rsidRDefault="00AC7D91" w:rsidP="00651B28">
      <w:pPr>
        <w:pStyle w:val="BRCoverPageH3"/>
        <w:sectPr w:rsidR="00AC7D91" w:rsidSect="0031205D">
          <w:headerReference w:type="even" r:id="rId9"/>
          <w:headerReference w:type="default" r:id="rId10"/>
          <w:footerReference w:type="even" r:id="rId11"/>
          <w:footerReference w:type="default" r:id="rId12"/>
          <w:headerReference w:type="first" r:id="rId13"/>
          <w:footerReference w:type="first" r:id="rId14"/>
          <w:pgSz w:w="11900" w:h="16840" w:code="9"/>
          <w:pgMar w:top="2597" w:right="1418" w:bottom="1418" w:left="1418" w:header="142" w:footer="567" w:gutter="0"/>
          <w:pgNumType w:start="1"/>
          <w:cols w:space="284"/>
          <w:noEndnote/>
          <w:titlePg/>
          <w:docGrid w:linePitch="326"/>
        </w:sectPr>
      </w:pPr>
    </w:p>
    <w:p w:rsidR="00374E26" w:rsidRPr="00651B28" w:rsidRDefault="00AC7D91" w:rsidP="00651B28">
      <w:pPr>
        <w:pStyle w:val="SummaryH2"/>
        <w:rPr>
          <w:sz w:val="20"/>
          <w:szCs w:val="22"/>
        </w:rPr>
      </w:pPr>
      <w:r>
        <w:lastRenderedPageBreak/>
        <w:br w:type="page"/>
      </w:r>
      <w:bookmarkStart w:id="0" w:name="_Toc371671722"/>
      <w:r w:rsidR="007F3F93" w:rsidRPr="00E70599">
        <w:lastRenderedPageBreak/>
        <w:t>Copyright</w:t>
      </w:r>
    </w:p>
    <w:p w:rsidR="00D9697E" w:rsidRDefault="00D9697E" w:rsidP="00E17C06">
      <w:pPr>
        <w:pStyle w:val="BRnormal10pt-CopyrightPage"/>
      </w:pPr>
      <w:bookmarkStart w:id="1" w:name="_Toc384302920"/>
      <w:bookmarkEnd w:id="0"/>
      <w:r>
        <w:t>© Copyright Commonwealth of Australia, 2014.</w:t>
      </w:r>
    </w:p>
    <w:p w:rsidR="00545E79" w:rsidRDefault="00E17C06" w:rsidP="00E17C06">
      <w:pPr>
        <w:pStyle w:val="BRnormal10pt-CopyrightPage"/>
        <w:rPr>
          <w:i/>
        </w:rPr>
      </w:pPr>
      <w:r w:rsidRPr="00CF283E">
        <w:rPr>
          <w:noProof/>
          <w:lang w:val="en-AU" w:eastAsia="en-AU"/>
        </w:rPr>
        <w:drawing>
          <wp:inline distT="0" distB="0" distL="0" distR="0">
            <wp:extent cx="1000125" cy="361950"/>
            <wp:effectExtent l="0" t="0" r="0"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361950"/>
                    </a:xfrm>
                    <a:prstGeom prst="rect">
                      <a:avLst/>
                    </a:prstGeom>
                    <a:noFill/>
                    <a:ln>
                      <a:noFill/>
                    </a:ln>
                  </pic:spPr>
                </pic:pic>
              </a:graphicData>
            </a:graphic>
          </wp:inline>
        </w:drawing>
      </w:r>
    </w:p>
    <w:p w:rsidR="00E17C06" w:rsidRDefault="00E17C06" w:rsidP="00E17C06">
      <w:pPr>
        <w:pStyle w:val="BRnormal10pt-CopyrightPage"/>
      </w:pPr>
      <w:r>
        <w:rPr>
          <w:i/>
        </w:rPr>
        <w:t>Monitoring and management of subsidence induced by coal seam gas extraction</w:t>
      </w:r>
      <w:proofErr w:type="gramStart"/>
      <w:r>
        <w:rPr>
          <w:i/>
        </w:rPr>
        <w:t>,</w:t>
      </w:r>
      <w:r w:rsidR="00A63912" w:rsidRPr="00A63912">
        <w:rPr>
          <w:i/>
        </w:rPr>
        <w:t>Knowledge</w:t>
      </w:r>
      <w:proofErr w:type="gramEnd"/>
      <w:r w:rsidR="00A63912" w:rsidRPr="00A63912">
        <w:rPr>
          <w:i/>
        </w:rPr>
        <w:t xml:space="preserve"> report</w:t>
      </w:r>
      <w:r>
        <w:rPr>
          <w:i/>
        </w:rPr>
        <w:t xml:space="preserve"> </w:t>
      </w:r>
      <w: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sidRPr="00A63912">
          <w:rPr>
            <w:rStyle w:val="Hyperlink"/>
            <w:color w:val="0000FF"/>
          </w:rPr>
          <w:t>http://creativecommons.org/licenses/by/3.0/au/</w:t>
        </w:r>
      </w:hyperlink>
      <w:r>
        <w:t xml:space="preserve"> </w:t>
      </w:r>
    </w:p>
    <w:p w:rsidR="007C542F" w:rsidRDefault="00E17C06" w:rsidP="00E17C06">
      <w:pPr>
        <w:pStyle w:val="BRnormal10pt-CopyrightPage"/>
      </w:pPr>
      <w:r>
        <w:t>This report should be attributed as</w:t>
      </w:r>
      <w:r w:rsidR="007C542F">
        <w:t>:</w:t>
      </w:r>
    </w:p>
    <w:p w:rsidR="00E17C06" w:rsidRDefault="00545E79" w:rsidP="00E17C06">
      <w:pPr>
        <w:pStyle w:val="BRnormal10pt-CopyrightPage"/>
      </w:pPr>
      <w:r>
        <w:t xml:space="preserve">Commonwealth of Australia 2014, </w:t>
      </w:r>
      <w:r w:rsidR="005A0FA0" w:rsidRPr="005D1B12">
        <w:rPr>
          <w:i/>
        </w:rPr>
        <w:t>Monitoring and management of subsidence induced by coal seam gas extraction</w:t>
      </w:r>
      <w:r>
        <w:rPr>
          <w:i/>
        </w:rPr>
        <w:t>,</w:t>
      </w:r>
      <w:r w:rsidRPr="00545E79">
        <w:rPr>
          <w:i/>
        </w:rPr>
        <w:t xml:space="preserve"> Knowledge report</w:t>
      </w:r>
      <w:r>
        <w:t>,</w:t>
      </w:r>
      <w:r w:rsidR="005B715C" w:rsidRPr="005D1B12">
        <w:t xml:space="preserve"> </w:t>
      </w:r>
      <w:r>
        <w:t xml:space="preserve">prepared by Coffey Geotechics for the Department of the Environment, </w:t>
      </w:r>
      <w:r w:rsidR="005D1B12" w:rsidRPr="005D1B12">
        <w:t>Commonwealth of</w:t>
      </w:r>
      <w:r>
        <w:t xml:space="preserve"> Australia</w:t>
      </w:r>
      <w:r w:rsidR="00284304">
        <w:t>, Canberra</w:t>
      </w:r>
      <w:r w:rsidR="005D1B12">
        <w:t>.</w:t>
      </w:r>
    </w:p>
    <w:p w:rsidR="00E17C06" w:rsidRDefault="00E17C06" w:rsidP="00E17C06">
      <w:pPr>
        <w:pStyle w:val="BRnormal10pt-CopyrightPage"/>
      </w:pPr>
      <w:r>
        <w:t>The Commonwealth of Australia has made all reasonable efforts to identify content supplied by third parties using the following format ‘© Copyright, [</w:t>
      </w:r>
      <w:r w:rsidRPr="00284304">
        <w:rPr>
          <w:iCs/>
        </w:rPr>
        <w:t>name of third party</w:t>
      </w:r>
      <w:r>
        <w:t>] ’.</w:t>
      </w:r>
    </w:p>
    <w:p w:rsidR="00E17C06" w:rsidRPr="0075269C" w:rsidRDefault="00E17C06" w:rsidP="00E17C06">
      <w:pPr>
        <w:pStyle w:val="BRnormal10pt-CopyrightPage"/>
      </w:pPr>
      <w:r w:rsidRPr="0075269C">
        <w:t xml:space="preserve">Enquiries concerning reproduction and rights should be addressed to: </w:t>
      </w:r>
    </w:p>
    <w:p w:rsidR="00E17C06" w:rsidRPr="00E17C06" w:rsidRDefault="00E17C06" w:rsidP="00E17C06">
      <w:pPr>
        <w:pStyle w:val="Page2address"/>
      </w:pPr>
      <w:r w:rsidRPr="00E17C06">
        <w:t xml:space="preserve">Department of the Environment, Public Affairs </w:t>
      </w:r>
    </w:p>
    <w:p w:rsidR="00E17C06" w:rsidRPr="00E17C06" w:rsidRDefault="00E17C06" w:rsidP="00E17C06">
      <w:pPr>
        <w:pStyle w:val="Page2address"/>
      </w:pPr>
      <w:r w:rsidRPr="00E17C06">
        <w:t>GPO Box 787 Canberra ACT 2601</w:t>
      </w:r>
    </w:p>
    <w:p w:rsidR="00E17C06" w:rsidRPr="0075269C" w:rsidRDefault="00E17C06" w:rsidP="00E17C06">
      <w:pPr>
        <w:pStyle w:val="BRnormal10pt-CopyrightPage"/>
      </w:pPr>
      <w:r w:rsidRPr="00240525">
        <w:t>Or</w:t>
      </w:r>
      <w:r w:rsidRPr="0075269C">
        <w:t xml:space="preserve"> by email to: public.affairs@environment.gov.au</w:t>
      </w:r>
    </w:p>
    <w:p w:rsidR="00E17C06" w:rsidRPr="00DD20BC" w:rsidRDefault="00E17C06" w:rsidP="00E17C06">
      <w:pPr>
        <w:pStyle w:val="BRnormal10pt-CopyrightPage"/>
        <w:rPr>
          <w:rStyle w:val="Hyperlink"/>
          <w:color w:val="auto"/>
          <w:u w:val="none"/>
        </w:rPr>
      </w:pPr>
      <w:r w:rsidRPr="00DD20BC">
        <w:t xml:space="preserve">This publication can be </w:t>
      </w:r>
      <w:r w:rsidRPr="006B4757">
        <w:t xml:space="preserve">accessed at: </w:t>
      </w:r>
      <w:hyperlink r:id="rId17" w:history="1">
        <w:r w:rsidR="00B97033" w:rsidRPr="0028308B">
          <w:rPr>
            <w:rStyle w:val="Hyperlink"/>
          </w:rPr>
          <w:t>www.iesc.environment.gov.au</w:t>
        </w:r>
      </w:hyperlink>
      <w:r w:rsidR="00B97033">
        <w:t xml:space="preserve"> </w:t>
      </w:r>
    </w:p>
    <w:p w:rsidR="00DD20BC" w:rsidRPr="00E70599" w:rsidRDefault="00DD20BC" w:rsidP="00651B28">
      <w:pPr>
        <w:pStyle w:val="SummaryH2"/>
      </w:pPr>
      <w:r w:rsidRPr="00E70599">
        <w:t>Acknowledgements</w:t>
      </w:r>
      <w:bookmarkEnd w:id="1"/>
    </w:p>
    <w:p w:rsidR="00DD20BC" w:rsidRPr="0075269C" w:rsidRDefault="00DD20BC" w:rsidP="00E17C06">
      <w:pPr>
        <w:pStyle w:val="BRnormal10pt-CopyrightPage"/>
      </w:pPr>
      <w:r w:rsidRPr="0075269C">
        <w:t xml:space="preserve">This </w:t>
      </w:r>
      <w:r w:rsidR="00E17C06">
        <w:t>project</w:t>
      </w:r>
      <w:r w:rsidRPr="0075269C">
        <w:t xml:space="preserve"> was commissioned by the Department of the Environment on the advice of the Independent Expert Scientific Committee on Coal Seam Gas and </w:t>
      </w:r>
      <w:r w:rsidR="009F492A">
        <w:t xml:space="preserve">Large </w:t>
      </w:r>
      <w:r w:rsidRPr="0075269C">
        <w:t>Coal Mining</w:t>
      </w:r>
      <w:r w:rsidR="009F492A">
        <w:t xml:space="preserve"> Development</w:t>
      </w:r>
      <w:r w:rsidRPr="0075269C">
        <w:t>. The review was prepared by</w:t>
      </w:r>
      <w:r w:rsidR="008529EF">
        <w:t xml:space="preserve"> </w:t>
      </w:r>
      <w:r w:rsidR="00E17C06">
        <w:t xml:space="preserve">Coffey Geotechnics Pty Ltd </w:t>
      </w:r>
      <w:r w:rsidRPr="0075269C">
        <w:t>with input from</w:t>
      </w:r>
      <w:r w:rsidR="00EE5849">
        <w:t xml:space="preserve"> </w:t>
      </w:r>
      <w:r w:rsidR="00EE5849" w:rsidRPr="00EE5849">
        <w:t xml:space="preserve">Mr Ross Best, Dr Ben Rotter, Mr Antony Orton, Ms </w:t>
      </w:r>
      <w:r w:rsidR="00EE5849">
        <w:t>Ingrid Geng, Mr Mahdi Zoorabadi</w:t>
      </w:r>
      <w:r w:rsidR="00EE5849" w:rsidRPr="00EE5849">
        <w:t xml:space="preserve"> and Mr Paul Tammetta</w:t>
      </w:r>
      <w:r w:rsidRPr="0075269C">
        <w:rPr>
          <w:color w:val="000000"/>
          <w:lang w:val="en-GB"/>
        </w:rPr>
        <w:t xml:space="preserve">. It was </w:t>
      </w:r>
      <w:r w:rsidRPr="0075269C">
        <w:t xml:space="preserve">revised by the </w:t>
      </w:r>
      <w:r>
        <w:t xml:space="preserve">Department of the Environment </w:t>
      </w:r>
      <w:r w:rsidRPr="0075269C">
        <w:t>following peer review by</w:t>
      </w:r>
      <w:r w:rsidR="00E57E0A">
        <w:t xml:space="preserve"> Professor </w:t>
      </w:r>
      <w:r w:rsidR="00E57E0A" w:rsidRPr="00E57E0A">
        <w:t>Joan Esterle</w:t>
      </w:r>
      <w:r w:rsidR="00E57E0A">
        <w:t xml:space="preserve"> (</w:t>
      </w:r>
      <w:r w:rsidR="00E57E0A" w:rsidRPr="00E57E0A">
        <w:t>University of Queensland</w:t>
      </w:r>
      <w:r w:rsidR="00E57E0A">
        <w:t>) and Professor Derek Elsworth (Pennsylvania State University)</w:t>
      </w:r>
      <w:r w:rsidRPr="0075269C">
        <w:rPr>
          <w:color w:val="000000"/>
          <w:lang w:val="en-GB"/>
        </w:rPr>
        <w:t xml:space="preserve">, </w:t>
      </w:r>
      <w:r w:rsidRPr="0075269C">
        <w:t>and relevant Queensland, New South Wales and South Aus</w:t>
      </w:r>
      <w:r w:rsidR="008529EF">
        <w:t>tralian G</w:t>
      </w:r>
      <w:r w:rsidR="0077632E">
        <w:t>overnment departments.</w:t>
      </w:r>
    </w:p>
    <w:p w:rsidR="001855E0" w:rsidRPr="00E70599" w:rsidRDefault="00200FE0" w:rsidP="00651B28">
      <w:pPr>
        <w:pStyle w:val="SummaryH2"/>
      </w:pPr>
      <w:bookmarkStart w:id="2" w:name="_Toc370301050"/>
      <w:bookmarkStart w:id="3" w:name="_Toc371671726"/>
      <w:r w:rsidRPr="00E70599">
        <w:t>Disclaimer</w:t>
      </w:r>
      <w:bookmarkEnd w:id="2"/>
      <w:bookmarkEnd w:id="3"/>
    </w:p>
    <w:p w:rsidR="00A5593A" w:rsidRDefault="00A5593A" w:rsidP="00A5593A">
      <w:pPr>
        <w:pStyle w:val="BR-normal-CopyrightPage"/>
      </w:pPr>
      <w:bookmarkStart w:id="4" w:name="_Toc384302924"/>
      <w:r w:rsidRPr="00CE5DBF">
        <w:t>The views and opinions expressed in this publication are those of the authors and do not necessarily reflect those of the Australian Government or the Minis</w:t>
      </w:r>
      <w:r>
        <w:t xml:space="preserve">ter for the Environment </w:t>
      </w:r>
      <w:r w:rsidRPr="00CE5DBF">
        <w:t xml:space="preserve">or the </w:t>
      </w:r>
      <w:r w:rsidR="00B65881" w:rsidRPr="00CE5DBF">
        <w:t xml:space="preserve">Independent Expert Scientific Committee on Coal Seam Gas and </w:t>
      </w:r>
      <w:r w:rsidR="00B65881">
        <w:t xml:space="preserve">Large </w:t>
      </w:r>
      <w:r w:rsidR="00B65881" w:rsidRPr="00CE5DBF">
        <w:t>Coal Mining</w:t>
      </w:r>
      <w:r w:rsidR="00B65881">
        <w:t xml:space="preserve"> Development</w:t>
      </w:r>
      <w:r w:rsidR="008529EF">
        <w:t xml:space="preserve"> (IESC)</w:t>
      </w:r>
      <w:r>
        <w:t>.</w:t>
      </w:r>
      <w:r w:rsidRPr="00CE5DBF">
        <w:br/>
      </w:r>
      <w:r w:rsidRPr="00CE5DBF">
        <w:br/>
        <w:t>While reasonable efforts have been made to ensure that the contents of this publication are fact</w:t>
      </w:r>
      <w:r>
        <w:t xml:space="preserve">ually correct, the Commonwealth and IESC </w:t>
      </w:r>
      <w:r w:rsidRPr="00CE5DBF">
        <w:t>do not accept responsibility for the accuracy or completeness of the contents, and shall not be liable for any loss or damage that may be occasioned directly or indirectly through the use of, or reliance on, the contents of this publication.</w:t>
      </w:r>
    </w:p>
    <w:p w:rsidR="005B715C" w:rsidRDefault="005B715C">
      <w:pPr>
        <w:autoSpaceDE/>
        <w:autoSpaceDN/>
        <w:rPr>
          <w:rFonts w:cs="Arial"/>
          <w:b/>
          <w:bCs/>
          <w:color w:val="1F497D" w:themeColor="text2"/>
          <w:sz w:val="30"/>
          <w:szCs w:val="30"/>
          <w:lang w:val="en-GB"/>
        </w:rPr>
      </w:pPr>
      <w:r>
        <w:br w:type="page"/>
      </w:r>
    </w:p>
    <w:p w:rsidR="00EE5849" w:rsidRPr="00E70599" w:rsidRDefault="00AC6230" w:rsidP="00651B28">
      <w:pPr>
        <w:pStyle w:val="SummaryH2"/>
      </w:pPr>
      <w:bookmarkStart w:id="5" w:name="_Toc381961074"/>
      <w:bookmarkStart w:id="6" w:name="_Toc387068957"/>
      <w:bookmarkEnd w:id="4"/>
      <w:r w:rsidRPr="00E70599">
        <w:lastRenderedPageBreak/>
        <w:t>C</w:t>
      </w:r>
      <w:r w:rsidR="00EE5849" w:rsidRPr="00E70599">
        <w:t>ontributors</w:t>
      </w:r>
      <w:bookmarkEnd w:id="5"/>
      <w:bookmarkEnd w:id="6"/>
    </w:p>
    <w:p w:rsidR="00973D19" w:rsidRDefault="00EE5849" w:rsidP="00EE5849">
      <w:pPr>
        <w:pStyle w:val="BRnormal10pt-CopyrightPage"/>
        <w:sectPr w:rsidR="00973D19" w:rsidSect="0031205D">
          <w:headerReference w:type="default" r:id="rId18"/>
          <w:footerReference w:type="default" r:id="rId19"/>
          <w:type w:val="continuous"/>
          <w:pgSz w:w="11900" w:h="16840" w:code="9"/>
          <w:pgMar w:top="2096" w:right="1418" w:bottom="1418" w:left="1418" w:header="142" w:footer="567" w:gutter="0"/>
          <w:pgNumType w:fmt="lowerRoman"/>
          <w:cols w:space="284"/>
          <w:noEndnote/>
          <w:titlePg/>
          <w:docGrid w:linePitch="326"/>
        </w:sectPr>
      </w:pPr>
      <w:r>
        <w:t xml:space="preserve">A workshop held during </w:t>
      </w:r>
      <w:r w:rsidR="00191480">
        <w:t xml:space="preserve">the </w:t>
      </w:r>
      <w:r>
        <w:t>review of modelling approaches was attended by representatives from the Australian Government, the coal seam gas industry and regional groundwater modelling experts. Appendix A provides details of the workshop. The following list acknowledges those who attended the workshop and contributed to this work:</w:t>
      </w:r>
    </w:p>
    <w:p w:rsidR="00EE5849" w:rsidRPr="00EE5849" w:rsidRDefault="00EE5849" w:rsidP="007702DF">
      <w:pPr>
        <w:pStyle w:val="Dotpoints10pt"/>
      </w:pPr>
      <w:r w:rsidRPr="00EE5849">
        <w:t>Dr Sanjeev Pandey</w:t>
      </w:r>
      <w:r>
        <w:t xml:space="preserve"> </w:t>
      </w:r>
      <w:r>
        <w:rPr>
          <w:vertAlign w:val="superscript"/>
        </w:rPr>
        <w:t>A</w:t>
      </w:r>
    </w:p>
    <w:p w:rsidR="00EE5849" w:rsidRPr="00EE5849" w:rsidRDefault="00EE5849" w:rsidP="007702DF">
      <w:pPr>
        <w:pStyle w:val="Dotpoints10pt"/>
      </w:pPr>
      <w:r w:rsidRPr="00EE5849">
        <w:t>Mr John Ross</w:t>
      </w:r>
      <w:r>
        <w:t xml:space="preserve"> </w:t>
      </w:r>
      <w:r>
        <w:rPr>
          <w:vertAlign w:val="superscript"/>
        </w:rPr>
        <w:t>B</w:t>
      </w:r>
    </w:p>
    <w:p w:rsidR="00EE5849" w:rsidRDefault="00EE5849" w:rsidP="007702DF">
      <w:pPr>
        <w:pStyle w:val="Dotpoints10pt"/>
      </w:pPr>
      <w:r w:rsidRPr="00EE5849">
        <w:t>Mr Simon Gossmann</w:t>
      </w:r>
      <w:r>
        <w:t xml:space="preserve"> </w:t>
      </w:r>
      <w:r>
        <w:rPr>
          <w:vertAlign w:val="superscript"/>
        </w:rPr>
        <w:t>C</w:t>
      </w:r>
    </w:p>
    <w:p w:rsidR="00EE5849" w:rsidRPr="00EE5849" w:rsidRDefault="00EE5849" w:rsidP="007702DF">
      <w:pPr>
        <w:pStyle w:val="Dotpoints10pt"/>
      </w:pPr>
      <w:r>
        <w:t xml:space="preserve">Mr St. John Herbert </w:t>
      </w:r>
      <w:r>
        <w:rPr>
          <w:vertAlign w:val="superscript"/>
        </w:rPr>
        <w:t>C</w:t>
      </w:r>
      <w:r w:rsidRPr="00EE5849">
        <w:t xml:space="preserve"> </w:t>
      </w:r>
    </w:p>
    <w:p w:rsidR="00EE5849" w:rsidRDefault="00EE5849" w:rsidP="007702DF">
      <w:pPr>
        <w:pStyle w:val="Dotpoints10pt"/>
      </w:pPr>
      <w:r w:rsidRPr="00EE5849">
        <w:t>Mr John Grounds</w:t>
      </w:r>
      <w:r>
        <w:t xml:space="preserve"> </w:t>
      </w:r>
      <w:r>
        <w:rPr>
          <w:vertAlign w:val="superscript"/>
        </w:rPr>
        <w:t>D</w:t>
      </w:r>
    </w:p>
    <w:p w:rsidR="00EE5849" w:rsidRPr="00EE5849" w:rsidRDefault="00EE5849" w:rsidP="007702DF">
      <w:pPr>
        <w:pStyle w:val="Dotpoints10pt"/>
      </w:pPr>
      <w:r w:rsidRPr="00EE5849">
        <w:t>Mr Daniel de Verteuil</w:t>
      </w:r>
      <w:r>
        <w:t xml:space="preserve"> </w:t>
      </w:r>
      <w:r>
        <w:rPr>
          <w:vertAlign w:val="superscript"/>
        </w:rPr>
        <w:t>D</w:t>
      </w:r>
    </w:p>
    <w:p w:rsidR="00EE5849" w:rsidRDefault="00EE5849" w:rsidP="007702DF">
      <w:pPr>
        <w:pStyle w:val="Dotpoints10pt"/>
      </w:pPr>
      <w:r w:rsidRPr="00EE5849">
        <w:t>Mr Todd Gilmer</w:t>
      </w:r>
      <w:r>
        <w:t xml:space="preserve"> </w:t>
      </w:r>
      <w:r>
        <w:rPr>
          <w:vertAlign w:val="superscript"/>
        </w:rPr>
        <w:t>E</w:t>
      </w:r>
    </w:p>
    <w:p w:rsidR="00EE5849" w:rsidRDefault="00EE5849" w:rsidP="007702DF">
      <w:pPr>
        <w:pStyle w:val="Dotpoints10pt"/>
      </w:pPr>
      <w:r w:rsidRPr="00EE5849">
        <w:t>Dr Kumar Narayan</w:t>
      </w:r>
      <w:r>
        <w:t xml:space="preserve"> </w:t>
      </w:r>
      <w:r>
        <w:rPr>
          <w:vertAlign w:val="superscript"/>
        </w:rPr>
        <w:t>E</w:t>
      </w:r>
      <w:r w:rsidRPr="00EE5849">
        <w:t xml:space="preserve"> </w:t>
      </w:r>
    </w:p>
    <w:p w:rsidR="00EE5849" w:rsidRPr="00EE5849" w:rsidRDefault="00EE5849" w:rsidP="007702DF">
      <w:pPr>
        <w:pStyle w:val="Dotpoints10pt"/>
      </w:pPr>
      <w:r w:rsidRPr="00EE5849">
        <w:t>Mr Glenn Toogood</w:t>
      </w:r>
      <w:r>
        <w:t xml:space="preserve"> </w:t>
      </w:r>
      <w:r>
        <w:rPr>
          <w:vertAlign w:val="superscript"/>
        </w:rPr>
        <w:t>E</w:t>
      </w:r>
      <w:r w:rsidRPr="00EE5849">
        <w:t xml:space="preserve"> </w:t>
      </w:r>
    </w:p>
    <w:p w:rsidR="00EE5849" w:rsidRPr="00EE5849" w:rsidRDefault="00EE5849" w:rsidP="007702DF">
      <w:pPr>
        <w:pStyle w:val="Dotpoints10pt"/>
      </w:pPr>
      <w:r w:rsidRPr="00EE5849">
        <w:t>Dr Noel Merrick</w:t>
      </w:r>
      <w:r>
        <w:t xml:space="preserve"> </w:t>
      </w:r>
      <w:r>
        <w:rPr>
          <w:vertAlign w:val="superscript"/>
        </w:rPr>
        <w:t>F</w:t>
      </w:r>
      <w:r w:rsidRPr="00EE5849">
        <w:t xml:space="preserve"> </w:t>
      </w:r>
    </w:p>
    <w:p w:rsidR="00EE5849" w:rsidRPr="00EE5849" w:rsidRDefault="00EE5849" w:rsidP="007702DF">
      <w:pPr>
        <w:pStyle w:val="Dotpoints10pt"/>
      </w:pPr>
      <w:r w:rsidRPr="00EE5849">
        <w:t>Dr Frans Kalf</w:t>
      </w:r>
      <w:r>
        <w:t xml:space="preserve"> </w:t>
      </w:r>
      <w:r>
        <w:rPr>
          <w:vertAlign w:val="superscript"/>
        </w:rPr>
        <w:t>G</w:t>
      </w:r>
      <w:r w:rsidRPr="00EE5849">
        <w:t xml:space="preserve"> </w:t>
      </w:r>
    </w:p>
    <w:p w:rsidR="00EE5849" w:rsidRDefault="00EE5849" w:rsidP="007702DF">
      <w:pPr>
        <w:pStyle w:val="Dotpoints10pt"/>
      </w:pPr>
      <w:r w:rsidRPr="00EE5849">
        <w:t>Dr Ken Mills</w:t>
      </w:r>
      <w:r>
        <w:t xml:space="preserve"> </w:t>
      </w:r>
      <w:r>
        <w:rPr>
          <w:vertAlign w:val="superscript"/>
        </w:rPr>
        <w:t>H</w:t>
      </w:r>
      <w:r w:rsidRPr="00EE5849">
        <w:t xml:space="preserve"> </w:t>
      </w:r>
    </w:p>
    <w:p w:rsidR="00EE5849" w:rsidRPr="00EE5849" w:rsidRDefault="00EE5849" w:rsidP="007702DF">
      <w:pPr>
        <w:pStyle w:val="Dotpoints10pt"/>
      </w:pPr>
      <w:r w:rsidRPr="00EE5849">
        <w:t>Dr Winton Gale</w:t>
      </w:r>
      <w:r>
        <w:t xml:space="preserve"> </w:t>
      </w:r>
      <w:r>
        <w:rPr>
          <w:vertAlign w:val="superscript"/>
        </w:rPr>
        <w:t>H</w:t>
      </w:r>
      <w:r w:rsidRPr="00EE5849">
        <w:t xml:space="preserve"> </w:t>
      </w:r>
    </w:p>
    <w:p w:rsidR="00973D19" w:rsidRDefault="00973D19" w:rsidP="00EE5849">
      <w:pPr>
        <w:pStyle w:val="Body"/>
        <w:sectPr w:rsidR="00973D19" w:rsidSect="00973D19">
          <w:type w:val="continuous"/>
          <w:pgSz w:w="11900" w:h="16840" w:code="9"/>
          <w:pgMar w:top="1960" w:right="1418" w:bottom="1418" w:left="1418" w:header="142" w:footer="709" w:gutter="0"/>
          <w:pgNumType w:fmt="lowerRoman"/>
          <w:cols w:num="2" w:space="284"/>
          <w:noEndnote/>
          <w:titlePg/>
          <w:docGrid w:linePitch="326"/>
        </w:sectPr>
      </w:pPr>
    </w:p>
    <w:p w:rsidR="00973D19" w:rsidRDefault="00973D19" w:rsidP="00EE5849">
      <w:pPr>
        <w:pStyle w:val="BRnormal10pt-CopyrightPage"/>
        <w:rPr>
          <w:vertAlign w:val="superscript"/>
        </w:rPr>
        <w:sectPr w:rsidR="00973D19" w:rsidSect="00787AAA">
          <w:type w:val="continuous"/>
          <w:pgSz w:w="11900" w:h="16840" w:code="9"/>
          <w:pgMar w:top="1960" w:right="1418" w:bottom="1418" w:left="1418" w:header="142" w:footer="709" w:gutter="0"/>
          <w:pgNumType w:fmt="lowerRoman"/>
          <w:cols w:space="284"/>
          <w:noEndnote/>
          <w:titlePg/>
          <w:docGrid w:linePitch="326"/>
        </w:sectPr>
      </w:pPr>
    </w:p>
    <w:p w:rsidR="00EE5849" w:rsidRDefault="00EE5849" w:rsidP="00EE5849">
      <w:pPr>
        <w:pStyle w:val="BRnormal10pt-CopyrightPage"/>
      </w:pPr>
      <w:r>
        <w:rPr>
          <w:vertAlign w:val="superscript"/>
        </w:rPr>
        <w:t xml:space="preserve">A </w:t>
      </w:r>
      <w:r>
        <w:t>Queensland</w:t>
      </w:r>
      <w:r w:rsidRPr="00EE5849">
        <w:t xml:space="preserve"> Water Resources Commission</w:t>
      </w:r>
    </w:p>
    <w:p w:rsidR="00EE5849" w:rsidRDefault="00EE5849" w:rsidP="00EE5849">
      <w:pPr>
        <w:pStyle w:val="BRnormal10pt-CopyrightPage"/>
      </w:pPr>
      <w:r>
        <w:rPr>
          <w:vertAlign w:val="superscript"/>
        </w:rPr>
        <w:t xml:space="preserve">B </w:t>
      </w:r>
      <w:r w:rsidRPr="00EE5849">
        <w:t>AGL Energy Limited</w:t>
      </w:r>
    </w:p>
    <w:p w:rsidR="00EE5849" w:rsidRDefault="00EE5849" w:rsidP="00EE5849">
      <w:pPr>
        <w:pStyle w:val="BRnormal10pt-CopyrightPage"/>
      </w:pPr>
      <w:r>
        <w:rPr>
          <w:vertAlign w:val="superscript"/>
        </w:rPr>
        <w:t xml:space="preserve">C </w:t>
      </w:r>
      <w:r w:rsidRPr="00EE5849">
        <w:t>Arrow Energy Pty Ltd</w:t>
      </w:r>
    </w:p>
    <w:p w:rsidR="00EE5849" w:rsidRDefault="00EE5849" w:rsidP="00EE5849">
      <w:pPr>
        <w:pStyle w:val="BRnormal10pt-CopyrightPage"/>
      </w:pPr>
      <w:r w:rsidRPr="0005591A">
        <w:rPr>
          <w:vertAlign w:val="superscript"/>
        </w:rPr>
        <w:t xml:space="preserve">D </w:t>
      </w:r>
      <w:r w:rsidRPr="00EE5849">
        <w:t>Q</w:t>
      </w:r>
      <w:r w:rsidR="005F31A9">
        <w:t>G</w:t>
      </w:r>
      <w:r w:rsidRPr="00EE5849">
        <w:t>C Pty Limited</w:t>
      </w:r>
    </w:p>
    <w:p w:rsidR="00EE5849" w:rsidRDefault="00EE5849" w:rsidP="00EE5849">
      <w:pPr>
        <w:pStyle w:val="BRnormal10pt-CopyrightPage"/>
      </w:pPr>
      <w:r>
        <w:rPr>
          <w:vertAlign w:val="superscript"/>
        </w:rPr>
        <w:t xml:space="preserve">E </w:t>
      </w:r>
      <w:r w:rsidRPr="00EE5849">
        <w:t>Santos Ltd</w:t>
      </w:r>
    </w:p>
    <w:p w:rsidR="00EE5849" w:rsidRDefault="00EE5849" w:rsidP="00EE5849">
      <w:pPr>
        <w:pStyle w:val="BRnormal10pt-CopyrightPage"/>
      </w:pPr>
      <w:r>
        <w:rPr>
          <w:vertAlign w:val="superscript"/>
        </w:rPr>
        <w:t>F</w:t>
      </w:r>
      <w:r>
        <w:t xml:space="preserve"> </w:t>
      </w:r>
      <w:r w:rsidRPr="00EE5849">
        <w:t>Heritage Computing Pty Ltd</w:t>
      </w:r>
    </w:p>
    <w:p w:rsidR="00EE5849" w:rsidRDefault="00EE5849" w:rsidP="00EE5849">
      <w:pPr>
        <w:pStyle w:val="BRnormal10pt-CopyrightPage"/>
      </w:pPr>
      <w:r>
        <w:rPr>
          <w:vertAlign w:val="superscript"/>
        </w:rPr>
        <w:t>G</w:t>
      </w:r>
      <w:r>
        <w:t xml:space="preserve"> Kalf and Associates Pty L</w:t>
      </w:r>
      <w:r w:rsidRPr="00EE5849">
        <w:t>td</w:t>
      </w:r>
    </w:p>
    <w:p w:rsidR="00EE5849" w:rsidRDefault="00EE5849" w:rsidP="00EE5849">
      <w:pPr>
        <w:pStyle w:val="BRnormal10pt-CopyrightPage"/>
      </w:pPr>
      <w:r>
        <w:rPr>
          <w:vertAlign w:val="superscript"/>
        </w:rPr>
        <w:t>H</w:t>
      </w:r>
      <w:r>
        <w:t xml:space="preserve"> </w:t>
      </w:r>
      <w:r w:rsidRPr="00EE5849">
        <w:t>Strata Control Technology Operations Pty Ltd</w:t>
      </w:r>
    </w:p>
    <w:p w:rsidR="00810EE2" w:rsidRPr="0005591A" w:rsidRDefault="00810EE2" w:rsidP="00EE5849">
      <w:pPr>
        <w:pStyle w:val="BRnormal10pt-CopyrightPage"/>
      </w:pPr>
      <w:r w:rsidRPr="0005591A">
        <w:br w:type="page"/>
      </w:r>
    </w:p>
    <w:bookmarkStart w:id="7" w:name="_Toc402425283" w:displacedByCustomXml="next"/>
    <w:sdt>
      <w:sdtPr>
        <w:rPr>
          <w:rFonts w:asciiTheme="minorHAnsi" w:eastAsiaTheme="minorEastAsia" w:hAnsiTheme="minorHAnsi" w:cstheme="minorBidi"/>
          <w:b w:val="0"/>
          <w:bCs w:val="0"/>
          <w:color w:val="auto"/>
          <w:sz w:val="24"/>
          <w:szCs w:val="24"/>
          <w:lang w:val="en-US"/>
        </w:rPr>
        <w:id w:val="-891036755"/>
        <w:docPartObj>
          <w:docPartGallery w:val="Table of Contents"/>
          <w:docPartUnique/>
        </w:docPartObj>
      </w:sdtPr>
      <w:sdtEndPr>
        <w:rPr>
          <w:rFonts w:ascii="Arial" w:hAnsi="Arial"/>
          <w:noProof/>
          <w:sz w:val="22"/>
          <w:szCs w:val="22"/>
        </w:rPr>
      </w:sdtEndPr>
      <w:sdtContent>
        <w:p w:rsidR="00810EE2" w:rsidRPr="00FE58B0" w:rsidRDefault="00810EE2" w:rsidP="001E6DBD">
          <w:pPr>
            <w:pStyle w:val="SummaryH1"/>
          </w:pPr>
          <w:r w:rsidRPr="0023261D">
            <w:t>Contents</w:t>
          </w:r>
          <w:bookmarkEnd w:id="7"/>
        </w:p>
        <w:p w:rsidR="00F12A19" w:rsidRDefault="00E252C4">
          <w:pPr>
            <w:pStyle w:val="TOC1"/>
            <w:rPr>
              <w:rFonts w:asciiTheme="minorHAnsi" w:hAnsiTheme="minorHAnsi"/>
              <w:noProof/>
              <w:sz w:val="22"/>
              <w:lang w:val="en-AU" w:eastAsia="en-AU"/>
            </w:rPr>
          </w:pPr>
          <w:r>
            <w:rPr>
              <w:noProof/>
            </w:rPr>
            <w:fldChar w:fldCharType="begin"/>
          </w:r>
          <w:r w:rsidR="00810EE2">
            <w:rPr>
              <w:noProof/>
            </w:rPr>
            <w:instrText xml:space="preserve"> TOC \o "1-2" \h \z \u </w:instrText>
          </w:r>
          <w:r>
            <w:rPr>
              <w:noProof/>
            </w:rPr>
            <w:fldChar w:fldCharType="separate"/>
          </w:r>
          <w:hyperlink w:anchor="_Toc402425283" w:history="1">
            <w:r w:rsidR="00F12A19" w:rsidRPr="00EF628A">
              <w:rPr>
                <w:rStyle w:val="Hyperlink"/>
                <w:noProof/>
              </w:rPr>
              <w:t>Contents</w:t>
            </w:r>
            <w:r w:rsidR="00F12A19">
              <w:rPr>
                <w:noProof/>
                <w:webHidden/>
              </w:rPr>
              <w:tab/>
            </w:r>
            <w:r>
              <w:rPr>
                <w:noProof/>
                <w:webHidden/>
              </w:rPr>
              <w:fldChar w:fldCharType="begin"/>
            </w:r>
            <w:r w:rsidR="00F12A19">
              <w:rPr>
                <w:noProof/>
                <w:webHidden/>
              </w:rPr>
              <w:instrText xml:space="preserve"> PAGEREF _Toc402425283 \h </w:instrText>
            </w:r>
            <w:r>
              <w:rPr>
                <w:noProof/>
                <w:webHidden/>
              </w:rPr>
            </w:r>
            <w:r>
              <w:rPr>
                <w:noProof/>
                <w:webHidden/>
              </w:rPr>
              <w:fldChar w:fldCharType="separate"/>
            </w:r>
            <w:r w:rsidR="00906141">
              <w:rPr>
                <w:noProof/>
                <w:webHidden/>
              </w:rPr>
              <w:t>iv</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84" w:history="1">
            <w:r w:rsidR="00F12A19" w:rsidRPr="00EF628A">
              <w:rPr>
                <w:rStyle w:val="Hyperlink"/>
                <w:noProof/>
              </w:rPr>
              <w:t>Summary</w:t>
            </w:r>
            <w:r w:rsidR="00F12A19">
              <w:rPr>
                <w:noProof/>
                <w:webHidden/>
              </w:rPr>
              <w:tab/>
            </w:r>
            <w:r>
              <w:rPr>
                <w:noProof/>
                <w:webHidden/>
              </w:rPr>
              <w:fldChar w:fldCharType="begin"/>
            </w:r>
            <w:r w:rsidR="00F12A19">
              <w:rPr>
                <w:noProof/>
                <w:webHidden/>
              </w:rPr>
              <w:instrText xml:space="preserve"> PAGEREF _Toc402425284 \h </w:instrText>
            </w:r>
            <w:r>
              <w:rPr>
                <w:noProof/>
                <w:webHidden/>
              </w:rPr>
            </w:r>
            <w:r>
              <w:rPr>
                <w:noProof/>
                <w:webHidden/>
              </w:rPr>
              <w:fldChar w:fldCharType="separate"/>
            </w:r>
            <w:r w:rsidR="00906141">
              <w:rPr>
                <w:noProof/>
                <w:webHidden/>
              </w:rPr>
              <w:t>vi</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85" w:history="1">
            <w:r w:rsidR="00F12A19" w:rsidRPr="00EF628A">
              <w:rPr>
                <w:rStyle w:val="Hyperlink"/>
                <w:noProof/>
              </w:rPr>
              <w:t>Abbreviations</w:t>
            </w:r>
            <w:r w:rsidR="00F12A19">
              <w:rPr>
                <w:noProof/>
                <w:webHidden/>
              </w:rPr>
              <w:tab/>
            </w:r>
            <w:r>
              <w:rPr>
                <w:noProof/>
                <w:webHidden/>
              </w:rPr>
              <w:fldChar w:fldCharType="begin"/>
            </w:r>
            <w:r w:rsidR="00F12A19">
              <w:rPr>
                <w:noProof/>
                <w:webHidden/>
              </w:rPr>
              <w:instrText xml:space="preserve"> PAGEREF _Toc402425285 \h </w:instrText>
            </w:r>
            <w:r>
              <w:rPr>
                <w:noProof/>
                <w:webHidden/>
              </w:rPr>
            </w:r>
            <w:r>
              <w:rPr>
                <w:noProof/>
                <w:webHidden/>
              </w:rPr>
              <w:fldChar w:fldCharType="separate"/>
            </w:r>
            <w:r w:rsidR="00906141">
              <w:rPr>
                <w:noProof/>
                <w:webHidden/>
              </w:rPr>
              <w:t>x</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86" w:history="1">
            <w:r w:rsidR="00F12A19" w:rsidRPr="00EF628A">
              <w:rPr>
                <w:rStyle w:val="Hyperlink"/>
                <w:noProof/>
              </w:rPr>
              <w:t>Glossary</w:t>
            </w:r>
            <w:r w:rsidR="00F12A19">
              <w:rPr>
                <w:noProof/>
                <w:webHidden/>
              </w:rPr>
              <w:tab/>
            </w:r>
            <w:r>
              <w:rPr>
                <w:noProof/>
                <w:webHidden/>
              </w:rPr>
              <w:fldChar w:fldCharType="begin"/>
            </w:r>
            <w:r w:rsidR="00F12A19">
              <w:rPr>
                <w:noProof/>
                <w:webHidden/>
              </w:rPr>
              <w:instrText xml:space="preserve"> PAGEREF _Toc402425286 \h </w:instrText>
            </w:r>
            <w:r>
              <w:rPr>
                <w:noProof/>
                <w:webHidden/>
              </w:rPr>
            </w:r>
            <w:r>
              <w:rPr>
                <w:noProof/>
                <w:webHidden/>
              </w:rPr>
              <w:fldChar w:fldCharType="separate"/>
            </w:r>
            <w:r w:rsidR="00906141">
              <w:rPr>
                <w:noProof/>
                <w:webHidden/>
              </w:rPr>
              <w:t>xii</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87" w:history="1">
            <w:r w:rsidR="00F12A19" w:rsidRPr="00EF628A">
              <w:rPr>
                <w:rStyle w:val="Hyperlink"/>
                <w:noProof/>
              </w:rPr>
              <w:t>1</w:t>
            </w:r>
            <w:r w:rsidR="00F12A19">
              <w:rPr>
                <w:rFonts w:asciiTheme="minorHAnsi" w:hAnsiTheme="minorHAnsi"/>
                <w:noProof/>
                <w:sz w:val="22"/>
                <w:lang w:val="en-AU" w:eastAsia="en-AU"/>
              </w:rPr>
              <w:tab/>
            </w:r>
            <w:r w:rsidR="00F12A19" w:rsidRPr="00EF628A">
              <w:rPr>
                <w:rStyle w:val="Hyperlink"/>
                <w:noProof/>
              </w:rPr>
              <w:t>Introduction</w:t>
            </w:r>
            <w:r w:rsidR="00F12A19">
              <w:rPr>
                <w:noProof/>
                <w:webHidden/>
              </w:rPr>
              <w:tab/>
            </w:r>
            <w:r>
              <w:rPr>
                <w:noProof/>
                <w:webHidden/>
              </w:rPr>
              <w:fldChar w:fldCharType="begin"/>
            </w:r>
            <w:r w:rsidR="00F12A19">
              <w:rPr>
                <w:noProof/>
                <w:webHidden/>
              </w:rPr>
              <w:instrText xml:space="preserve"> PAGEREF _Toc402425287 \h </w:instrText>
            </w:r>
            <w:r>
              <w:rPr>
                <w:noProof/>
                <w:webHidden/>
              </w:rPr>
            </w:r>
            <w:r>
              <w:rPr>
                <w:noProof/>
                <w:webHidden/>
              </w:rPr>
              <w:fldChar w:fldCharType="separate"/>
            </w:r>
            <w:r w:rsidR="00906141">
              <w:rPr>
                <w:noProof/>
                <w:webHidden/>
              </w:rPr>
              <w:t>1</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88" w:history="1">
            <w:r w:rsidR="00F12A19" w:rsidRPr="00EF628A">
              <w:rPr>
                <w:rStyle w:val="Hyperlink"/>
                <w:noProof/>
              </w:rPr>
              <w:t>2</w:t>
            </w:r>
            <w:r w:rsidR="00F12A19">
              <w:rPr>
                <w:rFonts w:asciiTheme="minorHAnsi" w:hAnsiTheme="minorHAnsi"/>
                <w:noProof/>
                <w:sz w:val="22"/>
                <w:lang w:val="en-AU" w:eastAsia="en-AU"/>
              </w:rPr>
              <w:tab/>
            </w:r>
            <w:r w:rsidR="00F12A19" w:rsidRPr="00EF628A">
              <w:rPr>
                <w:rStyle w:val="Hyperlink"/>
                <w:noProof/>
              </w:rPr>
              <w:t>What is coal seam gas?</w:t>
            </w:r>
            <w:r w:rsidR="00F12A19">
              <w:rPr>
                <w:noProof/>
                <w:webHidden/>
              </w:rPr>
              <w:tab/>
            </w:r>
            <w:r>
              <w:rPr>
                <w:noProof/>
                <w:webHidden/>
              </w:rPr>
              <w:fldChar w:fldCharType="begin"/>
            </w:r>
            <w:r w:rsidR="00F12A19">
              <w:rPr>
                <w:noProof/>
                <w:webHidden/>
              </w:rPr>
              <w:instrText xml:space="preserve"> PAGEREF _Toc402425288 \h </w:instrText>
            </w:r>
            <w:r>
              <w:rPr>
                <w:noProof/>
                <w:webHidden/>
              </w:rPr>
            </w:r>
            <w:r>
              <w:rPr>
                <w:noProof/>
                <w:webHidden/>
              </w:rPr>
              <w:fldChar w:fldCharType="separate"/>
            </w:r>
            <w:r w:rsidR="00906141">
              <w:rPr>
                <w:noProof/>
                <w:webHidden/>
              </w:rPr>
              <w:t>3</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89" w:history="1">
            <w:r w:rsidR="00F12A19" w:rsidRPr="00EF628A">
              <w:rPr>
                <w:rStyle w:val="Hyperlink"/>
                <w:noProof/>
              </w:rPr>
              <w:t>2.1</w:t>
            </w:r>
            <w:r w:rsidR="00F12A19">
              <w:rPr>
                <w:rFonts w:asciiTheme="minorHAnsi" w:hAnsiTheme="minorHAnsi"/>
                <w:noProof/>
                <w:sz w:val="22"/>
                <w:lang w:val="en-AU" w:eastAsia="en-AU"/>
              </w:rPr>
              <w:tab/>
            </w:r>
            <w:r w:rsidR="00F12A19" w:rsidRPr="00EF628A">
              <w:rPr>
                <w:rStyle w:val="Hyperlink"/>
                <w:noProof/>
              </w:rPr>
              <w:t>Coal seams and gas</w:t>
            </w:r>
            <w:r w:rsidR="00F12A19">
              <w:rPr>
                <w:noProof/>
                <w:webHidden/>
              </w:rPr>
              <w:tab/>
            </w:r>
            <w:r>
              <w:rPr>
                <w:noProof/>
                <w:webHidden/>
              </w:rPr>
              <w:fldChar w:fldCharType="begin"/>
            </w:r>
            <w:r w:rsidR="00F12A19">
              <w:rPr>
                <w:noProof/>
                <w:webHidden/>
              </w:rPr>
              <w:instrText xml:space="preserve"> PAGEREF _Toc402425289 \h </w:instrText>
            </w:r>
            <w:r>
              <w:rPr>
                <w:noProof/>
                <w:webHidden/>
              </w:rPr>
            </w:r>
            <w:r>
              <w:rPr>
                <w:noProof/>
                <w:webHidden/>
              </w:rPr>
              <w:fldChar w:fldCharType="separate"/>
            </w:r>
            <w:r w:rsidR="00906141">
              <w:rPr>
                <w:noProof/>
                <w:webHidden/>
              </w:rPr>
              <w:t>3</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0" w:history="1">
            <w:r w:rsidR="00F12A19" w:rsidRPr="00EF628A">
              <w:rPr>
                <w:rStyle w:val="Hyperlink"/>
                <w:noProof/>
              </w:rPr>
              <w:t>2.2</w:t>
            </w:r>
            <w:r w:rsidR="00F12A19">
              <w:rPr>
                <w:rFonts w:asciiTheme="minorHAnsi" w:hAnsiTheme="minorHAnsi"/>
                <w:noProof/>
                <w:sz w:val="22"/>
                <w:lang w:val="en-AU" w:eastAsia="en-AU"/>
              </w:rPr>
              <w:tab/>
            </w:r>
            <w:r w:rsidR="00F12A19" w:rsidRPr="00EF628A">
              <w:rPr>
                <w:rStyle w:val="Hyperlink"/>
                <w:noProof/>
              </w:rPr>
              <w:t>Gas extraction</w:t>
            </w:r>
            <w:r w:rsidR="00F12A19">
              <w:rPr>
                <w:noProof/>
                <w:webHidden/>
              </w:rPr>
              <w:tab/>
            </w:r>
            <w:r>
              <w:rPr>
                <w:noProof/>
                <w:webHidden/>
              </w:rPr>
              <w:fldChar w:fldCharType="begin"/>
            </w:r>
            <w:r w:rsidR="00F12A19">
              <w:rPr>
                <w:noProof/>
                <w:webHidden/>
              </w:rPr>
              <w:instrText xml:space="preserve"> PAGEREF _Toc402425290 \h </w:instrText>
            </w:r>
            <w:r>
              <w:rPr>
                <w:noProof/>
                <w:webHidden/>
              </w:rPr>
            </w:r>
            <w:r>
              <w:rPr>
                <w:noProof/>
                <w:webHidden/>
              </w:rPr>
              <w:fldChar w:fldCharType="separate"/>
            </w:r>
            <w:r w:rsidR="00906141">
              <w:rPr>
                <w:noProof/>
                <w:webHidden/>
              </w:rPr>
              <w:t>6</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1" w:history="1">
            <w:r w:rsidR="00F12A19" w:rsidRPr="00EF628A">
              <w:rPr>
                <w:rStyle w:val="Hyperlink"/>
                <w:noProof/>
              </w:rPr>
              <w:t>2.3</w:t>
            </w:r>
            <w:r w:rsidR="00F12A19">
              <w:rPr>
                <w:rFonts w:asciiTheme="minorHAnsi" w:hAnsiTheme="minorHAnsi"/>
                <w:noProof/>
                <w:sz w:val="22"/>
                <w:lang w:val="en-AU" w:eastAsia="en-AU"/>
              </w:rPr>
              <w:tab/>
            </w:r>
            <w:r w:rsidR="00F12A19" w:rsidRPr="00EF628A">
              <w:rPr>
                <w:rStyle w:val="Hyperlink"/>
                <w:noProof/>
              </w:rPr>
              <w:t>Hydraulic fracturing</w:t>
            </w:r>
            <w:r w:rsidR="00F12A19">
              <w:rPr>
                <w:noProof/>
                <w:webHidden/>
              </w:rPr>
              <w:tab/>
            </w:r>
            <w:r>
              <w:rPr>
                <w:noProof/>
                <w:webHidden/>
              </w:rPr>
              <w:fldChar w:fldCharType="begin"/>
            </w:r>
            <w:r w:rsidR="00F12A19">
              <w:rPr>
                <w:noProof/>
                <w:webHidden/>
              </w:rPr>
              <w:instrText xml:space="preserve"> PAGEREF _Toc402425291 \h </w:instrText>
            </w:r>
            <w:r>
              <w:rPr>
                <w:noProof/>
                <w:webHidden/>
              </w:rPr>
            </w:r>
            <w:r>
              <w:rPr>
                <w:noProof/>
                <w:webHidden/>
              </w:rPr>
              <w:fldChar w:fldCharType="separate"/>
            </w:r>
            <w:r w:rsidR="00906141">
              <w:rPr>
                <w:noProof/>
                <w:webHidden/>
              </w:rPr>
              <w:t>10</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2" w:history="1">
            <w:r w:rsidR="00F12A19" w:rsidRPr="00EF628A">
              <w:rPr>
                <w:rStyle w:val="Hyperlink"/>
                <w:noProof/>
              </w:rPr>
              <w:t>2.4</w:t>
            </w:r>
            <w:r w:rsidR="00F12A19">
              <w:rPr>
                <w:rFonts w:asciiTheme="minorHAnsi" w:hAnsiTheme="minorHAnsi"/>
                <w:noProof/>
                <w:sz w:val="22"/>
                <w:lang w:val="en-AU" w:eastAsia="en-AU"/>
              </w:rPr>
              <w:tab/>
            </w:r>
            <w:r w:rsidR="00F12A19" w:rsidRPr="00EF628A">
              <w:rPr>
                <w:rStyle w:val="Hyperlink"/>
                <w:noProof/>
              </w:rPr>
              <w:t>Water and gas yield</w:t>
            </w:r>
            <w:r w:rsidR="00F12A19">
              <w:rPr>
                <w:noProof/>
                <w:webHidden/>
              </w:rPr>
              <w:tab/>
            </w:r>
            <w:r>
              <w:rPr>
                <w:noProof/>
                <w:webHidden/>
              </w:rPr>
              <w:fldChar w:fldCharType="begin"/>
            </w:r>
            <w:r w:rsidR="00F12A19">
              <w:rPr>
                <w:noProof/>
                <w:webHidden/>
              </w:rPr>
              <w:instrText xml:space="preserve"> PAGEREF _Toc402425292 \h </w:instrText>
            </w:r>
            <w:r>
              <w:rPr>
                <w:noProof/>
                <w:webHidden/>
              </w:rPr>
            </w:r>
            <w:r>
              <w:rPr>
                <w:noProof/>
                <w:webHidden/>
              </w:rPr>
              <w:fldChar w:fldCharType="separate"/>
            </w:r>
            <w:r w:rsidR="00906141">
              <w:rPr>
                <w:noProof/>
                <w:webHidden/>
              </w:rPr>
              <w:t>12</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3" w:history="1">
            <w:r w:rsidR="00F12A19" w:rsidRPr="00EF628A">
              <w:rPr>
                <w:rStyle w:val="Hyperlink"/>
                <w:noProof/>
              </w:rPr>
              <w:t>2.5</w:t>
            </w:r>
            <w:r w:rsidR="00F12A19">
              <w:rPr>
                <w:rFonts w:asciiTheme="minorHAnsi" w:hAnsiTheme="minorHAnsi"/>
                <w:noProof/>
                <w:sz w:val="22"/>
                <w:lang w:val="en-AU" w:eastAsia="en-AU"/>
              </w:rPr>
              <w:tab/>
            </w:r>
            <w:r w:rsidR="00F12A19" w:rsidRPr="00EF628A">
              <w:rPr>
                <w:rStyle w:val="Hyperlink"/>
                <w:noProof/>
              </w:rPr>
              <w:t>Injection</w:t>
            </w:r>
            <w:r w:rsidR="00F12A19">
              <w:rPr>
                <w:noProof/>
                <w:webHidden/>
              </w:rPr>
              <w:tab/>
            </w:r>
            <w:r>
              <w:rPr>
                <w:noProof/>
                <w:webHidden/>
              </w:rPr>
              <w:fldChar w:fldCharType="begin"/>
            </w:r>
            <w:r w:rsidR="00F12A19">
              <w:rPr>
                <w:noProof/>
                <w:webHidden/>
              </w:rPr>
              <w:instrText xml:space="preserve"> PAGEREF _Toc402425293 \h </w:instrText>
            </w:r>
            <w:r>
              <w:rPr>
                <w:noProof/>
                <w:webHidden/>
              </w:rPr>
            </w:r>
            <w:r>
              <w:rPr>
                <w:noProof/>
                <w:webHidden/>
              </w:rPr>
              <w:fldChar w:fldCharType="separate"/>
            </w:r>
            <w:r w:rsidR="00906141">
              <w:rPr>
                <w:noProof/>
                <w:webHidden/>
              </w:rPr>
              <w:t>13</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94" w:history="1">
            <w:r w:rsidR="00F12A19" w:rsidRPr="00EF628A">
              <w:rPr>
                <w:rStyle w:val="Hyperlink"/>
                <w:noProof/>
              </w:rPr>
              <w:t>3</w:t>
            </w:r>
            <w:r w:rsidR="00F12A19">
              <w:rPr>
                <w:rFonts w:asciiTheme="minorHAnsi" w:hAnsiTheme="minorHAnsi"/>
                <w:noProof/>
                <w:sz w:val="22"/>
                <w:lang w:val="en-AU" w:eastAsia="en-AU"/>
              </w:rPr>
              <w:tab/>
            </w:r>
            <w:r w:rsidR="00F12A19" w:rsidRPr="00EF628A">
              <w:rPr>
                <w:rStyle w:val="Hyperlink"/>
                <w:noProof/>
              </w:rPr>
              <w:t>Typical coal seam gas regional environment</w:t>
            </w:r>
            <w:r w:rsidR="00F12A19">
              <w:rPr>
                <w:noProof/>
                <w:webHidden/>
              </w:rPr>
              <w:tab/>
            </w:r>
            <w:r>
              <w:rPr>
                <w:noProof/>
                <w:webHidden/>
              </w:rPr>
              <w:fldChar w:fldCharType="begin"/>
            </w:r>
            <w:r w:rsidR="00F12A19">
              <w:rPr>
                <w:noProof/>
                <w:webHidden/>
              </w:rPr>
              <w:instrText xml:space="preserve"> PAGEREF _Toc402425294 \h </w:instrText>
            </w:r>
            <w:r>
              <w:rPr>
                <w:noProof/>
                <w:webHidden/>
              </w:rPr>
            </w:r>
            <w:r>
              <w:rPr>
                <w:noProof/>
                <w:webHidden/>
              </w:rPr>
              <w:fldChar w:fldCharType="separate"/>
            </w:r>
            <w:r w:rsidR="00906141">
              <w:rPr>
                <w:noProof/>
                <w:webHidden/>
              </w:rPr>
              <w:t>15</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295" w:history="1">
            <w:r w:rsidR="00F12A19" w:rsidRPr="00EF628A">
              <w:rPr>
                <w:rStyle w:val="Hyperlink"/>
                <w:noProof/>
              </w:rPr>
              <w:t>4</w:t>
            </w:r>
            <w:r w:rsidR="00F12A19">
              <w:rPr>
                <w:rFonts w:asciiTheme="minorHAnsi" w:hAnsiTheme="minorHAnsi"/>
                <w:noProof/>
                <w:sz w:val="22"/>
                <w:lang w:val="en-AU" w:eastAsia="en-AU"/>
              </w:rPr>
              <w:tab/>
            </w:r>
            <w:r w:rsidR="00F12A19" w:rsidRPr="00EF628A">
              <w:rPr>
                <w:rStyle w:val="Hyperlink"/>
                <w:noProof/>
              </w:rPr>
              <w:t>Physical processes of coal seam gas production</w:t>
            </w:r>
            <w:r w:rsidR="00F12A19">
              <w:rPr>
                <w:noProof/>
                <w:webHidden/>
              </w:rPr>
              <w:tab/>
            </w:r>
            <w:r>
              <w:rPr>
                <w:noProof/>
                <w:webHidden/>
              </w:rPr>
              <w:fldChar w:fldCharType="begin"/>
            </w:r>
            <w:r w:rsidR="00F12A19">
              <w:rPr>
                <w:noProof/>
                <w:webHidden/>
              </w:rPr>
              <w:instrText xml:space="preserve"> PAGEREF _Toc402425295 \h </w:instrText>
            </w:r>
            <w:r>
              <w:rPr>
                <w:noProof/>
                <w:webHidden/>
              </w:rPr>
            </w:r>
            <w:r>
              <w:rPr>
                <w:noProof/>
                <w:webHidden/>
              </w:rPr>
              <w:fldChar w:fldCharType="separate"/>
            </w:r>
            <w:r w:rsidR="00906141">
              <w:rPr>
                <w:noProof/>
                <w:webHidden/>
              </w:rPr>
              <w:t>21</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6" w:history="1">
            <w:r w:rsidR="00F12A19" w:rsidRPr="00EF628A">
              <w:rPr>
                <w:rStyle w:val="Hyperlink"/>
                <w:noProof/>
              </w:rPr>
              <w:t>4.1</w:t>
            </w:r>
            <w:r w:rsidR="00F12A19">
              <w:rPr>
                <w:rFonts w:asciiTheme="minorHAnsi" w:hAnsiTheme="minorHAnsi"/>
                <w:noProof/>
                <w:sz w:val="22"/>
                <w:lang w:val="en-AU" w:eastAsia="en-AU"/>
              </w:rPr>
              <w:tab/>
            </w:r>
            <w:r w:rsidR="00F12A19" w:rsidRPr="00EF628A">
              <w:rPr>
                <w:rStyle w:val="Hyperlink"/>
                <w:noProof/>
              </w:rPr>
              <w:t>Dual porosity</w:t>
            </w:r>
            <w:r w:rsidR="00F12A19">
              <w:rPr>
                <w:noProof/>
                <w:webHidden/>
              </w:rPr>
              <w:tab/>
            </w:r>
            <w:r>
              <w:rPr>
                <w:noProof/>
                <w:webHidden/>
              </w:rPr>
              <w:fldChar w:fldCharType="begin"/>
            </w:r>
            <w:r w:rsidR="00F12A19">
              <w:rPr>
                <w:noProof/>
                <w:webHidden/>
              </w:rPr>
              <w:instrText xml:space="preserve"> PAGEREF _Toc402425296 \h </w:instrText>
            </w:r>
            <w:r>
              <w:rPr>
                <w:noProof/>
                <w:webHidden/>
              </w:rPr>
            </w:r>
            <w:r>
              <w:rPr>
                <w:noProof/>
                <w:webHidden/>
              </w:rPr>
              <w:fldChar w:fldCharType="separate"/>
            </w:r>
            <w:r w:rsidR="00906141">
              <w:rPr>
                <w:noProof/>
                <w:webHidden/>
              </w:rPr>
              <w:t>21</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7" w:history="1">
            <w:r w:rsidR="00F12A19" w:rsidRPr="00EF628A">
              <w:rPr>
                <w:rStyle w:val="Hyperlink"/>
                <w:noProof/>
              </w:rPr>
              <w:t>4.2</w:t>
            </w:r>
            <w:r w:rsidR="00F12A19">
              <w:rPr>
                <w:rFonts w:asciiTheme="minorHAnsi" w:hAnsiTheme="minorHAnsi"/>
                <w:noProof/>
                <w:sz w:val="22"/>
                <w:lang w:val="en-AU" w:eastAsia="en-AU"/>
              </w:rPr>
              <w:tab/>
            </w:r>
            <w:r w:rsidR="00F12A19" w:rsidRPr="00EF628A">
              <w:rPr>
                <w:rStyle w:val="Hyperlink"/>
                <w:noProof/>
              </w:rPr>
              <w:t>Dual phase flow and unsaturated flow</w:t>
            </w:r>
            <w:r w:rsidR="00F12A19">
              <w:rPr>
                <w:noProof/>
                <w:webHidden/>
              </w:rPr>
              <w:tab/>
            </w:r>
            <w:r>
              <w:rPr>
                <w:noProof/>
                <w:webHidden/>
              </w:rPr>
              <w:fldChar w:fldCharType="begin"/>
            </w:r>
            <w:r w:rsidR="00F12A19">
              <w:rPr>
                <w:noProof/>
                <w:webHidden/>
              </w:rPr>
              <w:instrText xml:space="preserve"> PAGEREF _Toc402425297 \h </w:instrText>
            </w:r>
            <w:r>
              <w:rPr>
                <w:noProof/>
                <w:webHidden/>
              </w:rPr>
            </w:r>
            <w:r>
              <w:rPr>
                <w:noProof/>
                <w:webHidden/>
              </w:rPr>
              <w:fldChar w:fldCharType="separate"/>
            </w:r>
            <w:r w:rsidR="00906141">
              <w:rPr>
                <w:noProof/>
                <w:webHidden/>
              </w:rPr>
              <w:t>22</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8" w:history="1">
            <w:r w:rsidR="00F12A19" w:rsidRPr="00EF628A">
              <w:rPr>
                <w:rStyle w:val="Hyperlink"/>
                <w:noProof/>
              </w:rPr>
              <w:t>4.3</w:t>
            </w:r>
            <w:r w:rsidR="00F12A19">
              <w:rPr>
                <w:rFonts w:asciiTheme="minorHAnsi" w:hAnsiTheme="minorHAnsi"/>
                <w:noProof/>
                <w:sz w:val="22"/>
                <w:lang w:val="en-AU" w:eastAsia="en-AU"/>
              </w:rPr>
              <w:tab/>
            </w:r>
            <w:r w:rsidR="00F12A19" w:rsidRPr="00EF628A">
              <w:rPr>
                <w:rStyle w:val="Hyperlink"/>
                <w:noProof/>
              </w:rPr>
              <w:t>Geomechanical effects</w:t>
            </w:r>
            <w:r w:rsidR="00F12A19">
              <w:rPr>
                <w:noProof/>
                <w:webHidden/>
              </w:rPr>
              <w:tab/>
            </w:r>
            <w:r>
              <w:rPr>
                <w:noProof/>
                <w:webHidden/>
              </w:rPr>
              <w:fldChar w:fldCharType="begin"/>
            </w:r>
            <w:r w:rsidR="00F12A19">
              <w:rPr>
                <w:noProof/>
                <w:webHidden/>
              </w:rPr>
              <w:instrText xml:space="preserve"> PAGEREF _Toc402425298 \h </w:instrText>
            </w:r>
            <w:r>
              <w:rPr>
                <w:noProof/>
                <w:webHidden/>
              </w:rPr>
            </w:r>
            <w:r>
              <w:rPr>
                <w:noProof/>
                <w:webHidden/>
              </w:rPr>
              <w:fldChar w:fldCharType="separate"/>
            </w:r>
            <w:r w:rsidR="00906141">
              <w:rPr>
                <w:noProof/>
                <w:webHidden/>
              </w:rPr>
              <w:t>23</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299" w:history="1">
            <w:r w:rsidR="00F12A19" w:rsidRPr="00EF628A">
              <w:rPr>
                <w:rStyle w:val="Hyperlink"/>
                <w:noProof/>
              </w:rPr>
              <w:t>4.4</w:t>
            </w:r>
            <w:r w:rsidR="00F12A19">
              <w:rPr>
                <w:rFonts w:asciiTheme="minorHAnsi" w:hAnsiTheme="minorHAnsi"/>
                <w:noProof/>
                <w:sz w:val="22"/>
                <w:lang w:val="en-AU" w:eastAsia="en-AU"/>
              </w:rPr>
              <w:tab/>
            </w:r>
            <w:r w:rsidR="00F12A19" w:rsidRPr="00EF628A">
              <w:rPr>
                <w:rStyle w:val="Hyperlink"/>
                <w:noProof/>
              </w:rPr>
              <w:t>Hydraulic fracturing</w:t>
            </w:r>
            <w:r w:rsidR="00F12A19">
              <w:rPr>
                <w:noProof/>
                <w:webHidden/>
              </w:rPr>
              <w:tab/>
            </w:r>
            <w:r>
              <w:rPr>
                <w:noProof/>
                <w:webHidden/>
              </w:rPr>
              <w:fldChar w:fldCharType="begin"/>
            </w:r>
            <w:r w:rsidR="00F12A19">
              <w:rPr>
                <w:noProof/>
                <w:webHidden/>
              </w:rPr>
              <w:instrText xml:space="preserve"> PAGEREF _Toc402425299 \h </w:instrText>
            </w:r>
            <w:r>
              <w:rPr>
                <w:noProof/>
                <w:webHidden/>
              </w:rPr>
            </w:r>
            <w:r>
              <w:rPr>
                <w:noProof/>
                <w:webHidden/>
              </w:rPr>
              <w:fldChar w:fldCharType="separate"/>
            </w:r>
            <w:r w:rsidR="00906141">
              <w:rPr>
                <w:noProof/>
                <w:webHidden/>
              </w:rPr>
              <w:t>24</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0" w:history="1">
            <w:r w:rsidR="00F12A19" w:rsidRPr="00EF628A">
              <w:rPr>
                <w:rStyle w:val="Hyperlink"/>
                <w:noProof/>
              </w:rPr>
              <w:t>4.5</w:t>
            </w:r>
            <w:r w:rsidR="00F12A19">
              <w:rPr>
                <w:rFonts w:asciiTheme="minorHAnsi" w:hAnsiTheme="minorHAnsi"/>
                <w:noProof/>
                <w:sz w:val="22"/>
                <w:lang w:val="en-AU" w:eastAsia="en-AU"/>
              </w:rPr>
              <w:tab/>
            </w:r>
            <w:r w:rsidR="00F12A19" w:rsidRPr="00EF628A">
              <w:rPr>
                <w:rStyle w:val="Hyperlink"/>
                <w:noProof/>
              </w:rPr>
              <w:t>Solute transport</w:t>
            </w:r>
            <w:r w:rsidR="00F12A19">
              <w:rPr>
                <w:noProof/>
                <w:webHidden/>
              </w:rPr>
              <w:tab/>
            </w:r>
            <w:r>
              <w:rPr>
                <w:noProof/>
                <w:webHidden/>
              </w:rPr>
              <w:fldChar w:fldCharType="begin"/>
            </w:r>
            <w:r w:rsidR="00F12A19">
              <w:rPr>
                <w:noProof/>
                <w:webHidden/>
              </w:rPr>
              <w:instrText xml:space="preserve"> PAGEREF _Toc402425300 \h </w:instrText>
            </w:r>
            <w:r>
              <w:rPr>
                <w:noProof/>
                <w:webHidden/>
              </w:rPr>
            </w:r>
            <w:r>
              <w:rPr>
                <w:noProof/>
                <w:webHidden/>
              </w:rPr>
              <w:fldChar w:fldCharType="separate"/>
            </w:r>
            <w:r w:rsidR="00906141">
              <w:rPr>
                <w:noProof/>
                <w:webHidden/>
              </w:rPr>
              <w:t>24</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1" w:history="1">
            <w:r w:rsidR="00F12A19" w:rsidRPr="00EF628A">
              <w:rPr>
                <w:rStyle w:val="Hyperlink"/>
                <w:noProof/>
              </w:rPr>
              <w:t>4.6</w:t>
            </w:r>
            <w:r w:rsidR="00F12A19">
              <w:rPr>
                <w:rFonts w:asciiTheme="minorHAnsi" w:hAnsiTheme="minorHAnsi"/>
                <w:noProof/>
                <w:sz w:val="22"/>
                <w:lang w:val="en-AU" w:eastAsia="en-AU"/>
              </w:rPr>
              <w:tab/>
            </w:r>
            <w:r w:rsidR="00F12A19" w:rsidRPr="00EF628A">
              <w:rPr>
                <w:rStyle w:val="Hyperlink"/>
                <w:noProof/>
              </w:rPr>
              <w:t>Surface water and groundwater interaction</w:t>
            </w:r>
            <w:r w:rsidR="00F12A19">
              <w:rPr>
                <w:noProof/>
                <w:webHidden/>
              </w:rPr>
              <w:tab/>
            </w:r>
            <w:r>
              <w:rPr>
                <w:noProof/>
                <w:webHidden/>
              </w:rPr>
              <w:fldChar w:fldCharType="begin"/>
            </w:r>
            <w:r w:rsidR="00F12A19">
              <w:rPr>
                <w:noProof/>
                <w:webHidden/>
              </w:rPr>
              <w:instrText xml:space="preserve"> PAGEREF _Toc402425301 \h </w:instrText>
            </w:r>
            <w:r>
              <w:rPr>
                <w:noProof/>
                <w:webHidden/>
              </w:rPr>
            </w:r>
            <w:r>
              <w:rPr>
                <w:noProof/>
                <w:webHidden/>
              </w:rPr>
              <w:fldChar w:fldCharType="separate"/>
            </w:r>
            <w:r w:rsidR="00906141">
              <w:rPr>
                <w:noProof/>
                <w:webHidden/>
              </w:rPr>
              <w:t>25</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2" w:history="1">
            <w:r w:rsidR="00F12A19" w:rsidRPr="00EF628A">
              <w:rPr>
                <w:rStyle w:val="Hyperlink"/>
                <w:noProof/>
              </w:rPr>
              <w:t>4.7</w:t>
            </w:r>
            <w:r w:rsidR="00F12A19">
              <w:rPr>
                <w:rFonts w:asciiTheme="minorHAnsi" w:hAnsiTheme="minorHAnsi"/>
                <w:noProof/>
                <w:sz w:val="22"/>
                <w:lang w:val="en-AU" w:eastAsia="en-AU"/>
              </w:rPr>
              <w:tab/>
            </w:r>
            <w:r w:rsidR="00F12A19" w:rsidRPr="00EF628A">
              <w:rPr>
                <w:rStyle w:val="Hyperlink"/>
                <w:noProof/>
              </w:rPr>
              <w:t>Anisotropic nature of coal</w:t>
            </w:r>
            <w:r w:rsidR="00F12A19">
              <w:rPr>
                <w:noProof/>
                <w:webHidden/>
              </w:rPr>
              <w:tab/>
            </w:r>
            <w:r>
              <w:rPr>
                <w:noProof/>
                <w:webHidden/>
              </w:rPr>
              <w:fldChar w:fldCharType="begin"/>
            </w:r>
            <w:r w:rsidR="00F12A19">
              <w:rPr>
                <w:noProof/>
                <w:webHidden/>
              </w:rPr>
              <w:instrText xml:space="preserve"> PAGEREF _Toc402425302 \h </w:instrText>
            </w:r>
            <w:r>
              <w:rPr>
                <w:noProof/>
                <w:webHidden/>
              </w:rPr>
            </w:r>
            <w:r>
              <w:rPr>
                <w:noProof/>
                <w:webHidden/>
              </w:rPr>
              <w:fldChar w:fldCharType="separate"/>
            </w:r>
            <w:r w:rsidR="00906141">
              <w:rPr>
                <w:noProof/>
                <w:webHidden/>
              </w:rPr>
              <w:t>25</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03" w:history="1">
            <w:r w:rsidR="00F12A19" w:rsidRPr="00EF628A">
              <w:rPr>
                <w:rStyle w:val="Hyperlink"/>
                <w:noProof/>
              </w:rPr>
              <w:t>5</w:t>
            </w:r>
            <w:r w:rsidR="00F12A19">
              <w:rPr>
                <w:rFonts w:asciiTheme="minorHAnsi" w:hAnsiTheme="minorHAnsi"/>
                <w:noProof/>
                <w:sz w:val="22"/>
                <w:lang w:val="en-AU" w:eastAsia="en-AU"/>
              </w:rPr>
              <w:tab/>
            </w:r>
            <w:r w:rsidR="00F12A19" w:rsidRPr="00EF628A">
              <w:rPr>
                <w:rStyle w:val="Hyperlink"/>
                <w:noProof/>
              </w:rPr>
              <w:t>Development of subsidence</w:t>
            </w:r>
            <w:r w:rsidR="00F12A19">
              <w:rPr>
                <w:noProof/>
                <w:webHidden/>
              </w:rPr>
              <w:tab/>
            </w:r>
            <w:r>
              <w:rPr>
                <w:noProof/>
                <w:webHidden/>
              </w:rPr>
              <w:fldChar w:fldCharType="begin"/>
            </w:r>
            <w:r w:rsidR="00F12A19">
              <w:rPr>
                <w:noProof/>
                <w:webHidden/>
              </w:rPr>
              <w:instrText xml:space="preserve"> PAGEREF _Toc402425303 \h </w:instrText>
            </w:r>
            <w:r>
              <w:rPr>
                <w:noProof/>
                <w:webHidden/>
              </w:rPr>
            </w:r>
            <w:r>
              <w:rPr>
                <w:noProof/>
                <w:webHidden/>
              </w:rPr>
              <w:fldChar w:fldCharType="separate"/>
            </w:r>
            <w:r w:rsidR="00906141">
              <w:rPr>
                <w:noProof/>
                <w:webHidden/>
              </w:rPr>
              <w:t>27</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4" w:history="1">
            <w:r w:rsidR="00F12A19" w:rsidRPr="00EF628A">
              <w:rPr>
                <w:rStyle w:val="Hyperlink"/>
                <w:noProof/>
              </w:rPr>
              <w:t>5.1</w:t>
            </w:r>
            <w:r w:rsidR="00F12A19">
              <w:rPr>
                <w:rFonts w:asciiTheme="minorHAnsi" w:hAnsiTheme="minorHAnsi"/>
                <w:noProof/>
                <w:sz w:val="22"/>
                <w:lang w:val="en-AU" w:eastAsia="en-AU"/>
              </w:rPr>
              <w:tab/>
            </w:r>
            <w:r w:rsidR="00F12A19" w:rsidRPr="00EF628A">
              <w:rPr>
                <w:rStyle w:val="Hyperlink"/>
                <w:noProof/>
              </w:rPr>
              <w:t>Mechanism</w:t>
            </w:r>
            <w:r w:rsidR="00F12A19">
              <w:rPr>
                <w:noProof/>
                <w:webHidden/>
              </w:rPr>
              <w:tab/>
            </w:r>
            <w:r>
              <w:rPr>
                <w:noProof/>
                <w:webHidden/>
              </w:rPr>
              <w:fldChar w:fldCharType="begin"/>
            </w:r>
            <w:r w:rsidR="00F12A19">
              <w:rPr>
                <w:noProof/>
                <w:webHidden/>
              </w:rPr>
              <w:instrText xml:space="preserve"> PAGEREF _Toc402425304 \h </w:instrText>
            </w:r>
            <w:r>
              <w:rPr>
                <w:noProof/>
                <w:webHidden/>
              </w:rPr>
            </w:r>
            <w:r>
              <w:rPr>
                <w:noProof/>
                <w:webHidden/>
              </w:rPr>
              <w:fldChar w:fldCharType="separate"/>
            </w:r>
            <w:r w:rsidR="00906141">
              <w:rPr>
                <w:noProof/>
                <w:webHidden/>
              </w:rPr>
              <w:t>27</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5" w:history="1">
            <w:r w:rsidR="00F12A19" w:rsidRPr="00EF628A">
              <w:rPr>
                <w:rStyle w:val="Hyperlink"/>
                <w:noProof/>
              </w:rPr>
              <w:t>5.2</w:t>
            </w:r>
            <w:r w:rsidR="00F12A19">
              <w:rPr>
                <w:rFonts w:asciiTheme="minorHAnsi" w:hAnsiTheme="minorHAnsi"/>
                <w:noProof/>
                <w:sz w:val="22"/>
                <w:lang w:val="en-AU" w:eastAsia="en-AU"/>
              </w:rPr>
              <w:tab/>
            </w:r>
            <w:r w:rsidR="00F12A19" w:rsidRPr="00EF628A">
              <w:rPr>
                <w:rStyle w:val="Hyperlink"/>
                <w:noProof/>
              </w:rPr>
              <w:t>Compaction of the target coal seam</w:t>
            </w:r>
            <w:r w:rsidR="00F12A19">
              <w:rPr>
                <w:noProof/>
                <w:webHidden/>
              </w:rPr>
              <w:tab/>
            </w:r>
            <w:r>
              <w:rPr>
                <w:noProof/>
                <w:webHidden/>
              </w:rPr>
              <w:fldChar w:fldCharType="begin"/>
            </w:r>
            <w:r w:rsidR="00F12A19">
              <w:rPr>
                <w:noProof/>
                <w:webHidden/>
              </w:rPr>
              <w:instrText xml:space="preserve"> PAGEREF _Toc402425305 \h </w:instrText>
            </w:r>
            <w:r>
              <w:rPr>
                <w:noProof/>
                <w:webHidden/>
              </w:rPr>
            </w:r>
            <w:r>
              <w:rPr>
                <w:noProof/>
                <w:webHidden/>
              </w:rPr>
              <w:fldChar w:fldCharType="separate"/>
            </w:r>
            <w:r w:rsidR="00906141">
              <w:rPr>
                <w:noProof/>
                <w:webHidden/>
              </w:rPr>
              <w:t>27</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6" w:history="1">
            <w:r w:rsidR="00F12A19" w:rsidRPr="00EF628A">
              <w:rPr>
                <w:rStyle w:val="Hyperlink"/>
                <w:noProof/>
              </w:rPr>
              <w:t>5.3</w:t>
            </w:r>
            <w:r w:rsidR="00F12A19">
              <w:rPr>
                <w:rFonts w:asciiTheme="minorHAnsi" w:hAnsiTheme="minorHAnsi"/>
                <w:noProof/>
                <w:sz w:val="22"/>
                <w:lang w:val="en-AU" w:eastAsia="en-AU"/>
              </w:rPr>
              <w:tab/>
            </w:r>
            <w:r w:rsidR="00F12A19" w:rsidRPr="00EF628A">
              <w:rPr>
                <w:rStyle w:val="Hyperlink"/>
                <w:noProof/>
              </w:rPr>
              <w:t>Drawdown zone of influence</w:t>
            </w:r>
            <w:r w:rsidR="00F12A19">
              <w:rPr>
                <w:noProof/>
                <w:webHidden/>
              </w:rPr>
              <w:tab/>
            </w:r>
            <w:r>
              <w:rPr>
                <w:noProof/>
                <w:webHidden/>
              </w:rPr>
              <w:fldChar w:fldCharType="begin"/>
            </w:r>
            <w:r w:rsidR="00F12A19">
              <w:rPr>
                <w:noProof/>
                <w:webHidden/>
              </w:rPr>
              <w:instrText xml:space="preserve"> PAGEREF _Toc402425306 \h </w:instrText>
            </w:r>
            <w:r>
              <w:rPr>
                <w:noProof/>
                <w:webHidden/>
              </w:rPr>
            </w:r>
            <w:r>
              <w:rPr>
                <w:noProof/>
                <w:webHidden/>
              </w:rPr>
              <w:fldChar w:fldCharType="separate"/>
            </w:r>
            <w:r w:rsidR="00906141">
              <w:rPr>
                <w:noProof/>
                <w:webHidden/>
              </w:rPr>
              <w:t>28</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07" w:history="1">
            <w:r w:rsidR="00F12A19" w:rsidRPr="00EF628A">
              <w:rPr>
                <w:rStyle w:val="Hyperlink"/>
                <w:noProof/>
              </w:rPr>
              <w:t>6</w:t>
            </w:r>
            <w:r w:rsidR="00F12A19">
              <w:rPr>
                <w:rFonts w:asciiTheme="minorHAnsi" w:hAnsiTheme="minorHAnsi"/>
                <w:noProof/>
                <w:sz w:val="22"/>
                <w:lang w:val="en-AU" w:eastAsia="en-AU"/>
              </w:rPr>
              <w:tab/>
            </w:r>
            <w:r w:rsidR="00F12A19" w:rsidRPr="00EF628A">
              <w:rPr>
                <w:rStyle w:val="Hyperlink"/>
                <w:noProof/>
              </w:rPr>
              <w:t>Subsidence - international experience</w:t>
            </w:r>
            <w:r w:rsidR="00F12A19">
              <w:rPr>
                <w:noProof/>
                <w:webHidden/>
              </w:rPr>
              <w:tab/>
            </w:r>
            <w:r>
              <w:rPr>
                <w:noProof/>
                <w:webHidden/>
              </w:rPr>
              <w:fldChar w:fldCharType="begin"/>
            </w:r>
            <w:r w:rsidR="00F12A19">
              <w:rPr>
                <w:noProof/>
                <w:webHidden/>
              </w:rPr>
              <w:instrText xml:space="preserve"> PAGEREF _Toc402425307 \h </w:instrText>
            </w:r>
            <w:r>
              <w:rPr>
                <w:noProof/>
                <w:webHidden/>
              </w:rPr>
            </w:r>
            <w:r>
              <w:rPr>
                <w:noProof/>
                <w:webHidden/>
              </w:rPr>
              <w:fldChar w:fldCharType="separate"/>
            </w:r>
            <w:r w:rsidR="00906141">
              <w:rPr>
                <w:noProof/>
                <w:webHidden/>
              </w:rPr>
              <w:t>29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8" w:history="1">
            <w:r w:rsidR="00F12A19" w:rsidRPr="00EF628A">
              <w:rPr>
                <w:rStyle w:val="Hyperlink"/>
                <w:noProof/>
              </w:rPr>
              <w:t>6.1</w:t>
            </w:r>
            <w:r w:rsidR="00F12A19">
              <w:rPr>
                <w:rFonts w:asciiTheme="minorHAnsi" w:hAnsiTheme="minorHAnsi"/>
                <w:noProof/>
                <w:sz w:val="22"/>
                <w:lang w:val="en-AU" w:eastAsia="en-AU"/>
              </w:rPr>
              <w:tab/>
            </w:r>
            <w:r w:rsidR="00F12A19" w:rsidRPr="00EF628A">
              <w:rPr>
                <w:rStyle w:val="Hyperlink"/>
                <w:noProof/>
              </w:rPr>
              <w:t>Subsidence and groundwater extraction</w:t>
            </w:r>
            <w:r w:rsidR="00F12A19">
              <w:rPr>
                <w:noProof/>
                <w:webHidden/>
              </w:rPr>
              <w:tab/>
            </w:r>
            <w:r>
              <w:rPr>
                <w:noProof/>
                <w:webHidden/>
              </w:rPr>
              <w:fldChar w:fldCharType="begin"/>
            </w:r>
            <w:r w:rsidR="00F12A19">
              <w:rPr>
                <w:noProof/>
                <w:webHidden/>
              </w:rPr>
              <w:instrText xml:space="preserve"> PAGEREF _Toc402425308 \h </w:instrText>
            </w:r>
            <w:r>
              <w:rPr>
                <w:noProof/>
                <w:webHidden/>
              </w:rPr>
            </w:r>
            <w:r>
              <w:rPr>
                <w:noProof/>
                <w:webHidden/>
              </w:rPr>
              <w:fldChar w:fldCharType="separate"/>
            </w:r>
            <w:r w:rsidR="00906141">
              <w:rPr>
                <w:noProof/>
                <w:webHidden/>
              </w:rPr>
              <w:t>29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09" w:history="1">
            <w:r w:rsidR="00F12A19" w:rsidRPr="00EF628A">
              <w:rPr>
                <w:rStyle w:val="Hyperlink"/>
                <w:noProof/>
              </w:rPr>
              <w:t>6.2</w:t>
            </w:r>
            <w:r w:rsidR="00F12A19">
              <w:rPr>
                <w:rFonts w:asciiTheme="minorHAnsi" w:hAnsiTheme="minorHAnsi"/>
                <w:noProof/>
                <w:sz w:val="22"/>
                <w:lang w:val="en-AU" w:eastAsia="en-AU"/>
              </w:rPr>
              <w:tab/>
            </w:r>
            <w:r w:rsidR="00F12A19" w:rsidRPr="00EF628A">
              <w:rPr>
                <w:rStyle w:val="Hyperlink"/>
                <w:noProof/>
              </w:rPr>
              <w:t>Subsidence case histories</w:t>
            </w:r>
            <w:r w:rsidR="00F12A19">
              <w:rPr>
                <w:noProof/>
                <w:webHidden/>
              </w:rPr>
              <w:tab/>
            </w:r>
            <w:r>
              <w:rPr>
                <w:noProof/>
                <w:webHidden/>
              </w:rPr>
              <w:fldChar w:fldCharType="begin"/>
            </w:r>
            <w:r w:rsidR="00F12A19">
              <w:rPr>
                <w:noProof/>
                <w:webHidden/>
              </w:rPr>
              <w:instrText xml:space="preserve"> PAGEREF _Toc402425309 \h </w:instrText>
            </w:r>
            <w:r>
              <w:rPr>
                <w:noProof/>
                <w:webHidden/>
              </w:rPr>
            </w:r>
            <w:r>
              <w:rPr>
                <w:noProof/>
                <w:webHidden/>
              </w:rPr>
              <w:fldChar w:fldCharType="separate"/>
            </w:r>
            <w:r w:rsidR="00906141">
              <w:rPr>
                <w:noProof/>
                <w:webHidden/>
              </w:rPr>
              <w:t>29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0" w:history="1">
            <w:r w:rsidR="00F12A19" w:rsidRPr="00EF628A">
              <w:rPr>
                <w:rStyle w:val="Hyperlink"/>
                <w:noProof/>
              </w:rPr>
              <w:t>6.3</w:t>
            </w:r>
            <w:r w:rsidR="00F12A19">
              <w:rPr>
                <w:rFonts w:asciiTheme="minorHAnsi" w:hAnsiTheme="minorHAnsi"/>
                <w:noProof/>
                <w:sz w:val="22"/>
                <w:lang w:val="en-AU" w:eastAsia="en-AU"/>
              </w:rPr>
              <w:tab/>
            </w:r>
            <w:r w:rsidR="00F12A19" w:rsidRPr="00EF628A">
              <w:rPr>
                <w:rStyle w:val="Hyperlink"/>
                <w:noProof/>
              </w:rPr>
              <w:t>Subsidence and agriculture</w:t>
            </w:r>
            <w:r w:rsidR="00F12A19">
              <w:rPr>
                <w:noProof/>
                <w:webHidden/>
              </w:rPr>
              <w:tab/>
            </w:r>
            <w:r>
              <w:rPr>
                <w:noProof/>
                <w:webHidden/>
              </w:rPr>
              <w:fldChar w:fldCharType="begin"/>
            </w:r>
            <w:r w:rsidR="00F12A19">
              <w:rPr>
                <w:noProof/>
                <w:webHidden/>
              </w:rPr>
              <w:instrText xml:space="preserve"> PAGEREF _Toc402425310 \h </w:instrText>
            </w:r>
            <w:r>
              <w:rPr>
                <w:noProof/>
                <w:webHidden/>
              </w:rPr>
            </w:r>
            <w:r>
              <w:rPr>
                <w:noProof/>
                <w:webHidden/>
              </w:rPr>
              <w:fldChar w:fldCharType="separate"/>
            </w:r>
            <w:r w:rsidR="00906141">
              <w:rPr>
                <w:noProof/>
                <w:webHidden/>
              </w:rPr>
              <w:t>31</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1" w:history="1">
            <w:r w:rsidR="00F12A19" w:rsidRPr="00EF628A">
              <w:rPr>
                <w:rStyle w:val="Hyperlink"/>
                <w:noProof/>
              </w:rPr>
              <w:t>6.4</w:t>
            </w:r>
            <w:r w:rsidR="00F12A19">
              <w:rPr>
                <w:rFonts w:asciiTheme="minorHAnsi" w:hAnsiTheme="minorHAnsi"/>
                <w:noProof/>
                <w:sz w:val="22"/>
                <w:lang w:val="en-AU" w:eastAsia="en-AU"/>
              </w:rPr>
              <w:tab/>
            </w:r>
            <w:r w:rsidR="00F12A19" w:rsidRPr="00EF628A">
              <w:rPr>
                <w:rStyle w:val="Hyperlink"/>
                <w:noProof/>
              </w:rPr>
              <w:t>Subsidence and mining</w:t>
            </w:r>
            <w:r w:rsidR="00F12A19">
              <w:rPr>
                <w:noProof/>
                <w:webHidden/>
              </w:rPr>
              <w:tab/>
            </w:r>
            <w:r>
              <w:rPr>
                <w:noProof/>
                <w:webHidden/>
              </w:rPr>
              <w:fldChar w:fldCharType="begin"/>
            </w:r>
            <w:r w:rsidR="00F12A19">
              <w:rPr>
                <w:noProof/>
                <w:webHidden/>
              </w:rPr>
              <w:instrText xml:space="preserve"> PAGEREF _Toc402425311 \h </w:instrText>
            </w:r>
            <w:r>
              <w:rPr>
                <w:noProof/>
                <w:webHidden/>
              </w:rPr>
            </w:r>
            <w:r>
              <w:rPr>
                <w:noProof/>
                <w:webHidden/>
              </w:rPr>
              <w:fldChar w:fldCharType="separate"/>
            </w:r>
            <w:r w:rsidR="00906141">
              <w:rPr>
                <w:noProof/>
                <w:webHidden/>
              </w:rPr>
              <w:t>33</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2" w:history="1">
            <w:r w:rsidR="00F12A19" w:rsidRPr="00EF628A">
              <w:rPr>
                <w:rStyle w:val="Hyperlink"/>
                <w:noProof/>
              </w:rPr>
              <w:t>6.5</w:t>
            </w:r>
            <w:r w:rsidR="00F12A19">
              <w:rPr>
                <w:rFonts w:asciiTheme="minorHAnsi" w:hAnsiTheme="minorHAnsi"/>
                <w:noProof/>
                <w:sz w:val="22"/>
                <w:lang w:val="en-AU" w:eastAsia="en-AU"/>
              </w:rPr>
              <w:tab/>
            </w:r>
            <w:r w:rsidR="00F12A19" w:rsidRPr="00EF628A">
              <w:rPr>
                <w:rStyle w:val="Hyperlink"/>
                <w:noProof/>
              </w:rPr>
              <w:t>Subsidence and oil and conventional gas extraction</w:t>
            </w:r>
            <w:r w:rsidR="00F12A19">
              <w:rPr>
                <w:noProof/>
                <w:webHidden/>
              </w:rPr>
              <w:tab/>
            </w:r>
            <w:r>
              <w:rPr>
                <w:noProof/>
                <w:webHidden/>
              </w:rPr>
              <w:fldChar w:fldCharType="begin"/>
            </w:r>
            <w:r w:rsidR="00F12A19">
              <w:rPr>
                <w:noProof/>
                <w:webHidden/>
              </w:rPr>
              <w:instrText xml:space="preserve"> PAGEREF _Toc402425312 \h </w:instrText>
            </w:r>
            <w:r>
              <w:rPr>
                <w:noProof/>
                <w:webHidden/>
              </w:rPr>
            </w:r>
            <w:r>
              <w:rPr>
                <w:noProof/>
                <w:webHidden/>
              </w:rPr>
              <w:fldChar w:fldCharType="separate"/>
            </w:r>
            <w:r w:rsidR="00906141">
              <w:rPr>
                <w:noProof/>
                <w:webHidden/>
              </w:rPr>
              <w:t>34</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3" w:history="1">
            <w:r w:rsidR="00F12A19" w:rsidRPr="00EF628A">
              <w:rPr>
                <w:rStyle w:val="Hyperlink"/>
                <w:noProof/>
              </w:rPr>
              <w:t>6.6</w:t>
            </w:r>
            <w:r w:rsidR="00F12A19">
              <w:rPr>
                <w:rFonts w:asciiTheme="minorHAnsi" w:hAnsiTheme="minorHAnsi"/>
                <w:noProof/>
                <w:sz w:val="22"/>
                <w:lang w:val="en-AU" w:eastAsia="en-AU"/>
              </w:rPr>
              <w:tab/>
            </w:r>
            <w:r w:rsidR="00F12A19" w:rsidRPr="00EF628A">
              <w:rPr>
                <w:rStyle w:val="Hyperlink"/>
                <w:noProof/>
              </w:rPr>
              <w:t>Subsidence and coal seam gas extraction</w:t>
            </w:r>
            <w:r w:rsidR="00F12A19">
              <w:rPr>
                <w:noProof/>
                <w:webHidden/>
              </w:rPr>
              <w:tab/>
            </w:r>
            <w:r>
              <w:rPr>
                <w:noProof/>
                <w:webHidden/>
              </w:rPr>
              <w:fldChar w:fldCharType="begin"/>
            </w:r>
            <w:r w:rsidR="00F12A19">
              <w:rPr>
                <w:noProof/>
                <w:webHidden/>
              </w:rPr>
              <w:instrText xml:space="preserve"> PAGEREF _Toc402425313 \h </w:instrText>
            </w:r>
            <w:r>
              <w:rPr>
                <w:noProof/>
                <w:webHidden/>
              </w:rPr>
            </w:r>
            <w:r>
              <w:rPr>
                <w:noProof/>
                <w:webHidden/>
              </w:rPr>
              <w:fldChar w:fldCharType="separate"/>
            </w:r>
            <w:r w:rsidR="00906141">
              <w:rPr>
                <w:noProof/>
                <w:webHidden/>
              </w:rPr>
              <w:t>36</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14" w:history="1">
            <w:r w:rsidR="00F12A19" w:rsidRPr="00EF628A">
              <w:rPr>
                <w:rStyle w:val="Hyperlink"/>
                <w:noProof/>
              </w:rPr>
              <w:t>7</w:t>
            </w:r>
            <w:r w:rsidR="00F12A19">
              <w:rPr>
                <w:rFonts w:asciiTheme="minorHAnsi" w:hAnsiTheme="minorHAnsi"/>
                <w:noProof/>
                <w:sz w:val="22"/>
                <w:lang w:val="en-AU" w:eastAsia="en-AU"/>
              </w:rPr>
              <w:tab/>
            </w:r>
            <w:r w:rsidR="00F12A19" w:rsidRPr="00EF628A">
              <w:rPr>
                <w:rStyle w:val="Hyperlink"/>
                <w:noProof/>
              </w:rPr>
              <w:t>Subsidence - predictions and experience relating to Australian coal seam gas projects</w:t>
            </w:r>
            <w:r w:rsidR="00F12A19">
              <w:rPr>
                <w:noProof/>
                <w:webHidden/>
              </w:rPr>
              <w:tab/>
            </w:r>
            <w:r>
              <w:rPr>
                <w:noProof/>
                <w:webHidden/>
              </w:rPr>
              <w:fldChar w:fldCharType="begin"/>
            </w:r>
            <w:r w:rsidR="00F12A19">
              <w:rPr>
                <w:noProof/>
                <w:webHidden/>
              </w:rPr>
              <w:instrText xml:space="preserve"> PAGEREF _Toc402425314 \h </w:instrText>
            </w:r>
            <w:r>
              <w:rPr>
                <w:noProof/>
                <w:webHidden/>
              </w:rPr>
            </w:r>
            <w:r>
              <w:rPr>
                <w:noProof/>
                <w:webHidden/>
              </w:rPr>
              <w:fldChar w:fldCharType="separate"/>
            </w:r>
            <w:r w:rsidR="00906141">
              <w:rPr>
                <w:noProof/>
                <w:webHidden/>
              </w:rPr>
              <w:t>38</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5" w:history="1">
            <w:r w:rsidR="00F12A19" w:rsidRPr="00EF628A">
              <w:rPr>
                <w:rStyle w:val="Hyperlink"/>
                <w:noProof/>
              </w:rPr>
              <w:t>7.1</w:t>
            </w:r>
            <w:r w:rsidR="00F12A19">
              <w:rPr>
                <w:rFonts w:asciiTheme="minorHAnsi" w:hAnsiTheme="minorHAnsi"/>
                <w:noProof/>
                <w:sz w:val="22"/>
                <w:lang w:val="en-AU" w:eastAsia="en-AU"/>
              </w:rPr>
              <w:tab/>
            </w:r>
            <w:r w:rsidR="00F12A19" w:rsidRPr="00EF628A">
              <w:rPr>
                <w:rStyle w:val="Hyperlink"/>
                <w:noProof/>
              </w:rPr>
              <w:t>Impact assessment study observations</w:t>
            </w:r>
            <w:r w:rsidR="00F12A19">
              <w:rPr>
                <w:noProof/>
                <w:webHidden/>
              </w:rPr>
              <w:tab/>
            </w:r>
            <w:r>
              <w:rPr>
                <w:noProof/>
                <w:webHidden/>
              </w:rPr>
              <w:fldChar w:fldCharType="begin"/>
            </w:r>
            <w:r w:rsidR="00F12A19">
              <w:rPr>
                <w:noProof/>
                <w:webHidden/>
              </w:rPr>
              <w:instrText xml:space="preserve"> PAGEREF _Toc402425315 \h </w:instrText>
            </w:r>
            <w:r>
              <w:rPr>
                <w:noProof/>
                <w:webHidden/>
              </w:rPr>
            </w:r>
            <w:r>
              <w:rPr>
                <w:noProof/>
                <w:webHidden/>
              </w:rPr>
              <w:fldChar w:fldCharType="separate"/>
            </w:r>
            <w:r w:rsidR="00906141">
              <w:rPr>
                <w:noProof/>
                <w:webHidden/>
              </w:rPr>
              <w:t>39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6" w:history="1">
            <w:r w:rsidR="00F12A19" w:rsidRPr="00EF628A">
              <w:rPr>
                <w:rStyle w:val="Hyperlink"/>
                <w:noProof/>
              </w:rPr>
              <w:t>7.2</w:t>
            </w:r>
            <w:r w:rsidR="00F12A19">
              <w:rPr>
                <w:rFonts w:asciiTheme="minorHAnsi" w:hAnsiTheme="minorHAnsi"/>
                <w:noProof/>
                <w:sz w:val="22"/>
                <w:lang w:val="en-AU" w:eastAsia="en-AU"/>
              </w:rPr>
              <w:tab/>
            </w:r>
            <w:r w:rsidR="00F12A19" w:rsidRPr="00EF628A">
              <w:rPr>
                <w:rStyle w:val="Hyperlink"/>
                <w:noProof/>
              </w:rPr>
              <w:t>Impact assessment predictions of subsidence</w:t>
            </w:r>
            <w:r w:rsidR="00F12A19">
              <w:rPr>
                <w:noProof/>
                <w:webHidden/>
              </w:rPr>
              <w:tab/>
            </w:r>
            <w:r>
              <w:rPr>
                <w:noProof/>
                <w:webHidden/>
              </w:rPr>
              <w:fldChar w:fldCharType="begin"/>
            </w:r>
            <w:r w:rsidR="00F12A19">
              <w:rPr>
                <w:noProof/>
                <w:webHidden/>
              </w:rPr>
              <w:instrText xml:space="preserve"> PAGEREF _Toc402425316 \h </w:instrText>
            </w:r>
            <w:r>
              <w:rPr>
                <w:noProof/>
                <w:webHidden/>
              </w:rPr>
            </w:r>
            <w:r>
              <w:rPr>
                <w:noProof/>
                <w:webHidden/>
              </w:rPr>
              <w:fldChar w:fldCharType="separate"/>
            </w:r>
            <w:r w:rsidR="00906141">
              <w:rPr>
                <w:noProof/>
                <w:webHidden/>
              </w:rPr>
              <w:t>40</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7" w:history="1">
            <w:r w:rsidR="00F12A19" w:rsidRPr="00EF628A">
              <w:rPr>
                <w:rStyle w:val="Hyperlink"/>
                <w:noProof/>
              </w:rPr>
              <w:t>7.3</w:t>
            </w:r>
            <w:r w:rsidR="00F12A19">
              <w:rPr>
                <w:rFonts w:asciiTheme="minorHAnsi" w:hAnsiTheme="minorHAnsi"/>
                <w:noProof/>
                <w:sz w:val="22"/>
                <w:lang w:val="en-AU" w:eastAsia="en-AU"/>
              </w:rPr>
              <w:tab/>
            </w:r>
            <w:r w:rsidR="00F12A19" w:rsidRPr="00EF628A">
              <w:rPr>
                <w:rStyle w:val="Hyperlink"/>
                <w:noProof/>
              </w:rPr>
              <w:t>Impact assessment monitoring recommendations</w:t>
            </w:r>
            <w:r w:rsidR="00F12A19">
              <w:rPr>
                <w:noProof/>
                <w:webHidden/>
              </w:rPr>
              <w:tab/>
            </w:r>
            <w:r>
              <w:rPr>
                <w:noProof/>
                <w:webHidden/>
              </w:rPr>
              <w:fldChar w:fldCharType="begin"/>
            </w:r>
            <w:r w:rsidR="00F12A19">
              <w:rPr>
                <w:noProof/>
                <w:webHidden/>
              </w:rPr>
              <w:instrText xml:space="preserve"> PAGEREF _Toc402425317 \h </w:instrText>
            </w:r>
            <w:r>
              <w:rPr>
                <w:noProof/>
                <w:webHidden/>
              </w:rPr>
            </w:r>
            <w:r>
              <w:rPr>
                <w:noProof/>
                <w:webHidden/>
              </w:rPr>
              <w:fldChar w:fldCharType="separate"/>
            </w:r>
            <w:r w:rsidR="00906141">
              <w:rPr>
                <w:noProof/>
                <w:webHidden/>
              </w:rPr>
              <w:t>42</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18" w:history="1">
            <w:r w:rsidR="00F12A19" w:rsidRPr="00EF628A">
              <w:rPr>
                <w:rStyle w:val="Hyperlink"/>
                <w:noProof/>
              </w:rPr>
              <w:t>7.4</w:t>
            </w:r>
            <w:r w:rsidR="00F12A19">
              <w:rPr>
                <w:rFonts w:asciiTheme="minorHAnsi" w:hAnsiTheme="minorHAnsi"/>
                <w:noProof/>
                <w:sz w:val="22"/>
                <w:lang w:val="en-AU" w:eastAsia="en-AU"/>
              </w:rPr>
              <w:tab/>
            </w:r>
            <w:r w:rsidR="00F12A19" w:rsidRPr="00EF628A">
              <w:rPr>
                <w:rStyle w:val="Hyperlink"/>
                <w:noProof/>
              </w:rPr>
              <w:t>Summary of predicted subsidence impacts</w:t>
            </w:r>
            <w:r w:rsidR="00F12A19">
              <w:rPr>
                <w:noProof/>
                <w:webHidden/>
              </w:rPr>
              <w:tab/>
            </w:r>
            <w:r>
              <w:rPr>
                <w:noProof/>
                <w:webHidden/>
              </w:rPr>
              <w:fldChar w:fldCharType="begin"/>
            </w:r>
            <w:r w:rsidR="00F12A19">
              <w:rPr>
                <w:noProof/>
                <w:webHidden/>
              </w:rPr>
              <w:instrText xml:space="preserve"> PAGEREF _Toc402425318 \h </w:instrText>
            </w:r>
            <w:r>
              <w:rPr>
                <w:noProof/>
                <w:webHidden/>
              </w:rPr>
            </w:r>
            <w:r>
              <w:rPr>
                <w:noProof/>
                <w:webHidden/>
              </w:rPr>
              <w:fldChar w:fldCharType="separate"/>
            </w:r>
            <w:r w:rsidR="00906141">
              <w:rPr>
                <w:noProof/>
                <w:webHidden/>
              </w:rPr>
              <w:t>42</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19" w:history="1">
            <w:r w:rsidR="00F12A19" w:rsidRPr="00EF628A">
              <w:rPr>
                <w:rStyle w:val="Hyperlink"/>
                <w:noProof/>
              </w:rPr>
              <w:t>8</w:t>
            </w:r>
            <w:r w:rsidR="00F12A19">
              <w:rPr>
                <w:rFonts w:asciiTheme="minorHAnsi" w:hAnsiTheme="minorHAnsi"/>
                <w:noProof/>
                <w:sz w:val="22"/>
                <w:lang w:val="en-AU" w:eastAsia="en-AU"/>
              </w:rPr>
              <w:tab/>
            </w:r>
            <w:r w:rsidR="00F12A19" w:rsidRPr="00EF628A">
              <w:rPr>
                <w:rStyle w:val="Hyperlink"/>
                <w:noProof/>
              </w:rPr>
              <w:t>Potential impacts of subsidence</w:t>
            </w:r>
            <w:r w:rsidR="00F12A19">
              <w:rPr>
                <w:noProof/>
                <w:webHidden/>
              </w:rPr>
              <w:tab/>
            </w:r>
            <w:r>
              <w:rPr>
                <w:noProof/>
                <w:webHidden/>
              </w:rPr>
              <w:fldChar w:fldCharType="begin"/>
            </w:r>
            <w:r w:rsidR="00F12A19">
              <w:rPr>
                <w:noProof/>
                <w:webHidden/>
              </w:rPr>
              <w:instrText xml:space="preserve"> PAGEREF _Toc402425319 \h </w:instrText>
            </w:r>
            <w:r>
              <w:rPr>
                <w:noProof/>
                <w:webHidden/>
              </w:rPr>
            </w:r>
            <w:r>
              <w:rPr>
                <w:noProof/>
                <w:webHidden/>
              </w:rPr>
              <w:fldChar w:fldCharType="separate"/>
            </w:r>
            <w:r w:rsidR="00906141">
              <w:rPr>
                <w:noProof/>
                <w:webHidden/>
              </w:rPr>
              <w:t>45</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0" w:history="1">
            <w:r w:rsidR="00F12A19" w:rsidRPr="00EF628A">
              <w:rPr>
                <w:rStyle w:val="Hyperlink"/>
                <w:noProof/>
              </w:rPr>
              <w:t>8.1</w:t>
            </w:r>
            <w:r w:rsidR="00F12A19">
              <w:rPr>
                <w:rFonts w:asciiTheme="minorHAnsi" w:hAnsiTheme="minorHAnsi"/>
                <w:noProof/>
                <w:sz w:val="22"/>
                <w:lang w:val="en-AU" w:eastAsia="en-AU"/>
              </w:rPr>
              <w:tab/>
            </w:r>
            <w:r w:rsidR="00F12A19" w:rsidRPr="00EF628A">
              <w:rPr>
                <w:rStyle w:val="Hyperlink"/>
                <w:noProof/>
              </w:rPr>
              <w:t>Impacts on water resources</w:t>
            </w:r>
            <w:r w:rsidR="00F12A19">
              <w:rPr>
                <w:noProof/>
                <w:webHidden/>
              </w:rPr>
              <w:tab/>
            </w:r>
            <w:r>
              <w:rPr>
                <w:noProof/>
                <w:webHidden/>
              </w:rPr>
              <w:fldChar w:fldCharType="begin"/>
            </w:r>
            <w:r w:rsidR="00F12A19">
              <w:rPr>
                <w:noProof/>
                <w:webHidden/>
              </w:rPr>
              <w:instrText xml:space="preserve"> PAGEREF _Toc402425320 \h </w:instrText>
            </w:r>
            <w:r>
              <w:rPr>
                <w:noProof/>
                <w:webHidden/>
              </w:rPr>
            </w:r>
            <w:r>
              <w:rPr>
                <w:noProof/>
                <w:webHidden/>
              </w:rPr>
              <w:fldChar w:fldCharType="separate"/>
            </w:r>
            <w:r w:rsidR="00906141">
              <w:rPr>
                <w:noProof/>
                <w:webHidden/>
              </w:rPr>
              <w:t>45</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1" w:history="1">
            <w:r w:rsidR="00F12A19" w:rsidRPr="00EF628A">
              <w:rPr>
                <w:rStyle w:val="Hyperlink"/>
                <w:noProof/>
              </w:rPr>
              <w:t>8.2</w:t>
            </w:r>
            <w:r w:rsidR="00F12A19">
              <w:rPr>
                <w:rFonts w:asciiTheme="minorHAnsi" w:hAnsiTheme="minorHAnsi"/>
                <w:noProof/>
                <w:sz w:val="22"/>
                <w:lang w:val="en-AU" w:eastAsia="en-AU"/>
              </w:rPr>
              <w:tab/>
            </w:r>
            <w:r w:rsidR="00F12A19" w:rsidRPr="00EF628A">
              <w:rPr>
                <w:rStyle w:val="Hyperlink"/>
                <w:noProof/>
              </w:rPr>
              <w:t>Impacts on rivers and flooding</w:t>
            </w:r>
            <w:r w:rsidR="00F12A19">
              <w:rPr>
                <w:noProof/>
                <w:webHidden/>
              </w:rPr>
              <w:tab/>
            </w:r>
            <w:r>
              <w:rPr>
                <w:noProof/>
                <w:webHidden/>
              </w:rPr>
              <w:fldChar w:fldCharType="begin"/>
            </w:r>
            <w:r w:rsidR="00F12A19">
              <w:rPr>
                <w:noProof/>
                <w:webHidden/>
              </w:rPr>
              <w:instrText xml:space="preserve"> PAGEREF _Toc402425321 \h </w:instrText>
            </w:r>
            <w:r>
              <w:rPr>
                <w:noProof/>
                <w:webHidden/>
              </w:rPr>
            </w:r>
            <w:r>
              <w:rPr>
                <w:noProof/>
                <w:webHidden/>
              </w:rPr>
              <w:fldChar w:fldCharType="separate"/>
            </w:r>
            <w:r w:rsidR="00906141">
              <w:rPr>
                <w:noProof/>
                <w:webHidden/>
              </w:rPr>
              <w:t>46</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2" w:history="1">
            <w:r w:rsidR="00F12A19" w:rsidRPr="00EF628A">
              <w:rPr>
                <w:rStyle w:val="Hyperlink"/>
                <w:noProof/>
              </w:rPr>
              <w:t>8.3</w:t>
            </w:r>
            <w:r w:rsidR="00F12A19">
              <w:rPr>
                <w:rFonts w:asciiTheme="minorHAnsi" w:hAnsiTheme="minorHAnsi"/>
                <w:noProof/>
                <w:sz w:val="22"/>
                <w:lang w:val="en-AU" w:eastAsia="en-AU"/>
              </w:rPr>
              <w:tab/>
            </w:r>
            <w:r w:rsidR="00F12A19" w:rsidRPr="00EF628A">
              <w:rPr>
                <w:rStyle w:val="Hyperlink"/>
                <w:noProof/>
              </w:rPr>
              <w:t>Impacts on buildings and similar structures</w:t>
            </w:r>
            <w:r w:rsidR="00F12A19">
              <w:rPr>
                <w:noProof/>
                <w:webHidden/>
              </w:rPr>
              <w:tab/>
            </w:r>
            <w:r>
              <w:rPr>
                <w:noProof/>
                <w:webHidden/>
              </w:rPr>
              <w:fldChar w:fldCharType="begin"/>
            </w:r>
            <w:r w:rsidR="00F12A19">
              <w:rPr>
                <w:noProof/>
                <w:webHidden/>
              </w:rPr>
              <w:instrText xml:space="preserve"> PAGEREF _Toc402425322 \h </w:instrText>
            </w:r>
            <w:r>
              <w:rPr>
                <w:noProof/>
                <w:webHidden/>
              </w:rPr>
            </w:r>
            <w:r>
              <w:rPr>
                <w:noProof/>
                <w:webHidden/>
              </w:rPr>
              <w:fldChar w:fldCharType="separate"/>
            </w:r>
            <w:r w:rsidR="00906141">
              <w:rPr>
                <w:noProof/>
                <w:webHidden/>
              </w:rPr>
              <w:t>46</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3" w:history="1">
            <w:r w:rsidR="00F12A19" w:rsidRPr="00EF628A">
              <w:rPr>
                <w:rStyle w:val="Hyperlink"/>
                <w:noProof/>
              </w:rPr>
              <w:t>8.4</w:t>
            </w:r>
            <w:r w:rsidR="00F12A19">
              <w:rPr>
                <w:rFonts w:asciiTheme="minorHAnsi" w:hAnsiTheme="minorHAnsi"/>
                <w:noProof/>
                <w:sz w:val="22"/>
                <w:lang w:val="en-AU" w:eastAsia="en-AU"/>
              </w:rPr>
              <w:tab/>
            </w:r>
            <w:r w:rsidR="00F12A19" w:rsidRPr="00EF628A">
              <w:rPr>
                <w:rStyle w:val="Hyperlink"/>
                <w:noProof/>
              </w:rPr>
              <w:t>Impact on pipelines and utilities</w:t>
            </w:r>
            <w:r w:rsidR="00F12A19">
              <w:rPr>
                <w:noProof/>
                <w:webHidden/>
              </w:rPr>
              <w:tab/>
            </w:r>
            <w:r>
              <w:rPr>
                <w:noProof/>
                <w:webHidden/>
              </w:rPr>
              <w:fldChar w:fldCharType="begin"/>
            </w:r>
            <w:r w:rsidR="00F12A19">
              <w:rPr>
                <w:noProof/>
                <w:webHidden/>
              </w:rPr>
              <w:instrText xml:space="preserve"> PAGEREF _Toc402425323 \h </w:instrText>
            </w:r>
            <w:r>
              <w:rPr>
                <w:noProof/>
                <w:webHidden/>
              </w:rPr>
            </w:r>
            <w:r>
              <w:rPr>
                <w:noProof/>
                <w:webHidden/>
              </w:rPr>
              <w:fldChar w:fldCharType="separate"/>
            </w:r>
            <w:r w:rsidR="00906141">
              <w:rPr>
                <w:noProof/>
                <w:webHidden/>
              </w:rPr>
              <w:t>49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4" w:history="1">
            <w:r w:rsidR="00F12A19" w:rsidRPr="00EF628A">
              <w:rPr>
                <w:rStyle w:val="Hyperlink"/>
                <w:noProof/>
              </w:rPr>
              <w:t>8.5</w:t>
            </w:r>
            <w:r w:rsidR="00F12A19">
              <w:rPr>
                <w:rFonts w:asciiTheme="minorHAnsi" w:hAnsiTheme="minorHAnsi"/>
                <w:noProof/>
                <w:sz w:val="22"/>
                <w:lang w:val="en-AU" w:eastAsia="en-AU"/>
              </w:rPr>
              <w:tab/>
            </w:r>
            <w:r w:rsidR="00F12A19" w:rsidRPr="00EF628A">
              <w:rPr>
                <w:rStyle w:val="Hyperlink"/>
                <w:noProof/>
              </w:rPr>
              <w:t>Impact on sewer pipelines</w:t>
            </w:r>
            <w:r w:rsidR="00F12A19">
              <w:rPr>
                <w:noProof/>
                <w:webHidden/>
              </w:rPr>
              <w:tab/>
            </w:r>
            <w:r>
              <w:rPr>
                <w:noProof/>
                <w:webHidden/>
              </w:rPr>
              <w:fldChar w:fldCharType="begin"/>
            </w:r>
            <w:r w:rsidR="00F12A19">
              <w:rPr>
                <w:noProof/>
                <w:webHidden/>
              </w:rPr>
              <w:instrText xml:space="preserve"> PAGEREF _Toc402425324 \h </w:instrText>
            </w:r>
            <w:r>
              <w:rPr>
                <w:noProof/>
                <w:webHidden/>
              </w:rPr>
            </w:r>
            <w:r>
              <w:rPr>
                <w:noProof/>
                <w:webHidden/>
              </w:rPr>
              <w:fldChar w:fldCharType="separate"/>
            </w:r>
            <w:r w:rsidR="00906141">
              <w:rPr>
                <w:noProof/>
                <w:webHidden/>
              </w:rPr>
              <w:t>50</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5" w:history="1">
            <w:r w:rsidR="00F12A19" w:rsidRPr="00EF628A">
              <w:rPr>
                <w:rStyle w:val="Hyperlink"/>
                <w:noProof/>
              </w:rPr>
              <w:t>8.6</w:t>
            </w:r>
            <w:r w:rsidR="00F12A19">
              <w:rPr>
                <w:rFonts w:asciiTheme="minorHAnsi" w:hAnsiTheme="minorHAnsi"/>
                <w:noProof/>
                <w:sz w:val="22"/>
                <w:lang w:val="en-AU" w:eastAsia="en-AU"/>
              </w:rPr>
              <w:tab/>
            </w:r>
            <w:r w:rsidR="00F12A19" w:rsidRPr="00EF628A">
              <w:rPr>
                <w:rStyle w:val="Hyperlink"/>
                <w:noProof/>
              </w:rPr>
              <w:t>Impact on roads and highways</w:t>
            </w:r>
            <w:r w:rsidR="00F12A19">
              <w:rPr>
                <w:noProof/>
                <w:webHidden/>
              </w:rPr>
              <w:tab/>
            </w:r>
            <w:r>
              <w:rPr>
                <w:noProof/>
                <w:webHidden/>
              </w:rPr>
              <w:fldChar w:fldCharType="begin"/>
            </w:r>
            <w:r w:rsidR="00F12A19">
              <w:rPr>
                <w:noProof/>
                <w:webHidden/>
              </w:rPr>
              <w:instrText xml:space="preserve"> PAGEREF _Toc402425325 \h </w:instrText>
            </w:r>
            <w:r>
              <w:rPr>
                <w:noProof/>
                <w:webHidden/>
              </w:rPr>
            </w:r>
            <w:r>
              <w:rPr>
                <w:noProof/>
                <w:webHidden/>
              </w:rPr>
              <w:fldChar w:fldCharType="separate"/>
            </w:r>
            <w:r w:rsidR="00906141">
              <w:rPr>
                <w:noProof/>
                <w:webHidden/>
              </w:rPr>
              <w:t>50</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6" w:history="1">
            <w:r w:rsidR="00F12A19" w:rsidRPr="00EF628A">
              <w:rPr>
                <w:rStyle w:val="Hyperlink"/>
                <w:noProof/>
              </w:rPr>
              <w:t>8.7</w:t>
            </w:r>
            <w:r w:rsidR="00F12A19">
              <w:rPr>
                <w:rFonts w:asciiTheme="minorHAnsi" w:hAnsiTheme="minorHAnsi"/>
                <w:noProof/>
                <w:sz w:val="22"/>
                <w:lang w:val="en-AU" w:eastAsia="en-AU"/>
              </w:rPr>
              <w:tab/>
            </w:r>
            <w:r w:rsidR="00F12A19" w:rsidRPr="00EF628A">
              <w:rPr>
                <w:rStyle w:val="Hyperlink"/>
                <w:noProof/>
              </w:rPr>
              <w:t>Impact on railways</w:t>
            </w:r>
            <w:r w:rsidR="00F12A19">
              <w:rPr>
                <w:noProof/>
                <w:webHidden/>
              </w:rPr>
              <w:tab/>
            </w:r>
            <w:r>
              <w:rPr>
                <w:noProof/>
                <w:webHidden/>
              </w:rPr>
              <w:fldChar w:fldCharType="begin"/>
            </w:r>
            <w:r w:rsidR="00F12A19">
              <w:rPr>
                <w:noProof/>
                <w:webHidden/>
              </w:rPr>
              <w:instrText xml:space="preserve"> PAGEREF _Toc402425326 \h </w:instrText>
            </w:r>
            <w:r>
              <w:rPr>
                <w:noProof/>
                <w:webHidden/>
              </w:rPr>
            </w:r>
            <w:r>
              <w:rPr>
                <w:noProof/>
                <w:webHidden/>
              </w:rPr>
              <w:fldChar w:fldCharType="separate"/>
            </w:r>
            <w:r w:rsidR="00906141">
              <w:rPr>
                <w:noProof/>
                <w:webHidden/>
              </w:rPr>
              <w:t>50</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7" w:history="1">
            <w:r w:rsidR="00F12A19" w:rsidRPr="00EF628A">
              <w:rPr>
                <w:rStyle w:val="Hyperlink"/>
                <w:noProof/>
              </w:rPr>
              <w:t>8.8</w:t>
            </w:r>
            <w:r w:rsidR="00F12A19">
              <w:rPr>
                <w:rFonts w:asciiTheme="minorHAnsi" w:hAnsiTheme="minorHAnsi"/>
                <w:noProof/>
                <w:sz w:val="22"/>
                <w:lang w:val="en-AU" w:eastAsia="en-AU"/>
              </w:rPr>
              <w:tab/>
            </w:r>
            <w:r w:rsidR="00F12A19" w:rsidRPr="00EF628A">
              <w:rPr>
                <w:rStyle w:val="Hyperlink"/>
                <w:noProof/>
              </w:rPr>
              <w:t>Impact on dams</w:t>
            </w:r>
            <w:r w:rsidR="00F12A19">
              <w:rPr>
                <w:noProof/>
                <w:webHidden/>
              </w:rPr>
              <w:tab/>
            </w:r>
            <w:r>
              <w:rPr>
                <w:noProof/>
                <w:webHidden/>
              </w:rPr>
              <w:fldChar w:fldCharType="begin"/>
            </w:r>
            <w:r w:rsidR="00F12A19">
              <w:rPr>
                <w:noProof/>
                <w:webHidden/>
              </w:rPr>
              <w:instrText xml:space="preserve"> PAGEREF _Toc402425327 \h </w:instrText>
            </w:r>
            <w:r>
              <w:rPr>
                <w:noProof/>
                <w:webHidden/>
              </w:rPr>
            </w:r>
            <w:r>
              <w:rPr>
                <w:noProof/>
                <w:webHidden/>
              </w:rPr>
              <w:fldChar w:fldCharType="separate"/>
            </w:r>
            <w:r w:rsidR="00906141">
              <w:rPr>
                <w:noProof/>
                <w:webHidden/>
              </w:rPr>
              <w:t>51</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28" w:history="1">
            <w:r w:rsidR="00F12A19" w:rsidRPr="00EF628A">
              <w:rPr>
                <w:rStyle w:val="Hyperlink"/>
                <w:noProof/>
              </w:rPr>
              <w:t>8.9</w:t>
            </w:r>
            <w:r w:rsidR="00F12A19">
              <w:rPr>
                <w:rFonts w:asciiTheme="minorHAnsi" w:hAnsiTheme="minorHAnsi"/>
                <w:noProof/>
                <w:sz w:val="22"/>
                <w:lang w:val="en-AU" w:eastAsia="en-AU"/>
              </w:rPr>
              <w:tab/>
            </w:r>
            <w:r w:rsidR="00F12A19" w:rsidRPr="00EF628A">
              <w:rPr>
                <w:rStyle w:val="Hyperlink"/>
                <w:noProof/>
              </w:rPr>
              <w:t>Impact on levees</w:t>
            </w:r>
            <w:r w:rsidR="00F12A19">
              <w:rPr>
                <w:noProof/>
                <w:webHidden/>
              </w:rPr>
              <w:tab/>
            </w:r>
            <w:r>
              <w:rPr>
                <w:noProof/>
                <w:webHidden/>
              </w:rPr>
              <w:fldChar w:fldCharType="begin"/>
            </w:r>
            <w:r w:rsidR="00F12A19">
              <w:rPr>
                <w:noProof/>
                <w:webHidden/>
              </w:rPr>
              <w:instrText xml:space="preserve"> PAGEREF _Toc402425328 \h </w:instrText>
            </w:r>
            <w:r>
              <w:rPr>
                <w:noProof/>
                <w:webHidden/>
              </w:rPr>
            </w:r>
            <w:r>
              <w:rPr>
                <w:noProof/>
                <w:webHidden/>
              </w:rPr>
              <w:fldChar w:fldCharType="separate"/>
            </w:r>
            <w:r w:rsidR="00906141">
              <w:rPr>
                <w:noProof/>
                <w:webHidden/>
              </w:rPr>
              <w:t>51</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29" w:history="1">
            <w:r w:rsidR="00F12A19" w:rsidRPr="00EF628A">
              <w:rPr>
                <w:rStyle w:val="Hyperlink"/>
                <w:noProof/>
              </w:rPr>
              <w:t>8.10</w:t>
            </w:r>
            <w:r w:rsidR="00F12A19">
              <w:rPr>
                <w:rFonts w:asciiTheme="minorHAnsi" w:hAnsiTheme="minorHAnsi"/>
                <w:noProof/>
                <w:sz w:val="22"/>
                <w:lang w:val="en-AU" w:eastAsia="en-AU"/>
              </w:rPr>
              <w:tab/>
            </w:r>
            <w:r w:rsidR="00F12A19" w:rsidRPr="00EF628A">
              <w:rPr>
                <w:rStyle w:val="Hyperlink"/>
                <w:noProof/>
              </w:rPr>
              <w:t>Impact on drainage channels</w:t>
            </w:r>
            <w:r w:rsidR="00F12A19">
              <w:rPr>
                <w:noProof/>
                <w:webHidden/>
              </w:rPr>
              <w:tab/>
            </w:r>
            <w:r>
              <w:rPr>
                <w:noProof/>
                <w:webHidden/>
              </w:rPr>
              <w:fldChar w:fldCharType="begin"/>
            </w:r>
            <w:r w:rsidR="00F12A19">
              <w:rPr>
                <w:noProof/>
                <w:webHidden/>
              </w:rPr>
              <w:instrText xml:space="preserve"> PAGEREF _Toc402425329 \h </w:instrText>
            </w:r>
            <w:r>
              <w:rPr>
                <w:noProof/>
                <w:webHidden/>
              </w:rPr>
            </w:r>
            <w:r>
              <w:rPr>
                <w:noProof/>
                <w:webHidden/>
              </w:rPr>
              <w:fldChar w:fldCharType="separate"/>
            </w:r>
            <w:r w:rsidR="00906141">
              <w:rPr>
                <w:noProof/>
                <w:webHidden/>
              </w:rPr>
              <w:t>52</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30" w:history="1">
            <w:r w:rsidR="00F12A19" w:rsidRPr="00EF628A">
              <w:rPr>
                <w:rStyle w:val="Hyperlink"/>
                <w:noProof/>
              </w:rPr>
              <w:t>8.11</w:t>
            </w:r>
            <w:r w:rsidR="00F12A19">
              <w:rPr>
                <w:rFonts w:asciiTheme="minorHAnsi" w:hAnsiTheme="minorHAnsi"/>
                <w:noProof/>
                <w:sz w:val="22"/>
                <w:lang w:val="en-AU" w:eastAsia="en-AU"/>
              </w:rPr>
              <w:tab/>
            </w:r>
            <w:r w:rsidR="00F12A19" w:rsidRPr="00EF628A">
              <w:rPr>
                <w:rStyle w:val="Hyperlink"/>
                <w:noProof/>
              </w:rPr>
              <w:t>Impact on ground permeability and cracking of the ground</w:t>
            </w:r>
            <w:r w:rsidR="00F12A19">
              <w:rPr>
                <w:noProof/>
                <w:webHidden/>
              </w:rPr>
              <w:tab/>
            </w:r>
            <w:r>
              <w:rPr>
                <w:noProof/>
                <w:webHidden/>
              </w:rPr>
              <w:fldChar w:fldCharType="begin"/>
            </w:r>
            <w:r w:rsidR="00F12A19">
              <w:rPr>
                <w:noProof/>
                <w:webHidden/>
              </w:rPr>
              <w:instrText xml:space="preserve"> PAGEREF _Toc402425330 \h </w:instrText>
            </w:r>
            <w:r>
              <w:rPr>
                <w:noProof/>
                <w:webHidden/>
              </w:rPr>
            </w:r>
            <w:r>
              <w:rPr>
                <w:noProof/>
                <w:webHidden/>
              </w:rPr>
              <w:fldChar w:fldCharType="separate"/>
            </w:r>
            <w:r w:rsidR="00906141">
              <w:rPr>
                <w:noProof/>
                <w:webHidden/>
              </w:rPr>
              <w:t>52</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31" w:history="1">
            <w:r w:rsidR="00F12A19" w:rsidRPr="00EF628A">
              <w:rPr>
                <w:rStyle w:val="Hyperlink"/>
                <w:noProof/>
              </w:rPr>
              <w:t>8.12</w:t>
            </w:r>
            <w:r w:rsidR="00F12A19">
              <w:rPr>
                <w:rFonts w:asciiTheme="minorHAnsi" w:hAnsiTheme="minorHAnsi"/>
                <w:noProof/>
                <w:sz w:val="22"/>
                <w:lang w:val="en-AU" w:eastAsia="en-AU"/>
              </w:rPr>
              <w:tab/>
            </w:r>
            <w:r w:rsidR="00F12A19" w:rsidRPr="00EF628A">
              <w:rPr>
                <w:rStyle w:val="Hyperlink"/>
                <w:noProof/>
              </w:rPr>
              <w:t>Impact on electrical infrastructure</w:t>
            </w:r>
            <w:r w:rsidR="00F12A19">
              <w:rPr>
                <w:noProof/>
                <w:webHidden/>
              </w:rPr>
              <w:tab/>
            </w:r>
            <w:r>
              <w:rPr>
                <w:noProof/>
                <w:webHidden/>
              </w:rPr>
              <w:fldChar w:fldCharType="begin"/>
            </w:r>
            <w:r w:rsidR="00F12A19">
              <w:rPr>
                <w:noProof/>
                <w:webHidden/>
              </w:rPr>
              <w:instrText xml:space="preserve"> PAGEREF _Toc402425331 \h </w:instrText>
            </w:r>
            <w:r>
              <w:rPr>
                <w:noProof/>
                <w:webHidden/>
              </w:rPr>
            </w:r>
            <w:r>
              <w:rPr>
                <w:noProof/>
                <w:webHidden/>
              </w:rPr>
              <w:fldChar w:fldCharType="separate"/>
            </w:r>
            <w:r w:rsidR="00906141">
              <w:rPr>
                <w:noProof/>
                <w:webHidden/>
              </w:rPr>
              <w:t>54</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32" w:history="1">
            <w:r w:rsidR="00F12A19" w:rsidRPr="00EF628A">
              <w:rPr>
                <w:rStyle w:val="Hyperlink"/>
                <w:noProof/>
              </w:rPr>
              <w:t>9</w:t>
            </w:r>
            <w:r w:rsidR="00F12A19">
              <w:rPr>
                <w:rFonts w:asciiTheme="minorHAnsi" w:hAnsiTheme="minorHAnsi"/>
                <w:noProof/>
                <w:sz w:val="22"/>
                <w:lang w:val="en-AU" w:eastAsia="en-AU"/>
              </w:rPr>
              <w:tab/>
            </w:r>
            <w:r w:rsidR="00F12A19" w:rsidRPr="00EF628A">
              <w:rPr>
                <w:rStyle w:val="Hyperlink"/>
                <w:noProof/>
              </w:rPr>
              <w:t>Subsidence assessment approaches</w:t>
            </w:r>
            <w:r w:rsidR="00F12A19">
              <w:rPr>
                <w:noProof/>
                <w:webHidden/>
              </w:rPr>
              <w:tab/>
            </w:r>
            <w:r>
              <w:rPr>
                <w:noProof/>
                <w:webHidden/>
              </w:rPr>
              <w:fldChar w:fldCharType="begin"/>
            </w:r>
            <w:r w:rsidR="00F12A19">
              <w:rPr>
                <w:noProof/>
                <w:webHidden/>
              </w:rPr>
              <w:instrText xml:space="preserve"> PAGEREF _Toc402425332 \h </w:instrText>
            </w:r>
            <w:r>
              <w:rPr>
                <w:noProof/>
                <w:webHidden/>
              </w:rPr>
            </w:r>
            <w:r>
              <w:rPr>
                <w:noProof/>
                <w:webHidden/>
              </w:rPr>
              <w:fldChar w:fldCharType="separate"/>
            </w:r>
            <w:r w:rsidR="00906141">
              <w:rPr>
                <w:noProof/>
                <w:webHidden/>
              </w:rPr>
              <w:t>55</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33" w:history="1">
            <w:r w:rsidR="00F12A19" w:rsidRPr="00EF628A">
              <w:rPr>
                <w:rStyle w:val="Hyperlink"/>
                <w:noProof/>
              </w:rPr>
              <w:t>9.1</w:t>
            </w:r>
            <w:r w:rsidR="00F12A19">
              <w:rPr>
                <w:rFonts w:asciiTheme="minorHAnsi" w:hAnsiTheme="minorHAnsi"/>
                <w:noProof/>
                <w:sz w:val="22"/>
                <w:lang w:val="en-AU" w:eastAsia="en-AU"/>
              </w:rPr>
              <w:tab/>
            </w:r>
            <w:r w:rsidR="00F12A19" w:rsidRPr="00EF628A">
              <w:rPr>
                <w:rStyle w:val="Hyperlink"/>
                <w:noProof/>
              </w:rPr>
              <w:t>Subsidence due to coal seam degassing</w:t>
            </w:r>
            <w:r w:rsidR="00F12A19">
              <w:rPr>
                <w:noProof/>
                <w:webHidden/>
              </w:rPr>
              <w:tab/>
            </w:r>
            <w:r>
              <w:rPr>
                <w:noProof/>
                <w:webHidden/>
              </w:rPr>
              <w:fldChar w:fldCharType="begin"/>
            </w:r>
            <w:r w:rsidR="00F12A19">
              <w:rPr>
                <w:noProof/>
                <w:webHidden/>
              </w:rPr>
              <w:instrText xml:space="preserve"> PAGEREF _Toc402425333 \h </w:instrText>
            </w:r>
            <w:r>
              <w:rPr>
                <w:noProof/>
                <w:webHidden/>
              </w:rPr>
            </w:r>
            <w:r>
              <w:rPr>
                <w:noProof/>
                <w:webHidden/>
              </w:rPr>
              <w:fldChar w:fldCharType="separate"/>
            </w:r>
            <w:r w:rsidR="00906141">
              <w:rPr>
                <w:noProof/>
                <w:webHidden/>
              </w:rPr>
              <w:t>56</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34" w:history="1">
            <w:r w:rsidR="00F12A19" w:rsidRPr="00EF628A">
              <w:rPr>
                <w:rStyle w:val="Hyperlink"/>
                <w:noProof/>
              </w:rPr>
              <w:t>9.2</w:t>
            </w:r>
            <w:r w:rsidR="00F12A19">
              <w:rPr>
                <w:rFonts w:asciiTheme="minorHAnsi" w:hAnsiTheme="minorHAnsi"/>
                <w:noProof/>
                <w:sz w:val="22"/>
                <w:lang w:val="en-AU" w:eastAsia="en-AU"/>
              </w:rPr>
              <w:tab/>
            </w:r>
            <w:r w:rsidR="00F12A19" w:rsidRPr="00EF628A">
              <w:rPr>
                <w:rStyle w:val="Hyperlink"/>
                <w:noProof/>
              </w:rPr>
              <w:t>Closed form solutions - compaction</w:t>
            </w:r>
            <w:r w:rsidR="00F12A19">
              <w:rPr>
                <w:noProof/>
                <w:webHidden/>
              </w:rPr>
              <w:tab/>
            </w:r>
            <w:r>
              <w:rPr>
                <w:noProof/>
                <w:webHidden/>
              </w:rPr>
              <w:fldChar w:fldCharType="begin"/>
            </w:r>
            <w:r w:rsidR="00F12A19">
              <w:rPr>
                <w:noProof/>
                <w:webHidden/>
              </w:rPr>
              <w:instrText xml:space="preserve"> PAGEREF _Toc402425334 \h </w:instrText>
            </w:r>
            <w:r>
              <w:rPr>
                <w:noProof/>
                <w:webHidden/>
              </w:rPr>
            </w:r>
            <w:r>
              <w:rPr>
                <w:noProof/>
                <w:webHidden/>
              </w:rPr>
              <w:fldChar w:fldCharType="separate"/>
            </w:r>
            <w:r w:rsidR="00906141">
              <w:rPr>
                <w:noProof/>
                <w:webHidden/>
              </w:rPr>
              <w:t>58</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35" w:history="1">
            <w:r w:rsidR="00F12A19" w:rsidRPr="00EF628A">
              <w:rPr>
                <w:rStyle w:val="Hyperlink"/>
                <w:noProof/>
              </w:rPr>
              <w:t>9.3</w:t>
            </w:r>
            <w:r w:rsidR="00F12A19">
              <w:rPr>
                <w:rFonts w:asciiTheme="minorHAnsi" w:hAnsiTheme="minorHAnsi"/>
                <w:noProof/>
                <w:sz w:val="22"/>
                <w:lang w:val="en-AU" w:eastAsia="en-AU"/>
              </w:rPr>
              <w:tab/>
            </w:r>
            <w:r w:rsidR="00F12A19" w:rsidRPr="00EF628A">
              <w:rPr>
                <w:rStyle w:val="Hyperlink"/>
                <w:noProof/>
              </w:rPr>
              <w:t>Subsidence modelling approaches: compaction</w:t>
            </w:r>
            <w:r w:rsidR="00F12A19">
              <w:rPr>
                <w:noProof/>
                <w:webHidden/>
              </w:rPr>
              <w:tab/>
            </w:r>
            <w:r>
              <w:rPr>
                <w:noProof/>
                <w:webHidden/>
              </w:rPr>
              <w:fldChar w:fldCharType="begin"/>
            </w:r>
            <w:r w:rsidR="00F12A19">
              <w:rPr>
                <w:noProof/>
                <w:webHidden/>
              </w:rPr>
              <w:instrText xml:space="preserve"> PAGEREF _Toc402425335 \h </w:instrText>
            </w:r>
            <w:r>
              <w:rPr>
                <w:noProof/>
                <w:webHidden/>
              </w:rPr>
            </w:r>
            <w:r>
              <w:rPr>
                <w:noProof/>
                <w:webHidden/>
              </w:rPr>
              <w:fldChar w:fldCharType="separate"/>
            </w:r>
            <w:r w:rsidR="00906141">
              <w:rPr>
                <w:noProof/>
                <w:webHidden/>
              </w:rPr>
              <w:t>59</w:t>
            </w:r>
            <w:r>
              <w:rPr>
                <w:noProof/>
                <w:webHidden/>
              </w:rPr>
              <w:fldChar w:fldCharType="end"/>
            </w:r>
          </w:hyperlink>
        </w:p>
        <w:p w:rsidR="00F12A19" w:rsidRDefault="00E252C4">
          <w:pPr>
            <w:pStyle w:val="TOC2"/>
            <w:tabs>
              <w:tab w:val="left" w:pos="738"/>
              <w:tab w:val="right" w:leader="dot" w:pos="9054"/>
            </w:tabs>
            <w:rPr>
              <w:rFonts w:asciiTheme="minorHAnsi" w:hAnsiTheme="minorHAnsi"/>
              <w:noProof/>
              <w:sz w:val="22"/>
              <w:lang w:val="en-AU" w:eastAsia="en-AU"/>
            </w:rPr>
          </w:pPr>
          <w:hyperlink w:anchor="_Toc402425336" w:history="1">
            <w:r w:rsidR="00F12A19" w:rsidRPr="00EF628A">
              <w:rPr>
                <w:rStyle w:val="Hyperlink"/>
                <w:noProof/>
              </w:rPr>
              <w:t>9.4</w:t>
            </w:r>
            <w:r w:rsidR="00F12A19">
              <w:rPr>
                <w:rFonts w:asciiTheme="minorHAnsi" w:hAnsiTheme="minorHAnsi"/>
                <w:noProof/>
                <w:sz w:val="22"/>
                <w:lang w:val="en-AU" w:eastAsia="en-AU"/>
              </w:rPr>
              <w:tab/>
            </w:r>
            <w:r w:rsidR="00F12A19" w:rsidRPr="00EF628A">
              <w:rPr>
                <w:rStyle w:val="Hyperlink"/>
                <w:noProof/>
              </w:rPr>
              <w:t>Examples of modelling approaches</w:t>
            </w:r>
            <w:r w:rsidR="00F12A19">
              <w:rPr>
                <w:noProof/>
                <w:webHidden/>
              </w:rPr>
              <w:tab/>
            </w:r>
            <w:r>
              <w:rPr>
                <w:noProof/>
                <w:webHidden/>
              </w:rPr>
              <w:fldChar w:fldCharType="begin"/>
            </w:r>
            <w:r w:rsidR="00F12A19">
              <w:rPr>
                <w:noProof/>
                <w:webHidden/>
              </w:rPr>
              <w:instrText xml:space="preserve"> PAGEREF _Toc402425336 \h </w:instrText>
            </w:r>
            <w:r>
              <w:rPr>
                <w:noProof/>
                <w:webHidden/>
              </w:rPr>
            </w:r>
            <w:r>
              <w:rPr>
                <w:noProof/>
                <w:webHidden/>
              </w:rPr>
              <w:fldChar w:fldCharType="separate"/>
            </w:r>
            <w:r w:rsidR="00906141">
              <w:rPr>
                <w:noProof/>
                <w:webHidden/>
              </w:rPr>
              <w:t>64</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37" w:history="1">
            <w:r w:rsidR="00F12A19" w:rsidRPr="00EF628A">
              <w:rPr>
                <w:rStyle w:val="Hyperlink"/>
                <w:noProof/>
              </w:rPr>
              <w:t>10</w:t>
            </w:r>
            <w:r w:rsidR="00F12A19">
              <w:rPr>
                <w:rFonts w:asciiTheme="minorHAnsi" w:hAnsiTheme="minorHAnsi"/>
                <w:noProof/>
                <w:sz w:val="22"/>
                <w:lang w:val="en-AU" w:eastAsia="en-AU"/>
              </w:rPr>
              <w:tab/>
            </w:r>
            <w:r w:rsidR="00F12A19" w:rsidRPr="00EF628A">
              <w:rPr>
                <w:rStyle w:val="Hyperlink"/>
                <w:noProof/>
              </w:rPr>
              <w:t>Selection of material parameters for numerical models</w:t>
            </w:r>
            <w:r w:rsidR="00F12A19">
              <w:rPr>
                <w:noProof/>
                <w:webHidden/>
              </w:rPr>
              <w:tab/>
            </w:r>
            <w:r>
              <w:rPr>
                <w:noProof/>
                <w:webHidden/>
              </w:rPr>
              <w:fldChar w:fldCharType="begin"/>
            </w:r>
            <w:r w:rsidR="00F12A19">
              <w:rPr>
                <w:noProof/>
                <w:webHidden/>
              </w:rPr>
              <w:instrText xml:space="preserve"> PAGEREF _Toc402425337 \h </w:instrText>
            </w:r>
            <w:r>
              <w:rPr>
                <w:noProof/>
                <w:webHidden/>
              </w:rPr>
            </w:r>
            <w:r>
              <w:rPr>
                <w:noProof/>
                <w:webHidden/>
              </w:rPr>
              <w:fldChar w:fldCharType="separate"/>
            </w:r>
            <w:r w:rsidR="00906141">
              <w:rPr>
                <w:noProof/>
                <w:webHidden/>
              </w:rPr>
              <w:t>82</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38" w:history="1">
            <w:r w:rsidR="00F12A19" w:rsidRPr="00EF628A">
              <w:rPr>
                <w:rStyle w:val="Hyperlink"/>
                <w:rFonts w:eastAsia="Times New Roman"/>
                <w:noProof/>
              </w:rPr>
              <w:t>10.1</w:t>
            </w:r>
            <w:r w:rsidR="00F12A19">
              <w:rPr>
                <w:rFonts w:asciiTheme="minorHAnsi" w:hAnsiTheme="minorHAnsi"/>
                <w:noProof/>
                <w:sz w:val="22"/>
                <w:lang w:val="en-AU" w:eastAsia="en-AU"/>
              </w:rPr>
              <w:tab/>
            </w:r>
            <w:r w:rsidR="00F12A19" w:rsidRPr="00EF628A">
              <w:rPr>
                <w:rStyle w:val="Hyperlink"/>
                <w:rFonts w:eastAsia="Times New Roman"/>
                <w:noProof/>
              </w:rPr>
              <w:t>Young’s modulus (</w:t>
            </w:r>
            <w:r w:rsidR="00F12A19" w:rsidRPr="00EF628A">
              <w:rPr>
                <w:rStyle w:val="Hyperlink"/>
                <w:rFonts w:eastAsia="Times New Roman"/>
                <w:i/>
                <w:noProof/>
              </w:rPr>
              <w:t>E</w:t>
            </w:r>
            <w:r w:rsidR="00F12A19" w:rsidRPr="00EF628A">
              <w:rPr>
                <w:rStyle w:val="Hyperlink"/>
                <w:rFonts w:eastAsia="Times New Roman"/>
                <w:noProof/>
              </w:rPr>
              <w:t>)</w:t>
            </w:r>
            <w:r w:rsidR="00F12A19">
              <w:rPr>
                <w:noProof/>
                <w:webHidden/>
              </w:rPr>
              <w:tab/>
            </w:r>
            <w:r>
              <w:rPr>
                <w:noProof/>
                <w:webHidden/>
              </w:rPr>
              <w:fldChar w:fldCharType="begin"/>
            </w:r>
            <w:r w:rsidR="00F12A19">
              <w:rPr>
                <w:noProof/>
                <w:webHidden/>
              </w:rPr>
              <w:instrText xml:space="preserve"> PAGEREF _Toc402425338 \h </w:instrText>
            </w:r>
            <w:r>
              <w:rPr>
                <w:noProof/>
                <w:webHidden/>
              </w:rPr>
            </w:r>
            <w:r>
              <w:rPr>
                <w:noProof/>
                <w:webHidden/>
              </w:rPr>
              <w:fldChar w:fldCharType="separate"/>
            </w:r>
            <w:r w:rsidR="00906141">
              <w:rPr>
                <w:noProof/>
                <w:webHidden/>
              </w:rPr>
              <w:t>82</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39" w:history="1">
            <w:r w:rsidR="00F12A19" w:rsidRPr="00EF628A">
              <w:rPr>
                <w:rStyle w:val="Hyperlink"/>
                <w:noProof/>
              </w:rPr>
              <w:t>10.2</w:t>
            </w:r>
            <w:r w:rsidR="00F12A19">
              <w:rPr>
                <w:rFonts w:asciiTheme="minorHAnsi" w:hAnsiTheme="minorHAnsi"/>
                <w:noProof/>
                <w:sz w:val="22"/>
                <w:lang w:val="en-AU" w:eastAsia="en-AU"/>
              </w:rPr>
              <w:tab/>
            </w:r>
            <w:r w:rsidR="00F12A19" w:rsidRPr="00EF628A">
              <w:rPr>
                <w:rStyle w:val="Hyperlink"/>
                <w:noProof/>
              </w:rPr>
              <w:t>Poisson’s ratio (</w:t>
            </w:r>
            <w:r w:rsidR="00F12A19" w:rsidRPr="00EF628A">
              <w:rPr>
                <w:rStyle w:val="Hyperlink"/>
                <w:i/>
                <w:noProof/>
              </w:rPr>
              <w:t>ν</w:t>
            </w:r>
            <w:r w:rsidR="00F12A19" w:rsidRPr="00EF628A">
              <w:rPr>
                <w:rStyle w:val="Hyperlink"/>
                <w:noProof/>
              </w:rPr>
              <w:t>)</w:t>
            </w:r>
            <w:r w:rsidR="00F12A19">
              <w:rPr>
                <w:noProof/>
                <w:webHidden/>
              </w:rPr>
              <w:tab/>
            </w:r>
            <w:r>
              <w:rPr>
                <w:noProof/>
                <w:webHidden/>
              </w:rPr>
              <w:fldChar w:fldCharType="begin"/>
            </w:r>
            <w:r w:rsidR="00F12A19">
              <w:rPr>
                <w:noProof/>
                <w:webHidden/>
              </w:rPr>
              <w:instrText xml:space="preserve"> PAGEREF _Toc402425339 \h </w:instrText>
            </w:r>
            <w:r>
              <w:rPr>
                <w:noProof/>
                <w:webHidden/>
              </w:rPr>
            </w:r>
            <w:r>
              <w:rPr>
                <w:noProof/>
                <w:webHidden/>
              </w:rPr>
              <w:fldChar w:fldCharType="separate"/>
            </w:r>
            <w:r w:rsidR="00906141">
              <w:rPr>
                <w:noProof/>
                <w:webHidden/>
              </w:rPr>
              <w:t>84</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0" w:history="1">
            <w:r w:rsidR="00F12A19" w:rsidRPr="00EF628A">
              <w:rPr>
                <w:rStyle w:val="Hyperlink"/>
                <w:noProof/>
              </w:rPr>
              <w:t>10.3</w:t>
            </w:r>
            <w:r w:rsidR="00F12A19">
              <w:rPr>
                <w:rFonts w:asciiTheme="minorHAnsi" w:hAnsiTheme="minorHAnsi"/>
                <w:noProof/>
                <w:sz w:val="22"/>
                <w:lang w:val="en-AU" w:eastAsia="en-AU"/>
              </w:rPr>
              <w:tab/>
            </w:r>
            <w:r w:rsidR="00F12A19" w:rsidRPr="00EF628A">
              <w:rPr>
                <w:rStyle w:val="Hyperlink"/>
                <w:noProof/>
              </w:rPr>
              <w:t>Coefficient of volume compressibility (</w:t>
            </w:r>
            <w:r w:rsidR="00F12A19" w:rsidRPr="00EF628A">
              <w:rPr>
                <w:rStyle w:val="Hyperlink"/>
                <w:i/>
                <w:noProof/>
              </w:rPr>
              <w:t>m</w:t>
            </w:r>
            <w:r w:rsidR="00F12A19" w:rsidRPr="00EF628A">
              <w:rPr>
                <w:rStyle w:val="Hyperlink"/>
                <w:i/>
                <w:noProof/>
                <w:vertAlign w:val="subscript"/>
              </w:rPr>
              <w:t>v</w:t>
            </w:r>
            <w:r w:rsidR="00F12A19" w:rsidRPr="00EF628A">
              <w:rPr>
                <w:rStyle w:val="Hyperlink"/>
                <w:noProof/>
              </w:rPr>
              <w:t>)</w:t>
            </w:r>
            <w:r w:rsidR="00F12A19">
              <w:rPr>
                <w:noProof/>
                <w:webHidden/>
              </w:rPr>
              <w:tab/>
            </w:r>
            <w:r>
              <w:rPr>
                <w:noProof/>
                <w:webHidden/>
              </w:rPr>
              <w:fldChar w:fldCharType="begin"/>
            </w:r>
            <w:r w:rsidR="00F12A19">
              <w:rPr>
                <w:noProof/>
                <w:webHidden/>
              </w:rPr>
              <w:instrText xml:space="preserve"> PAGEREF _Toc402425340 \h </w:instrText>
            </w:r>
            <w:r>
              <w:rPr>
                <w:noProof/>
                <w:webHidden/>
              </w:rPr>
            </w:r>
            <w:r>
              <w:rPr>
                <w:noProof/>
                <w:webHidden/>
              </w:rPr>
              <w:fldChar w:fldCharType="separate"/>
            </w:r>
            <w:r w:rsidR="00906141">
              <w:rPr>
                <w:noProof/>
                <w:webHidden/>
              </w:rPr>
              <w:t>85</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1" w:history="1">
            <w:r w:rsidR="00F12A19" w:rsidRPr="00EF628A">
              <w:rPr>
                <w:rStyle w:val="Hyperlink"/>
                <w:noProof/>
              </w:rPr>
              <w:t>10.4</w:t>
            </w:r>
            <w:r w:rsidR="00F12A19">
              <w:rPr>
                <w:rFonts w:asciiTheme="minorHAnsi" w:hAnsiTheme="minorHAnsi"/>
                <w:noProof/>
                <w:sz w:val="22"/>
                <w:lang w:val="en-AU" w:eastAsia="en-AU"/>
              </w:rPr>
              <w:tab/>
            </w:r>
            <w:r w:rsidR="00F12A19" w:rsidRPr="00EF628A">
              <w:rPr>
                <w:rStyle w:val="Hyperlink"/>
                <w:noProof/>
              </w:rPr>
              <w:t>Hydraulic conductivity</w:t>
            </w:r>
            <w:r w:rsidR="00F12A19">
              <w:rPr>
                <w:noProof/>
                <w:webHidden/>
              </w:rPr>
              <w:tab/>
            </w:r>
            <w:r>
              <w:rPr>
                <w:noProof/>
                <w:webHidden/>
              </w:rPr>
              <w:fldChar w:fldCharType="begin"/>
            </w:r>
            <w:r w:rsidR="00F12A19">
              <w:rPr>
                <w:noProof/>
                <w:webHidden/>
              </w:rPr>
              <w:instrText xml:space="preserve"> PAGEREF _Toc402425341 \h </w:instrText>
            </w:r>
            <w:r>
              <w:rPr>
                <w:noProof/>
                <w:webHidden/>
              </w:rPr>
            </w:r>
            <w:r>
              <w:rPr>
                <w:noProof/>
                <w:webHidden/>
              </w:rPr>
              <w:fldChar w:fldCharType="separate"/>
            </w:r>
            <w:r w:rsidR="00906141">
              <w:rPr>
                <w:noProof/>
                <w:webHidden/>
              </w:rPr>
              <w:t>85</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2" w:history="1">
            <w:r w:rsidR="00F12A19" w:rsidRPr="00EF628A">
              <w:rPr>
                <w:rStyle w:val="Hyperlink"/>
                <w:noProof/>
              </w:rPr>
              <w:t>10.5</w:t>
            </w:r>
            <w:r w:rsidR="00F12A19">
              <w:rPr>
                <w:rFonts w:asciiTheme="minorHAnsi" w:hAnsiTheme="minorHAnsi"/>
                <w:noProof/>
                <w:sz w:val="22"/>
                <w:lang w:val="en-AU" w:eastAsia="en-AU"/>
              </w:rPr>
              <w:tab/>
            </w:r>
            <w:r w:rsidR="00F12A19" w:rsidRPr="00EF628A">
              <w:rPr>
                <w:rStyle w:val="Hyperlink"/>
                <w:noProof/>
              </w:rPr>
              <w:t>Specific storage (</w:t>
            </w:r>
            <w:r w:rsidR="00F12A19" w:rsidRPr="00EF628A">
              <w:rPr>
                <w:rStyle w:val="Hyperlink"/>
                <w:i/>
                <w:noProof/>
              </w:rPr>
              <w:t>S</w:t>
            </w:r>
            <w:r w:rsidR="00F12A19" w:rsidRPr="00EF628A">
              <w:rPr>
                <w:rStyle w:val="Hyperlink"/>
                <w:i/>
                <w:noProof/>
                <w:vertAlign w:val="subscript"/>
              </w:rPr>
              <w:t>s</w:t>
            </w:r>
            <w:r w:rsidR="00F12A19" w:rsidRPr="00EF628A">
              <w:rPr>
                <w:rStyle w:val="Hyperlink"/>
                <w:noProof/>
              </w:rPr>
              <w:t>)</w:t>
            </w:r>
            <w:r w:rsidR="00F12A19">
              <w:rPr>
                <w:noProof/>
                <w:webHidden/>
              </w:rPr>
              <w:tab/>
            </w:r>
            <w:r>
              <w:rPr>
                <w:noProof/>
                <w:webHidden/>
              </w:rPr>
              <w:fldChar w:fldCharType="begin"/>
            </w:r>
            <w:r w:rsidR="00F12A19">
              <w:rPr>
                <w:noProof/>
                <w:webHidden/>
              </w:rPr>
              <w:instrText xml:space="preserve"> PAGEREF _Toc402425342 \h </w:instrText>
            </w:r>
            <w:r>
              <w:rPr>
                <w:noProof/>
                <w:webHidden/>
              </w:rPr>
            </w:r>
            <w:r>
              <w:rPr>
                <w:noProof/>
                <w:webHidden/>
              </w:rPr>
              <w:fldChar w:fldCharType="separate"/>
            </w:r>
            <w:r w:rsidR="00906141">
              <w:rPr>
                <w:noProof/>
                <w:webHidden/>
              </w:rPr>
              <w:t>88</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43" w:history="1">
            <w:r w:rsidR="00F12A19" w:rsidRPr="00EF628A">
              <w:rPr>
                <w:rStyle w:val="Hyperlink"/>
                <w:noProof/>
              </w:rPr>
              <w:t>11</w:t>
            </w:r>
            <w:r w:rsidR="00F12A19">
              <w:rPr>
                <w:rFonts w:asciiTheme="minorHAnsi" w:hAnsiTheme="minorHAnsi"/>
                <w:noProof/>
                <w:sz w:val="22"/>
                <w:lang w:val="en-AU" w:eastAsia="en-AU"/>
              </w:rPr>
              <w:tab/>
            </w:r>
            <w:r w:rsidR="00F12A19" w:rsidRPr="00EF628A">
              <w:rPr>
                <w:rStyle w:val="Hyperlink"/>
                <w:noProof/>
              </w:rPr>
              <w:t>Subsidence monitoring techniques</w:t>
            </w:r>
            <w:r w:rsidR="00F12A19">
              <w:rPr>
                <w:noProof/>
                <w:webHidden/>
              </w:rPr>
              <w:tab/>
            </w:r>
            <w:r>
              <w:rPr>
                <w:noProof/>
                <w:webHidden/>
              </w:rPr>
              <w:fldChar w:fldCharType="begin"/>
            </w:r>
            <w:r w:rsidR="00F12A19">
              <w:rPr>
                <w:noProof/>
                <w:webHidden/>
              </w:rPr>
              <w:instrText xml:space="preserve"> PAGEREF _Toc402425343 \h </w:instrText>
            </w:r>
            <w:r>
              <w:rPr>
                <w:noProof/>
                <w:webHidden/>
              </w:rPr>
            </w:r>
            <w:r>
              <w:rPr>
                <w:noProof/>
                <w:webHidden/>
              </w:rPr>
              <w:fldChar w:fldCharType="separate"/>
            </w:r>
            <w:r w:rsidR="00906141">
              <w:rPr>
                <w:noProof/>
                <w:webHidden/>
              </w:rPr>
              <w:t>90</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4" w:history="1">
            <w:r w:rsidR="00F12A19" w:rsidRPr="00EF628A">
              <w:rPr>
                <w:rStyle w:val="Hyperlink"/>
                <w:noProof/>
              </w:rPr>
              <w:t>11.1</w:t>
            </w:r>
            <w:r w:rsidR="00F12A19">
              <w:rPr>
                <w:rFonts w:asciiTheme="minorHAnsi" w:hAnsiTheme="minorHAnsi"/>
                <w:noProof/>
                <w:sz w:val="22"/>
                <w:lang w:val="en-AU" w:eastAsia="en-AU"/>
              </w:rPr>
              <w:tab/>
            </w:r>
            <w:r w:rsidR="00F12A19" w:rsidRPr="00EF628A">
              <w:rPr>
                <w:rStyle w:val="Hyperlink"/>
                <w:noProof/>
              </w:rPr>
              <w:t>Measurable effects of subsidence</w:t>
            </w:r>
            <w:r w:rsidR="00F12A19">
              <w:rPr>
                <w:noProof/>
                <w:webHidden/>
              </w:rPr>
              <w:tab/>
            </w:r>
            <w:r>
              <w:rPr>
                <w:noProof/>
                <w:webHidden/>
              </w:rPr>
              <w:fldChar w:fldCharType="begin"/>
            </w:r>
            <w:r w:rsidR="00F12A19">
              <w:rPr>
                <w:noProof/>
                <w:webHidden/>
              </w:rPr>
              <w:instrText xml:space="preserve"> PAGEREF _Toc402425344 \h </w:instrText>
            </w:r>
            <w:r>
              <w:rPr>
                <w:noProof/>
                <w:webHidden/>
              </w:rPr>
            </w:r>
            <w:r>
              <w:rPr>
                <w:noProof/>
                <w:webHidden/>
              </w:rPr>
              <w:fldChar w:fldCharType="separate"/>
            </w:r>
            <w:r w:rsidR="00906141">
              <w:rPr>
                <w:noProof/>
                <w:webHidden/>
              </w:rPr>
              <w:t>90</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5" w:history="1">
            <w:r w:rsidR="00F12A19" w:rsidRPr="00EF628A">
              <w:rPr>
                <w:rStyle w:val="Hyperlink"/>
                <w:noProof/>
              </w:rPr>
              <w:t>11.2</w:t>
            </w:r>
            <w:r w:rsidR="00F12A19">
              <w:rPr>
                <w:rFonts w:asciiTheme="minorHAnsi" w:hAnsiTheme="minorHAnsi"/>
                <w:noProof/>
                <w:sz w:val="22"/>
                <w:lang w:val="en-AU" w:eastAsia="en-AU"/>
              </w:rPr>
              <w:tab/>
            </w:r>
            <w:r w:rsidR="00F12A19" w:rsidRPr="00EF628A">
              <w:rPr>
                <w:rStyle w:val="Hyperlink"/>
                <w:noProof/>
              </w:rPr>
              <w:t>Description of techniques</w:t>
            </w:r>
            <w:r w:rsidR="00F12A19">
              <w:rPr>
                <w:noProof/>
                <w:webHidden/>
              </w:rPr>
              <w:tab/>
            </w:r>
            <w:r>
              <w:rPr>
                <w:noProof/>
                <w:webHidden/>
              </w:rPr>
              <w:fldChar w:fldCharType="begin"/>
            </w:r>
            <w:r w:rsidR="00F12A19">
              <w:rPr>
                <w:noProof/>
                <w:webHidden/>
              </w:rPr>
              <w:instrText xml:space="preserve"> PAGEREF _Toc402425345 \h </w:instrText>
            </w:r>
            <w:r>
              <w:rPr>
                <w:noProof/>
                <w:webHidden/>
              </w:rPr>
            </w:r>
            <w:r>
              <w:rPr>
                <w:noProof/>
                <w:webHidden/>
              </w:rPr>
              <w:fldChar w:fldCharType="separate"/>
            </w:r>
            <w:r w:rsidR="00906141">
              <w:rPr>
                <w:noProof/>
                <w:webHidden/>
              </w:rPr>
              <w:t>91</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6" w:history="1">
            <w:r w:rsidR="00F12A19" w:rsidRPr="00EF628A">
              <w:rPr>
                <w:rStyle w:val="Hyperlink"/>
                <w:noProof/>
              </w:rPr>
              <w:t>11.3</w:t>
            </w:r>
            <w:r w:rsidR="00F12A19">
              <w:rPr>
                <w:rFonts w:asciiTheme="minorHAnsi" w:hAnsiTheme="minorHAnsi"/>
                <w:noProof/>
                <w:sz w:val="22"/>
                <w:lang w:val="en-AU" w:eastAsia="en-AU"/>
              </w:rPr>
              <w:tab/>
            </w:r>
            <w:r w:rsidR="00F12A19" w:rsidRPr="00EF628A">
              <w:rPr>
                <w:rStyle w:val="Hyperlink"/>
                <w:noProof/>
              </w:rPr>
              <w:t>Monitoring plan and instrument selection</w:t>
            </w:r>
            <w:r w:rsidR="00F12A19">
              <w:rPr>
                <w:noProof/>
                <w:webHidden/>
              </w:rPr>
              <w:tab/>
            </w:r>
            <w:r>
              <w:rPr>
                <w:noProof/>
                <w:webHidden/>
              </w:rPr>
              <w:fldChar w:fldCharType="begin"/>
            </w:r>
            <w:r w:rsidR="00F12A19">
              <w:rPr>
                <w:noProof/>
                <w:webHidden/>
              </w:rPr>
              <w:instrText xml:space="preserve"> PAGEREF _Toc402425346 \h </w:instrText>
            </w:r>
            <w:r>
              <w:rPr>
                <w:noProof/>
                <w:webHidden/>
              </w:rPr>
            </w:r>
            <w:r>
              <w:rPr>
                <w:noProof/>
                <w:webHidden/>
              </w:rPr>
              <w:fldChar w:fldCharType="separate"/>
            </w:r>
            <w:r w:rsidR="00906141">
              <w:rPr>
                <w:noProof/>
                <w:webHidden/>
              </w:rPr>
              <w:t>109</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7" w:history="1">
            <w:r w:rsidR="00F12A19" w:rsidRPr="00EF628A">
              <w:rPr>
                <w:rStyle w:val="Hyperlink"/>
                <w:noProof/>
              </w:rPr>
              <w:t>11.4</w:t>
            </w:r>
            <w:r w:rsidR="00F12A19">
              <w:rPr>
                <w:rFonts w:asciiTheme="minorHAnsi" w:hAnsiTheme="minorHAnsi"/>
                <w:noProof/>
                <w:sz w:val="22"/>
                <w:lang w:val="en-AU" w:eastAsia="en-AU"/>
              </w:rPr>
              <w:tab/>
            </w:r>
            <w:r w:rsidR="00F12A19" w:rsidRPr="00EF628A">
              <w:rPr>
                <w:rStyle w:val="Hyperlink"/>
                <w:noProof/>
              </w:rPr>
              <w:t>Framework for subsidence monitoring</w:t>
            </w:r>
            <w:r w:rsidR="00F12A19">
              <w:rPr>
                <w:noProof/>
                <w:webHidden/>
              </w:rPr>
              <w:tab/>
            </w:r>
            <w:r>
              <w:rPr>
                <w:noProof/>
                <w:webHidden/>
              </w:rPr>
              <w:fldChar w:fldCharType="begin"/>
            </w:r>
            <w:r w:rsidR="00F12A19">
              <w:rPr>
                <w:noProof/>
                <w:webHidden/>
              </w:rPr>
              <w:instrText xml:space="preserve"> PAGEREF _Toc402425347 \h </w:instrText>
            </w:r>
            <w:r>
              <w:rPr>
                <w:noProof/>
                <w:webHidden/>
              </w:rPr>
            </w:r>
            <w:r>
              <w:rPr>
                <w:noProof/>
                <w:webHidden/>
              </w:rPr>
              <w:fldChar w:fldCharType="separate"/>
            </w:r>
            <w:r w:rsidR="00906141">
              <w:rPr>
                <w:noProof/>
                <w:webHidden/>
              </w:rPr>
              <w:t>115</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48" w:history="1">
            <w:r w:rsidR="00F12A19" w:rsidRPr="00EF628A">
              <w:rPr>
                <w:rStyle w:val="Hyperlink"/>
                <w:noProof/>
              </w:rPr>
              <w:t>12</w:t>
            </w:r>
            <w:r w:rsidR="00F12A19">
              <w:rPr>
                <w:rFonts w:asciiTheme="minorHAnsi" w:hAnsiTheme="minorHAnsi"/>
                <w:noProof/>
                <w:sz w:val="22"/>
                <w:lang w:val="en-AU" w:eastAsia="en-AU"/>
              </w:rPr>
              <w:tab/>
            </w:r>
            <w:r w:rsidR="00F12A19" w:rsidRPr="00EF628A">
              <w:rPr>
                <w:rStyle w:val="Hyperlink"/>
                <w:noProof/>
              </w:rPr>
              <w:t>Subsidence management strategies</w:t>
            </w:r>
            <w:r w:rsidR="00F12A19">
              <w:rPr>
                <w:noProof/>
                <w:webHidden/>
              </w:rPr>
              <w:tab/>
            </w:r>
            <w:r>
              <w:rPr>
                <w:noProof/>
                <w:webHidden/>
              </w:rPr>
              <w:fldChar w:fldCharType="begin"/>
            </w:r>
            <w:r w:rsidR="00F12A19">
              <w:rPr>
                <w:noProof/>
                <w:webHidden/>
              </w:rPr>
              <w:instrText xml:space="preserve"> PAGEREF _Toc402425348 \h </w:instrText>
            </w:r>
            <w:r>
              <w:rPr>
                <w:noProof/>
                <w:webHidden/>
              </w:rPr>
            </w:r>
            <w:r>
              <w:rPr>
                <w:noProof/>
                <w:webHidden/>
              </w:rPr>
              <w:fldChar w:fldCharType="separate"/>
            </w:r>
            <w:r w:rsidR="00906141">
              <w:rPr>
                <w:noProof/>
                <w:webHidden/>
              </w:rPr>
              <w:t>118</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49" w:history="1">
            <w:r w:rsidR="00F12A19" w:rsidRPr="00EF628A">
              <w:rPr>
                <w:rStyle w:val="Hyperlink"/>
                <w:noProof/>
              </w:rPr>
              <w:t>12.1</w:t>
            </w:r>
            <w:r w:rsidR="00F12A19">
              <w:rPr>
                <w:rFonts w:asciiTheme="minorHAnsi" w:hAnsiTheme="minorHAnsi"/>
                <w:noProof/>
                <w:sz w:val="22"/>
                <w:lang w:val="en-AU" w:eastAsia="en-AU"/>
              </w:rPr>
              <w:tab/>
            </w:r>
            <w:r w:rsidR="00F12A19" w:rsidRPr="00EF628A">
              <w:rPr>
                <w:rStyle w:val="Hyperlink"/>
                <w:noProof/>
              </w:rPr>
              <w:t>Risk assessment approach</w:t>
            </w:r>
            <w:r w:rsidR="00F12A19">
              <w:rPr>
                <w:noProof/>
                <w:webHidden/>
              </w:rPr>
              <w:tab/>
            </w:r>
            <w:r>
              <w:rPr>
                <w:noProof/>
                <w:webHidden/>
              </w:rPr>
              <w:fldChar w:fldCharType="begin"/>
            </w:r>
            <w:r w:rsidR="00F12A19">
              <w:rPr>
                <w:noProof/>
                <w:webHidden/>
              </w:rPr>
              <w:instrText xml:space="preserve"> PAGEREF _Toc402425349 \h </w:instrText>
            </w:r>
            <w:r>
              <w:rPr>
                <w:noProof/>
                <w:webHidden/>
              </w:rPr>
            </w:r>
            <w:r>
              <w:rPr>
                <w:noProof/>
                <w:webHidden/>
              </w:rPr>
              <w:fldChar w:fldCharType="separate"/>
            </w:r>
            <w:r w:rsidR="00906141">
              <w:rPr>
                <w:noProof/>
                <w:webHidden/>
              </w:rPr>
              <w:t>118</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50" w:history="1">
            <w:r w:rsidR="00F12A19" w:rsidRPr="00EF628A">
              <w:rPr>
                <w:rStyle w:val="Hyperlink"/>
                <w:noProof/>
              </w:rPr>
              <w:t>12.2</w:t>
            </w:r>
            <w:r w:rsidR="00F12A19">
              <w:rPr>
                <w:rFonts w:asciiTheme="minorHAnsi" w:hAnsiTheme="minorHAnsi"/>
                <w:noProof/>
                <w:sz w:val="22"/>
                <w:lang w:val="en-AU" w:eastAsia="en-AU"/>
              </w:rPr>
              <w:tab/>
            </w:r>
            <w:r w:rsidR="00F12A19" w:rsidRPr="00EF628A">
              <w:rPr>
                <w:rStyle w:val="Hyperlink"/>
                <w:noProof/>
              </w:rPr>
              <w:t>Subsidence thresholds</w:t>
            </w:r>
            <w:r w:rsidR="00F12A19">
              <w:rPr>
                <w:noProof/>
                <w:webHidden/>
              </w:rPr>
              <w:tab/>
            </w:r>
            <w:r>
              <w:rPr>
                <w:noProof/>
                <w:webHidden/>
              </w:rPr>
              <w:fldChar w:fldCharType="begin"/>
            </w:r>
            <w:r w:rsidR="00F12A19">
              <w:rPr>
                <w:noProof/>
                <w:webHidden/>
              </w:rPr>
              <w:instrText xml:space="preserve"> PAGEREF _Toc402425350 \h </w:instrText>
            </w:r>
            <w:r>
              <w:rPr>
                <w:noProof/>
                <w:webHidden/>
              </w:rPr>
            </w:r>
            <w:r>
              <w:rPr>
                <w:noProof/>
                <w:webHidden/>
              </w:rPr>
              <w:fldChar w:fldCharType="separate"/>
            </w:r>
            <w:r w:rsidR="00906141">
              <w:rPr>
                <w:noProof/>
                <w:webHidden/>
              </w:rPr>
              <w:t>120</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51" w:history="1">
            <w:r w:rsidR="00F12A19" w:rsidRPr="00EF628A">
              <w:rPr>
                <w:rStyle w:val="Hyperlink"/>
                <w:noProof/>
              </w:rPr>
              <w:t>12.3</w:t>
            </w:r>
            <w:r w:rsidR="00F12A19">
              <w:rPr>
                <w:rFonts w:asciiTheme="minorHAnsi" w:hAnsiTheme="minorHAnsi"/>
                <w:noProof/>
                <w:sz w:val="22"/>
                <w:lang w:val="en-AU" w:eastAsia="en-AU"/>
              </w:rPr>
              <w:tab/>
            </w:r>
            <w:r w:rsidR="00F12A19" w:rsidRPr="00EF628A">
              <w:rPr>
                <w:rStyle w:val="Hyperlink"/>
                <w:noProof/>
              </w:rPr>
              <w:t>Subsidence monitoring</w:t>
            </w:r>
            <w:r w:rsidR="00F12A19">
              <w:rPr>
                <w:noProof/>
                <w:webHidden/>
              </w:rPr>
              <w:tab/>
            </w:r>
            <w:r>
              <w:rPr>
                <w:noProof/>
                <w:webHidden/>
              </w:rPr>
              <w:fldChar w:fldCharType="begin"/>
            </w:r>
            <w:r w:rsidR="00F12A19">
              <w:rPr>
                <w:noProof/>
                <w:webHidden/>
              </w:rPr>
              <w:instrText xml:space="preserve"> PAGEREF _Toc402425351 \h </w:instrText>
            </w:r>
            <w:r>
              <w:rPr>
                <w:noProof/>
                <w:webHidden/>
              </w:rPr>
            </w:r>
            <w:r>
              <w:rPr>
                <w:noProof/>
                <w:webHidden/>
              </w:rPr>
              <w:fldChar w:fldCharType="separate"/>
            </w:r>
            <w:r w:rsidR="00906141">
              <w:rPr>
                <w:noProof/>
                <w:webHidden/>
              </w:rPr>
              <w:t>121</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52" w:history="1">
            <w:r w:rsidR="00F12A19" w:rsidRPr="00EF628A">
              <w:rPr>
                <w:rStyle w:val="Hyperlink"/>
                <w:noProof/>
              </w:rPr>
              <w:t>12.4</w:t>
            </w:r>
            <w:r w:rsidR="00F12A19">
              <w:rPr>
                <w:rFonts w:asciiTheme="minorHAnsi" w:hAnsiTheme="minorHAnsi"/>
                <w:noProof/>
                <w:sz w:val="22"/>
                <w:lang w:val="en-AU" w:eastAsia="en-AU"/>
              </w:rPr>
              <w:tab/>
            </w:r>
            <w:r w:rsidR="00F12A19" w:rsidRPr="00EF628A">
              <w:rPr>
                <w:rStyle w:val="Hyperlink"/>
                <w:noProof/>
              </w:rPr>
              <w:t>Subsidence management responses</w:t>
            </w:r>
            <w:r w:rsidR="00F12A19">
              <w:rPr>
                <w:noProof/>
                <w:webHidden/>
              </w:rPr>
              <w:tab/>
            </w:r>
            <w:r>
              <w:rPr>
                <w:noProof/>
                <w:webHidden/>
              </w:rPr>
              <w:fldChar w:fldCharType="begin"/>
            </w:r>
            <w:r w:rsidR="00F12A19">
              <w:rPr>
                <w:noProof/>
                <w:webHidden/>
              </w:rPr>
              <w:instrText xml:space="preserve"> PAGEREF _Toc402425352 \h </w:instrText>
            </w:r>
            <w:r>
              <w:rPr>
                <w:noProof/>
                <w:webHidden/>
              </w:rPr>
            </w:r>
            <w:r>
              <w:rPr>
                <w:noProof/>
                <w:webHidden/>
              </w:rPr>
              <w:fldChar w:fldCharType="separate"/>
            </w:r>
            <w:r w:rsidR="00906141">
              <w:rPr>
                <w:noProof/>
                <w:webHidden/>
              </w:rPr>
              <w:t>122</w:t>
            </w:r>
            <w:r>
              <w:rPr>
                <w:noProof/>
                <w:webHidden/>
              </w:rPr>
              <w:fldChar w:fldCharType="end"/>
            </w:r>
          </w:hyperlink>
        </w:p>
        <w:p w:rsidR="00F12A19" w:rsidRDefault="00E252C4">
          <w:pPr>
            <w:pStyle w:val="TOC2"/>
            <w:tabs>
              <w:tab w:val="left" w:pos="849"/>
              <w:tab w:val="right" w:leader="dot" w:pos="9054"/>
            </w:tabs>
            <w:rPr>
              <w:rFonts w:asciiTheme="minorHAnsi" w:hAnsiTheme="minorHAnsi"/>
              <w:noProof/>
              <w:sz w:val="22"/>
              <w:lang w:val="en-AU" w:eastAsia="en-AU"/>
            </w:rPr>
          </w:pPr>
          <w:hyperlink w:anchor="_Toc402425353" w:history="1">
            <w:r w:rsidR="00F12A19" w:rsidRPr="00EF628A">
              <w:rPr>
                <w:rStyle w:val="Hyperlink"/>
                <w:noProof/>
              </w:rPr>
              <w:t>12.5</w:t>
            </w:r>
            <w:r w:rsidR="00F12A19">
              <w:rPr>
                <w:rFonts w:asciiTheme="minorHAnsi" w:hAnsiTheme="minorHAnsi"/>
                <w:noProof/>
                <w:sz w:val="22"/>
                <w:lang w:val="en-AU" w:eastAsia="en-AU"/>
              </w:rPr>
              <w:tab/>
            </w:r>
            <w:r w:rsidR="00F12A19" w:rsidRPr="00EF628A">
              <w:rPr>
                <w:rStyle w:val="Hyperlink"/>
                <w:noProof/>
              </w:rPr>
              <w:t>Example development of subsidence management strategy</w:t>
            </w:r>
            <w:r w:rsidR="00F12A19">
              <w:rPr>
                <w:noProof/>
                <w:webHidden/>
              </w:rPr>
              <w:tab/>
            </w:r>
            <w:r>
              <w:rPr>
                <w:noProof/>
                <w:webHidden/>
              </w:rPr>
              <w:fldChar w:fldCharType="begin"/>
            </w:r>
            <w:r w:rsidR="00F12A19">
              <w:rPr>
                <w:noProof/>
                <w:webHidden/>
              </w:rPr>
              <w:instrText xml:space="preserve"> PAGEREF _Toc402425353 \h </w:instrText>
            </w:r>
            <w:r>
              <w:rPr>
                <w:noProof/>
                <w:webHidden/>
              </w:rPr>
            </w:r>
            <w:r>
              <w:rPr>
                <w:noProof/>
                <w:webHidden/>
              </w:rPr>
              <w:fldChar w:fldCharType="separate"/>
            </w:r>
            <w:r w:rsidR="00906141">
              <w:rPr>
                <w:noProof/>
                <w:webHidden/>
              </w:rPr>
              <w:t>122</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54" w:history="1">
            <w:r w:rsidR="00F12A19" w:rsidRPr="00EF628A">
              <w:rPr>
                <w:rStyle w:val="Hyperlink"/>
                <w:noProof/>
              </w:rPr>
              <w:t>13</w:t>
            </w:r>
            <w:r w:rsidR="00F12A19">
              <w:rPr>
                <w:rFonts w:asciiTheme="minorHAnsi" w:hAnsiTheme="minorHAnsi"/>
                <w:noProof/>
                <w:sz w:val="22"/>
                <w:lang w:val="en-AU" w:eastAsia="en-AU"/>
              </w:rPr>
              <w:tab/>
            </w:r>
            <w:r w:rsidR="00F12A19" w:rsidRPr="00EF628A">
              <w:rPr>
                <w:rStyle w:val="Hyperlink"/>
                <w:noProof/>
              </w:rPr>
              <w:t>Conclusions and summary</w:t>
            </w:r>
            <w:r w:rsidR="00F12A19">
              <w:rPr>
                <w:noProof/>
                <w:webHidden/>
              </w:rPr>
              <w:tab/>
            </w:r>
            <w:r>
              <w:rPr>
                <w:noProof/>
                <w:webHidden/>
              </w:rPr>
              <w:fldChar w:fldCharType="begin"/>
            </w:r>
            <w:r w:rsidR="00F12A19">
              <w:rPr>
                <w:noProof/>
                <w:webHidden/>
              </w:rPr>
              <w:instrText xml:space="preserve"> PAGEREF _Toc402425354 \h </w:instrText>
            </w:r>
            <w:r>
              <w:rPr>
                <w:noProof/>
                <w:webHidden/>
              </w:rPr>
            </w:r>
            <w:r>
              <w:rPr>
                <w:noProof/>
                <w:webHidden/>
              </w:rPr>
              <w:fldChar w:fldCharType="separate"/>
            </w:r>
            <w:r w:rsidR="00906141">
              <w:rPr>
                <w:noProof/>
                <w:webHidden/>
              </w:rPr>
              <w:t>125</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55" w:history="1">
            <w:r w:rsidR="00F12A19" w:rsidRPr="00EF628A">
              <w:rPr>
                <w:rStyle w:val="Hyperlink"/>
                <w:noProof/>
              </w:rPr>
              <w:t>14</w:t>
            </w:r>
            <w:r w:rsidR="00F12A19">
              <w:rPr>
                <w:rFonts w:asciiTheme="minorHAnsi" w:hAnsiTheme="minorHAnsi"/>
                <w:noProof/>
                <w:sz w:val="22"/>
                <w:lang w:val="en-AU" w:eastAsia="en-AU"/>
              </w:rPr>
              <w:tab/>
            </w:r>
            <w:r w:rsidR="00F12A19" w:rsidRPr="00EF628A">
              <w:rPr>
                <w:rStyle w:val="Hyperlink"/>
                <w:noProof/>
              </w:rPr>
              <w:t>Knowledge gaps and critical research requirements</w:t>
            </w:r>
            <w:r w:rsidR="00F12A19">
              <w:rPr>
                <w:noProof/>
                <w:webHidden/>
              </w:rPr>
              <w:tab/>
            </w:r>
            <w:r>
              <w:rPr>
                <w:noProof/>
                <w:webHidden/>
              </w:rPr>
              <w:fldChar w:fldCharType="begin"/>
            </w:r>
            <w:r w:rsidR="00F12A19">
              <w:rPr>
                <w:noProof/>
                <w:webHidden/>
              </w:rPr>
              <w:instrText xml:space="preserve"> PAGEREF _Toc402425355 \h </w:instrText>
            </w:r>
            <w:r>
              <w:rPr>
                <w:noProof/>
                <w:webHidden/>
              </w:rPr>
            </w:r>
            <w:r>
              <w:rPr>
                <w:noProof/>
                <w:webHidden/>
              </w:rPr>
              <w:fldChar w:fldCharType="separate"/>
            </w:r>
            <w:r w:rsidR="00906141">
              <w:rPr>
                <w:noProof/>
                <w:webHidden/>
              </w:rPr>
              <w:t>127</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56" w:history="1">
            <w:r w:rsidR="00F12A19" w:rsidRPr="00EF628A">
              <w:rPr>
                <w:rStyle w:val="Hyperlink"/>
                <w:noProof/>
              </w:rPr>
              <w:t>15</w:t>
            </w:r>
            <w:r w:rsidR="00F12A19">
              <w:rPr>
                <w:rFonts w:asciiTheme="minorHAnsi" w:hAnsiTheme="minorHAnsi"/>
                <w:noProof/>
                <w:sz w:val="22"/>
                <w:lang w:val="en-AU" w:eastAsia="en-AU"/>
              </w:rPr>
              <w:tab/>
            </w:r>
            <w:r w:rsidR="00F12A19" w:rsidRPr="00EF628A">
              <w:rPr>
                <w:rStyle w:val="Hyperlink"/>
                <w:noProof/>
              </w:rPr>
              <w:t>References</w:t>
            </w:r>
            <w:r w:rsidR="00F12A19">
              <w:rPr>
                <w:noProof/>
                <w:webHidden/>
              </w:rPr>
              <w:tab/>
            </w:r>
            <w:r>
              <w:rPr>
                <w:noProof/>
                <w:webHidden/>
              </w:rPr>
              <w:fldChar w:fldCharType="begin"/>
            </w:r>
            <w:r w:rsidR="00F12A19">
              <w:rPr>
                <w:noProof/>
                <w:webHidden/>
              </w:rPr>
              <w:instrText xml:space="preserve"> PAGEREF _Toc402425356 \h </w:instrText>
            </w:r>
            <w:r>
              <w:rPr>
                <w:noProof/>
                <w:webHidden/>
              </w:rPr>
            </w:r>
            <w:r>
              <w:rPr>
                <w:noProof/>
                <w:webHidden/>
              </w:rPr>
              <w:fldChar w:fldCharType="separate"/>
            </w:r>
            <w:r w:rsidR="00906141">
              <w:rPr>
                <w:noProof/>
                <w:webHidden/>
              </w:rPr>
              <w:t>128</w:t>
            </w:r>
            <w:r>
              <w:rPr>
                <w:noProof/>
                <w:webHidden/>
              </w:rPr>
              <w:fldChar w:fldCharType="end"/>
            </w:r>
          </w:hyperlink>
        </w:p>
        <w:p w:rsidR="00F12A19" w:rsidRDefault="00E252C4">
          <w:pPr>
            <w:pStyle w:val="TOC1"/>
            <w:rPr>
              <w:rFonts w:asciiTheme="minorHAnsi" w:hAnsiTheme="minorHAnsi"/>
              <w:noProof/>
              <w:sz w:val="22"/>
              <w:lang w:val="en-AU" w:eastAsia="en-AU"/>
            </w:rPr>
          </w:pPr>
          <w:hyperlink w:anchor="_Toc402425357" w:history="1">
            <w:r w:rsidR="00F12A19" w:rsidRPr="00EF628A">
              <w:rPr>
                <w:rStyle w:val="Hyperlink"/>
                <w:noProof/>
              </w:rPr>
              <w:t>Appendix A - Coal seam gas workshop</w:t>
            </w:r>
            <w:r w:rsidR="00F12A19">
              <w:rPr>
                <w:noProof/>
                <w:webHidden/>
              </w:rPr>
              <w:tab/>
            </w:r>
            <w:r>
              <w:rPr>
                <w:noProof/>
                <w:webHidden/>
              </w:rPr>
              <w:fldChar w:fldCharType="begin"/>
            </w:r>
            <w:r w:rsidR="00F12A19">
              <w:rPr>
                <w:noProof/>
                <w:webHidden/>
              </w:rPr>
              <w:instrText xml:space="preserve"> PAGEREF _Toc402425357 \h </w:instrText>
            </w:r>
            <w:r>
              <w:rPr>
                <w:noProof/>
                <w:webHidden/>
              </w:rPr>
            </w:r>
            <w:r>
              <w:rPr>
                <w:noProof/>
                <w:webHidden/>
              </w:rPr>
              <w:fldChar w:fldCharType="separate"/>
            </w:r>
            <w:r w:rsidR="00906141">
              <w:rPr>
                <w:noProof/>
                <w:webHidden/>
              </w:rPr>
              <w:t>137</w:t>
            </w:r>
            <w:r>
              <w:rPr>
                <w:noProof/>
                <w:webHidden/>
              </w:rPr>
              <w:fldChar w:fldCharType="end"/>
            </w:r>
          </w:hyperlink>
        </w:p>
        <w:p w:rsidR="00810EE2" w:rsidRDefault="00E252C4" w:rsidP="00166D9B">
          <w:pPr>
            <w:rPr>
              <w:noProof/>
            </w:rPr>
          </w:pPr>
          <w:r>
            <w:rPr>
              <w:noProof/>
              <w:sz w:val="20"/>
            </w:rPr>
            <w:fldChar w:fldCharType="end"/>
          </w:r>
        </w:p>
      </w:sdtContent>
    </w:sdt>
    <w:p w:rsidR="004604CF" w:rsidRDefault="00623C1C" w:rsidP="001E6DBD">
      <w:pPr>
        <w:pStyle w:val="SummaryH1"/>
      </w:pPr>
      <w:bookmarkStart w:id="8" w:name="_Toc333408554"/>
      <w:bookmarkStart w:id="9" w:name="_Toc336932099"/>
      <w:bookmarkStart w:id="10" w:name="_Toc336950933"/>
      <w:bookmarkStart w:id="11" w:name="_Toc351121189"/>
      <w:bookmarkStart w:id="12" w:name="_Toc402425284"/>
      <w:r w:rsidRPr="00CF283E">
        <w:t>Summary</w:t>
      </w:r>
      <w:bookmarkEnd w:id="8"/>
      <w:bookmarkEnd w:id="9"/>
      <w:bookmarkEnd w:id="10"/>
      <w:bookmarkEnd w:id="11"/>
      <w:bookmarkEnd w:id="12"/>
    </w:p>
    <w:p w:rsidR="006D6661" w:rsidRDefault="006D6661" w:rsidP="006D6661">
      <w:pPr>
        <w:pStyle w:val="BRNormal11pt0"/>
        <w:rPr>
          <w:lang w:val="en-GB"/>
        </w:rPr>
      </w:pPr>
      <w:r>
        <w:rPr>
          <w:lang w:val="en-GB"/>
        </w:rPr>
        <w:t>This report presents the outcomes of a project undertaken to build understanding of water-related impacts associated with subsidence induc</w:t>
      </w:r>
      <w:r w:rsidR="00565387">
        <w:rPr>
          <w:lang w:val="en-GB"/>
        </w:rPr>
        <w:t xml:space="preserve">ed by coal seam gas </w:t>
      </w:r>
      <w:r w:rsidR="00DE27A7">
        <w:rPr>
          <w:lang w:val="en-GB"/>
        </w:rPr>
        <w:t>production</w:t>
      </w:r>
      <w:r w:rsidR="00565387">
        <w:rPr>
          <w:lang w:val="en-GB"/>
        </w:rPr>
        <w:t>.</w:t>
      </w:r>
    </w:p>
    <w:p w:rsidR="00E57E0A" w:rsidRDefault="007702DF" w:rsidP="007702DF">
      <w:pPr>
        <w:pStyle w:val="SummaryH2"/>
        <w:pBdr>
          <w:top w:val="single" w:sz="4" w:space="1" w:color="1F497D" w:themeColor="text2"/>
          <w:left w:val="single" w:sz="4" w:space="1" w:color="1F497D" w:themeColor="text2"/>
          <w:bottom w:val="single" w:sz="4" w:space="1" w:color="1F497D" w:themeColor="text2"/>
          <w:right w:val="single" w:sz="4" w:space="1" w:color="1F497D" w:themeColor="text2"/>
        </w:pBdr>
      </w:pPr>
      <w:r>
        <w:t>Main</w:t>
      </w:r>
      <w:r w:rsidR="007B0FCA">
        <w:t xml:space="preserve"> </w:t>
      </w:r>
      <w:r w:rsidR="007B0FCA" w:rsidRPr="0023261D">
        <w:t>points</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Coal seam gas production involves the extraction of groundwater to depressuris</w:t>
      </w:r>
      <w:r w:rsidR="00BC6593">
        <w:t>e</w:t>
      </w:r>
      <w:r w:rsidRPr="00793C9F">
        <w:t xml:space="preserve"> (lower the water pressure</w:t>
      </w:r>
      <w:r w:rsidR="00BC6593">
        <w:t xml:space="preserve"> in</w:t>
      </w:r>
      <w:r w:rsidRPr="00793C9F">
        <w:t xml:space="preserve">) the target coal seam. Land subsidence occurs when soil, coal or rock (geological units) </w:t>
      </w:r>
      <w:r w:rsidR="00A348AC">
        <w:t>compacts</w:t>
      </w:r>
      <w:r w:rsidRPr="00793C9F">
        <w:t xml:space="preserve"> due to changes in ground pressure induced by groundwater extrac</w:t>
      </w:r>
      <w:r w:rsidR="00F82FBB">
        <w:t>tion and degassing of the coal.</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Subsidence at the ground surface is </w:t>
      </w:r>
      <w:r w:rsidR="00BE08E5">
        <w:t>some component of the total compaction</w:t>
      </w:r>
      <w:r w:rsidRPr="00793C9F">
        <w:t xml:space="preserve"> occurring within (potentially) multiple geological units. It is dependent on the groundwater withdrawal, the degassing of the coal, the depth and depth-interval over which compression occurs, and the geotechnical properties of the geological units throughout the </w:t>
      </w:r>
      <w:r w:rsidR="00A348AC">
        <w:t>vertical</w:t>
      </w:r>
      <w:r w:rsidRPr="00793C9F">
        <w:t xml:space="preserve"> profile.</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Currently there are very limited subsidence data available for Australian coal seam gas developments, </w:t>
      </w:r>
      <w:r w:rsidR="00BE08E5">
        <w:t>al</w:t>
      </w:r>
      <w:r w:rsidRPr="00793C9F">
        <w:t xml:space="preserve">though subsidence monitoring is being </w:t>
      </w:r>
      <w:r w:rsidR="00A348AC" w:rsidRPr="00793C9F">
        <w:t>trialed</w:t>
      </w:r>
      <w:r w:rsidRPr="00793C9F">
        <w:t xml:space="preserve"> across coal seam </w:t>
      </w:r>
      <w:r w:rsidR="00E768A6">
        <w:t>gas developments in Queensland.</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No reference to adverse impacts </w:t>
      </w:r>
      <w:r w:rsidR="00A348AC">
        <w:t>of</w:t>
      </w:r>
      <w:r w:rsidRPr="00793C9F">
        <w:t xml:space="preserve"> subsidence due to coal seam gas </w:t>
      </w:r>
      <w:r w:rsidR="00DE27A7">
        <w:t>production</w:t>
      </w:r>
      <w:r w:rsidRPr="00793C9F">
        <w:t xml:space="preserve"> has been identi</w:t>
      </w:r>
      <w:r w:rsidR="00490D5F">
        <w:t>fied in a review of literature.</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Subsidence models can be used to predict the magnitude and extent of subsidence. The outcomes of such assessments can then be used to inform subsidence monitoring schemes and, where required, to manage or mitigate the potential impact</w:t>
      </w:r>
      <w:r w:rsidR="00A348AC">
        <w:t>s</w:t>
      </w:r>
      <w:r w:rsidRPr="00793C9F">
        <w:t xml:space="preserve"> of subsidence on assets.</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Predictive subsidence modelling approaches provide estimates of both </w:t>
      </w:r>
      <w:r w:rsidR="00490D5F">
        <w:t>compaction</w:t>
      </w:r>
      <w:r w:rsidRPr="00793C9F">
        <w:t xml:space="preserve"> of hydrogeological units due to changes in groundwater pressure and </w:t>
      </w:r>
      <w:r w:rsidR="00490D5F">
        <w:t>compaction</w:t>
      </w:r>
      <w:r w:rsidRPr="00793C9F">
        <w:t xml:space="preserve"> of </w:t>
      </w:r>
      <w:r w:rsidR="00867439">
        <w:t>the coal seam due to degassing.</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Subsidence monitoring can provide an early warning of subsidence approaching levels that pose a risk to infrastructure and the environment. A range of instrumentation and monitoring techniques are available </w:t>
      </w:r>
      <w:r w:rsidR="00A348AC">
        <w:t>for</w:t>
      </w:r>
      <w:r w:rsidRPr="00793C9F">
        <w:t xml:space="preserve"> subsidence monitoring.</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 xml:space="preserve">Subsidence management strategies </w:t>
      </w:r>
      <w:r w:rsidR="00490D5F">
        <w:t>aim to</w:t>
      </w:r>
      <w:r w:rsidRPr="00793C9F">
        <w:t xml:space="preserve"> identify, monitor and mitigate the potential impact of CSG-induced subsidence on infrastructure and the environment. These strategies should predict the extent and magnitude of potential subsidence, identify sensitive assets (infrastructure, water resources and ecosystems), and assess the potential impact of predicted subsidence against impact criteria relevant to the type of asset.</w:t>
      </w:r>
    </w:p>
    <w:p w:rsidR="00E57E0A" w:rsidRDefault="00793C9F" w:rsidP="007702DF">
      <w:pPr>
        <w:pStyle w:val="BRdotpoints"/>
        <w:pBdr>
          <w:top w:val="single" w:sz="4" w:space="1" w:color="1F497D" w:themeColor="text2"/>
          <w:left w:val="single" w:sz="4" w:space="1" w:color="1F497D" w:themeColor="text2"/>
          <w:bottom w:val="single" w:sz="4" w:space="1" w:color="1F497D" w:themeColor="text2"/>
          <w:right w:val="single" w:sz="4" w:space="1" w:color="1F497D" w:themeColor="text2"/>
        </w:pBdr>
      </w:pPr>
      <w:r w:rsidRPr="00793C9F">
        <w:t>Subsidence management strategies should also include an assessment of potential risks, a review of monitoring data on a periodic basis, mitigation measures to reduce the expected impact, or other alternative courses of action such as modification of the coal seam gas production design.</w:t>
      </w:r>
    </w:p>
    <w:p w:rsidR="000F4F67" w:rsidRDefault="000F4F67">
      <w:pPr>
        <w:autoSpaceDE/>
        <w:autoSpaceDN/>
        <w:rPr>
          <w:rFonts w:cs="Arial"/>
          <w:b/>
          <w:color w:val="1F497D" w:themeColor="text2"/>
          <w:sz w:val="30"/>
          <w:szCs w:val="30"/>
        </w:rPr>
      </w:pPr>
      <w:r>
        <w:br w:type="page"/>
      </w:r>
    </w:p>
    <w:p w:rsidR="007B0FCA" w:rsidRDefault="00286EB1" w:rsidP="007B0FCA">
      <w:pPr>
        <w:pStyle w:val="SummaryH2"/>
      </w:pPr>
      <w:r>
        <w:t xml:space="preserve">Coal </w:t>
      </w:r>
      <w:r w:rsidR="00FD23B8">
        <w:t>s</w:t>
      </w:r>
      <w:r>
        <w:t xml:space="preserve">eam </w:t>
      </w:r>
      <w:r w:rsidR="00FD23B8">
        <w:t>g</w:t>
      </w:r>
      <w:r>
        <w:t xml:space="preserve">as </w:t>
      </w:r>
      <w:r w:rsidR="00FD23B8">
        <w:t>p</w:t>
      </w:r>
      <w:r w:rsidR="007B0FCA">
        <w:t>roduction</w:t>
      </w:r>
    </w:p>
    <w:p w:rsidR="006D6661" w:rsidRDefault="007B0FCA" w:rsidP="007B0FCA">
      <w:pPr>
        <w:pStyle w:val="BRNormal11pt0"/>
      </w:pPr>
      <w:r>
        <w:t xml:space="preserve">Coal seam gas is a type of natural gas </w:t>
      </w:r>
      <w:r w:rsidR="00BC6593">
        <w:t xml:space="preserve">produced </w:t>
      </w:r>
      <w:r>
        <w:t>from coal seams at depth (generally more than 200</w:t>
      </w:r>
      <w:r w:rsidR="00726D2E">
        <w:t> </w:t>
      </w:r>
      <w:r>
        <w:t xml:space="preserve">m below the ground surface). It is an increasing source of natural gas around the world and Australia possesses </w:t>
      </w:r>
      <w:r w:rsidR="00F95B2F">
        <w:t xml:space="preserve">substantial </w:t>
      </w:r>
      <w:r>
        <w:t xml:space="preserve">deposits. Coal seam gas production involves the extraction of groundwater </w:t>
      </w:r>
      <w:r w:rsidR="00BC6593">
        <w:t>to</w:t>
      </w:r>
      <w:r>
        <w:t xml:space="preserve"> depressuris</w:t>
      </w:r>
      <w:r w:rsidR="00BC6593">
        <w:t>e</w:t>
      </w:r>
      <w:r>
        <w:t xml:space="preserve"> (lower </w:t>
      </w:r>
      <w:r w:rsidR="00BC6593">
        <w:t xml:space="preserve">the </w:t>
      </w:r>
      <w:r>
        <w:t>water pre</w:t>
      </w:r>
      <w:r w:rsidR="007702D6">
        <w:t>ssure</w:t>
      </w:r>
      <w:r w:rsidR="00BC6593">
        <w:t xml:space="preserve"> in</w:t>
      </w:r>
      <w:r w:rsidR="007702D6">
        <w:t>) the target coal seam.</w:t>
      </w:r>
    </w:p>
    <w:p w:rsidR="007B0FCA" w:rsidRDefault="007B0FCA" w:rsidP="007B0FCA">
      <w:pPr>
        <w:pStyle w:val="BRNormal11pt0"/>
      </w:pPr>
      <w:r>
        <w:t xml:space="preserve">Coal seam gas developments in Australia are </w:t>
      </w:r>
      <w:r w:rsidR="00B5272B">
        <w:t>predominantly</w:t>
      </w:r>
      <w:r>
        <w:t xml:space="preserve"> located in rural areas with established groundwater abstraction </w:t>
      </w:r>
      <w:r w:rsidR="007702D6">
        <w:t xml:space="preserve">regimes </w:t>
      </w:r>
      <w:r>
        <w:t>(such as for agricultural, mining or domestic use). Existing and proposed developments lie within the Sydney, Bowen, Surat, Galilee, Clarence Morton, Gloucester, Otway, Gippsland and Cooper Basins, in Queensland, New South Wales, Victoria and South Australia. The geological conditions in these basins typically comprise surficial alluvial soil systems underlain by consolidated sedimentary rock units (</w:t>
      </w:r>
      <w:r w:rsidR="006D6661">
        <w:t>e.g.</w:t>
      </w:r>
      <w:r w:rsidR="007702DF">
        <w:t> </w:t>
      </w:r>
      <w:r>
        <w:t xml:space="preserve">sandstone, siltstone, </w:t>
      </w:r>
      <w:proofErr w:type="gramStart"/>
      <w:r>
        <w:t>mudstone</w:t>
      </w:r>
      <w:proofErr w:type="gramEnd"/>
      <w:r>
        <w:t>) with coal seams interbedded in layered sedimentary rock.</w:t>
      </w:r>
    </w:p>
    <w:p w:rsidR="007B0FCA" w:rsidRDefault="00286EB1" w:rsidP="007B0FCA">
      <w:pPr>
        <w:pStyle w:val="SummaryH2"/>
      </w:pPr>
      <w:r>
        <w:t xml:space="preserve">Development of </w:t>
      </w:r>
      <w:r w:rsidR="00FD23B8">
        <w:t>s</w:t>
      </w:r>
      <w:r w:rsidR="007B0FCA">
        <w:t>ubsidence</w:t>
      </w:r>
    </w:p>
    <w:p w:rsidR="007B0FCA" w:rsidRDefault="007B0FCA" w:rsidP="007B0FCA">
      <w:pPr>
        <w:pStyle w:val="BRNormal11pt0"/>
      </w:pPr>
      <w:r>
        <w:t xml:space="preserve">Land subsidence occurs when soil, coal or rock (geological units) </w:t>
      </w:r>
      <w:r w:rsidR="007702D6">
        <w:t>compact</w:t>
      </w:r>
      <w:r>
        <w:t xml:space="preserve"> due to changes in ground pressure. Coal seam gas </w:t>
      </w:r>
      <w:r w:rsidR="00B448B0">
        <w:t>production</w:t>
      </w:r>
      <w:r>
        <w:t xml:space="preserve"> involves withdrawal of groundwater to reduce the pressure in </w:t>
      </w:r>
      <w:r w:rsidR="00147154">
        <w:t>a</w:t>
      </w:r>
      <w:r>
        <w:t xml:space="preserve"> gas-bearing formation and liberate the gas. </w:t>
      </w:r>
      <w:proofErr w:type="gramStart"/>
      <w:r>
        <w:t xml:space="preserve">The reduction in pressure results in </w:t>
      </w:r>
      <w:r w:rsidR="007702D6">
        <w:t>compaction</w:t>
      </w:r>
      <w:r>
        <w:t xml:space="preserve"> of the geological units in which depressurisation occur</w:t>
      </w:r>
      <w:r w:rsidR="007702D6">
        <w:t>s</w:t>
      </w:r>
      <w:r>
        <w:t>.</w:t>
      </w:r>
      <w:proofErr w:type="gramEnd"/>
      <w:r>
        <w:t xml:space="preserve"> In addition, the liberation of gas from coal seams results in </w:t>
      </w:r>
      <w:r w:rsidR="007702D6">
        <w:t>compaction</w:t>
      </w:r>
      <w:r>
        <w:t xml:space="preserve"> of the coal.</w:t>
      </w:r>
    </w:p>
    <w:p w:rsidR="007B0FCA" w:rsidRDefault="007B0FCA" w:rsidP="007B0FCA">
      <w:pPr>
        <w:pStyle w:val="BRNormal11pt0"/>
      </w:pPr>
      <w:r>
        <w:t xml:space="preserve">Subsidence at the ground surface is </w:t>
      </w:r>
      <w:r w:rsidR="007702D6">
        <w:t>some component of the total compaction</w:t>
      </w:r>
      <w:r>
        <w:t xml:space="preserve"> occurring within (potentially) multiple geological units. It is dependent on the magnitude and direction of compression (which is dictated by </w:t>
      </w:r>
      <w:r w:rsidR="00867439">
        <w:t xml:space="preserve">pressure changes from </w:t>
      </w:r>
      <w:r>
        <w:t>groundwater withdrawal</w:t>
      </w:r>
      <w:r w:rsidR="00867439">
        <w:t xml:space="preserve"> and desorption of gas from coal seams</w:t>
      </w:r>
      <w:r>
        <w:t>), the depth and depth-interval over which compression occurs, and the geotechnical properties of the geological units throughout the depth profile.</w:t>
      </w:r>
    </w:p>
    <w:p w:rsidR="007B0FCA" w:rsidRDefault="00286EB1" w:rsidP="007B0FCA">
      <w:pPr>
        <w:pStyle w:val="SummaryH2"/>
      </w:pPr>
      <w:r>
        <w:t xml:space="preserve">Impacts of </w:t>
      </w:r>
      <w:r w:rsidR="00FD23B8">
        <w:t>s</w:t>
      </w:r>
      <w:r w:rsidR="007B0FCA">
        <w:t>ubsidence</w:t>
      </w:r>
    </w:p>
    <w:p w:rsidR="007B0FCA" w:rsidRDefault="007B0FCA" w:rsidP="007B0FCA">
      <w:pPr>
        <w:pStyle w:val="BRNormal11pt0"/>
      </w:pPr>
      <w:r>
        <w:t xml:space="preserve">Land subsidence may </w:t>
      </w:r>
      <w:r w:rsidR="007702D6">
        <w:t>affect</w:t>
      </w:r>
      <w:r>
        <w:t xml:space="preserve"> a variety of assets, including infrastructure (such as buildings, roads, railways, pipelines, dams, water channels, levees and electrical infrastructure) and environmental assets (such as aquifers, groundwater dependent ecosystems, streams, lakes, springs, and </w:t>
      </w:r>
      <w:r w:rsidR="006E124E">
        <w:t>other surface water resources).</w:t>
      </w:r>
    </w:p>
    <w:p w:rsidR="007B0FCA" w:rsidRDefault="007B0FCA" w:rsidP="007B0FCA">
      <w:pPr>
        <w:pStyle w:val="BRNormal11pt0"/>
      </w:pPr>
      <w:r>
        <w:t>Impacts of subsidence on infrastructure could include structural damage to buildings, buried pipes and sewers</w:t>
      </w:r>
      <w:r w:rsidR="005D37B0">
        <w:t>,</w:t>
      </w:r>
      <w:r>
        <w:t xml:space="preserve"> and reduction in stability of buildings and electrical transmission lines and towers/poles. The serviceability of roads and railways may be affected by distortion of the road surface and rail foundation. Depressions in </w:t>
      </w:r>
      <w:r w:rsidR="00147154">
        <w:t xml:space="preserve">the </w:t>
      </w:r>
      <w:r>
        <w:t xml:space="preserve">ground surface due to subsidence may increase exposure to flooding, overflowing levees or storm surges in areas near the coast. The stability, storage and effectiveness of dams and drainage channels may </w:t>
      </w:r>
      <w:r w:rsidR="00147154">
        <w:t xml:space="preserve">also </w:t>
      </w:r>
      <w:r>
        <w:t>be affected by subsidence.</w:t>
      </w:r>
    </w:p>
    <w:p w:rsidR="005D37B0" w:rsidRDefault="005D37B0" w:rsidP="007B0FCA">
      <w:pPr>
        <w:pStyle w:val="BRNormal11pt0"/>
      </w:pPr>
      <w:r>
        <w:t>Impacts of subsidence on environmental assets could include the formation of ground fissures and partial or complete loss of surface water drainage to deeper strata, stream bed and bank erosion, development of subsidence troughs and ponding of water, disruption to hillside groundwater springs and sensitive wetlands or swamps, and potential shearing of groundwater supply wells.</w:t>
      </w:r>
    </w:p>
    <w:p w:rsidR="007702DF" w:rsidRDefault="007702DF" w:rsidP="007B0FCA">
      <w:pPr>
        <w:pStyle w:val="SummaryH2"/>
      </w:pPr>
    </w:p>
    <w:p w:rsidR="007B0FCA" w:rsidRDefault="00286EB1" w:rsidP="007B0FCA">
      <w:pPr>
        <w:pStyle w:val="SummaryH2"/>
      </w:pPr>
      <w:r>
        <w:t xml:space="preserve">Subsidence </w:t>
      </w:r>
      <w:r w:rsidR="00FD23B8">
        <w:t>e</w:t>
      </w:r>
      <w:r w:rsidR="007B0FCA">
        <w:t>xperience</w:t>
      </w:r>
    </w:p>
    <w:p w:rsidR="007B0FCA" w:rsidRDefault="007B0FCA" w:rsidP="007B0FCA">
      <w:pPr>
        <w:pStyle w:val="BRNormal11pt0"/>
      </w:pPr>
      <w:r>
        <w:t xml:space="preserve">Currently there are very limited subsidence data available for Australian coal seam gas developments, </w:t>
      </w:r>
      <w:r w:rsidR="00FF61F3">
        <w:t>al</w:t>
      </w:r>
      <w:r>
        <w:t xml:space="preserve">though subsidence monitoring is widely proposed. No reference to adverse impacts arising from subsidence due to coal seam gas </w:t>
      </w:r>
      <w:r w:rsidR="00B448B0">
        <w:t>production</w:t>
      </w:r>
      <w:r>
        <w:t xml:space="preserve"> has been identified in a review of </w:t>
      </w:r>
      <w:r w:rsidR="005D37B0">
        <w:t xml:space="preserve">the </w:t>
      </w:r>
      <w:r>
        <w:t xml:space="preserve">literature. This may be due to the diffuse nature of the induced subsidence or may be a function of the largely rural setting where coal seam gas </w:t>
      </w:r>
      <w:r w:rsidR="00B448B0">
        <w:t>production</w:t>
      </w:r>
      <w:r>
        <w:t xml:space="preserve"> has been carried out. The lack of documented adverse impacts may also be due to the uniformity of subsidence, since it is the surface distortion that results in da</w:t>
      </w:r>
      <w:r w:rsidR="00147154">
        <w:t>mage. Surface distortion could become noticeable</w:t>
      </w:r>
      <w:r>
        <w:t xml:space="preserve"> at locations where faults intersect a coal seam and the surface, where uniform subsidence may be altered to step-subsidence if the fault is reactivated</w:t>
      </w:r>
      <w:r w:rsidR="005D37B0">
        <w:t>.</w:t>
      </w:r>
    </w:p>
    <w:p w:rsidR="007B0FCA" w:rsidRDefault="007B0FCA" w:rsidP="007B0FCA">
      <w:pPr>
        <w:pStyle w:val="SummaryH2"/>
      </w:pPr>
      <w:r>
        <w:t>Predic</w:t>
      </w:r>
      <w:r w:rsidR="00286EB1">
        <w:t xml:space="preserve">ting </w:t>
      </w:r>
      <w:r w:rsidR="00FD23B8">
        <w:t>s</w:t>
      </w:r>
      <w:r>
        <w:t>ubsidence</w:t>
      </w:r>
    </w:p>
    <w:p w:rsidR="007B0FCA" w:rsidRDefault="00FF61F3" w:rsidP="007B0FCA">
      <w:pPr>
        <w:pStyle w:val="BRNormal11pt0"/>
      </w:pPr>
      <w:r>
        <w:t>Subsidence models are often developed t</w:t>
      </w:r>
      <w:r w:rsidR="005E5F70">
        <w:t>o predict the magnitude and extent of subsidence</w:t>
      </w:r>
      <w:r w:rsidR="007B0FCA">
        <w:t xml:space="preserve">. </w:t>
      </w:r>
      <w:r>
        <w:t>M</w:t>
      </w:r>
      <w:r w:rsidR="005E5F70">
        <w:t>odel outputs</w:t>
      </w:r>
      <w:r w:rsidR="007B0FCA">
        <w:t xml:space="preserve"> may then be used to manage or mitigate the potential impact</w:t>
      </w:r>
      <w:r w:rsidR="005E5F70">
        <w:t>s</w:t>
      </w:r>
      <w:r w:rsidR="007B0FCA">
        <w:t xml:space="preserve"> of subsidence on assets, or to inform subsidence monitoring schemes.</w:t>
      </w:r>
    </w:p>
    <w:p w:rsidR="005D37B0" w:rsidRDefault="007B0FCA" w:rsidP="007B0FCA">
      <w:pPr>
        <w:pStyle w:val="BRNormal11pt0"/>
      </w:pPr>
      <w:r>
        <w:t xml:space="preserve">Modelling to predict potential subsidence </w:t>
      </w:r>
      <w:r w:rsidR="005E5F70">
        <w:t xml:space="preserve">may be undertaken </w:t>
      </w:r>
      <w:r>
        <w:t>by either</w:t>
      </w:r>
      <w:r w:rsidR="005D37B0">
        <w:t>:</w:t>
      </w:r>
    </w:p>
    <w:p w:rsidR="00E57E0A" w:rsidRDefault="007B0FCA" w:rsidP="007702DF">
      <w:pPr>
        <w:pStyle w:val="BRdotpoints"/>
      </w:pPr>
      <w:r>
        <w:t>extrapolation of the results of experience</w:t>
      </w:r>
    </w:p>
    <w:p w:rsidR="00E57E0A" w:rsidRDefault="007B0FCA" w:rsidP="007702DF">
      <w:pPr>
        <w:pStyle w:val="BRdotpoints"/>
      </w:pPr>
      <w:r>
        <w:t xml:space="preserve">analysis of the compression </w:t>
      </w:r>
      <w:r w:rsidR="00FF61F3">
        <w:t xml:space="preserve">(and resulting compaction) </w:t>
      </w:r>
      <w:r>
        <w:t xml:space="preserve">within the </w:t>
      </w:r>
      <w:r w:rsidR="00FF61F3">
        <w:t>vertical</w:t>
      </w:r>
      <w:r>
        <w:t xml:space="preserve"> profile due to changes in groundwater pressure from coal seam gas </w:t>
      </w:r>
      <w:r w:rsidR="00DE27A7">
        <w:t>production</w:t>
      </w:r>
      <w:r w:rsidR="00FF61F3">
        <w:t xml:space="preserve">, and due to changes in the coal matrix arising from coal seam gas </w:t>
      </w:r>
      <w:r w:rsidR="00DE27A7">
        <w:t>production</w:t>
      </w:r>
      <w:r w:rsidR="00CF7871">
        <w:t>.</w:t>
      </w:r>
    </w:p>
    <w:p w:rsidR="005E5F70" w:rsidRDefault="007B0FCA" w:rsidP="00E26B31">
      <w:pPr>
        <w:pStyle w:val="BRNormal11pt0"/>
      </w:pPr>
      <w:r>
        <w:t>Extrapolation from experience has been successfully employed in relation to the assessment of the magnitude, distribution and impacts of subsidence associated with underground coal</w:t>
      </w:r>
      <w:r w:rsidR="00FF61F3">
        <w:t xml:space="preserve"> mining</w:t>
      </w:r>
      <w:r>
        <w:t xml:space="preserve">. However, this approach will not be effective </w:t>
      </w:r>
      <w:r w:rsidR="005E5F70">
        <w:t xml:space="preserve">at predicting subsidence from coal seam gas operations </w:t>
      </w:r>
      <w:r>
        <w:t xml:space="preserve">until a sufficient database of experience is developed. At present there is a paucity of monitoring records of subsidence from coal seam gas </w:t>
      </w:r>
      <w:r w:rsidR="00DE27A7">
        <w:t>production</w:t>
      </w:r>
      <w:r>
        <w:t xml:space="preserve">, and </w:t>
      </w:r>
      <w:r w:rsidR="005E5F70">
        <w:t xml:space="preserve">therefore an analysis of the physical processes must be used to </w:t>
      </w:r>
      <w:r w:rsidR="00911AB4">
        <w:t>predict settlement or surface subsidence.</w:t>
      </w:r>
    </w:p>
    <w:p w:rsidR="007B0FCA" w:rsidRDefault="00911AB4" w:rsidP="00E26B31">
      <w:pPr>
        <w:pStyle w:val="BRNormal11pt0"/>
      </w:pPr>
      <w:r>
        <w:t xml:space="preserve">Subsidence </w:t>
      </w:r>
      <w:r w:rsidR="00CF7871">
        <w:t>from</w:t>
      </w:r>
      <w:r>
        <w:t xml:space="preserve"> c</w:t>
      </w:r>
      <w:r w:rsidR="006E124E">
        <w:t>oal</w:t>
      </w:r>
      <w:r w:rsidR="003721DE">
        <w:rPr>
          <w:lang w:val="en-AU"/>
        </w:rPr>
        <w:t xml:space="preserve"> seam gas</w:t>
      </w:r>
      <w:r w:rsidR="003721DE" w:rsidRPr="00E13ED7">
        <w:rPr>
          <w:lang w:val="en-AU"/>
        </w:rPr>
        <w:t xml:space="preserve"> </w:t>
      </w:r>
      <w:r w:rsidR="00DE27A7">
        <w:t>production</w:t>
      </w:r>
      <w:r w:rsidR="007B0FCA">
        <w:t xml:space="preserve"> is intrinsically more straightforward to evaluate (and more reliable estimates may be made) than for underground coal mining, since the large displacement gradients that develop at the panel edges in underground </w:t>
      </w:r>
      <w:r>
        <w:t xml:space="preserve">coal </w:t>
      </w:r>
      <w:r w:rsidR="007B0FCA">
        <w:t xml:space="preserve">mining are </w:t>
      </w:r>
      <w:r>
        <w:t xml:space="preserve">not </w:t>
      </w:r>
      <w:r w:rsidR="007B0FCA">
        <w:t xml:space="preserve">likely in the </w:t>
      </w:r>
      <w:r w:rsidR="003721DE">
        <w:rPr>
          <w:lang w:val="en-AU"/>
        </w:rPr>
        <w:t>coal seam gas</w:t>
      </w:r>
      <w:r w:rsidR="003721DE" w:rsidRPr="00E13ED7">
        <w:rPr>
          <w:lang w:val="en-AU"/>
        </w:rPr>
        <w:t xml:space="preserve"> </w:t>
      </w:r>
      <w:r w:rsidR="007B0FCA">
        <w:t>case</w:t>
      </w:r>
      <w:r w:rsidR="005E5F70">
        <w:t xml:space="preserve">. The exception is </w:t>
      </w:r>
      <w:r w:rsidR="007B0FCA">
        <w:t xml:space="preserve">where </w:t>
      </w:r>
      <w:r w:rsidR="003721DE">
        <w:rPr>
          <w:lang w:val="en-AU"/>
        </w:rPr>
        <w:t>coal seam gas</w:t>
      </w:r>
      <w:r w:rsidR="003721DE" w:rsidRPr="00E13ED7">
        <w:rPr>
          <w:lang w:val="en-AU"/>
        </w:rPr>
        <w:t xml:space="preserve"> </w:t>
      </w:r>
      <w:r w:rsidR="00DE27A7">
        <w:t>production</w:t>
      </w:r>
      <w:r w:rsidR="007B0FCA">
        <w:t xml:space="preserve"> is occurring in previously mined areas, where this type of subsidence will already have occurred</w:t>
      </w:r>
      <w:r w:rsidR="005E5F70">
        <w:t>.</w:t>
      </w:r>
      <w:r w:rsidR="007B0FCA">
        <w:t xml:space="preserve"> </w:t>
      </w:r>
      <w:r>
        <w:t>Such</w:t>
      </w:r>
      <w:r w:rsidR="007B0FCA">
        <w:t xml:space="preserve"> large displacements are difficult to accurately represent due to poorly</w:t>
      </w:r>
      <w:r w:rsidR="005D37B0">
        <w:noBreakHyphen/>
      </w:r>
      <w:r w:rsidR="007B0FCA">
        <w:t>constrained failure criteria.</w:t>
      </w:r>
    </w:p>
    <w:p w:rsidR="007B0FCA" w:rsidRDefault="007B0FCA" w:rsidP="007B0FCA">
      <w:pPr>
        <w:pStyle w:val="BRNormal11pt0"/>
      </w:pPr>
      <w:r>
        <w:t xml:space="preserve">Predictive subsidence modelling approaches provide estimates of both the </w:t>
      </w:r>
      <w:r w:rsidR="00911AB4">
        <w:t>compaction</w:t>
      </w:r>
      <w:r>
        <w:t xml:space="preserve"> of geological units due to changes in groundwater pressure</w:t>
      </w:r>
      <w:r w:rsidR="00556E07">
        <w:t>,</w:t>
      </w:r>
      <w:r>
        <w:t xml:space="preserve"> and the </w:t>
      </w:r>
      <w:r w:rsidR="00911AB4">
        <w:t>compaction</w:t>
      </w:r>
      <w:r>
        <w:t xml:space="preserve"> of the coal seam due to degassing. These two components are </w:t>
      </w:r>
      <w:r w:rsidR="00911AB4">
        <w:t>combined</w:t>
      </w:r>
      <w:r>
        <w:t xml:space="preserve"> for all geological units experiencing a pressure change to provide an estimate of the surface subsidence.</w:t>
      </w:r>
      <w:r w:rsidR="00867439">
        <w:t xml:space="preserve"> Adding the components together will give a conservative estimate of the maximum possible subsidence, but the observed subsidence at the surface will depend on the geotechnical properties of the various layers throughout the depth profile. </w:t>
      </w:r>
    </w:p>
    <w:p w:rsidR="007B0FCA" w:rsidRDefault="00911AB4" w:rsidP="007B0FCA">
      <w:pPr>
        <w:pStyle w:val="BRNormal11pt0"/>
      </w:pPr>
      <w:r>
        <w:t>Various</w:t>
      </w:r>
      <w:r w:rsidR="007B0FCA">
        <w:t xml:space="preserve"> modelling approaches may be adopted when undertaking </w:t>
      </w:r>
      <w:r w:rsidR="00585CFD">
        <w:t xml:space="preserve">an </w:t>
      </w:r>
      <w:r w:rsidR="007B0FCA">
        <w:t xml:space="preserve">analysis of </w:t>
      </w:r>
      <w:r>
        <w:t>subsidence</w:t>
      </w:r>
      <w:r w:rsidR="003B5601">
        <w:t>.</w:t>
      </w:r>
      <w:r w:rsidR="007B0FCA">
        <w:t xml:space="preserve"> The simplest approach assumes the ground possesses uniform geotechnical and hydraulic properties (e.g. rock stiffness) both laterally and throughout its depth-profile. Models increase in sophistication as they account for the heterogeneity of geotechnical and hydraulic properties, and complex models consider the interaction between groundwater flow (due to coal seam gas well pumping) and geomechanical effects (movement of soil/rock) such as </w:t>
      </w:r>
      <w:r w:rsidR="003B5601">
        <w:t>compaction and settlement</w:t>
      </w:r>
      <w:r w:rsidR="007B0FCA">
        <w:t>.</w:t>
      </w:r>
    </w:p>
    <w:p w:rsidR="007B0FCA" w:rsidRDefault="007B0FCA" w:rsidP="007B0FCA">
      <w:pPr>
        <w:pStyle w:val="BRNormal11pt0"/>
      </w:pPr>
      <w:r>
        <w:t xml:space="preserve">The suitability of a modelling approach to predict subsidence accurately will depend on the </w:t>
      </w:r>
      <w:r w:rsidR="003B5601">
        <w:t xml:space="preserve">local </w:t>
      </w:r>
      <w:r>
        <w:t xml:space="preserve">conditions </w:t>
      </w:r>
      <w:r w:rsidR="003B5601">
        <w:t>of</w:t>
      </w:r>
      <w:r>
        <w:t xml:space="preserve"> </w:t>
      </w:r>
      <w:r w:rsidR="003B5601">
        <w:t>each</w:t>
      </w:r>
      <w:r>
        <w:t xml:space="preserve"> development, and the level of detail required for the assessment (e.g. general screening for potential impacts to assets or detailed analysis of impacts to a specific asset).</w:t>
      </w:r>
    </w:p>
    <w:p w:rsidR="007B0FCA" w:rsidRDefault="00BA494E" w:rsidP="007B0FCA">
      <w:pPr>
        <w:pStyle w:val="BRNormal11pt0"/>
      </w:pPr>
      <w:r>
        <w:t>Obtaining a</w:t>
      </w:r>
      <w:r w:rsidR="007B0FCA">
        <w:t>ccurate prediction</w:t>
      </w:r>
      <w:r>
        <w:t>s</w:t>
      </w:r>
      <w:r w:rsidR="007B0FCA">
        <w:t xml:space="preserve"> of the magnitudes and extent of subsidence requires </w:t>
      </w:r>
      <w:r>
        <w:t xml:space="preserve">an </w:t>
      </w:r>
      <w:r w:rsidR="007B0FCA">
        <w:t xml:space="preserve">appropriate selection of geotechnical and hydraulic properties of the geological units </w:t>
      </w:r>
      <w:r>
        <w:t xml:space="preserve">that </w:t>
      </w:r>
      <w:r w:rsidR="003B5601">
        <w:t>experience</w:t>
      </w:r>
      <w:r w:rsidR="007B0FCA">
        <w:t xml:space="preserve"> depressurisation.</w:t>
      </w:r>
    </w:p>
    <w:p w:rsidR="007B0FCA" w:rsidRDefault="00286EB1" w:rsidP="007B0FCA">
      <w:pPr>
        <w:pStyle w:val="SummaryH2"/>
      </w:pPr>
      <w:r>
        <w:t xml:space="preserve">Subsidence </w:t>
      </w:r>
      <w:r w:rsidR="00FD23B8">
        <w:t>m</w:t>
      </w:r>
      <w:r>
        <w:t xml:space="preserve">onitoring </w:t>
      </w:r>
      <w:r w:rsidR="00FD23B8">
        <w:t>t</w:t>
      </w:r>
      <w:r w:rsidR="007B0FCA">
        <w:t>echniques</w:t>
      </w:r>
    </w:p>
    <w:p w:rsidR="007B0FCA" w:rsidRDefault="007B0FCA" w:rsidP="007B0FCA">
      <w:pPr>
        <w:pStyle w:val="BRNormal11pt0"/>
      </w:pPr>
      <w:r>
        <w:t xml:space="preserve">Subsidence monitoring is primarily undertaken to gain an understanding of the threat </w:t>
      </w:r>
      <w:r w:rsidR="003B5601">
        <w:t xml:space="preserve">that </w:t>
      </w:r>
      <w:r>
        <w:t xml:space="preserve">subsidence poses to </w:t>
      </w:r>
      <w:r w:rsidR="00BA494E">
        <w:t xml:space="preserve">key assets such as </w:t>
      </w:r>
      <w:r>
        <w:t xml:space="preserve">infrastructure and the environment. It can provide an early warning of subsidence approaching levels that pose a risk. Monitoring is also a means of testing </w:t>
      </w:r>
      <w:r w:rsidR="00BA494E">
        <w:t xml:space="preserve">actual </w:t>
      </w:r>
      <w:r>
        <w:t>subsidence against modelling predictions. Data obtained from monitoring may be used to predict future subsidence extents and magnitudes.</w:t>
      </w:r>
    </w:p>
    <w:p w:rsidR="007B0FCA" w:rsidRDefault="007B0FCA" w:rsidP="007B0FCA">
      <w:pPr>
        <w:pStyle w:val="BRNormal11pt0"/>
      </w:pPr>
      <w:r>
        <w:t xml:space="preserve">A monitoring program should commence prior to coal seam gas </w:t>
      </w:r>
      <w:r w:rsidR="00DE27A7">
        <w:t>production</w:t>
      </w:r>
      <w:r>
        <w:t xml:space="preserve">. The first phase is to establish the ground profile and identify any movements occurring that are related to sources other than coal seam gas </w:t>
      </w:r>
      <w:r w:rsidR="00DE27A7">
        <w:t>production</w:t>
      </w:r>
      <w:r>
        <w:t xml:space="preserve">. As coal seam gas </w:t>
      </w:r>
      <w:r w:rsidR="00DE27A7">
        <w:t>production</w:t>
      </w:r>
      <w:r>
        <w:t xml:space="preserve"> commences, monitoring may be undertaken over the project area at time intervals decided from predictive modelling or other means.</w:t>
      </w:r>
    </w:p>
    <w:p w:rsidR="007B0FCA" w:rsidRDefault="007B0FCA" w:rsidP="007B0FCA">
      <w:pPr>
        <w:pStyle w:val="BRNormal11pt0"/>
      </w:pPr>
      <w:r>
        <w:t>Monitoring may be carried out with a range of instrumentation</w:t>
      </w:r>
      <w:r w:rsidR="00BA494E">
        <w:t xml:space="preserve"> and </w:t>
      </w:r>
      <w:r>
        <w:t>techniques</w:t>
      </w:r>
      <w:r w:rsidR="00BA494E">
        <w:t>,</w:t>
      </w:r>
      <w:r>
        <w:t xml:space="preserve"> includ</w:t>
      </w:r>
      <w:r w:rsidR="00BA494E">
        <w:t>ing</w:t>
      </w:r>
      <w:r>
        <w:t xml:space="preserve"> visual observation, conventional levelling, Global Positioning System (GPS), </w:t>
      </w:r>
      <w:r w:rsidR="005966CC">
        <w:t xml:space="preserve">Synthetic Aperture Radar (SAR), </w:t>
      </w:r>
      <w:r>
        <w:t xml:space="preserve">Light Detection and Ranging (LiDAR) or Airborne Laser Survey (ALS), Time Domain Reflectometry, </w:t>
      </w:r>
      <w:r w:rsidR="005966CC">
        <w:t xml:space="preserve">and </w:t>
      </w:r>
      <w:r>
        <w:t>use of borehole extensometers or strain gauges or tiltmeters. Each technique possesses different advantages and disadvantages in terms of coverage, accuracy, resolution, expense and installation requirements.</w:t>
      </w:r>
    </w:p>
    <w:p w:rsidR="007B0FCA" w:rsidRDefault="00286EB1" w:rsidP="007B0FCA">
      <w:pPr>
        <w:pStyle w:val="SummaryH2"/>
      </w:pPr>
      <w:r>
        <w:t xml:space="preserve">Subsidence </w:t>
      </w:r>
      <w:r w:rsidR="00FD23B8">
        <w:t>m</w:t>
      </w:r>
      <w:r>
        <w:t xml:space="preserve">anagement </w:t>
      </w:r>
      <w:r w:rsidR="00FD23B8">
        <w:t>s</w:t>
      </w:r>
      <w:r w:rsidR="007B0FCA">
        <w:t>trategies</w:t>
      </w:r>
    </w:p>
    <w:p w:rsidR="007B0FCA" w:rsidRDefault="007B0FCA" w:rsidP="007B0FCA">
      <w:pPr>
        <w:pStyle w:val="BRNormal11pt0"/>
      </w:pPr>
      <w:r>
        <w:t xml:space="preserve">Subsidence management strategies are developed to identify, monitor and mitigate the potential impact of </w:t>
      </w:r>
      <w:r w:rsidR="003721DE">
        <w:rPr>
          <w:lang w:val="en-AU"/>
        </w:rPr>
        <w:t>coal seam gas</w:t>
      </w:r>
      <w:r w:rsidR="005966CC">
        <w:t xml:space="preserve"> </w:t>
      </w:r>
      <w:r>
        <w:t xml:space="preserve">induced subsidence on infrastructure and the environment. </w:t>
      </w:r>
      <w:r w:rsidR="00E800CF">
        <w:t>A</w:t>
      </w:r>
      <w:r>
        <w:t>ssessments should predict the extent and magnitude of potential subsidence, identify sensitive assets (</w:t>
      </w:r>
      <w:r w:rsidR="005966CC">
        <w:t xml:space="preserve">e.g. </w:t>
      </w:r>
      <w:r>
        <w:t>infrastructure, water resources and ecosystems), and assess the potential impact of predicted subsidence against impact criteria relevant to the type of asset.</w:t>
      </w:r>
    </w:p>
    <w:p w:rsidR="007B0FCA" w:rsidRDefault="007B0FCA" w:rsidP="007B0FCA">
      <w:pPr>
        <w:pStyle w:val="BRNormal11pt0"/>
      </w:pPr>
      <w:r>
        <w:t xml:space="preserve">The management strategy adopted will depend on the risk of the potential impact and may comprise </w:t>
      </w:r>
      <w:r w:rsidR="005966CC">
        <w:t xml:space="preserve">a </w:t>
      </w:r>
      <w:r>
        <w:t>review of monitoring data on a periodic basis, mitigation measures to reduce the expected impact, or other alternative courses of action such as modification of the coal seam gas production design.</w:t>
      </w:r>
    </w:p>
    <w:p w:rsidR="00FD7C8D" w:rsidRDefault="00FD7C8D" w:rsidP="00952110">
      <w:pPr>
        <w:pStyle w:val="BRnormal11pt"/>
      </w:pPr>
      <w:r>
        <w:br w:type="page"/>
      </w:r>
    </w:p>
    <w:p w:rsidR="00FD7C8D" w:rsidRDefault="00FD7C8D" w:rsidP="001E6DBD">
      <w:pPr>
        <w:pStyle w:val="SummaryH1"/>
      </w:pPr>
      <w:bookmarkStart w:id="13" w:name="_Toc381946369"/>
      <w:bookmarkStart w:id="14" w:name="_Toc402425285"/>
      <w:r w:rsidRPr="00FD7C8D">
        <w:t>Abbreviations</w:t>
      </w:r>
      <w:bookmarkEnd w:id="13"/>
      <w:bookmarkEnd w:id="14"/>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F87E44" w:rsidRPr="00902F55" w:rsidTr="00AF49FE">
        <w:trPr>
          <w:trHeight w:val="188"/>
          <w:tblHeader/>
        </w:trPr>
        <w:tc>
          <w:tcPr>
            <w:tcW w:w="1985" w:type="dxa"/>
            <w:shd w:val="clear" w:color="auto" w:fill="C6D9F1" w:themeFill="text2" w:themeFillTint="33"/>
          </w:tcPr>
          <w:p w:rsidR="00F87E44" w:rsidRPr="00902F55" w:rsidRDefault="00F87E44" w:rsidP="00902F55">
            <w:pPr>
              <w:pStyle w:val="Tableheading"/>
            </w:pPr>
            <w:r w:rsidRPr="00902F55">
              <w:t>General abbreviations</w:t>
            </w:r>
          </w:p>
        </w:tc>
        <w:tc>
          <w:tcPr>
            <w:tcW w:w="7371" w:type="dxa"/>
            <w:shd w:val="clear" w:color="auto" w:fill="C6D9F1" w:themeFill="text2" w:themeFillTint="33"/>
          </w:tcPr>
          <w:p w:rsidR="00F87E44" w:rsidRPr="00902F55" w:rsidRDefault="00F87E44" w:rsidP="00902F55">
            <w:pPr>
              <w:pStyle w:val="Tableheading"/>
            </w:pPr>
            <w:r w:rsidRPr="00902F55">
              <w:t>Description</w:t>
            </w:r>
          </w:p>
        </w:tc>
      </w:tr>
      <w:tr w:rsidR="00F60A59" w:rsidRPr="0075269C" w:rsidTr="00F60A59">
        <w:trPr>
          <w:trHeight w:val="84"/>
        </w:trPr>
        <w:tc>
          <w:tcPr>
            <w:tcW w:w="1985" w:type="dxa"/>
          </w:tcPr>
          <w:p w:rsidR="00F60A59" w:rsidRDefault="00F60A59" w:rsidP="00F60A59">
            <w:pPr>
              <w:pStyle w:val="Tabletext"/>
            </w:pPr>
            <w:r>
              <w:t>ALS</w:t>
            </w:r>
          </w:p>
        </w:tc>
        <w:tc>
          <w:tcPr>
            <w:tcW w:w="7371" w:type="dxa"/>
          </w:tcPr>
          <w:p w:rsidR="00F60A59" w:rsidRPr="00031534" w:rsidRDefault="00F60A59" w:rsidP="005B3394">
            <w:pPr>
              <w:pStyle w:val="Tabletext"/>
            </w:pPr>
            <w:r>
              <w:t xml:space="preserve">Airborne </w:t>
            </w:r>
            <w:r w:rsidR="005B3394">
              <w:t>l</w:t>
            </w:r>
            <w:r>
              <w:t xml:space="preserve">aser </w:t>
            </w:r>
            <w:r w:rsidR="005B3394">
              <w:t>s</w:t>
            </w:r>
            <w:r>
              <w:t>urvey</w:t>
            </w:r>
          </w:p>
        </w:tc>
      </w:tr>
      <w:tr w:rsidR="00F60A59" w:rsidRPr="0075269C" w:rsidTr="00F60A59">
        <w:trPr>
          <w:trHeight w:val="84"/>
        </w:trPr>
        <w:tc>
          <w:tcPr>
            <w:tcW w:w="1985" w:type="dxa"/>
          </w:tcPr>
          <w:p w:rsidR="00F60A59" w:rsidRDefault="00F60A59" w:rsidP="00F60A59">
            <w:pPr>
              <w:pStyle w:val="Tabletext"/>
            </w:pPr>
            <w:r>
              <w:t>CBM</w:t>
            </w:r>
          </w:p>
        </w:tc>
        <w:tc>
          <w:tcPr>
            <w:tcW w:w="7371" w:type="dxa"/>
          </w:tcPr>
          <w:p w:rsidR="00F60A59" w:rsidRPr="00031534" w:rsidRDefault="00F60A59" w:rsidP="00F60A59">
            <w:pPr>
              <w:pStyle w:val="Tabletext"/>
            </w:pPr>
            <w:r>
              <w:t>Coalbed methane</w:t>
            </w:r>
          </w:p>
        </w:tc>
      </w:tr>
      <w:tr w:rsidR="00F60A59" w:rsidRPr="0075269C" w:rsidTr="00F60A59">
        <w:trPr>
          <w:trHeight w:val="84"/>
        </w:trPr>
        <w:tc>
          <w:tcPr>
            <w:tcW w:w="1985" w:type="dxa"/>
          </w:tcPr>
          <w:p w:rsidR="00F60A59" w:rsidRDefault="00F60A59" w:rsidP="00F60A59">
            <w:pPr>
              <w:pStyle w:val="Tabletext"/>
            </w:pPr>
            <w:r>
              <w:t>CSG</w:t>
            </w:r>
          </w:p>
        </w:tc>
        <w:tc>
          <w:tcPr>
            <w:tcW w:w="7371" w:type="dxa"/>
          </w:tcPr>
          <w:p w:rsidR="00F60A59" w:rsidRPr="00031534" w:rsidRDefault="00F60A59" w:rsidP="00F60A59">
            <w:pPr>
              <w:pStyle w:val="Tabletext"/>
            </w:pPr>
            <w:r>
              <w:t>Coal seam gas</w:t>
            </w:r>
          </w:p>
        </w:tc>
      </w:tr>
      <w:tr w:rsidR="00F60A59" w:rsidRPr="0075269C" w:rsidTr="00F60A59">
        <w:trPr>
          <w:trHeight w:val="84"/>
        </w:trPr>
        <w:tc>
          <w:tcPr>
            <w:tcW w:w="1985" w:type="dxa"/>
          </w:tcPr>
          <w:p w:rsidR="00F60A59" w:rsidRDefault="00F60A59" w:rsidP="00F60A59">
            <w:pPr>
              <w:pStyle w:val="Tabletext"/>
            </w:pPr>
            <w:r>
              <w:t>ECSG</w:t>
            </w:r>
          </w:p>
        </w:tc>
        <w:tc>
          <w:tcPr>
            <w:tcW w:w="7371" w:type="dxa"/>
          </w:tcPr>
          <w:p w:rsidR="00F60A59" w:rsidRPr="00031534" w:rsidRDefault="00F60A59" w:rsidP="00F60A59">
            <w:pPr>
              <w:pStyle w:val="Tabletext"/>
            </w:pPr>
            <w:r>
              <w:t>Enhanced coal seam gas</w:t>
            </w:r>
          </w:p>
        </w:tc>
      </w:tr>
      <w:tr w:rsidR="00F60A59" w:rsidRPr="0075269C" w:rsidTr="00F60A59">
        <w:trPr>
          <w:trHeight w:val="84"/>
        </w:trPr>
        <w:tc>
          <w:tcPr>
            <w:tcW w:w="1985" w:type="dxa"/>
          </w:tcPr>
          <w:p w:rsidR="00F60A59" w:rsidRDefault="00F60A59" w:rsidP="00F60A59">
            <w:pPr>
              <w:pStyle w:val="Tabletext"/>
            </w:pPr>
            <w:r>
              <w:t>EIS</w:t>
            </w:r>
          </w:p>
        </w:tc>
        <w:tc>
          <w:tcPr>
            <w:tcW w:w="7371" w:type="dxa"/>
          </w:tcPr>
          <w:p w:rsidR="00F60A59" w:rsidRDefault="00F60A59" w:rsidP="00F60A59">
            <w:pPr>
              <w:pStyle w:val="Tabletext"/>
            </w:pPr>
            <w:r>
              <w:t>Environmental impact statement</w:t>
            </w:r>
          </w:p>
        </w:tc>
      </w:tr>
      <w:tr w:rsidR="00A54350" w:rsidRPr="0075269C" w:rsidTr="00A54350">
        <w:trPr>
          <w:trHeight w:val="84"/>
        </w:trPr>
        <w:tc>
          <w:tcPr>
            <w:tcW w:w="1985" w:type="dxa"/>
          </w:tcPr>
          <w:p w:rsidR="00A54350" w:rsidRDefault="00A54350" w:rsidP="00A54350">
            <w:pPr>
              <w:pStyle w:val="Tabletext"/>
            </w:pPr>
            <w:r>
              <w:t>GPS</w:t>
            </w:r>
          </w:p>
        </w:tc>
        <w:tc>
          <w:tcPr>
            <w:tcW w:w="7371" w:type="dxa"/>
          </w:tcPr>
          <w:p w:rsidR="00A54350" w:rsidRPr="00031534" w:rsidRDefault="00A54350" w:rsidP="008931C1">
            <w:pPr>
              <w:pStyle w:val="Tabletext"/>
            </w:pPr>
            <w:r>
              <w:t xml:space="preserve">Global </w:t>
            </w:r>
            <w:r w:rsidR="008931C1">
              <w:t>p</w:t>
            </w:r>
            <w:r>
              <w:t xml:space="preserve">ositioning </w:t>
            </w:r>
            <w:r w:rsidR="008931C1">
              <w:t>s</w:t>
            </w:r>
            <w:r>
              <w:t>ystem</w:t>
            </w:r>
          </w:p>
        </w:tc>
      </w:tr>
      <w:tr w:rsidR="00F87E44" w:rsidRPr="001E0FA8" w:rsidTr="00AF49FE">
        <w:trPr>
          <w:trHeight w:val="188"/>
        </w:trPr>
        <w:tc>
          <w:tcPr>
            <w:tcW w:w="1985" w:type="dxa"/>
          </w:tcPr>
          <w:p w:rsidR="00F87E44" w:rsidRPr="001E0FA8" w:rsidRDefault="005F31A9" w:rsidP="00902F55">
            <w:pPr>
              <w:pStyle w:val="Tabletext"/>
            </w:pPr>
            <w:r>
              <w:t>IESC</w:t>
            </w:r>
          </w:p>
        </w:tc>
        <w:tc>
          <w:tcPr>
            <w:tcW w:w="7371" w:type="dxa"/>
          </w:tcPr>
          <w:p w:rsidR="00F87E44" w:rsidRPr="001E0FA8" w:rsidRDefault="005F31A9" w:rsidP="008931C1">
            <w:pPr>
              <w:pStyle w:val="Tabletext"/>
            </w:pPr>
            <w:r w:rsidRPr="00CE5DBF">
              <w:t xml:space="preserve">Independent </w:t>
            </w:r>
            <w:r w:rsidR="00A63912">
              <w:t>E</w:t>
            </w:r>
            <w:r w:rsidR="00A63912" w:rsidRPr="00CE5DBF">
              <w:t xml:space="preserve">xpert </w:t>
            </w:r>
            <w:r w:rsidR="00A63912">
              <w:t>S</w:t>
            </w:r>
            <w:r w:rsidR="00A63912" w:rsidRPr="00CE5DBF">
              <w:t xml:space="preserve">cientific </w:t>
            </w:r>
            <w:r w:rsidR="00A63912">
              <w:t>C</w:t>
            </w:r>
            <w:r w:rsidR="00A63912" w:rsidRPr="00CE5DBF">
              <w:t xml:space="preserve">ommittee On </w:t>
            </w:r>
            <w:r w:rsidR="00A63912">
              <w:t>C</w:t>
            </w:r>
            <w:r w:rsidR="00A63912" w:rsidRPr="00CE5DBF">
              <w:t xml:space="preserve">oal </w:t>
            </w:r>
            <w:r w:rsidR="00A63912">
              <w:t>S</w:t>
            </w:r>
            <w:r w:rsidR="00A63912" w:rsidRPr="00CE5DBF">
              <w:t xml:space="preserve">eam </w:t>
            </w:r>
            <w:r w:rsidR="00A63912">
              <w:t>G</w:t>
            </w:r>
            <w:r w:rsidR="00A63912" w:rsidRPr="00CE5DBF">
              <w:t xml:space="preserve">as And </w:t>
            </w:r>
            <w:r w:rsidR="00A63912">
              <w:t>Large C</w:t>
            </w:r>
            <w:r w:rsidR="00A63912" w:rsidRPr="00CE5DBF">
              <w:t xml:space="preserve">oal </w:t>
            </w:r>
            <w:r w:rsidR="00A63912">
              <w:t>M</w:t>
            </w:r>
            <w:r w:rsidR="00A63912" w:rsidRPr="00CE5DBF">
              <w:t>ining</w:t>
            </w:r>
            <w:r w:rsidR="00A63912">
              <w:t xml:space="preserve"> Development</w:t>
            </w:r>
          </w:p>
        </w:tc>
      </w:tr>
      <w:tr w:rsidR="00F60A59" w:rsidRPr="001E0FA8" w:rsidTr="00F60A59">
        <w:trPr>
          <w:trHeight w:val="84"/>
        </w:trPr>
        <w:tc>
          <w:tcPr>
            <w:tcW w:w="1985" w:type="dxa"/>
          </w:tcPr>
          <w:p w:rsidR="00F60A59" w:rsidRPr="001E0FA8" w:rsidRDefault="006E124E" w:rsidP="00F60A59">
            <w:pPr>
              <w:pStyle w:val="Tabletext"/>
            </w:pPr>
            <w:r>
              <w:t>I</w:t>
            </w:r>
            <w:r w:rsidR="00F60A59">
              <w:t>nSAR</w:t>
            </w:r>
          </w:p>
        </w:tc>
        <w:tc>
          <w:tcPr>
            <w:tcW w:w="7371" w:type="dxa"/>
          </w:tcPr>
          <w:p w:rsidR="00F60A59" w:rsidRPr="001E0FA8" w:rsidRDefault="00F60A59" w:rsidP="00F60A59">
            <w:pPr>
              <w:pStyle w:val="Tabletext"/>
            </w:pPr>
            <w:r>
              <w:t>Interferometric synthetic aperture radar</w:t>
            </w:r>
          </w:p>
        </w:tc>
      </w:tr>
      <w:tr w:rsidR="00F60A59" w:rsidRPr="0075269C" w:rsidTr="00F60A59">
        <w:trPr>
          <w:trHeight w:val="84"/>
        </w:trPr>
        <w:tc>
          <w:tcPr>
            <w:tcW w:w="1985" w:type="dxa"/>
          </w:tcPr>
          <w:p w:rsidR="00F60A59" w:rsidRDefault="00F60A59" w:rsidP="00F60A59">
            <w:pPr>
              <w:pStyle w:val="Tabletext"/>
            </w:pPr>
            <w:r>
              <w:t>LiDAR</w:t>
            </w:r>
          </w:p>
        </w:tc>
        <w:tc>
          <w:tcPr>
            <w:tcW w:w="7371" w:type="dxa"/>
          </w:tcPr>
          <w:p w:rsidR="00F60A59" w:rsidRPr="00031534" w:rsidRDefault="00F60A59" w:rsidP="008931C1">
            <w:pPr>
              <w:pStyle w:val="Tabletext"/>
            </w:pPr>
            <w:r>
              <w:t xml:space="preserve">Light </w:t>
            </w:r>
            <w:r w:rsidR="008931C1">
              <w:t>d</w:t>
            </w:r>
            <w:r>
              <w:t xml:space="preserve">etection and </w:t>
            </w:r>
            <w:r w:rsidR="008931C1">
              <w:t>r</w:t>
            </w:r>
            <w:r>
              <w:t>anging</w:t>
            </w:r>
          </w:p>
        </w:tc>
      </w:tr>
      <w:tr w:rsidR="008931C1" w:rsidRPr="001E0FA8" w:rsidTr="00A54350">
        <w:trPr>
          <w:trHeight w:val="188"/>
        </w:trPr>
        <w:tc>
          <w:tcPr>
            <w:tcW w:w="1985" w:type="dxa"/>
          </w:tcPr>
          <w:p w:rsidR="008931C1" w:rsidRDefault="008931C1" w:rsidP="00A54350">
            <w:pPr>
              <w:pStyle w:val="Tabletext"/>
            </w:pPr>
            <w:r>
              <w:t>NSW</w:t>
            </w:r>
          </w:p>
        </w:tc>
        <w:tc>
          <w:tcPr>
            <w:tcW w:w="7371" w:type="dxa"/>
          </w:tcPr>
          <w:p w:rsidR="008931C1" w:rsidRPr="0075269C" w:rsidRDefault="008931C1" w:rsidP="00A54350">
            <w:pPr>
              <w:pStyle w:val="Tabletext"/>
            </w:pPr>
            <w:r>
              <w:t>New South Wales</w:t>
            </w:r>
          </w:p>
        </w:tc>
      </w:tr>
      <w:tr w:rsidR="00A54350" w:rsidRPr="001E0FA8" w:rsidTr="00A54350">
        <w:trPr>
          <w:trHeight w:val="188"/>
        </w:trPr>
        <w:tc>
          <w:tcPr>
            <w:tcW w:w="1985" w:type="dxa"/>
          </w:tcPr>
          <w:p w:rsidR="00A54350" w:rsidRPr="001E0FA8" w:rsidRDefault="00A54350" w:rsidP="00A54350">
            <w:pPr>
              <w:pStyle w:val="Tabletext"/>
            </w:pPr>
            <w:r>
              <w:t>OGIA</w:t>
            </w:r>
          </w:p>
        </w:tc>
        <w:tc>
          <w:tcPr>
            <w:tcW w:w="7371" w:type="dxa"/>
          </w:tcPr>
          <w:p w:rsidR="00A54350" w:rsidRPr="001E0FA8" w:rsidRDefault="00A54350" w:rsidP="00A54350">
            <w:pPr>
              <w:pStyle w:val="Tabletext"/>
            </w:pPr>
            <w:r w:rsidRPr="0075269C">
              <w:t>Office of Groundwater Impact Assessment</w:t>
            </w:r>
          </w:p>
        </w:tc>
      </w:tr>
      <w:tr w:rsidR="00A54350" w:rsidRPr="0075269C" w:rsidTr="00A54350">
        <w:trPr>
          <w:trHeight w:val="84"/>
        </w:trPr>
        <w:tc>
          <w:tcPr>
            <w:tcW w:w="1985" w:type="dxa"/>
          </w:tcPr>
          <w:p w:rsidR="00A54350" w:rsidRDefault="00A54350" w:rsidP="00A54350">
            <w:pPr>
              <w:pStyle w:val="Tabletext"/>
            </w:pPr>
            <w:r w:rsidRPr="00973D19">
              <w:rPr>
                <w:lang w:val="en-GB"/>
              </w:rPr>
              <w:t>PRBCGA</w:t>
            </w:r>
          </w:p>
        </w:tc>
        <w:tc>
          <w:tcPr>
            <w:tcW w:w="7371" w:type="dxa"/>
          </w:tcPr>
          <w:p w:rsidR="00A54350" w:rsidRPr="00031534" w:rsidRDefault="00A54350" w:rsidP="008931C1">
            <w:pPr>
              <w:pStyle w:val="Tabletext"/>
            </w:pPr>
            <w:r w:rsidRPr="00973D19">
              <w:rPr>
                <w:lang w:val="en-GB"/>
              </w:rPr>
              <w:t>Powder River Basin</w:t>
            </w:r>
            <w:r>
              <w:rPr>
                <w:lang w:val="en-GB"/>
              </w:rPr>
              <w:t xml:space="preserve"> </w:t>
            </w:r>
            <w:r w:rsidR="008931C1">
              <w:rPr>
                <w:lang w:val="en-GB"/>
              </w:rPr>
              <w:t>c</w:t>
            </w:r>
            <w:r w:rsidRPr="00973D19">
              <w:rPr>
                <w:lang w:val="en-GB"/>
              </w:rPr>
              <w:t xml:space="preserve">ontrolled </w:t>
            </w:r>
            <w:r w:rsidR="008931C1">
              <w:rPr>
                <w:lang w:val="en-GB"/>
              </w:rPr>
              <w:t>g</w:t>
            </w:r>
            <w:r w:rsidRPr="00973D19">
              <w:rPr>
                <w:lang w:val="en-GB"/>
              </w:rPr>
              <w:t xml:space="preserve">roundwater </w:t>
            </w:r>
            <w:r w:rsidR="008931C1">
              <w:rPr>
                <w:lang w:val="en-GB"/>
              </w:rPr>
              <w:t>a</w:t>
            </w:r>
            <w:r w:rsidRPr="00973D19">
              <w:rPr>
                <w:lang w:val="en-GB"/>
              </w:rPr>
              <w:t>rea</w:t>
            </w:r>
          </w:p>
        </w:tc>
      </w:tr>
      <w:tr w:rsidR="00A54350" w:rsidRPr="0075269C" w:rsidTr="00A54350">
        <w:trPr>
          <w:trHeight w:val="84"/>
        </w:trPr>
        <w:tc>
          <w:tcPr>
            <w:tcW w:w="1985" w:type="dxa"/>
          </w:tcPr>
          <w:p w:rsidR="00A54350" w:rsidRPr="00031534" w:rsidRDefault="00A54350" w:rsidP="00A54350">
            <w:pPr>
              <w:pStyle w:val="Tabletext"/>
            </w:pPr>
            <w:r>
              <w:t>Qld</w:t>
            </w:r>
          </w:p>
        </w:tc>
        <w:tc>
          <w:tcPr>
            <w:tcW w:w="7371" w:type="dxa"/>
          </w:tcPr>
          <w:p w:rsidR="00A54350" w:rsidRPr="00031534" w:rsidRDefault="00A54350" w:rsidP="00A54350">
            <w:pPr>
              <w:pStyle w:val="Tabletext"/>
            </w:pPr>
            <w:r>
              <w:t>Queensland</w:t>
            </w:r>
          </w:p>
        </w:tc>
      </w:tr>
      <w:tr w:rsidR="00F87E44" w:rsidRPr="0075269C" w:rsidTr="00AF49FE">
        <w:trPr>
          <w:trHeight w:val="188"/>
        </w:trPr>
        <w:tc>
          <w:tcPr>
            <w:tcW w:w="1985" w:type="dxa"/>
          </w:tcPr>
          <w:p w:rsidR="00F87E44" w:rsidRPr="00031534" w:rsidRDefault="005F31A9" w:rsidP="00902F55">
            <w:pPr>
              <w:pStyle w:val="Tabletext"/>
            </w:pPr>
            <w:r>
              <w:t>QWC</w:t>
            </w:r>
          </w:p>
        </w:tc>
        <w:tc>
          <w:tcPr>
            <w:tcW w:w="7371" w:type="dxa"/>
          </w:tcPr>
          <w:p w:rsidR="00E57E0A" w:rsidRDefault="005F31A9">
            <w:pPr>
              <w:pStyle w:val="Tabletext"/>
              <w:rPr>
                <w:rFonts w:eastAsia="Times New Roman"/>
                <w:lang w:val="en-GB" w:eastAsia="en-US"/>
              </w:rPr>
            </w:pPr>
            <w:r w:rsidRPr="0075269C">
              <w:t>Queensland Water Commission</w:t>
            </w:r>
          </w:p>
        </w:tc>
      </w:tr>
      <w:tr w:rsidR="005F31A9" w:rsidRPr="0075269C" w:rsidTr="00AF49FE">
        <w:trPr>
          <w:trHeight w:val="84"/>
        </w:trPr>
        <w:tc>
          <w:tcPr>
            <w:tcW w:w="1985" w:type="dxa"/>
          </w:tcPr>
          <w:p w:rsidR="005F31A9" w:rsidRDefault="00801DB2" w:rsidP="00902F55">
            <w:pPr>
              <w:pStyle w:val="Tabletext"/>
            </w:pPr>
            <w:r>
              <w:t>SAR</w:t>
            </w:r>
          </w:p>
        </w:tc>
        <w:tc>
          <w:tcPr>
            <w:tcW w:w="7371" w:type="dxa"/>
          </w:tcPr>
          <w:p w:rsidR="005F31A9" w:rsidRPr="00031534" w:rsidRDefault="005F31A9" w:rsidP="005B3394">
            <w:pPr>
              <w:pStyle w:val="Tabletext"/>
            </w:pPr>
            <w:r>
              <w:t xml:space="preserve">Synthetic </w:t>
            </w:r>
            <w:r w:rsidR="005B3394">
              <w:t>a</w:t>
            </w:r>
            <w:r>
              <w:t xml:space="preserve">perture </w:t>
            </w:r>
            <w:r w:rsidR="005B3394">
              <w:t>r</w:t>
            </w:r>
            <w:r>
              <w:t>adar</w:t>
            </w:r>
          </w:p>
        </w:tc>
      </w:tr>
      <w:tr w:rsidR="00A54350" w:rsidRPr="0075269C" w:rsidTr="00A54350">
        <w:trPr>
          <w:trHeight w:val="84"/>
        </w:trPr>
        <w:tc>
          <w:tcPr>
            <w:tcW w:w="1985" w:type="dxa"/>
          </w:tcPr>
          <w:p w:rsidR="00A54350" w:rsidRDefault="00A54350" w:rsidP="00A54350">
            <w:pPr>
              <w:pStyle w:val="Tabletext"/>
            </w:pPr>
            <w:r>
              <w:t>TAC</w:t>
            </w:r>
          </w:p>
        </w:tc>
        <w:tc>
          <w:tcPr>
            <w:tcW w:w="7371" w:type="dxa"/>
          </w:tcPr>
          <w:p w:rsidR="00A54350" w:rsidRPr="00031534" w:rsidRDefault="00A54350" w:rsidP="00A54350">
            <w:pPr>
              <w:pStyle w:val="Tabletext"/>
            </w:pPr>
            <w:r w:rsidRPr="00973D19">
              <w:rPr>
                <w:lang w:val="en-GB"/>
              </w:rPr>
              <w:t>technical advisory committee</w:t>
            </w:r>
          </w:p>
        </w:tc>
      </w:tr>
      <w:tr w:rsidR="00A54350" w:rsidRPr="0075269C" w:rsidTr="00A54350">
        <w:trPr>
          <w:trHeight w:val="84"/>
        </w:trPr>
        <w:tc>
          <w:tcPr>
            <w:tcW w:w="1985" w:type="dxa"/>
          </w:tcPr>
          <w:p w:rsidR="00A54350" w:rsidRPr="00031534" w:rsidRDefault="00A54350" w:rsidP="00A54350">
            <w:pPr>
              <w:pStyle w:val="Tabletext"/>
            </w:pPr>
            <w:r>
              <w:t>TDS</w:t>
            </w:r>
          </w:p>
        </w:tc>
        <w:tc>
          <w:tcPr>
            <w:tcW w:w="7371" w:type="dxa"/>
          </w:tcPr>
          <w:p w:rsidR="00A54350" w:rsidRPr="00031534" w:rsidRDefault="00A54350" w:rsidP="00A54350">
            <w:pPr>
              <w:pStyle w:val="Tabletext"/>
            </w:pPr>
            <w:r>
              <w:t>total dissolved solids</w:t>
            </w:r>
          </w:p>
        </w:tc>
      </w:tr>
      <w:tr w:rsidR="005F31A9" w:rsidRPr="0075269C" w:rsidTr="00AF49FE">
        <w:trPr>
          <w:trHeight w:val="84"/>
        </w:trPr>
        <w:tc>
          <w:tcPr>
            <w:tcW w:w="1985" w:type="dxa"/>
          </w:tcPr>
          <w:p w:rsidR="005F31A9" w:rsidRDefault="005F31A9" w:rsidP="00902F55">
            <w:pPr>
              <w:pStyle w:val="Tabletext"/>
            </w:pPr>
            <w:r>
              <w:t>US</w:t>
            </w:r>
          </w:p>
        </w:tc>
        <w:tc>
          <w:tcPr>
            <w:tcW w:w="7371" w:type="dxa"/>
          </w:tcPr>
          <w:p w:rsidR="005F31A9" w:rsidRPr="00031534" w:rsidRDefault="00801DB2" w:rsidP="00902F55">
            <w:pPr>
              <w:pStyle w:val="Tabletext"/>
            </w:pPr>
            <w:r>
              <w:t>United States</w:t>
            </w:r>
            <w:r w:rsidR="00E36E49">
              <w:t xml:space="preserve"> of America</w:t>
            </w:r>
          </w:p>
        </w:tc>
      </w:tr>
    </w:tbl>
    <w:p w:rsidR="00EC4A44" w:rsidRDefault="00EC4A44" w:rsidP="00E17C06">
      <w:pPr>
        <w:pStyle w:val="BRNormal11pt0"/>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195F0A" w:rsidRPr="00902F55" w:rsidTr="00195F0A">
        <w:trPr>
          <w:trHeight w:val="84"/>
          <w:tblHeader/>
        </w:trPr>
        <w:tc>
          <w:tcPr>
            <w:tcW w:w="1985" w:type="dxa"/>
            <w:shd w:val="clear" w:color="auto" w:fill="C6D9F1" w:themeFill="text2" w:themeFillTint="33"/>
          </w:tcPr>
          <w:p w:rsidR="00195F0A" w:rsidRPr="00902F55" w:rsidRDefault="00195F0A" w:rsidP="00902F55">
            <w:pPr>
              <w:pStyle w:val="Tableheading"/>
            </w:pPr>
            <w:r w:rsidRPr="00902F55">
              <w:t>Units, chemicals and symbols</w:t>
            </w:r>
          </w:p>
        </w:tc>
        <w:tc>
          <w:tcPr>
            <w:tcW w:w="7371" w:type="dxa"/>
            <w:shd w:val="clear" w:color="auto" w:fill="C6D9F1" w:themeFill="text2" w:themeFillTint="33"/>
          </w:tcPr>
          <w:p w:rsidR="00195F0A" w:rsidRPr="00902F55" w:rsidRDefault="00195F0A" w:rsidP="00902F55">
            <w:pPr>
              <w:pStyle w:val="Tableheading"/>
            </w:pPr>
            <w:r w:rsidRPr="00902F55">
              <w:t>Description</w:t>
            </w:r>
          </w:p>
        </w:tc>
      </w:tr>
      <w:tr w:rsidR="00C2303D" w:rsidRPr="00902F55" w:rsidTr="00195F0A">
        <w:trPr>
          <w:trHeight w:val="84"/>
        </w:trPr>
        <w:tc>
          <w:tcPr>
            <w:tcW w:w="1985" w:type="dxa"/>
          </w:tcPr>
          <w:p w:rsidR="00C2303D" w:rsidRDefault="00C2303D" w:rsidP="00902F55">
            <w:pPr>
              <w:pStyle w:val="Tabletext"/>
            </w:pPr>
            <w:r w:rsidRPr="004C28AD">
              <w:t>Barrel (bbl)</w:t>
            </w:r>
          </w:p>
        </w:tc>
        <w:tc>
          <w:tcPr>
            <w:tcW w:w="7371" w:type="dxa"/>
          </w:tcPr>
          <w:p w:rsidR="00C2303D" w:rsidRDefault="00C2303D" w:rsidP="00565387">
            <w:pPr>
              <w:pStyle w:val="Tabletext"/>
            </w:pPr>
            <w:r w:rsidRPr="004C28AD">
              <w:t xml:space="preserve">A measure of volume which when used </w:t>
            </w:r>
            <w:r>
              <w:t>for</w:t>
            </w:r>
            <w:r w:rsidRPr="004C28AD">
              <w:t xml:space="preserve"> oil or gas </w:t>
            </w:r>
            <w:r>
              <w:t>equals</w:t>
            </w:r>
            <w:r w:rsidRPr="004C28AD">
              <w:t xml:space="preserve"> 42 US gallons (159</w:t>
            </w:r>
            <w:r>
              <w:t> </w:t>
            </w:r>
            <w:r w:rsidRPr="004C28AD">
              <w:t>L or 0.159 m</w:t>
            </w:r>
            <w:r w:rsidRPr="004C28AD">
              <w:rPr>
                <w:vertAlign w:val="superscript"/>
              </w:rPr>
              <w:t>3</w:t>
            </w:r>
            <w:r w:rsidRPr="004C28AD">
              <w:t xml:space="preserve">). The term barrel when used for other substances represents a different volume. For example, </w:t>
            </w:r>
            <w:r>
              <w:t>one</w:t>
            </w:r>
            <w:r w:rsidRPr="004C28AD">
              <w:t xml:space="preserve"> barrel of dry substances (e.g. cereal grains) </w:t>
            </w:r>
            <w:r>
              <w:t>equals</w:t>
            </w:r>
            <w:r w:rsidRPr="004C28AD">
              <w:t xml:space="preserve"> 115.6 L.</w:t>
            </w:r>
          </w:p>
        </w:tc>
      </w:tr>
      <w:tr w:rsidR="006C61BE" w:rsidRPr="00902F55" w:rsidTr="00195F0A">
        <w:trPr>
          <w:trHeight w:val="84"/>
        </w:trPr>
        <w:tc>
          <w:tcPr>
            <w:tcW w:w="1985" w:type="dxa"/>
          </w:tcPr>
          <w:p w:rsidR="006C61BE" w:rsidRPr="00902F55" w:rsidRDefault="006C61BE" w:rsidP="00902F55">
            <w:pPr>
              <w:pStyle w:val="Tabletext"/>
            </w:pPr>
            <w:r>
              <w:t>CH</w:t>
            </w:r>
            <w:r w:rsidRPr="00A70153">
              <w:rPr>
                <w:vertAlign w:val="subscript"/>
              </w:rPr>
              <w:t>4</w:t>
            </w:r>
          </w:p>
        </w:tc>
        <w:tc>
          <w:tcPr>
            <w:tcW w:w="7371" w:type="dxa"/>
          </w:tcPr>
          <w:p w:rsidR="006C61BE" w:rsidRPr="00902F55" w:rsidRDefault="00EC4A44" w:rsidP="00902F55">
            <w:pPr>
              <w:pStyle w:val="Tabletext"/>
            </w:pPr>
            <w:r>
              <w:t>Methane</w:t>
            </w:r>
          </w:p>
        </w:tc>
      </w:tr>
      <w:tr w:rsidR="006C61BE" w:rsidRPr="00902F55" w:rsidTr="00195F0A">
        <w:trPr>
          <w:trHeight w:val="84"/>
        </w:trPr>
        <w:tc>
          <w:tcPr>
            <w:tcW w:w="1985" w:type="dxa"/>
          </w:tcPr>
          <w:p w:rsidR="006C61BE" w:rsidRPr="00902F55" w:rsidRDefault="006C61BE" w:rsidP="00902F55">
            <w:pPr>
              <w:pStyle w:val="Tabletext"/>
            </w:pPr>
            <w:r>
              <w:t>C</w:t>
            </w:r>
            <w:r w:rsidRPr="00A70153">
              <w:rPr>
                <w:vertAlign w:val="subscript"/>
              </w:rPr>
              <w:t>2</w:t>
            </w:r>
            <w:r>
              <w:t>H</w:t>
            </w:r>
            <w:r w:rsidRPr="00A70153">
              <w:rPr>
                <w:vertAlign w:val="subscript"/>
              </w:rPr>
              <w:t>6</w:t>
            </w:r>
          </w:p>
        </w:tc>
        <w:tc>
          <w:tcPr>
            <w:tcW w:w="7371" w:type="dxa"/>
          </w:tcPr>
          <w:p w:rsidR="006C61BE" w:rsidRPr="00902F55" w:rsidRDefault="00EC4A44" w:rsidP="00902F55">
            <w:pPr>
              <w:pStyle w:val="Tabletext"/>
            </w:pPr>
            <w:r>
              <w:t>E</w:t>
            </w:r>
            <w:r w:rsidR="006C61BE">
              <w:t>thane</w:t>
            </w:r>
          </w:p>
        </w:tc>
      </w:tr>
      <w:tr w:rsidR="006C61BE" w:rsidRPr="00902F55" w:rsidTr="00195F0A">
        <w:trPr>
          <w:trHeight w:val="84"/>
        </w:trPr>
        <w:tc>
          <w:tcPr>
            <w:tcW w:w="1985" w:type="dxa"/>
          </w:tcPr>
          <w:p w:rsidR="006C61BE" w:rsidRPr="00902F55" w:rsidRDefault="006C61BE" w:rsidP="00902F55">
            <w:pPr>
              <w:pStyle w:val="Tabletext"/>
            </w:pPr>
            <w:r>
              <w:t>C</w:t>
            </w:r>
            <w:r w:rsidRPr="00A70153">
              <w:rPr>
                <w:vertAlign w:val="subscript"/>
              </w:rPr>
              <w:t>3</w:t>
            </w:r>
            <w:r>
              <w:t>H</w:t>
            </w:r>
            <w:r w:rsidRPr="00A70153">
              <w:rPr>
                <w:vertAlign w:val="subscript"/>
              </w:rPr>
              <w:t>8</w:t>
            </w:r>
          </w:p>
        </w:tc>
        <w:tc>
          <w:tcPr>
            <w:tcW w:w="7371" w:type="dxa"/>
          </w:tcPr>
          <w:p w:rsidR="006C61BE" w:rsidRPr="00902F55" w:rsidRDefault="00EC4A44" w:rsidP="00902F55">
            <w:pPr>
              <w:pStyle w:val="Tabletext"/>
            </w:pPr>
            <w:r>
              <w:t>P</w:t>
            </w:r>
            <w:r w:rsidR="006C61BE">
              <w:t>ropane</w:t>
            </w:r>
          </w:p>
        </w:tc>
      </w:tr>
      <w:tr w:rsidR="006C61BE" w:rsidRPr="00902F55" w:rsidTr="00195F0A">
        <w:trPr>
          <w:trHeight w:val="84"/>
        </w:trPr>
        <w:tc>
          <w:tcPr>
            <w:tcW w:w="1985" w:type="dxa"/>
          </w:tcPr>
          <w:p w:rsidR="006C61BE" w:rsidRDefault="006C61BE" w:rsidP="00902F55">
            <w:pPr>
              <w:pStyle w:val="Tabletext"/>
            </w:pPr>
            <w:r>
              <w:t>C</w:t>
            </w:r>
            <w:r w:rsidRPr="00A70153">
              <w:rPr>
                <w:vertAlign w:val="subscript"/>
              </w:rPr>
              <w:t>4</w:t>
            </w:r>
            <w:r>
              <w:t>H</w:t>
            </w:r>
            <w:r w:rsidRPr="00A70153">
              <w:rPr>
                <w:vertAlign w:val="subscript"/>
              </w:rPr>
              <w:t>10</w:t>
            </w:r>
          </w:p>
        </w:tc>
        <w:tc>
          <w:tcPr>
            <w:tcW w:w="7371" w:type="dxa"/>
          </w:tcPr>
          <w:p w:rsidR="006C61BE" w:rsidRDefault="00EC4A44" w:rsidP="00902F55">
            <w:pPr>
              <w:pStyle w:val="Tabletext"/>
            </w:pPr>
            <w:r>
              <w:t>B</w:t>
            </w:r>
            <w:r w:rsidR="006C61BE">
              <w:t>utane</w:t>
            </w:r>
          </w:p>
        </w:tc>
      </w:tr>
      <w:tr w:rsidR="00EC4A44" w:rsidRPr="00902F55" w:rsidTr="00EC4A44">
        <w:trPr>
          <w:trHeight w:val="84"/>
        </w:trPr>
        <w:tc>
          <w:tcPr>
            <w:tcW w:w="1985" w:type="dxa"/>
          </w:tcPr>
          <w:p w:rsidR="00EC4A44" w:rsidRDefault="00EC4A44" w:rsidP="00EC4A44">
            <w:pPr>
              <w:pStyle w:val="Tabletext"/>
            </w:pPr>
            <w:r>
              <w:t>CO</w:t>
            </w:r>
            <w:r w:rsidRPr="00A70153">
              <w:rPr>
                <w:vertAlign w:val="subscript"/>
              </w:rPr>
              <w:t>2</w:t>
            </w:r>
          </w:p>
        </w:tc>
        <w:tc>
          <w:tcPr>
            <w:tcW w:w="7371" w:type="dxa"/>
          </w:tcPr>
          <w:p w:rsidR="00EC4A44" w:rsidRDefault="00EC4A44" w:rsidP="00EC4A44">
            <w:pPr>
              <w:pStyle w:val="Tabletext"/>
            </w:pPr>
            <w:r>
              <w:t>Carbon dioxide</w:t>
            </w:r>
          </w:p>
        </w:tc>
      </w:tr>
      <w:tr w:rsidR="00EC4A44" w:rsidRPr="00902F55" w:rsidTr="00EC4A44">
        <w:trPr>
          <w:trHeight w:val="84"/>
        </w:trPr>
        <w:tc>
          <w:tcPr>
            <w:tcW w:w="1985" w:type="dxa"/>
          </w:tcPr>
          <w:p w:rsidR="00EC4A44" w:rsidRDefault="00EC4A44" w:rsidP="00EC4A44">
            <w:pPr>
              <w:pStyle w:val="Tabletext"/>
            </w:pPr>
            <w:r>
              <w:t>g</w:t>
            </w:r>
          </w:p>
        </w:tc>
        <w:tc>
          <w:tcPr>
            <w:tcW w:w="7371" w:type="dxa"/>
          </w:tcPr>
          <w:p w:rsidR="00EC4A44" w:rsidRDefault="00EC4A44" w:rsidP="00EC4A44">
            <w:pPr>
              <w:pStyle w:val="Tabletext"/>
            </w:pPr>
            <w:r>
              <w:t>Gram (commonly used as mg and kg)</w:t>
            </w:r>
          </w:p>
        </w:tc>
      </w:tr>
      <w:tr w:rsidR="00EC4A44" w:rsidRPr="00902F55" w:rsidTr="00EC4A44">
        <w:trPr>
          <w:trHeight w:val="84"/>
        </w:trPr>
        <w:tc>
          <w:tcPr>
            <w:tcW w:w="1985" w:type="dxa"/>
          </w:tcPr>
          <w:p w:rsidR="00EC4A44" w:rsidRDefault="00EC4A44" w:rsidP="00EC4A44">
            <w:pPr>
              <w:pStyle w:val="Tabletext"/>
            </w:pPr>
            <w:r>
              <w:t>ha</w:t>
            </w:r>
          </w:p>
        </w:tc>
        <w:tc>
          <w:tcPr>
            <w:tcW w:w="7371" w:type="dxa"/>
          </w:tcPr>
          <w:p w:rsidR="00EC4A44" w:rsidRDefault="00EC4A44" w:rsidP="00EC4A44">
            <w:pPr>
              <w:pStyle w:val="Tabletext"/>
            </w:pPr>
            <w:r>
              <w:t>Hectare</w:t>
            </w:r>
          </w:p>
        </w:tc>
      </w:tr>
      <w:tr w:rsidR="00EC4A44" w:rsidRPr="00902F55" w:rsidTr="00EC4A44">
        <w:trPr>
          <w:trHeight w:val="84"/>
        </w:trPr>
        <w:tc>
          <w:tcPr>
            <w:tcW w:w="1985" w:type="dxa"/>
          </w:tcPr>
          <w:p w:rsidR="00EC4A44" w:rsidRDefault="00EC4A44" w:rsidP="00EC4A44">
            <w:pPr>
              <w:pStyle w:val="Tabletext"/>
            </w:pPr>
            <w:r>
              <w:t>H</w:t>
            </w:r>
            <w:r w:rsidRPr="00A70153">
              <w:rPr>
                <w:vertAlign w:val="subscript"/>
              </w:rPr>
              <w:t>2</w:t>
            </w:r>
            <w:r>
              <w:t>S</w:t>
            </w:r>
          </w:p>
        </w:tc>
        <w:tc>
          <w:tcPr>
            <w:tcW w:w="7371" w:type="dxa"/>
          </w:tcPr>
          <w:p w:rsidR="00EC4A44" w:rsidRDefault="00EC4A44" w:rsidP="00EC4A44">
            <w:pPr>
              <w:pStyle w:val="Tabletext"/>
            </w:pPr>
            <w:r>
              <w:t>Hydrogen sulfide</w:t>
            </w:r>
          </w:p>
        </w:tc>
      </w:tr>
      <w:tr w:rsidR="00EC4A44" w:rsidRPr="00902F55" w:rsidTr="00EC4A44">
        <w:trPr>
          <w:trHeight w:val="84"/>
        </w:trPr>
        <w:tc>
          <w:tcPr>
            <w:tcW w:w="1985" w:type="dxa"/>
          </w:tcPr>
          <w:p w:rsidR="00EC4A44" w:rsidRDefault="00EC4A44" w:rsidP="00EC4A44">
            <w:pPr>
              <w:pStyle w:val="Tabletext"/>
            </w:pPr>
            <w:r>
              <w:t>J</w:t>
            </w:r>
          </w:p>
        </w:tc>
        <w:tc>
          <w:tcPr>
            <w:tcW w:w="7371" w:type="dxa"/>
          </w:tcPr>
          <w:p w:rsidR="00EC4A44" w:rsidRDefault="00EC4A44" w:rsidP="005B3394">
            <w:pPr>
              <w:pStyle w:val="Tabletext"/>
            </w:pPr>
            <w:r>
              <w:t>Joule (commonly used as MJ, GJ, PJ and TJ</w:t>
            </w:r>
            <w:proofErr w:type="gramStart"/>
            <w:r>
              <w:t>)</w:t>
            </w:r>
            <w:proofErr w:type="gramEnd"/>
            <w:r w:rsidR="00C2303D">
              <w:br/>
            </w:r>
            <w:r w:rsidR="00C2303D" w:rsidRPr="004C28AD">
              <w:t>A cubic metre of methane (at standard temperature and pressure) releases 39</w:t>
            </w:r>
            <w:r w:rsidR="005B3394">
              <w:t> </w:t>
            </w:r>
            <w:r w:rsidR="00C2303D" w:rsidRPr="004C28AD">
              <w:t>MJ during combustion. The volume of methane (at standard temperature and pressure) with an energy content of 1</w:t>
            </w:r>
            <w:r w:rsidR="00C2303D">
              <w:t> </w:t>
            </w:r>
            <w:r w:rsidR="00C2303D" w:rsidRPr="004C28AD">
              <w:t>PJ is 25.6x10</w:t>
            </w:r>
            <w:r w:rsidR="00C2303D" w:rsidRPr="004C28AD">
              <w:rPr>
                <w:vertAlign w:val="superscript"/>
              </w:rPr>
              <w:t>6</w:t>
            </w:r>
            <w:r w:rsidR="00C2303D" w:rsidRPr="004C28AD">
              <w:t xml:space="preserve"> </w:t>
            </w:r>
            <w:proofErr w:type="gramStart"/>
            <w:r w:rsidR="00C2303D" w:rsidRPr="004C28AD">
              <w:t>m</w:t>
            </w:r>
            <w:r w:rsidR="00C2303D" w:rsidRPr="004C28AD">
              <w:rPr>
                <w:vertAlign w:val="superscript"/>
              </w:rPr>
              <w:t>3</w:t>
            </w:r>
            <w:r w:rsidR="00C2303D" w:rsidRPr="004C28AD">
              <w:t> .</w:t>
            </w:r>
            <w:proofErr w:type="gramEnd"/>
          </w:p>
        </w:tc>
      </w:tr>
      <w:tr w:rsidR="00EC4A44" w:rsidRPr="00902F55" w:rsidTr="00EC4A44">
        <w:trPr>
          <w:trHeight w:val="84"/>
        </w:trPr>
        <w:tc>
          <w:tcPr>
            <w:tcW w:w="1985" w:type="dxa"/>
          </w:tcPr>
          <w:p w:rsidR="00EC4A44" w:rsidRDefault="00EC4A44" w:rsidP="00EC4A44">
            <w:pPr>
              <w:pStyle w:val="Tabletext"/>
            </w:pPr>
            <w:r>
              <w:t>L</w:t>
            </w:r>
          </w:p>
        </w:tc>
        <w:tc>
          <w:tcPr>
            <w:tcW w:w="7371" w:type="dxa"/>
          </w:tcPr>
          <w:p w:rsidR="00EC4A44" w:rsidRDefault="00EC4A44" w:rsidP="00EC4A44">
            <w:pPr>
              <w:pStyle w:val="Tabletext"/>
            </w:pPr>
            <w:r>
              <w:t>Litre (commonly used as mL, ML and GL)</w:t>
            </w:r>
          </w:p>
        </w:tc>
      </w:tr>
      <w:tr w:rsidR="00EC4A44" w:rsidRPr="00902F55" w:rsidTr="00EC4A44">
        <w:trPr>
          <w:trHeight w:val="84"/>
        </w:trPr>
        <w:tc>
          <w:tcPr>
            <w:tcW w:w="1985" w:type="dxa"/>
          </w:tcPr>
          <w:p w:rsidR="00EC4A44" w:rsidRDefault="00EC4A44" w:rsidP="00EC4A44">
            <w:pPr>
              <w:pStyle w:val="Tabletext"/>
            </w:pPr>
            <w:r>
              <w:t>m</w:t>
            </w:r>
          </w:p>
        </w:tc>
        <w:tc>
          <w:tcPr>
            <w:tcW w:w="7371" w:type="dxa"/>
          </w:tcPr>
          <w:p w:rsidR="00EC4A44" w:rsidRDefault="00EC4A44" w:rsidP="00EC4A44">
            <w:pPr>
              <w:pStyle w:val="Tabletext"/>
            </w:pPr>
            <w:r>
              <w:t>Metre (commonly used as mm, cm and km)</w:t>
            </w:r>
          </w:p>
        </w:tc>
      </w:tr>
      <w:tr w:rsidR="00EC4A44" w:rsidRPr="00902F55" w:rsidTr="00EC4A44">
        <w:trPr>
          <w:trHeight w:val="84"/>
        </w:trPr>
        <w:tc>
          <w:tcPr>
            <w:tcW w:w="1985" w:type="dxa"/>
          </w:tcPr>
          <w:p w:rsidR="00EC4A44" w:rsidRDefault="00EC4A44" w:rsidP="00EC4A44">
            <w:pPr>
              <w:pStyle w:val="Tabletext"/>
            </w:pPr>
            <w:r>
              <w:t>M</w:t>
            </w:r>
          </w:p>
        </w:tc>
        <w:tc>
          <w:tcPr>
            <w:tcW w:w="7371" w:type="dxa"/>
          </w:tcPr>
          <w:p w:rsidR="00EC4A44" w:rsidRDefault="00EC4A44" w:rsidP="00EC4A44">
            <w:pPr>
              <w:pStyle w:val="Tabletext"/>
            </w:pPr>
            <w:r>
              <w:t>Magnitude</w:t>
            </w:r>
          </w:p>
        </w:tc>
      </w:tr>
      <w:tr w:rsidR="00EC4A44" w:rsidRPr="00902F55" w:rsidTr="00EC4A44">
        <w:trPr>
          <w:trHeight w:val="84"/>
        </w:trPr>
        <w:tc>
          <w:tcPr>
            <w:tcW w:w="1985" w:type="dxa"/>
          </w:tcPr>
          <w:p w:rsidR="00EC4A44" w:rsidRPr="001E6DBD" w:rsidRDefault="00EC4A44" w:rsidP="00EC4A44">
            <w:pPr>
              <w:pStyle w:val="Tabletext"/>
            </w:pPr>
            <w:r w:rsidRPr="00EB36C7">
              <w:t>microstrain</w:t>
            </w:r>
          </w:p>
        </w:tc>
        <w:tc>
          <w:tcPr>
            <w:tcW w:w="7371" w:type="dxa"/>
          </w:tcPr>
          <w:p w:rsidR="00EC4A44" w:rsidRDefault="00EC4A44" w:rsidP="005B3394">
            <w:pPr>
              <w:pStyle w:val="Tabletext"/>
            </w:pPr>
            <w:r w:rsidRPr="00EB36C7">
              <w:t xml:space="preserve">1 mm per </w:t>
            </w:r>
            <w:r>
              <w:t>1000</w:t>
            </w:r>
            <w:r w:rsidR="005B3394">
              <w:t> </w:t>
            </w:r>
            <w:r>
              <w:t>m depth stratigraphic unit</w:t>
            </w:r>
          </w:p>
        </w:tc>
      </w:tr>
      <w:tr w:rsidR="006C61BE" w:rsidRPr="00902F55" w:rsidTr="00195F0A">
        <w:trPr>
          <w:trHeight w:val="84"/>
        </w:trPr>
        <w:tc>
          <w:tcPr>
            <w:tcW w:w="1985" w:type="dxa"/>
          </w:tcPr>
          <w:p w:rsidR="006C61BE" w:rsidRDefault="006C61BE" w:rsidP="00902F55">
            <w:pPr>
              <w:pStyle w:val="Tabletext"/>
            </w:pPr>
            <w:r>
              <w:t>N</w:t>
            </w:r>
          </w:p>
        </w:tc>
        <w:tc>
          <w:tcPr>
            <w:tcW w:w="7371" w:type="dxa"/>
          </w:tcPr>
          <w:p w:rsidR="006C61BE" w:rsidRDefault="00EC4A44" w:rsidP="00902F55">
            <w:pPr>
              <w:pStyle w:val="Tabletext"/>
            </w:pPr>
            <w:r>
              <w:t>N</w:t>
            </w:r>
            <w:r w:rsidR="006C61BE">
              <w:t>itrogen</w:t>
            </w:r>
          </w:p>
        </w:tc>
      </w:tr>
      <w:tr w:rsidR="00B47ED5" w:rsidRPr="00902F55" w:rsidTr="00195F0A">
        <w:trPr>
          <w:trHeight w:val="84"/>
        </w:trPr>
        <w:tc>
          <w:tcPr>
            <w:tcW w:w="1985" w:type="dxa"/>
          </w:tcPr>
          <w:p w:rsidR="00B47ED5" w:rsidRPr="0033334C" w:rsidRDefault="00B47ED5" w:rsidP="00902F55">
            <w:pPr>
              <w:pStyle w:val="Tabletext"/>
            </w:pPr>
            <w:r>
              <w:t>N</w:t>
            </w:r>
            <w:r>
              <w:rPr>
                <w:vertAlign w:val="subscript"/>
              </w:rPr>
              <w:t>2</w:t>
            </w:r>
          </w:p>
        </w:tc>
        <w:tc>
          <w:tcPr>
            <w:tcW w:w="7371" w:type="dxa"/>
          </w:tcPr>
          <w:p w:rsidR="00B47ED5" w:rsidRDefault="00EC4A44" w:rsidP="00733D26">
            <w:pPr>
              <w:pStyle w:val="Tabletext"/>
            </w:pPr>
            <w:r>
              <w:t>D</w:t>
            </w:r>
            <w:r w:rsidR="00733D26">
              <w:t>initrogen (nitrogen gas)</w:t>
            </w:r>
          </w:p>
        </w:tc>
      </w:tr>
      <w:tr w:rsidR="00EC4A44" w:rsidRPr="00902F55" w:rsidTr="00EC4A44">
        <w:trPr>
          <w:trHeight w:val="84"/>
        </w:trPr>
        <w:tc>
          <w:tcPr>
            <w:tcW w:w="1985" w:type="dxa"/>
          </w:tcPr>
          <w:p w:rsidR="00EC4A44" w:rsidRPr="001E6DBD" w:rsidRDefault="00EC4A44" w:rsidP="00EC4A44">
            <w:pPr>
              <w:pStyle w:val="Tabletext"/>
            </w:pPr>
            <w:r w:rsidRPr="00EB36C7">
              <w:t>nanoradian</w:t>
            </w:r>
          </w:p>
        </w:tc>
        <w:tc>
          <w:tcPr>
            <w:tcW w:w="7371" w:type="dxa"/>
          </w:tcPr>
          <w:p w:rsidR="00EC4A44" w:rsidRDefault="00EC4A44" w:rsidP="00EC4A44">
            <w:pPr>
              <w:pStyle w:val="Tabletext"/>
            </w:pPr>
            <w:r w:rsidRPr="00EB36C7">
              <w:t>10</w:t>
            </w:r>
            <w:r w:rsidRPr="00EB36C7">
              <w:rPr>
                <w:vertAlign w:val="superscript"/>
              </w:rPr>
              <w:noBreakHyphen/>
              <w:t>6</w:t>
            </w:r>
            <w:r w:rsidRPr="00EB36C7">
              <w:t> mm/m</w:t>
            </w:r>
          </w:p>
        </w:tc>
      </w:tr>
      <w:tr w:rsidR="00EC4A44" w:rsidRPr="00902F55" w:rsidTr="00EC4A44">
        <w:trPr>
          <w:trHeight w:val="84"/>
        </w:trPr>
        <w:tc>
          <w:tcPr>
            <w:tcW w:w="1985" w:type="dxa"/>
          </w:tcPr>
          <w:p w:rsidR="00EC4A44" w:rsidRDefault="00EC4A44" w:rsidP="00EC4A44">
            <w:pPr>
              <w:pStyle w:val="Tabletext"/>
            </w:pPr>
            <w:r w:rsidRPr="00FA1C5B">
              <w:rPr>
                <w:lang w:val="en-GB"/>
              </w:rPr>
              <w:t>Pa</w:t>
            </w:r>
          </w:p>
        </w:tc>
        <w:tc>
          <w:tcPr>
            <w:tcW w:w="7371" w:type="dxa"/>
          </w:tcPr>
          <w:p w:rsidR="00EC4A44" w:rsidRDefault="00EC4A44" w:rsidP="00EC4A44">
            <w:pPr>
              <w:pStyle w:val="Tabletext"/>
            </w:pPr>
            <w:r>
              <w:t>Pascals (commonly used as kPa and GPa)</w:t>
            </w:r>
          </w:p>
        </w:tc>
      </w:tr>
      <w:tr w:rsidR="00A57CD1" w:rsidRPr="00902F55" w:rsidTr="00195F0A">
        <w:trPr>
          <w:trHeight w:val="84"/>
        </w:trPr>
        <w:tc>
          <w:tcPr>
            <w:tcW w:w="1985" w:type="dxa"/>
          </w:tcPr>
          <w:p w:rsidR="00A57CD1" w:rsidRPr="005E1687" w:rsidRDefault="00A57CD1" w:rsidP="00902F55">
            <w:pPr>
              <w:pStyle w:val="Tabletext"/>
            </w:pPr>
            <w:r>
              <w:t>psi</w:t>
            </w:r>
          </w:p>
        </w:tc>
        <w:tc>
          <w:tcPr>
            <w:tcW w:w="7371" w:type="dxa"/>
          </w:tcPr>
          <w:p w:rsidR="00A57CD1" w:rsidRPr="005E1687" w:rsidRDefault="00EC4A44" w:rsidP="00902F55">
            <w:pPr>
              <w:pStyle w:val="Tabletext"/>
            </w:pPr>
            <w:r>
              <w:t>P</w:t>
            </w:r>
            <w:r w:rsidR="00A57CD1">
              <w:t>ound-force per square inch</w:t>
            </w:r>
          </w:p>
        </w:tc>
      </w:tr>
    </w:tbl>
    <w:p w:rsidR="004604CF" w:rsidRDefault="009A27C1" w:rsidP="001E6DBD">
      <w:pPr>
        <w:pStyle w:val="SummaryH1"/>
      </w:pPr>
      <w:bookmarkStart w:id="15" w:name="_Toc351121191"/>
      <w:bookmarkStart w:id="16" w:name="_Toc402425286"/>
      <w:r w:rsidRPr="00CF283E">
        <w:t>Glossary</w:t>
      </w:r>
      <w:bookmarkEnd w:id="15"/>
      <w:bookmarkEnd w:id="16"/>
    </w:p>
    <w:tbl>
      <w:tblPr>
        <w:tblW w:w="91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45"/>
        <w:gridCol w:w="6901"/>
      </w:tblGrid>
      <w:tr w:rsidR="00195F0A" w:rsidRPr="007B0FCA" w:rsidTr="001B60F1">
        <w:trPr>
          <w:tblHeader/>
        </w:trPr>
        <w:tc>
          <w:tcPr>
            <w:tcW w:w="2245" w:type="dxa"/>
            <w:shd w:val="clear" w:color="auto" w:fill="C6D9F1" w:themeFill="text2" w:themeFillTint="33"/>
          </w:tcPr>
          <w:p w:rsidR="00195F0A" w:rsidRPr="007B0FCA" w:rsidRDefault="00195F0A" w:rsidP="007B0FCA">
            <w:pPr>
              <w:pStyle w:val="Tableheading"/>
            </w:pPr>
            <w:bookmarkStart w:id="17" w:name="_Toc331665442"/>
            <w:bookmarkStart w:id="18" w:name="_Toc332444781"/>
            <w:bookmarkStart w:id="19" w:name="_Toc332445249"/>
            <w:bookmarkStart w:id="20" w:name="_Toc332445573"/>
            <w:bookmarkStart w:id="21" w:name="_Toc332446568"/>
            <w:bookmarkStart w:id="22" w:name="_Toc332450661"/>
            <w:bookmarkStart w:id="23" w:name="_Toc332457719"/>
            <w:bookmarkStart w:id="24" w:name="_Toc332460995"/>
            <w:bookmarkStart w:id="25" w:name="_Toc332461241"/>
            <w:bookmarkStart w:id="26" w:name="_Toc332461485"/>
            <w:bookmarkStart w:id="27" w:name="_Toc332463270"/>
            <w:bookmarkStart w:id="28" w:name="_Toc332463518"/>
            <w:bookmarkStart w:id="29" w:name="_Toc332463766"/>
            <w:bookmarkStart w:id="30" w:name="_Toc332467799"/>
            <w:bookmarkStart w:id="31" w:name="_Toc332444782"/>
            <w:bookmarkStart w:id="32" w:name="_Toc332445250"/>
            <w:bookmarkStart w:id="33" w:name="_Toc332445574"/>
            <w:bookmarkStart w:id="34" w:name="_Toc332446569"/>
            <w:bookmarkStart w:id="35" w:name="_Toc332450662"/>
            <w:bookmarkStart w:id="36" w:name="_Toc332457720"/>
            <w:bookmarkStart w:id="37" w:name="_Toc332460996"/>
            <w:bookmarkStart w:id="38" w:name="_Toc332461242"/>
            <w:bookmarkStart w:id="39" w:name="_Toc332461486"/>
            <w:bookmarkStart w:id="40" w:name="_Toc332463271"/>
            <w:bookmarkStart w:id="41" w:name="_Toc332463519"/>
            <w:bookmarkStart w:id="42" w:name="_Toc332463767"/>
            <w:bookmarkStart w:id="43" w:name="_Toc332467800"/>
            <w:bookmarkStart w:id="44" w:name="_Toc332444783"/>
            <w:bookmarkStart w:id="45" w:name="_Toc332445251"/>
            <w:bookmarkStart w:id="46" w:name="_Toc332445575"/>
            <w:bookmarkStart w:id="47" w:name="_Toc332446570"/>
            <w:bookmarkStart w:id="48" w:name="_Toc332450663"/>
            <w:bookmarkStart w:id="49" w:name="_Toc332457721"/>
            <w:bookmarkStart w:id="50" w:name="_Toc332460997"/>
            <w:bookmarkStart w:id="51" w:name="_Toc332461243"/>
            <w:bookmarkStart w:id="52" w:name="_Toc332461487"/>
            <w:bookmarkStart w:id="53" w:name="_Toc332463272"/>
            <w:bookmarkStart w:id="54" w:name="_Toc332463520"/>
            <w:bookmarkStart w:id="55" w:name="_Toc332463768"/>
            <w:bookmarkStart w:id="56" w:name="_Toc332467801"/>
            <w:bookmarkStart w:id="57" w:name="_Toc332444786"/>
            <w:bookmarkStart w:id="58" w:name="_Toc332445254"/>
            <w:bookmarkStart w:id="59" w:name="_Toc332445578"/>
            <w:bookmarkStart w:id="60" w:name="_Toc332446573"/>
            <w:bookmarkStart w:id="61" w:name="_Toc332450666"/>
            <w:bookmarkStart w:id="62" w:name="_Toc332457724"/>
            <w:bookmarkStart w:id="63" w:name="_Toc332461000"/>
            <w:bookmarkStart w:id="64" w:name="_Toc332461246"/>
            <w:bookmarkStart w:id="65" w:name="_Toc332461490"/>
            <w:bookmarkStart w:id="66" w:name="_Toc332463275"/>
            <w:bookmarkStart w:id="67" w:name="_Toc332463523"/>
            <w:bookmarkStart w:id="68" w:name="_Toc332463771"/>
            <w:bookmarkStart w:id="69" w:name="_Toc332467804"/>
            <w:bookmarkStart w:id="70" w:name="_Toc321822934"/>
            <w:bookmarkStart w:id="71" w:name="_Toc321825833"/>
            <w:bookmarkStart w:id="72" w:name="_Toc321826478"/>
            <w:bookmarkStart w:id="73" w:name="_Toc321826912"/>
            <w:bookmarkStart w:id="74" w:name="_Toc321830816"/>
            <w:bookmarkStart w:id="75" w:name="_Toc321841735"/>
            <w:bookmarkStart w:id="76" w:name="_Toc321922440"/>
            <w:bookmarkStart w:id="77" w:name="_Toc321924028"/>
            <w:bookmarkStart w:id="78" w:name="_Toc332461017"/>
            <w:bookmarkStart w:id="79" w:name="_Toc332461263"/>
            <w:bookmarkStart w:id="80" w:name="_Toc332461507"/>
            <w:bookmarkStart w:id="81" w:name="_Toc332463292"/>
            <w:bookmarkStart w:id="82" w:name="_Toc332463540"/>
            <w:bookmarkStart w:id="83" w:name="_Toc332463788"/>
            <w:bookmarkStart w:id="84" w:name="_Toc332467821"/>
            <w:bookmarkStart w:id="85" w:name="_Toc332461020"/>
            <w:bookmarkStart w:id="86" w:name="_Toc332461266"/>
            <w:bookmarkStart w:id="87" w:name="_Toc332461510"/>
            <w:bookmarkStart w:id="88" w:name="_Toc332463295"/>
            <w:bookmarkStart w:id="89" w:name="_Toc332463543"/>
            <w:bookmarkStart w:id="90" w:name="_Toc332463791"/>
            <w:bookmarkStart w:id="91" w:name="_Toc332467824"/>
            <w:bookmarkStart w:id="92" w:name="_Toc332461021"/>
            <w:bookmarkStart w:id="93" w:name="_Toc332461267"/>
            <w:bookmarkStart w:id="94" w:name="_Toc332461511"/>
            <w:bookmarkStart w:id="95" w:name="_Toc332463296"/>
            <w:bookmarkStart w:id="96" w:name="_Toc332463544"/>
            <w:bookmarkStart w:id="97" w:name="_Toc332463792"/>
            <w:bookmarkStart w:id="98" w:name="_Toc332467825"/>
            <w:bookmarkStart w:id="99" w:name="_Toc332461024"/>
            <w:bookmarkStart w:id="100" w:name="_Toc332461270"/>
            <w:bookmarkStart w:id="101" w:name="_Toc332461514"/>
            <w:bookmarkStart w:id="102" w:name="_Toc332463299"/>
            <w:bookmarkStart w:id="103" w:name="_Toc332463547"/>
            <w:bookmarkStart w:id="104" w:name="_Toc332463795"/>
            <w:bookmarkStart w:id="105" w:name="_Toc332467828"/>
            <w:bookmarkStart w:id="106" w:name="_Toc332461027"/>
            <w:bookmarkStart w:id="107" w:name="_Toc332461273"/>
            <w:bookmarkStart w:id="108" w:name="_Toc332461517"/>
            <w:bookmarkStart w:id="109" w:name="_Toc332463302"/>
            <w:bookmarkStart w:id="110" w:name="_Toc332463550"/>
            <w:bookmarkStart w:id="111" w:name="_Toc332463798"/>
            <w:bookmarkStart w:id="112" w:name="_Toc332467831"/>
            <w:bookmarkStart w:id="113" w:name="_Toc332461028"/>
            <w:bookmarkStart w:id="114" w:name="_Toc332461274"/>
            <w:bookmarkStart w:id="115" w:name="_Toc332461518"/>
            <w:bookmarkStart w:id="116" w:name="_Toc332463303"/>
            <w:bookmarkStart w:id="117" w:name="_Toc332463551"/>
            <w:bookmarkStart w:id="118" w:name="_Toc332463799"/>
            <w:bookmarkStart w:id="119" w:name="_Toc332467832"/>
            <w:bookmarkStart w:id="120" w:name="_Toc332461031"/>
            <w:bookmarkStart w:id="121" w:name="_Toc332461277"/>
            <w:bookmarkStart w:id="122" w:name="_Toc332461521"/>
            <w:bookmarkStart w:id="123" w:name="_Toc332463306"/>
            <w:bookmarkStart w:id="124" w:name="_Toc332463554"/>
            <w:bookmarkStart w:id="125" w:name="_Toc332463802"/>
            <w:bookmarkStart w:id="126" w:name="_Toc332467835"/>
            <w:bookmarkStart w:id="127" w:name="_Toc332461033"/>
            <w:bookmarkStart w:id="128" w:name="_Toc332461279"/>
            <w:bookmarkStart w:id="129" w:name="_Toc332461523"/>
            <w:bookmarkStart w:id="130" w:name="_Toc332463308"/>
            <w:bookmarkStart w:id="131" w:name="_Toc332463556"/>
            <w:bookmarkStart w:id="132" w:name="_Toc332463804"/>
            <w:bookmarkStart w:id="133" w:name="_Toc332467837"/>
            <w:bookmarkStart w:id="134" w:name="_Toc332461037"/>
            <w:bookmarkStart w:id="135" w:name="_Toc332461283"/>
            <w:bookmarkStart w:id="136" w:name="_Toc332461527"/>
            <w:bookmarkStart w:id="137" w:name="_Toc332463312"/>
            <w:bookmarkStart w:id="138" w:name="_Toc332463560"/>
            <w:bookmarkStart w:id="139" w:name="_Toc332463808"/>
            <w:bookmarkStart w:id="140" w:name="_Toc332467841"/>
            <w:bookmarkStart w:id="141" w:name="_Toc332461038"/>
            <w:bookmarkStart w:id="142" w:name="_Toc332461284"/>
            <w:bookmarkStart w:id="143" w:name="_Toc332461528"/>
            <w:bookmarkStart w:id="144" w:name="_Toc332463313"/>
            <w:bookmarkStart w:id="145" w:name="_Toc332463561"/>
            <w:bookmarkStart w:id="146" w:name="_Toc332463809"/>
            <w:bookmarkStart w:id="147" w:name="_Toc332467842"/>
            <w:bookmarkStart w:id="148" w:name="_Toc332461040"/>
            <w:bookmarkStart w:id="149" w:name="_Toc332461286"/>
            <w:bookmarkStart w:id="150" w:name="_Toc332461530"/>
            <w:bookmarkStart w:id="151" w:name="_Toc332463315"/>
            <w:bookmarkStart w:id="152" w:name="_Toc332463563"/>
            <w:bookmarkStart w:id="153" w:name="_Toc332463811"/>
            <w:bookmarkStart w:id="154" w:name="_Toc332467844"/>
            <w:bookmarkStart w:id="155" w:name="_Toc332461046"/>
            <w:bookmarkStart w:id="156" w:name="_Toc332461292"/>
            <w:bookmarkStart w:id="157" w:name="_Toc332461536"/>
            <w:bookmarkStart w:id="158" w:name="_Toc332463321"/>
            <w:bookmarkStart w:id="159" w:name="_Toc332463569"/>
            <w:bookmarkStart w:id="160" w:name="_Toc332463817"/>
            <w:bookmarkStart w:id="161" w:name="_Toc332467850"/>
            <w:bookmarkStart w:id="162" w:name="_Toc332461051"/>
            <w:bookmarkStart w:id="163" w:name="_Toc332461297"/>
            <w:bookmarkStart w:id="164" w:name="_Toc332461541"/>
            <w:bookmarkStart w:id="165" w:name="_Toc332463326"/>
            <w:bookmarkStart w:id="166" w:name="_Toc332463574"/>
            <w:bookmarkStart w:id="167" w:name="_Toc332463822"/>
            <w:bookmarkStart w:id="168" w:name="_Toc332467855"/>
            <w:bookmarkStart w:id="169" w:name="_Toc332461054"/>
            <w:bookmarkStart w:id="170" w:name="_Toc332461300"/>
            <w:bookmarkStart w:id="171" w:name="_Toc332461544"/>
            <w:bookmarkStart w:id="172" w:name="_Toc332463329"/>
            <w:bookmarkStart w:id="173" w:name="_Toc332463577"/>
            <w:bookmarkStart w:id="174" w:name="_Toc332463825"/>
            <w:bookmarkStart w:id="175" w:name="_Toc332467858"/>
            <w:bookmarkStart w:id="176" w:name="_Toc332461055"/>
            <w:bookmarkStart w:id="177" w:name="_Toc332461301"/>
            <w:bookmarkStart w:id="178" w:name="_Toc332461545"/>
            <w:bookmarkStart w:id="179" w:name="_Toc332463330"/>
            <w:bookmarkStart w:id="180" w:name="_Toc332463578"/>
            <w:bookmarkStart w:id="181" w:name="_Toc332463826"/>
            <w:bookmarkStart w:id="182" w:name="_Toc332467859"/>
            <w:bookmarkStart w:id="183" w:name="_Toc332461056"/>
            <w:bookmarkStart w:id="184" w:name="_Toc332461302"/>
            <w:bookmarkStart w:id="185" w:name="_Toc332461546"/>
            <w:bookmarkStart w:id="186" w:name="_Toc332463331"/>
            <w:bookmarkStart w:id="187" w:name="_Toc332463579"/>
            <w:bookmarkStart w:id="188" w:name="_Toc332463827"/>
            <w:bookmarkStart w:id="189" w:name="_Toc332467860"/>
            <w:bookmarkStart w:id="190" w:name="_Toc332461059"/>
            <w:bookmarkStart w:id="191" w:name="_Toc332461305"/>
            <w:bookmarkStart w:id="192" w:name="_Toc332461549"/>
            <w:bookmarkStart w:id="193" w:name="_Toc332463334"/>
            <w:bookmarkStart w:id="194" w:name="_Toc332463582"/>
            <w:bookmarkStart w:id="195" w:name="_Toc332463830"/>
            <w:bookmarkStart w:id="196" w:name="_Toc332467863"/>
            <w:bookmarkStart w:id="197" w:name="_Toc332461060"/>
            <w:bookmarkStart w:id="198" w:name="_Toc332461306"/>
            <w:bookmarkStart w:id="199" w:name="_Toc332461550"/>
            <w:bookmarkStart w:id="200" w:name="_Toc332463335"/>
            <w:bookmarkStart w:id="201" w:name="_Toc332463583"/>
            <w:bookmarkStart w:id="202" w:name="_Toc332463831"/>
            <w:bookmarkStart w:id="203" w:name="_Toc332467864"/>
            <w:bookmarkStart w:id="204" w:name="_Toc332461062"/>
            <w:bookmarkStart w:id="205" w:name="_Toc332461308"/>
            <w:bookmarkStart w:id="206" w:name="_Toc332461552"/>
            <w:bookmarkStart w:id="207" w:name="_Toc332463337"/>
            <w:bookmarkStart w:id="208" w:name="_Toc332463585"/>
            <w:bookmarkStart w:id="209" w:name="_Toc332463833"/>
            <w:bookmarkStart w:id="210" w:name="_Toc332467866"/>
            <w:bookmarkStart w:id="211" w:name="_Toc332461086"/>
            <w:bookmarkStart w:id="212" w:name="_Toc332461332"/>
            <w:bookmarkStart w:id="213" w:name="_Toc332461576"/>
            <w:bookmarkStart w:id="214" w:name="_Toc332463361"/>
            <w:bookmarkStart w:id="215" w:name="_Toc332463609"/>
            <w:bookmarkStart w:id="216" w:name="_Toc332463857"/>
            <w:bookmarkStart w:id="217" w:name="_Toc332467890"/>
            <w:bookmarkStart w:id="218" w:name="_Toc332461089"/>
            <w:bookmarkStart w:id="219" w:name="_Toc332461335"/>
            <w:bookmarkStart w:id="220" w:name="_Toc332461579"/>
            <w:bookmarkStart w:id="221" w:name="_Toc332463364"/>
            <w:bookmarkStart w:id="222" w:name="_Toc332463612"/>
            <w:bookmarkStart w:id="223" w:name="_Toc332463860"/>
            <w:bookmarkStart w:id="224" w:name="_Toc332467893"/>
            <w:bookmarkStart w:id="225" w:name="_Toc332461091"/>
            <w:bookmarkStart w:id="226" w:name="_Toc332461337"/>
            <w:bookmarkStart w:id="227" w:name="_Toc332461581"/>
            <w:bookmarkStart w:id="228" w:name="_Toc332463366"/>
            <w:bookmarkStart w:id="229" w:name="_Toc332463614"/>
            <w:bookmarkStart w:id="230" w:name="_Toc332463862"/>
            <w:bookmarkStart w:id="231" w:name="_Toc332467895"/>
            <w:bookmarkStart w:id="232" w:name="_Toc332461092"/>
            <w:bookmarkStart w:id="233" w:name="_Toc332461338"/>
            <w:bookmarkStart w:id="234" w:name="_Toc332461582"/>
            <w:bookmarkStart w:id="235" w:name="_Toc332463367"/>
            <w:bookmarkStart w:id="236" w:name="_Toc332463615"/>
            <w:bookmarkStart w:id="237" w:name="_Toc332463863"/>
            <w:bookmarkStart w:id="238" w:name="_Toc332467896"/>
            <w:bookmarkStart w:id="239" w:name="_Toc332461095"/>
            <w:bookmarkStart w:id="240" w:name="_Toc332461341"/>
            <w:bookmarkStart w:id="241" w:name="_Toc332461585"/>
            <w:bookmarkStart w:id="242" w:name="_Toc332463370"/>
            <w:bookmarkStart w:id="243" w:name="_Toc332463618"/>
            <w:bookmarkStart w:id="244" w:name="_Toc332463866"/>
            <w:bookmarkStart w:id="245" w:name="_Toc332467899"/>
            <w:bookmarkStart w:id="246" w:name="_Toc332461096"/>
            <w:bookmarkStart w:id="247" w:name="_Toc332461342"/>
            <w:bookmarkStart w:id="248" w:name="_Toc332461586"/>
            <w:bookmarkStart w:id="249" w:name="_Toc332463371"/>
            <w:bookmarkStart w:id="250" w:name="_Toc332463619"/>
            <w:bookmarkStart w:id="251" w:name="_Toc332463867"/>
            <w:bookmarkStart w:id="252" w:name="_Toc332467900"/>
            <w:bookmarkStart w:id="253" w:name="_Toc332461097"/>
            <w:bookmarkStart w:id="254" w:name="_Toc332461343"/>
            <w:bookmarkStart w:id="255" w:name="_Toc332461587"/>
            <w:bookmarkStart w:id="256" w:name="_Toc332463372"/>
            <w:bookmarkStart w:id="257" w:name="_Toc332463620"/>
            <w:bookmarkStart w:id="258" w:name="_Toc332463868"/>
            <w:bookmarkStart w:id="259" w:name="_Toc332467901"/>
            <w:bookmarkStart w:id="260" w:name="_Toc332461098"/>
            <w:bookmarkStart w:id="261" w:name="_Toc332461344"/>
            <w:bookmarkStart w:id="262" w:name="_Toc332461588"/>
            <w:bookmarkStart w:id="263" w:name="_Toc332463373"/>
            <w:bookmarkStart w:id="264" w:name="_Toc332463621"/>
            <w:bookmarkStart w:id="265" w:name="_Toc332463869"/>
            <w:bookmarkStart w:id="266" w:name="_Toc332467902"/>
            <w:bookmarkStart w:id="267" w:name="_Toc332461099"/>
            <w:bookmarkStart w:id="268" w:name="_Toc332461345"/>
            <w:bookmarkStart w:id="269" w:name="_Toc332461589"/>
            <w:bookmarkStart w:id="270" w:name="_Toc332463374"/>
            <w:bookmarkStart w:id="271" w:name="_Toc332463622"/>
            <w:bookmarkStart w:id="272" w:name="_Toc332463870"/>
            <w:bookmarkStart w:id="273" w:name="_Toc332467903"/>
            <w:bookmarkStart w:id="274" w:name="_Toc332461100"/>
            <w:bookmarkStart w:id="275" w:name="_Toc332461346"/>
            <w:bookmarkStart w:id="276" w:name="_Toc332461590"/>
            <w:bookmarkStart w:id="277" w:name="_Toc332463375"/>
            <w:bookmarkStart w:id="278" w:name="_Toc332463623"/>
            <w:bookmarkStart w:id="279" w:name="_Toc332463871"/>
            <w:bookmarkStart w:id="280" w:name="_Toc332467904"/>
            <w:bookmarkStart w:id="281" w:name="_Toc332461102"/>
            <w:bookmarkStart w:id="282" w:name="_Toc332461348"/>
            <w:bookmarkStart w:id="283" w:name="_Toc332461592"/>
            <w:bookmarkStart w:id="284" w:name="_Toc332463377"/>
            <w:bookmarkStart w:id="285" w:name="_Toc332463625"/>
            <w:bookmarkStart w:id="286" w:name="_Toc332463873"/>
            <w:bookmarkStart w:id="287" w:name="_Toc332467906"/>
            <w:bookmarkStart w:id="288" w:name="_Toc332461103"/>
            <w:bookmarkStart w:id="289" w:name="_Toc332461349"/>
            <w:bookmarkStart w:id="290" w:name="_Toc332461593"/>
            <w:bookmarkStart w:id="291" w:name="_Toc332463378"/>
            <w:bookmarkStart w:id="292" w:name="_Toc332463626"/>
            <w:bookmarkStart w:id="293" w:name="_Toc332463874"/>
            <w:bookmarkStart w:id="294" w:name="_Toc332467907"/>
            <w:bookmarkStart w:id="295" w:name="_Toc332461106"/>
            <w:bookmarkStart w:id="296" w:name="_Toc332461352"/>
            <w:bookmarkStart w:id="297" w:name="_Toc332461596"/>
            <w:bookmarkStart w:id="298" w:name="_Toc332463381"/>
            <w:bookmarkStart w:id="299" w:name="_Toc332463629"/>
            <w:bookmarkStart w:id="300" w:name="_Toc332463877"/>
            <w:bookmarkStart w:id="301" w:name="_Toc332467910"/>
            <w:bookmarkStart w:id="302" w:name="_Toc332461110"/>
            <w:bookmarkStart w:id="303" w:name="_Toc332461356"/>
            <w:bookmarkStart w:id="304" w:name="_Toc332461600"/>
            <w:bookmarkStart w:id="305" w:name="_Toc332463385"/>
            <w:bookmarkStart w:id="306" w:name="_Toc332463633"/>
            <w:bookmarkStart w:id="307" w:name="_Toc332463881"/>
            <w:bookmarkStart w:id="308" w:name="_Toc332467914"/>
            <w:bookmarkStart w:id="309" w:name="_Toc332461116"/>
            <w:bookmarkStart w:id="310" w:name="_Toc332461362"/>
            <w:bookmarkStart w:id="311" w:name="_Toc332461606"/>
            <w:bookmarkStart w:id="312" w:name="_Toc332463391"/>
            <w:bookmarkStart w:id="313" w:name="_Toc332463639"/>
            <w:bookmarkStart w:id="314" w:name="_Toc332463887"/>
            <w:bookmarkStart w:id="315" w:name="_Toc332467920"/>
            <w:bookmarkStart w:id="316" w:name="_Toc332461117"/>
            <w:bookmarkStart w:id="317" w:name="_Toc332461363"/>
            <w:bookmarkStart w:id="318" w:name="_Toc332461607"/>
            <w:bookmarkStart w:id="319" w:name="_Toc332463392"/>
            <w:bookmarkStart w:id="320" w:name="_Toc332463640"/>
            <w:bookmarkStart w:id="321" w:name="_Toc332463888"/>
            <w:bookmarkStart w:id="322" w:name="_Toc332467921"/>
            <w:bookmarkStart w:id="323" w:name="_Toc332461118"/>
            <w:bookmarkStart w:id="324" w:name="_Toc332461364"/>
            <w:bookmarkStart w:id="325" w:name="_Toc332461608"/>
            <w:bookmarkStart w:id="326" w:name="_Toc332463393"/>
            <w:bookmarkStart w:id="327" w:name="_Toc332463641"/>
            <w:bookmarkStart w:id="328" w:name="_Toc332463889"/>
            <w:bookmarkStart w:id="329" w:name="_Toc332467922"/>
            <w:bookmarkStart w:id="330" w:name="_Toc332461136"/>
            <w:bookmarkStart w:id="331" w:name="_Toc332461382"/>
            <w:bookmarkStart w:id="332" w:name="_Toc332461626"/>
            <w:bookmarkStart w:id="333" w:name="_Toc332463411"/>
            <w:bookmarkStart w:id="334" w:name="_Toc332463659"/>
            <w:bookmarkStart w:id="335" w:name="_Toc332463907"/>
            <w:bookmarkStart w:id="336" w:name="_Toc332467940"/>
            <w:bookmarkStart w:id="337" w:name="_Toc332461139"/>
            <w:bookmarkStart w:id="338" w:name="_Toc332461385"/>
            <w:bookmarkStart w:id="339" w:name="_Toc332461629"/>
            <w:bookmarkStart w:id="340" w:name="_Toc332463414"/>
            <w:bookmarkStart w:id="341" w:name="_Toc332463662"/>
            <w:bookmarkStart w:id="342" w:name="_Toc332463910"/>
            <w:bookmarkStart w:id="343" w:name="_Toc332467943"/>
            <w:bookmarkStart w:id="344" w:name="_Toc332461147"/>
            <w:bookmarkStart w:id="345" w:name="_Toc332461393"/>
            <w:bookmarkStart w:id="346" w:name="_Toc332461637"/>
            <w:bookmarkStart w:id="347" w:name="_Toc332463422"/>
            <w:bookmarkStart w:id="348" w:name="_Toc332463670"/>
            <w:bookmarkStart w:id="349" w:name="_Toc332463918"/>
            <w:bookmarkStart w:id="350" w:name="_Toc332467951"/>
            <w:bookmarkStart w:id="351" w:name="_Toc332461157"/>
            <w:bookmarkStart w:id="352" w:name="_Toc332461403"/>
            <w:bookmarkStart w:id="353" w:name="_Toc332461647"/>
            <w:bookmarkStart w:id="354" w:name="_Toc332463432"/>
            <w:bookmarkStart w:id="355" w:name="_Toc332463680"/>
            <w:bookmarkStart w:id="356" w:name="_Toc332463928"/>
            <w:bookmarkStart w:id="357" w:name="_Toc332467961"/>
            <w:bookmarkStart w:id="358" w:name="_Toc332461159"/>
            <w:bookmarkStart w:id="359" w:name="_Toc332461405"/>
            <w:bookmarkStart w:id="360" w:name="_Toc332461649"/>
            <w:bookmarkStart w:id="361" w:name="_Toc332463434"/>
            <w:bookmarkStart w:id="362" w:name="_Toc332463682"/>
            <w:bookmarkStart w:id="363" w:name="_Toc332463930"/>
            <w:bookmarkStart w:id="364" w:name="_Toc332467963"/>
            <w:bookmarkStart w:id="365" w:name="_Toc332461162"/>
            <w:bookmarkStart w:id="366" w:name="_Toc332461408"/>
            <w:bookmarkStart w:id="367" w:name="_Toc332461652"/>
            <w:bookmarkStart w:id="368" w:name="_Toc332463437"/>
            <w:bookmarkStart w:id="369" w:name="_Toc332463685"/>
            <w:bookmarkStart w:id="370" w:name="_Toc332463933"/>
            <w:bookmarkStart w:id="371" w:name="_Toc332467966"/>
            <w:bookmarkStart w:id="372" w:name="_Toc332461163"/>
            <w:bookmarkStart w:id="373" w:name="_Toc332461409"/>
            <w:bookmarkStart w:id="374" w:name="_Toc332461653"/>
            <w:bookmarkStart w:id="375" w:name="_Toc332463438"/>
            <w:bookmarkStart w:id="376" w:name="_Toc332463686"/>
            <w:bookmarkStart w:id="377" w:name="_Toc332463934"/>
            <w:bookmarkStart w:id="378" w:name="_Toc332467967"/>
            <w:bookmarkStart w:id="379" w:name="_Toc332461164"/>
            <w:bookmarkStart w:id="380" w:name="_Toc332461410"/>
            <w:bookmarkStart w:id="381" w:name="_Toc332461654"/>
            <w:bookmarkStart w:id="382" w:name="_Toc332463439"/>
            <w:bookmarkStart w:id="383" w:name="_Toc332463687"/>
            <w:bookmarkStart w:id="384" w:name="_Toc332463935"/>
            <w:bookmarkStart w:id="385" w:name="_Toc332467968"/>
            <w:bookmarkStart w:id="386" w:name="_Toc332461167"/>
            <w:bookmarkStart w:id="387" w:name="_Toc332461413"/>
            <w:bookmarkStart w:id="388" w:name="_Toc332461657"/>
            <w:bookmarkStart w:id="389" w:name="_Toc332463442"/>
            <w:bookmarkStart w:id="390" w:name="_Toc332463690"/>
            <w:bookmarkStart w:id="391" w:name="_Toc332463938"/>
            <w:bookmarkStart w:id="392" w:name="_Toc332467971"/>
            <w:bookmarkStart w:id="393" w:name="_Toc332461168"/>
            <w:bookmarkStart w:id="394" w:name="_Toc332461414"/>
            <w:bookmarkStart w:id="395" w:name="_Toc332461658"/>
            <w:bookmarkStart w:id="396" w:name="_Toc332463443"/>
            <w:bookmarkStart w:id="397" w:name="_Toc332463691"/>
            <w:bookmarkStart w:id="398" w:name="_Toc332463939"/>
            <w:bookmarkStart w:id="399" w:name="_Toc332467972"/>
            <w:bookmarkStart w:id="400" w:name="_Toc332461169"/>
            <w:bookmarkStart w:id="401" w:name="_Toc332461415"/>
            <w:bookmarkStart w:id="402" w:name="_Toc332461659"/>
            <w:bookmarkStart w:id="403" w:name="_Toc332463444"/>
            <w:bookmarkStart w:id="404" w:name="_Toc332463692"/>
            <w:bookmarkStart w:id="405" w:name="_Toc332463940"/>
            <w:bookmarkStart w:id="406" w:name="_Toc332467973"/>
            <w:bookmarkStart w:id="407" w:name="_Toc332461170"/>
            <w:bookmarkStart w:id="408" w:name="_Toc332461416"/>
            <w:bookmarkStart w:id="409" w:name="_Toc332461660"/>
            <w:bookmarkStart w:id="410" w:name="_Toc332463445"/>
            <w:bookmarkStart w:id="411" w:name="_Toc332463693"/>
            <w:bookmarkStart w:id="412" w:name="_Toc332463941"/>
            <w:bookmarkStart w:id="413" w:name="_Toc332467974"/>
            <w:bookmarkStart w:id="414" w:name="_Toc332461175"/>
            <w:bookmarkStart w:id="415" w:name="_Toc332461421"/>
            <w:bookmarkStart w:id="416" w:name="_Toc332461665"/>
            <w:bookmarkStart w:id="417" w:name="_Toc332463450"/>
            <w:bookmarkStart w:id="418" w:name="_Toc332463698"/>
            <w:bookmarkStart w:id="419" w:name="_Toc332463946"/>
            <w:bookmarkStart w:id="420" w:name="_Toc332467979"/>
            <w:bookmarkStart w:id="421" w:name="_Toc332461176"/>
            <w:bookmarkStart w:id="422" w:name="_Toc332461422"/>
            <w:bookmarkStart w:id="423" w:name="_Toc332461666"/>
            <w:bookmarkStart w:id="424" w:name="_Toc332463451"/>
            <w:bookmarkStart w:id="425" w:name="_Toc332463699"/>
            <w:bookmarkStart w:id="426" w:name="_Toc332463947"/>
            <w:bookmarkStart w:id="427" w:name="_Toc332467980"/>
            <w:bookmarkStart w:id="428" w:name="_Toc332461181"/>
            <w:bookmarkStart w:id="429" w:name="_Toc332461427"/>
            <w:bookmarkStart w:id="430" w:name="_Toc332461671"/>
            <w:bookmarkStart w:id="431" w:name="_Toc332463456"/>
            <w:bookmarkStart w:id="432" w:name="_Toc332463704"/>
            <w:bookmarkStart w:id="433" w:name="_Toc332463952"/>
            <w:bookmarkStart w:id="434" w:name="_Toc332467985"/>
            <w:bookmarkStart w:id="435" w:name="_Toc332467993"/>
            <w:bookmarkStart w:id="436" w:name="_Toc332467994"/>
            <w:bookmarkStart w:id="437" w:name="_Toc332467996"/>
            <w:bookmarkStart w:id="438" w:name="_Toc332467997"/>
            <w:bookmarkStart w:id="439" w:name="_Toc332468000"/>
            <w:bookmarkStart w:id="440" w:name="_Toc332468003"/>
            <w:bookmarkStart w:id="441" w:name="_Toc332463469"/>
            <w:bookmarkStart w:id="442" w:name="_Toc332463717"/>
            <w:bookmarkStart w:id="443" w:name="_Toc332463965"/>
            <w:bookmarkStart w:id="444" w:name="_Toc332468004"/>
            <w:bookmarkStart w:id="445" w:name="_Toc332463482"/>
            <w:bookmarkStart w:id="446" w:name="_Toc332463730"/>
            <w:bookmarkStart w:id="447" w:name="_Toc332463978"/>
            <w:bookmarkStart w:id="448" w:name="_Toc332468022"/>
            <w:bookmarkStart w:id="449" w:name="_Toc333408606"/>
            <w:bookmarkStart w:id="450" w:name="_Toc333927017"/>
            <w:bookmarkStart w:id="451" w:name="_Toc332534146"/>
            <w:bookmarkStart w:id="452" w:name="_Toc332632039"/>
            <w:bookmarkStart w:id="453" w:name="_Toc332735177"/>
            <w:bookmarkStart w:id="454" w:name="_Toc332908425"/>
            <w:bookmarkStart w:id="455" w:name="_Toc332963436"/>
            <w:bookmarkStart w:id="456" w:name="_Toc332965476"/>
            <w:bookmarkStart w:id="457" w:name="_Toc333408607"/>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r w:rsidRPr="007B0FCA">
              <w:t>Term</w:t>
            </w:r>
          </w:p>
        </w:tc>
        <w:tc>
          <w:tcPr>
            <w:tcW w:w="6901" w:type="dxa"/>
            <w:shd w:val="clear" w:color="auto" w:fill="C6D9F1" w:themeFill="text2" w:themeFillTint="33"/>
          </w:tcPr>
          <w:p w:rsidR="00195F0A" w:rsidRPr="007B0FCA" w:rsidRDefault="00195F0A" w:rsidP="007B0FCA">
            <w:pPr>
              <w:pStyle w:val="Tableheading"/>
            </w:pPr>
            <w:r w:rsidRPr="007B0FCA">
              <w:t>Description</w:t>
            </w:r>
          </w:p>
        </w:tc>
      </w:tr>
      <w:tr w:rsidR="007B0FCA" w:rsidRPr="00470AD4" w:rsidTr="001B60F1">
        <w:tc>
          <w:tcPr>
            <w:tcW w:w="2245" w:type="dxa"/>
          </w:tcPr>
          <w:p w:rsidR="007B0FCA" w:rsidRPr="004C28AD" w:rsidRDefault="007B0FCA" w:rsidP="00C16567">
            <w:pPr>
              <w:pStyle w:val="Tabletext"/>
            </w:pPr>
            <w:r w:rsidRPr="004C28AD">
              <w:t>Adsorption</w:t>
            </w:r>
          </w:p>
        </w:tc>
        <w:tc>
          <w:tcPr>
            <w:tcW w:w="6901" w:type="dxa"/>
          </w:tcPr>
          <w:p w:rsidR="007B0FCA" w:rsidRPr="004C28AD" w:rsidRDefault="007B0FCA" w:rsidP="00C16567">
            <w:pPr>
              <w:pStyle w:val="Tabletext"/>
              <w:rPr>
                <w:color w:val="auto"/>
              </w:rPr>
            </w:pPr>
            <w:r w:rsidRPr="004C28AD">
              <w:rPr>
                <w:color w:val="auto"/>
              </w:rPr>
              <w:t>The adhesion in an extremely thin layer of molecules (as of gases, solutes, or liquids) to the surfaces of solid bodies or liquids with which they are in contact.</w:t>
            </w:r>
          </w:p>
        </w:tc>
      </w:tr>
      <w:tr w:rsidR="006E124E"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6E124E" w:rsidRPr="004C28AD" w:rsidRDefault="006E124E" w:rsidP="00C16567">
            <w:pPr>
              <w:pStyle w:val="Tabletext"/>
            </w:pPr>
            <w:r w:rsidRPr="004C28AD">
              <w:t>Anisotropy</w:t>
            </w:r>
          </w:p>
        </w:tc>
        <w:tc>
          <w:tcPr>
            <w:tcW w:w="6901" w:type="dxa"/>
            <w:tcBorders>
              <w:top w:val="nil"/>
              <w:left w:val="nil"/>
              <w:bottom w:val="single" w:sz="4" w:space="0" w:color="auto"/>
              <w:right w:val="single" w:sz="4" w:space="0" w:color="auto"/>
            </w:tcBorders>
            <w:shd w:val="clear" w:color="auto" w:fill="auto"/>
          </w:tcPr>
          <w:p w:rsidR="006E124E" w:rsidRPr="004C28AD" w:rsidRDefault="006E124E" w:rsidP="00C16567">
            <w:pPr>
              <w:pStyle w:val="Tabletext"/>
            </w:pPr>
            <w:r w:rsidRPr="004C28AD">
              <w:rPr>
                <w:color w:val="auto"/>
              </w:rPr>
              <w:t>A term used to describe the directional dependence of a material property (</w:t>
            </w:r>
            <w:r>
              <w:rPr>
                <w:color w:val="auto"/>
              </w:rPr>
              <w:t>e.g. vertical and horizontal permeability may be different</w:t>
            </w:r>
            <w:r w:rsidRPr="004C28AD">
              <w:rPr>
                <w:color w:val="auto"/>
              </w:rPr>
              <w:t>).</w:t>
            </w:r>
          </w:p>
        </w:tc>
      </w:tr>
      <w:tr w:rsidR="007B0FCA"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7B0FCA" w:rsidRPr="004C28AD" w:rsidRDefault="007B0FCA" w:rsidP="00C16567">
            <w:pPr>
              <w:pStyle w:val="Tabletext"/>
            </w:pPr>
            <w:r>
              <w:t>Aquifer</w:t>
            </w:r>
          </w:p>
        </w:tc>
        <w:tc>
          <w:tcPr>
            <w:tcW w:w="6901" w:type="dxa"/>
            <w:tcBorders>
              <w:top w:val="nil"/>
              <w:left w:val="nil"/>
              <w:bottom w:val="single" w:sz="4" w:space="0" w:color="auto"/>
              <w:right w:val="single" w:sz="4" w:space="0" w:color="auto"/>
            </w:tcBorders>
            <w:shd w:val="clear" w:color="auto" w:fill="auto"/>
          </w:tcPr>
          <w:p w:rsidR="007B0FCA" w:rsidRPr="004C28AD" w:rsidRDefault="007B0FCA" w:rsidP="00C16567">
            <w:pPr>
              <w:pStyle w:val="Tabletext"/>
              <w:rPr>
                <w:color w:val="auto"/>
              </w:rPr>
            </w:pPr>
            <w:r>
              <w:rPr>
                <w:color w:val="auto"/>
              </w:rPr>
              <w:t>A term used to refer to a water-bearing geological unit.</w:t>
            </w:r>
          </w:p>
        </w:tc>
      </w:tr>
      <w:tr w:rsidR="007B0FCA" w:rsidRPr="00470AD4" w:rsidTr="001B60F1">
        <w:tc>
          <w:tcPr>
            <w:tcW w:w="2245" w:type="dxa"/>
          </w:tcPr>
          <w:p w:rsidR="007B0FCA" w:rsidRDefault="007B0FCA" w:rsidP="00C16567">
            <w:pPr>
              <w:pStyle w:val="Tabletext"/>
            </w:pPr>
            <w:r>
              <w:t>Aquitard</w:t>
            </w:r>
          </w:p>
        </w:tc>
        <w:tc>
          <w:tcPr>
            <w:tcW w:w="6901" w:type="dxa"/>
          </w:tcPr>
          <w:p w:rsidR="007B0FCA" w:rsidRDefault="007B0FCA" w:rsidP="00C16567">
            <w:pPr>
              <w:pStyle w:val="Tabletext"/>
              <w:rPr>
                <w:color w:val="auto"/>
              </w:rPr>
            </w:pPr>
            <w:r>
              <w:rPr>
                <w:color w:val="auto"/>
              </w:rPr>
              <w:t>A relatively low-hydraulic conductivity geological unit.</w:t>
            </w:r>
          </w:p>
        </w:tc>
      </w:tr>
      <w:tr w:rsidR="007B0FCA"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7B0FCA" w:rsidRPr="004C28AD" w:rsidRDefault="007B0FCA" w:rsidP="00C16567">
            <w:pPr>
              <w:pStyle w:val="Tabletext"/>
            </w:pPr>
            <w:r w:rsidRPr="004C28AD">
              <w:t>Biocides</w:t>
            </w:r>
          </w:p>
        </w:tc>
        <w:tc>
          <w:tcPr>
            <w:tcW w:w="6901" w:type="dxa"/>
            <w:tcBorders>
              <w:top w:val="nil"/>
              <w:left w:val="nil"/>
              <w:bottom w:val="single" w:sz="4" w:space="0" w:color="auto"/>
              <w:right w:val="single" w:sz="4" w:space="0" w:color="auto"/>
            </w:tcBorders>
            <w:shd w:val="clear" w:color="auto" w:fill="auto"/>
          </w:tcPr>
          <w:p w:rsidR="007B0FCA" w:rsidRPr="004C28AD" w:rsidRDefault="007B0FCA" w:rsidP="00C16567">
            <w:pPr>
              <w:pStyle w:val="Tabletext"/>
            </w:pPr>
            <w:r w:rsidRPr="004C28AD">
              <w:rPr>
                <w:color w:val="auto"/>
              </w:rPr>
              <w:t>A chemical substance or microorganism which can deter, render harmless, or exert a controlling effect on any harmful organism by chemical and biological means.</w:t>
            </w:r>
          </w:p>
        </w:tc>
      </w:tr>
      <w:tr w:rsidR="007B0FCA"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7B0FCA" w:rsidRPr="004C28AD" w:rsidRDefault="007B0FCA" w:rsidP="00C16567">
            <w:pPr>
              <w:pStyle w:val="Tabletext"/>
            </w:pPr>
            <w:r w:rsidRPr="004C28AD">
              <w:t>Borehole</w:t>
            </w:r>
          </w:p>
        </w:tc>
        <w:tc>
          <w:tcPr>
            <w:tcW w:w="6901" w:type="dxa"/>
            <w:tcBorders>
              <w:top w:val="nil"/>
              <w:left w:val="nil"/>
              <w:bottom w:val="single" w:sz="4" w:space="0" w:color="auto"/>
              <w:right w:val="single" w:sz="4" w:space="0" w:color="auto"/>
            </w:tcBorders>
            <w:shd w:val="clear" w:color="auto" w:fill="auto"/>
          </w:tcPr>
          <w:p w:rsidR="007B0FCA" w:rsidRPr="004C28AD" w:rsidRDefault="007B0FCA" w:rsidP="00C16567">
            <w:pPr>
              <w:pStyle w:val="Tabletext"/>
            </w:pPr>
            <w:r w:rsidRPr="004C28AD">
              <w:t xml:space="preserve">A narrow shaft bored into (and through) the ground. In this report, it is considered distinct from a </w:t>
            </w:r>
            <w:r w:rsidR="005A0FA0" w:rsidRPr="005A0FA0">
              <w:t>well</w:t>
            </w:r>
            <w:r w:rsidRPr="00E26B31">
              <w:t>.</w:t>
            </w:r>
          </w:p>
        </w:tc>
      </w:tr>
      <w:tr w:rsidR="007B0FCA"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7B0FCA" w:rsidRPr="004C28AD" w:rsidRDefault="007B0FCA" w:rsidP="00C16567">
            <w:pPr>
              <w:pStyle w:val="Tabletext"/>
            </w:pPr>
            <w:r w:rsidRPr="004C28AD">
              <w:t>Cleats</w:t>
            </w:r>
          </w:p>
        </w:tc>
        <w:tc>
          <w:tcPr>
            <w:tcW w:w="6901" w:type="dxa"/>
            <w:tcBorders>
              <w:top w:val="nil"/>
              <w:left w:val="nil"/>
              <w:bottom w:val="single" w:sz="4" w:space="0" w:color="auto"/>
              <w:right w:val="single" w:sz="4" w:space="0" w:color="auto"/>
            </w:tcBorders>
            <w:shd w:val="clear" w:color="auto" w:fill="auto"/>
          </w:tcPr>
          <w:p w:rsidR="007B0FCA" w:rsidRPr="004C28AD" w:rsidRDefault="007B0FCA" w:rsidP="00C16567">
            <w:pPr>
              <w:pStyle w:val="Tabletext"/>
            </w:pPr>
            <w:r w:rsidRPr="004C28AD">
              <w:rPr>
                <w:color w:val="auto"/>
              </w:rPr>
              <w:t xml:space="preserve">Cleats are natural fractures in coal. They usually occur in two sets that are perpendicular to one another and perpendicular to bedding. The cleats in one direction form first and exhibit a high level of continuity. These are called </w:t>
            </w:r>
            <w:r w:rsidR="005F31A9">
              <w:rPr>
                <w:color w:val="auto"/>
              </w:rPr>
              <w:t>‘</w:t>
            </w:r>
            <w:r w:rsidRPr="004C28AD">
              <w:rPr>
                <w:color w:val="auto"/>
              </w:rPr>
              <w:t>face cleats</w:t>
            </w:r>
            <w:r w:rsidR="005F31A9">
              <w:rPr>
                <w:color w:val="auto"/>
              </w:rPr>
              <w:t>’</w:t>
            </w:r>
            <w:r w:rsidRPr="004C28AD">
              <w:rPr>
                <w:color w:val="auto"/>
              </w:rPr>
              <w:t xml:space="preserve">. Cleats in perpendicular to face cleats are called </w:t>
            </w:r>
            <w:r w:rsidR="005F31A9">
              <w:rPr>
                <w:color w:val="auto"/>
              </w:rPr>
              <w:t>‘</w:t>
            </w:r>
            <w:r w:rsidRPr="004C28AD">
              <w:rPr>
                <w:color w:val="auto"/>
              </w:rPr>
              <w:t>butt cleats</w:t>
            </w:r>
            <w:r w:rsidR="005F31A9">
              <w:rPr>
                <w:color w:val="auto"/>
              </w:rPr>
              <w:t>’</w:t>
            </w:r>
            <w:r w:rsidRPr="004C28AD">
              <w:rPr>
                <w:color w:val="auto"/>
              </w:rPr>
              <w:t>.</w:t>
            </w:r>
          </w:p>
        </w:tc>
      </w:tr>
      <w:tr w:rsidR="007B0FCA"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7B0FCA" w:rsidRPr="004C28AD" w:rsidRDefault="007B0FCA" w:rsidP="00C16567">
            <w:pPr>
              <w:pStyle w:val="Tabletext"/>
            </w:pPr>
            <w:r>
              <w:t>C</w:t>
            </w:r>
            <w:r w:rsidRPr="00C12403">
              <w:t>oefficient of volume compressibility</w:t>
            </w:r>
          </w:p>
        </w:tc>
        <w:tc>
          <w:tcPr>
            <w:tcW w:w="6901" w:type="dxa"/>
            <w:tcBorders>
              <w:top w:val="nil"/>
              <w:left w:val="nil"/>
              <w:bottom w:val="single" w:sz="4" w:space="0" w:color="auto"/>
              <w:right w:val="single" w:sz="4" w:space="0" w:color="auto"/>
            </w:tcBorders>
            <w:shd w:val="clear" w:color="auto" w:fill="auto"/>
          </w:tcPr>
          <w:p w:rsidR="007B0FCA" w:rsidRPr="004C28AD" w:rsidRDefault="007B0FCA" w:rsidP="00C16567">
            <w:pPr>
              <w:pStyle w:val="Tabletext"/>
              <w:rPr>
                <w:color w:val="auto"/>
              </w:rPr>
            </w:pPr>
            <w:r>
              <w:rPr>
                <w:color w:val="auto"/>
              </w:rPr>
              <w:t>A measure of the compressibility of a material.</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 xml:space="preserve">Compaction </w:t>
            </w:r>
          </w:p>
        </w:tc>
        <w:tc>
          <w:tcPr>
            <w:tcW w:w="6901" w:type="dxa"/>
            <w:tcBorders>
              <w:top w:val="nil"/>
              <w:left w:val="nil"/>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sidRPr="0099122F">
              <w:rPr>
                <w:lang w:eastAsia="en-US"/>
              </w:rPr>
              <w:t>When used in a geological context</w:t>
            </w:r>
            <w:r>
              <w:rPr>
                <w:lang w:eastAsia="en-US"/>
              </w:rPr>
              <w:t>,</w:t>
            </w:r>
            <w:r w:rsidRPr="0099122F">
              <w:rPr>
                <w:lang w:eastAsia="en-US"/>
              </w:rPr>
              <w:t xml:space="preserve"> is</w:t>
            </w:r>
            <w:r>
              <w:rPr>
                <w:lang w:eastAsia="en-US"/>
              </w:rPr>
              <w:t xml:space="preserve"> the process by which geological strata under pressure reduce in thickness and porosity, and increase in density (see Compression).</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 xml:space="preserve">Compressibility </w:t>
            </w:r>
          </w:p>
        </w:tc>
        <w:tc>
          <w:tcPr>
            <w:tcW w:w="6901" w:type="dxa"/>
            <w:tcBorders>
              <w:top w:val="nil"/>
              <w:left w:val="nil"/>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Compression</w:t>
            </w:r>
          </w:p>
        </w:tc>
        <w:tc>
          <w:tcPr>
            <w:tcW w:w="6901" w:type="dxa"/>
            <w:tcBorders>
              <w:top w:val="nil"/>
              <w:left w:val="nil"/>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A system of geomechanical forces or stresses that tend to decrease the volume or shorten a substance, or the change of volume produced by such a system of forces. In the context of this report, compression is a result of both the shrinkage of the coal due to gas desorbing from the coal matrix, and geomechanical compression due to depressurisations associated with gas and groundwater extraction.</w:t>
            </w:r>
          </w:p>
        </w:tc>
      </w:tr>
      <w:tr w:rsidR="001B60F1" w:rsidRPr="00470AD4" w:rsidTr="001B60F1">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Darcy’s Law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rPr>
                <w:color w:val="auto"/>
              </w:rPr>
              <w:t>A constitutive equation that describes the flow of a fluid through a porous medium (</w:t>
            </w:r>
            <w:r>
              <w:t>e.g. groundwater through an aquifer</w:t>
            </w:r>
            <w:r w:rsidRPr="004C28AD">
              <w:rPr>
                <w:color w:val="auto"/>
              </w:rPr>
              <w:t>).</w:t>
            </w:r>
          </w:p>
        </w:tc>
      </w:tr>
      <w:tr w:rsidR="001B60F1" w:rsidRPr="00470AD4" w:rsidTr="001B60F1">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Depressurisation</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rsidRPr="004C28AD">
              <w:rPr>
                <w:color w:val="auto"/>
              </w:rPr>
              <w:t>Reduction in ground pressures due to the removal of groundwater.</w:t>
            </w:r>
          </w:p>
        </w:tc>
      </w:tr>
      <w:tr w:rsidR="001B60F1" w:rsidRPr="00470AD4" w:rsidTr="001B60F1">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Dewatering</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rPr>
                <w:color w:val="auto"/>
              </w:rPr>
              <w:t>The removal or draining of groundwater by pumping.</w:t>
            </w:r>
          </w:p>
        </w:tc>
      </w:tr>
      <w:tr w:rsidR="001B60F1" w:rsidRPr="00470AD4" w:rsidTr="001B60F1">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Drawdown</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rPr>
                <w:color w:val="auto"/>
              </w:rPr>
              <w:t>Groundwater drawdown is the fall in the groundwater pressure (or groundwater table) from a pre-existing level.</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Dual phase flow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rPr>
                <w:color w:val="auto"/>
              </w:rPr>
              <w:t>Fluid flow characterised by the flow of multiple fluid phases (e.g. a liquid and a gas).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Dual porosity</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t xml:space="preserve">A feature of soil/rock whereby </w:t>
            </w:r>
            <w:r w:rsidRPr="004C28AD">
              <w:t xml:space="preserve">fluids may be present within the open fractures (which possess a certain storage capacity or </w:t>
            </w:r>
            <w:r>
              <w:t>‘</w:t>
            </w:r>
            <w:r w:rsidRPr="004C28AD">
              <w:t>primary porosity</w:t>
            </w:r>
            <w:r>
              <w:t>’</w:t>
            </w:r>
            <w:r w:rsidRPr="004C28AD">
              <w:t xml:space="preserve">) and within porous </w:t>
            </w:r>
            <w:r w:rsidRPr="00E26B31">
              <w:t xml:space="preserve">matrix blocks (which possess a different storage capacity or ‘secondary porosity’). </w:t>
            </w:r>
            <w:r w:rsidRPr="005A0FA0">
              <w:t>The secondary porosity is the principal conduit for flow and transport.</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Elastic</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The physical property of a material that returns to its original shape.</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Fick’s Law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Typically referring to Fick’s first law, a mathematical law that describes diffusion (the movement of a substance from regions of high concentration to regions of low concentration).</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Geological unit</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 xml:space="preserve">A </w:t>
            </w:r>
            <w:r w:rsidRPr="00664F06">
              <w:t xml:space="preserve">volume of </w:t>
            </w:r>
            <w:r>
              <w:t xml:space="preserve">soil or </w:t>
            </w:r>
            <w:r w:rsidRPr="00664F06">
              <w:t xml:space="preserve">rock </w:t>
            </w:r>
            <w:r>
              <w:t xml:space="preserve">of </w:t>
            </w:r>
            <w:r w:rsidRPr="00664F06">
              <w:t xml:space="preserve">identifiable </w:t>
            </w:r>
            <w:r>
              <w:t xml:space="preserve">geological </w:t>
            </w:r>
            <w:r w:rsidRPr="00664F06">
              <w:t>origin and age that is defined by dist</w:t>
            </w:r>
            <w:r>
              <w:t>inctive and recognis</w:t>
            </w:r>
            <w:r w:rsidRPr="00664F06">
              <w:t xml:space="preserve">able </w:t>
            </w:r>
            <w:r>
              <w:t>mineral and textural detail, physical characteristics, and (potentially) fossil content</w:t>
            </w:r>
            <w:r w:rsidRPr="00664F06">
              <w:t>.</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Geomechanical</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Relating to the mechanics (movement/compression/expansion) of soils or rock.</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Guar</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The legume from which guar gum is derived. Guar gum is a substance used to increase the viscosity of fluids.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single" w:sz="4" w:space="0" w:color="auto"/>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B4513D">
              <w:t>Henry’s law</w:t>
            </w:r>
          </w:p>
        </w:tc>
        <w:tc>
          <w:tcPr>
            <w:tcW w:w="6901" w:type="dxa"/>
            <w:tcBorders>
              <w:top w:val="single" w:sz="4" w:space="0" w:color="auto"/>
              <w:left w:val="nil"/>
              <w:bottom w:val="single" w:sz="4" w:space="0" w:color="auto"/>
              <w:right w:val="single" w:sz="4" w:space="0" w:color="auto"/>
            </w:tcBorders>
            <w:shd w:val="clear" w:color="auto" w:fill="auto"/>
          </w:tcPr>
          <w:p w:rsidR="001B60F1" w:rsidRPr="004C28AD" w:rsidRDefault="001B60F1" w:rsidP="00C16567">
            <w:pPr>
              <w:pStyle w:val="Tabletext"/>
            </w:pPr>
            <w:r>
              <w:t xml:space="preserve">The physical law that describes how the </w:t>
            </w:r>
            <w:r w:rsidRPr="00C82CF9">
              <w:t>solubility of a gas in a liquid is directly proportional to the partial pressure of the gas above the liquid</w:t>
            </w:r>
            <w:r>
              <w:t>.</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Heterogeneous</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A substance that is not uniform in composition or in a particular character.</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Horizon</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proofErr w:type="gramStart"/>
            <w:r>
              <w:t>A geological</w:t>
            </w:r>
            <w:proofErr w:type="gramEnd"/>
            <w:r>
              <w:t xml:space="preserve"> bedding surface where there is a change in lithology, or a layer with a characteristic lithology within a sequence of layers.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523"/>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Hydraulic conductivity</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 xml:space="preserve">A measure of </w:t>
            </w:r>
            <w:r w:rsidRPr="00E26B31">
              <w:t xml:space="preserve">the rate </w:t>
            </w:r>
            <w:r w:rsidRPr="005A0FA0">
              <w:t>or velocity</w:t>
            </w:r>
            <w:r w:rsidRPr="00E26B31">
              <w:t xml:space="preserve"> of</w:t>
            </w:r>
            <w:r>
              <w:t xml:space="preserve"> groundwater flow through a material (such as soil/rock).</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E26B31">
              <w:t>Hydraulic fracturing (</w:t>
            </w:r>
            <w:r w:rsidRPr="005A0FA0">
              <w:t>frac’ing, fraccing, fracking</w:t>
            </w:r>
            <w:r w:rsidRPr="00E26B31">
              <w:t>)</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lang w:eastAsia="en-AU"/>
              </w:rPr>
            </w:pPr>
            <w:r>
              <w:rPr>
                <w:lang w:eastAsia="en-AU"/>
              </w:rPr>
              <w:t>A</w:t>
            </w:r>
            <w:r w:rsidRPr="004C28AD">
              <w:rPr>
                <w:lang w:eastAsia="en-AU"/>
              </w:rPr>
              <w:t xml:space="preserve"> technique used to increase the permeability of geological strata in the vicinity of a </w:t>
            </w:r>
            <w:r>
              <w:rPr>
                <w:lang w:val="en-AU"/>
              </w:rPr>
              <w:t>coal seam gas</w:t>
            </w:r>
            <w:r w:rsidRPr="00E13ED7">
              <w:rPr>
                <w:lang w:val="en-AU"/>
              </w:rPr>
              <w:t xml:space="preserve"> </w:t>
            </w:r>
            <w:r w:rsidRPr="004C28AD">
              <w:rPr>
                <w:lang w:eastAsia="en-AU"/>
              </w:rPr>
              <w:t>well</w:t>
            </w:r>
            <w:r>
              <w:rPr>
                <w:lang w:eastAsia="en-AU"/>
              </w:rPr>
              <w:t xml:space="preserve"> by injecting </w:t>
            </w:r>
            <w:proofErr w:type="gramStart"/>
            <w:r>
              <w:rPr>
                <w:lang w:eastAsia="en-AU"/>
              </w:rPr>
              <w:t>a fluid</w:t>
            </w:r>
            <w:proofErr w:type="gramEnd"/>
            <w:r>
              <w:rPr>
                <w:lang w:eastAsia="en-AU"/>
              </w:rPr>
              <w:t xml:space="preserve"> slurry into a well under pressure.</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Hydrogeological unit</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A geological unit that bears groundwater.</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Interbedded</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Geological beds (rock layers) of one lithology lie in alternating layers with beds of another lithology.</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Laminar flow</w:t>
            </w:r>
          </w:p>
        </w:tc>
        <w:tc>
          <w:tcPr>
            <w:tcW w:w="6901" w:type="dxa"/>
            <w:tcBorders>
              <w:top w:val="nil"/>
              <w:left w:val="nil"/>
              <w:bottom w:val="single" w:sz="4" w:space="0" w:color="auto"/>
              <w:right w:val="single" w:sz="4" w:space="0" w:color="auto"/>
            </w:tcBorders>
            <w:shd w:val="clear" w:color="auto" w:fill="auto"/>
          </w:tcPr>
          <w:p w:rsidR="001B60F1" w:rsidRPr="005F31A9" w:rsidRDefault="001B60F1" w:rsidP="00C16567">
            <w:pPr>
              <w:pStyle w:val="Tabletext"/>
            </w:pPr>
            <w:r w:rsidRPr="005A0FA0">
              <w:t>A water flow regime characterised by the flow of parallel streamlines with no disruption (such as eddies, cross flow</w:t>
            </w:r>
            <w:r>
              <w:t>,</w:t>
            </w:r>
            <w:r w:rsidRPr="005A0FA0">
              <w:t xml:space="preserve"> </w:t>
            </w:r>
            <w:r>
              <w:t>s</w:t>
            </w:r>
            <w:r w:rsidRPr="005A0FA0">
              <w:t>wirling or pulsing flow) between these streamlines.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Langmuir isotherm</w:t>
            </w:r>
          </w:p>
        </w:tc>
        <w:tc>
          <w:tcPr>
            <w:tcW w:w="6901" w:type="dxa"/>
            <w:tcBorders>
              <w:top w:val="nil"/>
              <w:left w:val="nil"/>
              <w:bottom w:val="single" w:sz="4" w:space="0" w:color="auto"/>
              <w:right w:val="single" w:sz="4" w:space="0" w:color="auto"/>
            </w:tcBorders>
            <w:shd w:val="clear" w:color="auto" w:fill="auto"/>
          </w:tcPr>
          <w:p w:rsidR="001B60F1" w:rsidRPr="005F31A9" w:rsidRDefault="001B60F1" w:rsidP="00C16567">
            <w:pPr>
              <w:pStyle w:val="Tabletext"/>
            </w:pPr>
            <w:r w:rsidRPr="005A0FA0">
              <w:t>A physical relationship describing the mass or volume of a substance covering by adsorption to a solid surface in relation to gas pressure or substance concentration.</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Lithology</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A description/characterisation of the physical characteristics of a rock mass.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Matrix (rock matrix)</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The finer grained mass of rock material in which larger grains/crystals are embedded.</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Overburden</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 xml:space="preserve">In </w:t>
            </w:r>
            <w:r>
              <w:rPr>
                <w:lang w:val="en-AU"/>
              </w:rPr>
              <w:t>coal seam gas</w:t>
            </w:r>
            <w:r>
              <w:t>/coal mining, the soil/rock that lies above the coal seam.</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single" w:sz="4" w:space="0" w:color="auto"/>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Permeability</w:t>
            </w:r>
          </w:p>
        </w:tc>
        <w:tc>
          <w:tcPr>
            <w:tcW w:w="6901" w:type="dxa"/>
            <w:tcBorders>
              <w:top w:val="single" w:sz="4" w:space="0" w:color="auto"/>
              <w:left w:val="nil"/>
              <w:bottom w:val="single" w:sz="4" w:space="0" w:color="auto"/>
              <w:right w:val="single" w:sz="4" w:space="0" w:color="auto"/>
            </w:tcBorders>
            <w:shd w:val="clear" w:color="auto" w:fill="auto"/>
          </w:tcPr>
          <w:p w:rsidR="001B60F1" w:rsidRPr="004C28AD" w:rsidRDefault="001B60F1" w:rsidP="00C16567">
            <w:pPr>
              <w:pStyle w:val="Tabletext"/>
            </w:pPr>
            <w:r>
              <w:t xml:space="preserve">The measure of the ability of a rock, soil or sediment to yield or transmit a fluid. The magnitude of permeability depends largely on the porosity and the interconnectivity of pores and spaces in the ground. </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Pore (water) pressure</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The pressure of groundwater held within a soil or rock, in the space (pores) between soil/rock particles.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Preferential flow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rPr>
                <w:color w:val="auto"/>
              </w:rPr>
              <w:t xml:space="preserve">Preferential flow refers to the uneven and </w:t>
            </w:r>
            <w:r w:rsidRPr="00E26B31">
              <w:rPr>
                <w:color w:val="auto"/>
              </w:rPr>
              <w:t xml:space="preserve">often rapid </w:t>
            </w:r>
            <w:r w:rsidRPr="005A0FA0">
              <w:rPr>
                <w:color w:val="auto"/>
              </w:rPr>
              <w:t>and short-circuiting</w:t>
            </w:r>
            <w:r>
              <w:rPr>
                <w:color w:val="auto"/>
              </w:rPr>
              <w:t xml:space="preserve"> </w:t>
            </w:r>
            <w:r w:rsidRPr="004C28AD">
              <w:rPr>
                <w:color w:val="auto"/>
              </w:rPr>
              <w:t>movement of water and solutes through porous media (typically soil) characteri</w:t>
            </w:r>
            <w:r>
              <w:rPr>
                <w:color w:val="auto"/>
              </w:rPr>
              <w:t>s</w:t>
            </w:r>
            <w:r w:rsidRPr="004C28AD">
              <w:rPr>
                <w:color w:val="auto"/>
              </w:rPr>
              <w:t xml:space="preserve">ed by small regions of enhanced flux (such as faults, fractures or high permeability pathways) which contributes most of the flow, allowing much faster transport of a range of contaminants through that pathway. </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Rank, coal</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rsidRPr="004C28AD">
              <w:rPr>
                <w:color w:val="auto"/>
              </w:rPr>
              <w:t>A classification system that distinguishes the physical and chemical properties of different qualities of coal (from peat, through lignite and bituminous coal, to anthracite). Higher rank coals possess a higher sorptive capacity for methane gas, and tend to have higher carbon content, and decreased moisture content and volatile matter</w:t>
            </w:r>
            <w:r w:rsidRPr="005A0FA0">
              <w:rPr>
                <w:color w:val="auto"/>
              </w:rPr>
              <w:t>.</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Recharge</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rPr>
                <w:color w:val="auto"/>
              </w:rPr>
            </w:pPr>
            <w:r>
              <w:rPr>
                <w:color w:val="auto"/>
              </w:rPr>
              <w:t>Groundwater recharge is the process whereby surface water (such as from rainfall runoff) percolates through the ground to the water table.</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Saturated flow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Flow through a porous medium (such as soil or rock) in which the void space within the porous medium is entirely occupied by water (as opposed to water and gas).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t>Sedimentary rock</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t>Rock formed by deposition of material at the Earth’s surface and within water bodies.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Settlement</w:t>
            </w:r>
          </w:p>
        </w:tc>
        <w:tc>
          <w:tcPr>
            <w:tcW w:w="6901" w:type="dxa"/>
            <w:tcBorders>
              <w:top w:val="nil"/>
              <w:left w:val="nil"/>
              <w:bottom w:val="single" w:sz="4" w:space="0" w:color="auto"/>
              <w:right w:val="single" w:sz="4" w:space="0" w:color="auto"/>
            </w:tcBorders>
            <w:shd w:val="clear" w:color="auto" w:fill="auto"/>
          </w:tcPr>
          <w:p w:rsidR="001B60F1" w:rsidRPr="001B60F1" w:rsidRDefault="001B60F1" w:rsidP="001B60F1">
            <w:pPr>
              <w:pStyle w:val="Tabletext"/>
            </w:pPr>
            <w:r>
              <w:rPr>
                <w:lang w:eastAsia="en-US"/>
              </w:rPr>
              <w:t>The vertical, downward displacement of strata in response to compaction or removal of underlying strata.</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Sorption</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Physical/chemical process whereby one substance becomes attached to another.</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Strain</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A proportional change in length or volume of a mass.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C16567">
            <w:pPr>
              <w:pStyle w:val="Tabletext"/>
            </w:pPr>
            <w:r>
              <w:t>Stratum</w:t>
            </w:r>
          </w:p>
        </w:tc>
        <w:tc>
          <w:tcPr>
            <w:tcW w:w="6901" w:type="dxa"/>
            <w:tcBorders>
              <w:top w:val="nil"/>
              <w:left w:val="nil"/>
              <w:bottom w:val="single" w:sz="4" w:space="0" w:color="auto"/>
              <w:right w:val="single" w:sz="4" w:space="0" w:color="auto"/>
            </w:tcBorders>
            <w:shd w:val="clear" w:color="auto" w:fill="auto"/>
          </w:tcPr>
          <w:p w:rsidR="001B60F1" w:rsidRDefault="001B60F1" w:rsidP="00C16567">
            <w:pPr>
              <w:pStyle w:val="Tabletext"/>
            </w:pPr>
            <w:r>
              <w:t xml:space="preserve">A layer of sedimentary rock or soil within distinctive characteristics that distinguish it from other layers (plural: </w:t>
            </w:r>
            <w:r w:rsidRPr="005A0FA0">
              <w:t>strata</w:t>
            </w:r>
            <w:r>
              <w:t>).</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Default="001B60F1" w:rsidP="001B60F1">
            <w:pPr>
              <w:pStyle w:val="Tabletext"/>
              <w:rPr>
                <w:rFonts w:eastAsia="Times New Roman"/>
                <w:lang w:eastAsia="en-US"/>
              </w:rPr>
            </w:pPr>
            <w:r>
              <w:rPr>
                <w:lang w:eastAsia="en-US"/>
              </w:rPr>
              <w:t>Subsidence</w:t>
            </w:r>
          </w:p>
        </w:tc>
        <w:tc>
          <w:tcPr>
            <w:tcW w:w="6901" w:type="dxa"/>
            <w:tcBorders>
              <w:top w:val="nil"/>
              <w:left w:val="nil"/>
              <w:bottom w:val="single" w:sz="4" w:space="0" w:color="auto"/>
              <w:right w:val="single" w:sz="4" w:space="0" w:color="auto"/>
            </w:tcBorders>
            <w:shd w:val="clear" w:color="auto" w:fill="auto"/>
          </w:tcPr>
          <w:p w:rsidR="001B60F1" w:rsidRDefault="001B60F1" w:rsidP="001B60F1">
            <w:pPr>
              <w:pStyle w:val="Tabletext"/>
              <w:rPr>
                <w:lang w:eastAsia="en-US"/>
              </w:rPr>
            </w:pPr>
            <w:r w:rsidRPr="005A0FA0">
              <w:t>Usually refers to vertical displacement of a point at or below the ground surface. However, the subsidence process actually includes both vertical and horizontal displacements. Subsidence is usually expressed in units of millimetres (mm) or metres (m).</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Unsaturated flow</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 xml:space="preserve">Flow through a porous medium (such as soil or rock) in which the void space within the porous medium is occupied by </w:t>
            </w:r>
            <w:proofErr w:type="gramStart"/>
            <w:r w:rsidRPr="004C28AD">
              <w:t>both water</w:t>
            </w:r>
            <w:proofErr w:type="gramEnd"/>
            <w:r w:rsidRPr="004C28AD">
              <w:t xml:space="preserve"> and gas (rather than water only).</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Well</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Borehole in which casing (e.g. steel piping) has been placed to restrict connection to specific ground horizons/depths.</w:t>
            </w:r>
          </w:p>
        </w:tc>
      </w:tr>
      <w:tr w:rsidR="001B60F1" w:rsidRPr="00470AD4" w:rsidTr="001B6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Well field</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The area over which wells are distributed to extract groundwater and coal seam gas.</w:t>
            </w:r>
          </w:p>
        </w:tc>
      </w:tr>
      <w:tr w:rsidR="001B60F1" w:rsidRPr="00470AD4" w:rsidTr="001B60F1">
        <w:trPr>
          <w:trHeight w:val="300"/>
        </w:trPr>
        <w:tc>
          <w:tcPr>
            <w:tcW w:w="2245" w:type="dxa"/>
            <w:tcBorders>
              <w:top w:val="nil"/>
              <w:left w:val="single" w:sz="4" w:space="0" w:color="auto"/>
              <w:bottom w:val="single" w:sz="4" w:space="0" w:color="auto"/>
              <w:right w:val="single" w:sz="4" w:space="0" w:color="auto"/>
            </w:tcBorders>
            <w:shd w:val="clear" w:color="auto" w:fill="auto"/>
          </w:tcPr>
          <w:p w:rsidR="001B60F1" w:rsidRPr="004C28AD" w:rsidRDefault="001B60F1" w:rsidP="00C16567">
            <w:pPr>
              <w:pStyle w:val="Tabletext"/>
            </w:pPr>
            <w:r w:rsidRPr="004C28AD">
              <w:t xml:space="preserve">Young’s </w:t>
            </w:r>
            <w:r>
              <w:t>m</w:t>
            </w:r>
            <w:r w:rsidRPr="004C28AD">
              <w:t>odulus</w:t>
            </w:r>
          </w:p>
        </w:tc>
        <w:tc>
          <w:tcPr>
            <w:tcW w:w="6901" w:type="dxa"/>
            <w:tcBorders>
              <w:top w:val="nil"/>
              <w:left w:val="nil"/>
              <w:bottom w:val="single" w:sz="4" w:space="0" w:color="auto"/>
              <w:right w:val="single" w:sz="4" w:space="0" w:color="auto"/>
            </w:tcBorders>
            <w:shd w:val="clear" w:color="auto" w:fill="auto"/>
          </w:tcPr>
          <w:p w:rsidR="001B60F1" w:rsidRPr="004C28AD" w:rsidRDefault="001B60F1" w:rsidP="00C16567">
            <w:pPr>
              <w:pStyle w:val="Tabletext"/>
            </w:pPr>
            <w:r w:rsidRPr="004C28AD">
              <w:t>A measure of the stiffness of an elastic material.</w:t>
            </w:r>
            <w:r>
              <w:t xml:space="preserve"> </w:t>
            </w:r>
            <w:r w:rsidRPr="004C28AD">
              <w:t>Also known as the tensile modulus or elastic modulus.</w:t>
            </w:r>
          </w:p>
        </w:tc>
      </w:tr>
    </w:tbl>
    <w:p w:rsidR="00A1675B" w:rsidRDefault="00EA38D9" w:rsidP="00166D9B">
      <w:pPr>
        <w:sectPr w:rsidR="00A1675B" w:rsidSect="00C16567">
          <w:headerReference w:type="default" r:id="rId20"/>
          <w:footerReference w:type="default" r:id="rId21"/>
          <w:type w:val="continuous"/>
          <w:pgSz w:w="11900" w:h="16840" w:code="9"/>
          <w:pgMar w:top="2094" w:right="1418" w:bottom="1418" w:left="1418" w:header="142" w:footer="709" w:gutter="0"/>
          <w:pgNumType w:fmt="lowerRoman"/>
          <w:cols w:space="284"/>
          <w:noEndnote/>
          <w:titlePg/>
          <w:docGrid w:linePitch="326"/>
        </w:sectPr>
      </w:pPr>
      <w:r>
        <w:br w:type="page"/>
      </w:r>
    </w:p>
    <w:p w:rsidR="004604CF" w:rsidRPr="0023261D" w:rsidRDefault="009C559F" w:rsidP="001E6DBD">
      <w:pPr>
        <w:pStyle w:val="Heading1"/>
      </w:pPr>
      <w:bookmarkStart w:id="458" w:name="_Toc402425287"/>
      <w:r w:rsidRPr="0023261D">
        <w:t>Introduction</w:t>
      </w:r>
      <w:bookmarkEnd w:id="450"/>
      <w:bookmarkEnd w:id="458"/>
    </w:p>
    <w:p w:rsidR="003F3BFA" w:rsidRDefault="003F3BFA" w:rsidP="003F3BFA">
      <w:pPr>
        <w:pStyle w:val="BRNormal11pt0"/>
      </w:pPr>
      <w:r>
        <w:t xml:space="preserve">Coal seam gas </w:t>
      </w:r>
      <w:r w:rsidR="00DE27A7">
        <w:t>production</w:t>
      </w:r>
      <w:r>
        <w:t xml:space="preserve"> often involves the extraction of groundwater to facilitate depressurisation of the target coal seam. The disposal or reuse of this collected water is an area of great public interest, as depressurisation results in </w:t>
      </w:r>
      <w:r w:rsidR="00BA2C2D">
        <w:t>compaction</w:t>
      </w:r>
      <w:r>
        <w:t xml:space="preserve"> of the ground and leads to settlement of the ground surf</w:t>
      </w:r>
      <w:r w:rsidR="00C82CF9">
        <w:t xml:space="preserve">ace (described as </w:t>
      </w:r>
      <w:r w:rsidR="00BA2C2D">
        <w:t xml:space="preserve">surface </w:t>
      </w:r>
      <w:r w:rsidR="00C82CF9">
        <w:t>subsidence).</w:t>
      </w:r>
    </w:p>
    <w:p w:rsidR="00315832" w:rsidRDefault="00334678" w:rsidP="00755136">
      <w:pPr>
        <w:pStyle w:val="BRNormal11pt0"/>
        <w:rPr>
          <w:lang w:val="en-GB"/>
        </w:rPr>
      </w:pPr>
      <w:r>
        <w:rPr>
          <w:lang w:val="en-GB"/>
        </w:rPr>
        <w:t xml:space="preserve">This report </w:t>
      </w:r>
      <w:r w:rsidR="006D6661">
        <w:rPr>
          <w:lang w:val="en-GB"/>
        </w:rPr>
        <w:t>presents</w:t>
      </w:r>
      <w:r>
        <w:rPr>
          <w:lang w:val="en-GB"/>
        </w:rPr>
        <w:t xml:space="preserve"> the outcomes of </w:t>
      </w:r>
      <w:r w:rsidR="00315832">
        <w:rPr>
          <w:lang w:val="en-GB"/>
        </w:rPr>
        <w:t xml:space="preserve">a </w:t>
      </w:r>
      <w:r w:rsidR="003F3BFA">
        <w:rPr>
          <w:lang w:val="en-GB"/>
        </w:rPr>
        <w:t>project</w:t>
      </w:r>
      <w:r>
        <w:rPr>
          <w:lang w:val="en-GB"/>
        </w:rPr>
        <w:t xml:space="preserve"> </w:t>
      </w:r>
      <w:r w:rsidR="00315832">
        <w:rPr>
          <w:lang w:val="en-GB"/>
        </w:rPr>
        <w:t xml:space="preserve">undertaken to build </w:t>
      </w:r>
      <w:r w:rsidR="000026E0">
        <w:rPr>
          <w:lang w:val="en-GB"/>
        </w:rPr>
        <w:t xml:space="preserve">the </w:t>
      </w:r>
      <w:r w:rsidR="00315832">
        <w:rPr>
          <w:lang w:val="en-GB"/>
        </w:rPr>
        <w:t>scientific understanding of</w:t>
      </w:r>
      <w:r>
        <w:rPr>
          <w:lang w:val="en-GB"/>
        </w:rPr>
        <w:t xml:space="preserve"> </w:t>
      </w:r>
      <w:r w:rsidR="00315832">
        <w:rPr>
          <w:lang w:val="en-GB"/>
        </w:rPr>
        <w:t>water-related impacts</w:t>
      </w:r>
      <w:r w:rsidR="009617E9">
        <w:rPr>
          <w:lang w:val="en-GB"/>
        </w:rPr>
        <w:t xml:space="preserve"> associated with </w:t>
      </w:r>
      <w:r>
        <w:rPr>
          <w:lang w:val="en-GB"/>
        </w:rPr>
        <w:t>subsidence induc</w:t>
      </w:r>
      <w:r w:rsidR="00C82CF9">
        <w:rPr>
          <w:lang w:val="en-GB"/>
        </w:rPr>
        <w:t xml:space="preserve">ed by coal seam gas </w:t>
      </w:r>
      <w:r w:rsidR="00DE27A7">
        <w:rPr>
          <w:lang w:val="en-GB"/>
        </w:rPr>
        <w:t>production</w:t>
      </w:r>
      <w:r w:rsidR="00C82CF9">
        <w:rPr>
          <w:lang w:val="en-GB"/>
        </w:rPr>
        <w:t>.</w:t>
      </w:r>
      <w:r w:rsidR="00BA2C2D">
        <w:rPr>
          <w:lang w:val="en-GB"/>
        </w:rPr>
        <w:t xml:space="preserve"> It</w:t>
      </w:r>
      <w:r>
        <w:rPr>
          <w:lang w:val="en-GB"/>
        </w:rPr>
        <w:t xml:space="preserve"> </w:t>
      </w:r>
      <w:r w:rsidR="00755136">
        <w:rPr>
          <w:lang w:val="en-GB"/>
        </w:rPr>
        <w:t xml:space="preserve">was </w:t>
      </w:r>
      <w:r w:rsidR="00AC6230" w:rsidRPr="00AC6230">
        <w:rPr>
          <w:lang w:val="en-GB"/>
        </w:rPr>
        <w:t xml:space="preserve">one of a number </w:t>
      </w:r>
      <w:r w:rsidR="00BA2C2D">
        <w:rPr>
          <w:lang w:val="en-GB"/>
        </w:rPr>
        <w:t xml:space="preserve">of projects </w:t>
      </w:r>
      <w:r w:rsidR="00AC6230" w:rsidRPr="00AC6230">
        <w:rPr>
          <w:lang w:val="en-GB"/>
        </w:rPr>
        <w:t xml:space="preserve">commissioned by the Department of the Environment on the advice of the Independent Expert Scientific Committee on Coal Seam Gas and </w:t>
      </w:r>
      <w:r w:rsidR="009F492A">
        <w:rPr>
          <w:lang w:val="en-GB"/>
        </w:rPr>
        <w:t xml:space="preserve">Large </w:t>
      </w:r>
      <w:r w:rsidR="00AC6230" w:rsidRPr="00AC6230">
        <w:rPr>
          <w:lang w:val="en-GB"/>
        </w:rPr>
        <w:t>Coal Mining</w:t>
      </w:r>
      <w:r w:rsidR="009F492A">
        <w:rPr>
          <w:lang w:val="en-GB"/>
        </w:rPr>
        <w:t xml:space="preserve"> Development (IESC)</w:t>
      </w:r>
      <w:r w:rsidR="00AC6230" w:rsidRPr="00AC6230">
        <w:rPr>
          <w:lang w:val="en-GB"/>
        </w:rPr>
        <w:t xml:space="preserve">. </w:t>
      </w:r>
      <w:r w:rsidR="004E474F">
        <w:rPr>
          <w:lang w:val="en-GB"/>
        </w:rPr>
        <w:t>Collectively, t</w:t>
      </w:r>
      <w:r w:rsidR="00315832">
        <w:rPr>
          <w:lang w:val="en-GB"/>
        </w:rPr>
        <w:t>he projects</w:t>
      </w:r>
      <w:r w:rsidR="00AC6230" w:rsidRPr="00AC6230">
        <w:rPr>
          <w:lang w:val="en-GB"/>
        </w:rPr>
        <w:t xml:space="preserve"> </w:t>
      </w:r>
      <w:r w:rsidR="00055732">
        <w:rPr>
          <w:lang w:val="en-GB"/>
        </w:rPr>
        <w:t>aim</w:t>
      </w:r>
      <w:r w:rsidR="00315832">
        <w:rPr>
          <w:lang w:val="en-GB"/>
        </w:rPr>
        <w:t xml:space="preserve"> </w:t>
      </w:r>
      <w:r w:rsidR="00AC6230" w:rsidRPr="00AC6230">
        <w:rPr>
          <w:lang w:val="en-GB"/>
        </w:rPr>
        <w:t xml:space="preserve">to capture the state of knowledge on the water-related impacts of </w:t>
      </w:r>
      <w:r w:rsidR="003721DE">
        <w:rPr>
          <w:lang w:val="en-AU"/>
        </w:rPr>
        <w:t>coal seam gas</w:t>
      </w:r>
      <w:r w:rsidR="003721DE" w:rsidRPr="00E13ED7">
        <w:rPr>
          <w:lang w:val="en-AU"/>
        </w:rPr>
        <w:t xml:space="preserve"> </w:t>
      </w:r>
      <w:r w:rsidR="00AC6230" w:rsidRPr="00AC6230">
        <w:rPr>
          <w:lang w:val="en-GB"/>
        </w:rPr>
        <w:t>and large coal mining</w:t>
      </w:r>
      <w:r w:rsidR="00315832">
        <w:rPr>
          <w:lang w:val="en-GB"/>
        </w:rPr>
        <w:t xml:space="preserve"> development</w:t>
      </w:r>
      <w:r w:rsidR="00AC6230" w:rsidRPr="00AC6230">
        <w:rPr>
          <w:lang w:val="en-GB"/>
        </w:rPr>
        <w:t xml:space="preserve">, </w:t>
      </w:r>
      <w:r w:rsidR="00315832">
        <w:t>and build on the evidence base</w:t>
      </w:r>
      <w:r w:rsidR="00755136">
        <w:t xml:space="preserve"> by documenting </w:t>
      </w:r>
      <w:r w:rsidR="00055732">
        <w:t xml:space="preserve">the results of </w:t>
      </w:r>
      <w:r w:rsidR="00315832">
        <w:t>monitoring and field survey</w:t>
      </w:r>
      <w:r w:rsidR="00055732">
        <w:t>s</w:t>
      </w:r>
      <w:r w:rsidR="00315832">
        <w:t>, detail</w:t>
      </w:r>
      <w:r w:rsidR="004E474F">
        <w:t>ing</w:t>
      </w:r>
      <w:r w:rsidR="00315832">
        <w:t xml:space="preserve"> </w:t>
      </w:r>
      <w:r w:rsidR="00055732">
        <w:t xml:space="preserve">an </w:t>
      </w:r>
      <w:r w:rsidR="00315832">
        <w:t xml:space="preserve">analysis and evaluation of methods for identifying and managing impacts, </w:t>
      </w:r>
      <w:r w:rsidR="00E76100">
        <w:t xml:space="preserve">developing </w:t>
      </w:r>
      <w:r w:rsidR="00315832">
        <w:t>improv</w:t>
      </w:r>
      <w:r w:rsidR="00E76100">
        <w:t>ed</w:t>
      </w:r>
      <w:r w:rsidR="00315832">
        <w:t xml:space="preserve"> model</w:t>
      </w:r>
      <w:r w:rsidR="004E474F">
        <w:t>s</w:t>
      </w:r>
      <w:r w:rsidR="00315832">
        <w:t xml:space="preserve"> to help predict impacts, </w:t>
      </w:r>
      <w:r w:rsidR="00755136">
        <w:t>and</w:t>
      </w:r>
      <w:r w:rsidR="00315832">
        <w:t xml:space="preserve"> </w:t>
      </w:r>
      <w:r w:rsidR="004E474F">
        <w:t xml:space="preserve">providing </w:t>
      </w:r>
      <w:r w:rsidR="00315832">
        <w:t xml:space="preserve">guidance to help improve </w:t>
      </w:r>
      <w:r w:rsidR="004E474F">
        <w:t xml:space="preserve">the </w:t>
      </w:r>
      <w:r w:rsidR="00315832">
        <w:t>management</w:t>
      </w:r>
      <w:r w:rsidR="004E474F">
        <w:t xml:space="preserve"> of unavoidable impacts</w:t>
      </w:r>
      <w:r w:rsidR="00315832">
        <w:t>.</w:t>
      </w:r>
    </w:p>
    <w:p w:rsidR="004E474F" w:rsidRDefault="004E474F" w:rsidP="00EC2CA4">
      <w:pPr>
        <w:pStyle w:val="BRNormal11pt0"/>
        <w:rPr>
          <w:lang w:val="en-GB"/>
        </w:rPr>
      </w:pPr>
      <w:r>
        <w:t xml:space="preserve">The aim of this project was to conduct </w:t>
      </w:r>
      <w:r w:rsidR="00E76100">
        <w:t xml:space="preserve">an </w:t>
      </w:r>
      <w:r>
        <w:t xml:space="preserve">analysis of </w:t>
      </w:r>
      <w:r w:rsidR="00BA2C2D">
        <w:t>potential</w:t>
      </w:r>
      <w:r>
        <w:t xml:space="preserve"> subsidence impacts </w:t>
      </w:r>
      <w:r w:rsidR="00333E80">
        <w:t xml:space="preserve">from </w:t>
      </w:r>
      <w:r w:rsidR="003721DE">
        <w:rPr>
          <w:lang w:val="en-AU"/>
        </w:rPr>
        <w:t>coal seam gas</w:t>
      </w:r>
      <w:r w:rsidR="003721DE" w:rsidRPr="00E13ED7">
        <w:rPr>
          <w:lang w:val="en-AU"/>
        </w:rPr>
        <w:t xml:space="preserve"> </w:t>
      </w:r>
      <w:r w:rsidR="00DE27A7">
        <w:t>production</w:t>
      </w:r>
      <w:r>
        <w:t xml:space="preserve"> activities</w:t>
      </w:r>
      <w:r w:rsidR="00E76100">
        <w:t>,</w:t>
      </w:r>
      <w:r>
        <w:t xml:space="preserve"> </w:t>
      </w:r>
      <w:r w:rsidR="00F00A26">
        <w:t xml:space="preserve">and </w:t>
      </w:r>
      <w:r>
        <w:t xml:space="preserve">to better predict the effects on water resources and land use. A </w:t>
      </w:r>
      <w:r w:rsidR="00F00A26">
        <w:t xml:space="preserve">desk-based </w:t>
      </w:r>
      <w:r>
        <w:t xml:space="preserve">analysis of subsidence impacts was undertaken by a review of case studies, subsidence modelling tools to assist with predicting subsidence impacts, </w:t>
      </w:r>
      <w:r w:rsidR="00A41BC2">
        <w:t xml:space="preserve">the </w:t>
      </w:r>
      <w:r w:rsidR="009A49FB">
        <w:t xml:space="preserve">performance of </w:t>
      </w:r>
      <w:r>
        <w:t xml:space="preserve">subsidence modelling tools against observed subsidence impacts, and </w:t>
      </w:r>
      <w:r w:rsidR="00E76100">
        <w:t xml:space="preserve">a </w:t>
      </w:r>
      <w:r>
        <w:t xml:space="preserve">discussion of subsidence monitoring tools. The criteria for assessment, and the uncertainty associated with assessments, </w:t>
      </w:r>
      <w:r w:rsidR="00A41BC2">
        <w:t>were</w:t>
      </w:r>
      <w:r>
        <w:t xml:space="preserve"> </w:t>
      </w:r>
      <w:r w:rsidR="003B6EF0">
        <w:t xml:space="preserve">also </w:t>
      </w:r>
      <w:r>
        <w:t>delineated.</w:t>
      </w:r>
    </w:p>
    <w:p w:rsidR="00AC6230" w:rsidRPr="00AC6230" w:rsidRDefault="00055732" w:rsidP="00AC6230">
      <w:pPr>
        <w:rPr>
          <w:lang w:val="en-GB"/>
        </w:rPr>
      </w:pPr>
      <w:r>
        <w:rPr>
          <w:lang w:val="en-GB"/>
        </w:rPr>
        <w:t>I</w:t>
      </w:r>
      <w:r w:rsidR="00AC6230" w:rsidRPr="00AC6230">
        <w:rPr>
          <w:lang w:val="en-GB"/>
        </w:rPr>
        <w:t>nformation available in the public domain</w:t>
      </w:r>
      <w:r>
        <w:rPr>
          <w:lang w:val="en-GB"/>
        </w:rPr>
        <w:t xml:space="preserve"> was reviewed</w:t>
      </w:r>
      <w:r w:rsidR="00AC6230" w:rsidRPr="00AC6230">
        <w:rPr>
          <w:lang w:val="en-GB"/>
        </w:rPr>
        <w:t>, including:</w:t>
      </w:r>
    </w:p>
    <w:p w:rsidR="00AC6230" w:rsidRPr="00AC6230" w:rsidRDefault="00AC6230" w:rsidP="007702DF">
      <w:pPr>
        <w:pStyle w:val="BRdotpoints"/>
        <w:rPr>
          <w:lang w:val="en-GB"/>
        </w:rPr>
      </w:pPr>
      <w:r w:rsidRPr="00AC6230">
        <w:rPr>
          <w:lang w:val="en-GB"/>
        </w:rPr>
        <w:t>journal articles</w:t>
      </w:r>
    </w:p>
    <w:p w:rsidR="00AC6230" w:rsidRPr="00AC6230" w:rsidRDefault="00AC6230" w:rsidP="007702DF">
      <w:pPr>
        <w:pStyle w:val="BRdotpoints"/>
        <w:rPr>
          <w:lang w:val="en-GB"/>
        </w:rPr>
      </w:pPr>
      <w:r w:rsidRPr="00AC6230">
        <w:rPr>
          <w:lang w:val="en-GB"/>
        </w:rPr>
        <w:t>conference proceedings</w:t>
      </w:r>
    </w:p>
    <w:p w:rsidR="00AC6230" w:rsidRPr="00AC6230" w:rsidRDefault="00AC6230" w:rsidP="007702DF">
      <w:pPr>
        <w:pStyle w:val="BRdotpoints"/>
        <w:rPr>
          <w:lang w:val="en-GB"/>
        </w:rPr>
      </w:pPr>
      <w:r w:rsidRPr="00AC6230">
        <w:rPr>
          <w:lang w:val="en-GB"/>
        </w:rPr>
        <w:t>scientific text books</w:t>
      </w:r>
    </w:p>
    <w:p w:rsidR="00AC6230" w:rsidRPr="00AC6230" w:rsidRDefault="00AC6230" w:rsidP="007702DF">
      <w:pPr>
        <w:pStyle w:val="BRdotpoints"/>
        <w:rPr>
          <w:lang w:val="en-GB"/>
        </w:rPr>
      </w:pPr>
      <w:r w:rsidRPr="00AC6230">
        <w:rPr>
          <w:lang w:val="en-GB"/>
        </w:rPr>
        <w:t>government department reports</w:t>
      </w:r>
    </w:p>
    <w:p w:rsidR="00AC6230" w:rsidRPr="00AC6230" w:rsidRDefault="00AC6230" w:rsidP="007702DF">
      <w:pPr>
        <w:pStyle w:val="BRdotpoints"/>
        <w:rPr>
          <w:lang w:val="en-GB"/>
        </w:rPr>
      </w:pPr>
      <w:proofErr w:type="gramStart"/>
      <w:r w:rsidRPr="00AC6230">
        <w:rPr>
          <w:lang w:val="en-GB"/>
        </w:rPr>
        <w:t>industry</w:t>
      </w:r>
      <w:proofErr w:type="gramEnd"/>
      <w:r w:rsidRPr="00AC6230">
        <w:rPr>
          <w:lang w:val="en-GB"/>
        </w:rPr>
        <w:t xml:space="preserve"> and consulting reports.</w:t>
      </w:r>
    </w:p>
    <w:p w:rsidR="00A41BC2" w:rsidRPr="003B6EF0" w:rsidRDefault="00AC6230" w:rsidP="00AC6230">
      <w:r w:rsidRPr="003B6EF0">
        <w:rPr>
          <w:lang w:val="en-GB"/>
        </w:rPr>
        <w:t>Th</w:t>
      </w:r>
      <w:r w:rsidR="00055732">
        <w:rPr>
          <w:lang w:val="en-GB"/>
        </w:rPr>
        <w:t>is</w:t>
      </w:r>
      <w:r w:rsidRPr="003B6EF0">
        <w:rPr>
          <w:lang w:val="en-GB"/>
        </w:rPr>
        <w:t xml:space="preserve"> report </w:t>
      </w:r>
      <w:r w:rsidR="00A41BC2" w:rsidRPr="003B6EF0">
        <w:t xml:space="preserve">provides a </w:t>
      </w:r>
      <w:r w:rsidR="00055732">
        <w:t>synthesis and assessment</w:t>
      </w:r>
      <w:r w:rsidR="00A41BC2" w:rsidRPr="003B6EF0">
        <w:t xml:space="preserve"> of the </w:t>
      </w:r>
      <w:r w:rsidR="00A41BC2" w:rsidRPr="003B6EF0">
        <w:rPr>
          <w:lang w:val="en-GB"/>
        </w:rPr>
        <w:t xml:space="preserve">management and monitoring of subsidence induced by </w:t>
      </w:r>
      <w:r w:rsidR="003721DE">
        <w:rPr>
          <w:lang w:val="en-AU"/>
        </w:rPr>
        <w:t>coal seam gas</w:t>
      </w:r>
      <w:r w:rsidR="003721DE" w:rsidRPr="00E13ED7">
        <w:rPr>
          <w:lang w:val="en-AU"/>
        </w:rPr>
        <w:t xml:space="preserve"> </w:t>
      </w:r>
      <w:r w:rsidR="00DE27A7">
        <w:rPr>
          <w:lang w:val="en-GB"/>
        </w:rPr>
        <w:t>production</w:t>
      </w:r>
      <w:r w:rsidR="00A41BC2" w:rsidRPr="003B6EF0">
        <w:rPr>
          <w:lang w:val="en-GB"/>
        </w:rPr>
        <w:t xml:space="preserve"> from </w:t>
      </w:r>
      <w:r w:rsidR="00A41BC2" w:rsidRPr="003B6EF0">
        <w:t>Australian and international experiences</w:t>
      </w:r>
      <w:r w:rsidR="003B6EF0">
        <w:t>, including:</w:t>
      </w:r>
    </w:p>
    <w:p w:rsidR="00AC6230" w:rsidRPr="003B6EF0" w:rsidRDefault="00AC6230" w:rsidP="007702DF">
      <w:pPr>
        <w:pStyle w:val="BRdotpoints"/>
        <w:rPr>
          <w:lang w:val="en-GB"/>
        </w:rPr>
      </w:pPr>
      <w:r w:rsidRPr="003B6EF0">
        <w:rPr>
          <w:lang w:val="en-GB"/>
        </w:rPr>
        <w:t xml:space="preserve">the different causes and </w:t>
      </w:r>
      <w:r w:rsidR="00E76100">
        <w:rPr>
          <w:lang w:val="en-GB"/>
        </w:rPr>
        <w:t>environmental contexts</w:t>
      </w:r>
      <w:r w:rsidRPr="003B6EF0">
        <w:rPr>
          <w:lang w:val="en-GB"/>
        </w:rPr>
        <w:t xml:space="preserve"> of subsidence from </w:t>
      </w:r>
      <w:r w:rsidR="003721DE">
        <w:rPr>
          <w:lang w:val="en-AU"/>
        </w:rPr>
        <w:t>coal seam gas</w:t>
      </w:r>
      <w:r w:rsidR="003721DE" w:rsidRPr="00E13ED7">
        <w:rPr>
          <w:lang w:val="en-AU"/>
        </w:rPr>
        <w:t xml:space="preserve"> </w:t>
      </w:r>
      <w:r w:rsidR="00DE27A7">
        <w:rPr>
          <w:lang w:val="en-GB"/>
        </w:rPr>
        <w:t>production</w:t>
      </w:r>
    </w:p>
    <w:p w:rsidR="00AC6230" w:rsidRPr="003B6EF0" w:rsidRDefault="00AC6230" w:rsidP="007702DF">
      <w:pPr>
        <w:pStyle w:val="BRdotpoints"/>
        <w:rPr>
          <w:lang w:val="en-GB"/>
        </w:rPr>
      </w:pPr>
      <w:r w:rsidRPr="003B6EF0">
        <w:rPr>
          <w:lang w:val="en-GB"/>
        </w:rPr>
        <w:t xml:space="preserve">existing </w:t>
      </w:r>
      <w:r w:rsidR="00E76100">
        <w:rPr>
          <w:lang w:val="en-GB"/>
        </w:rPr>
        <w:t xml:space="preserve">predictions and experiences relating to </w:t>
      </w:r>
      <w:r w:rsidR="003721DE">
        <w:rPr>
          <w:lang w:val="en-AU"/>
        </w:rPr>
        <w:t>coal seam gas</w:t>
      </w:r>
      <w:r w:rsidR="003721DE" w:rsidRPr="00E13ED7">
        <w:rPr>
          <w:lang w:val="en-AU"/>
        </w:rPr>
        <w:t xml:space="preserve"> </w:t>
      </w:r>
      <w:r w:rsidR="00E76100">
        <w:rPr>
          <w:lang w:val="en-GB"/>
        </w:rPr>
        <w:t>subsidence in Australia and overseas</w:t>
      </w:r>
    </w:p>
    <w:p w:rsidR="00E76100" w:rsidRDefault="00E76100" w:rsidP="007702DF">
      <w:pPr>
        <w:pStyle w:val="BRdotpoints"/>
        <w:rPr>
          <w:lang w:val="en-GB"/>
        </w:rPr>
      </w:pPr>
      <w:r>
        <w:rPr>
          <w:lang w:val="en-GB"/>
        </w:rPr>
        <w:t>the potential impacts of subsidence</w:t>
      </w:r>
    </w:p>
    <w:p w:rsidR="00E76100" w:rsidRDefault="00E76100" w:rsidP="007702DF">
      <w:pPr>
        <w:pStyle w:val="BRdotpoints"/>
        <w:rPr>
          <w:lang w:val="en-GB"/>
        </w:rPr>
      </w:pPr>
      <w:r>
        <w:rPr>
          <w:lang w:val="en-GB"/>
        </w:rPr>
        <w:t>approaches to subsidence assessment</w:t>
      </w:r>
    </w:p>
    <w:p w:rsidR="00AC6230" w:rsidRPr="003B6EF0" w:rsidRDefault="009A49FB" w:rsidP="007702DF">
      <w:pPr>
        <w:pStyle w:val="BRdotpoints"/>
        <w:rPr>
          <w:lang w:val="en-GB"/>
        </w:rPr>
      </w:pPr>
      <w:r>
        <w:rPr>
          <w:lang w:val="en-GB"/>
        </w:rPr>
        <w:t xml:space="preserve">a review of </w:t>
      </w:r>
      <w:r w:rsidR="00AC6230" w:rsidRPr="003B6EF0">
        <w:rPr>
          <w:lang w:val="en-GB"/>
        </w:rPr>
        <w:t>models to predict the scale and extent of subsidence</w:t>
      </w:r>
    </w:p>
    <w:p w:rsidR="00AC6230" w:rsidRPr="00EC2CA4" w:rsidRDefault="00E76100" w:rsidP="007702DF">
      <w:pPr>
        <w:pStyle w:val="BRdotpoints"/>
        <w:rPr>
          <w:lang w:val="en-GB"/>
        </w:rPr>
      </w:pPr>
      <w:proofErr w:type="gramStart"/>
      <w:r>
        <w:rPr>
          <w:lang w:val="en-GB"/>
        </w:rPr>
        <w:t>monitoring</w:t>
      </w:r>
      <w:proofErr w:type="gramEnd"/>
      <w:r>
        <w:rPr>
          <w:lang w:val="en-GB"/>
        </w:rPr>
        <w:t xml:space="preserve"> and management </w:t>
      </w:r>
      <w:r w:rsidR="00AC6230" w:rsidRPr="003B6EF0">
        <w:rPr>
          <w:lang w:val="en-GB"/>
        </w:rPr>
        <w:t>options</w:t>
      </w:r>
      <w:r>
        <w:rPr>
          <w:lang w:val="en-GB"/>
        </w:rPr>
        <w:t xml:space="preserve"> and key knowledge gaps</w:t>
      </w:r>
      <w:r w:rsidR="00AC6230" w:rsidRPr="003B6EF0">
        <w:rPr>
          <w:lang w:val="en-GB"/>
        </w:rPr>
        <w:t>.</w:t>
      </w:r>
    </w:p>
    <w:p w:rsidR="00E57E0A" w:rsidRDefault="00F01BC1">
      <w:pPr>
        <w:pStyle w:val="BRNormal11pt0"/>
      </w:pPr>
      <w:r w:rsidRPr="00F01BC1">
        <w:t>World-w</w:t>
      </w:r>
      <w:r>
        <w:t xml:space="preserve">ide experience in coal seam gas </w:t>
      </w:r>
      <w:r w:rsidRPr="00F01BC1">
        <w:t>induced subsidence is limited, and so a large component of th</w:t>
      </w:r>
      <w:r w:rsidR="006D6661">
        <w:t>is</w:t>
      </w:r>
      <w:r w:rsidRPr="00F01BC1">
        <w:t xml:space="preserve"> review pertains to more widespread experience in subsidence from coal mining</w:t>
      </w:r>
      <w:r w:rsidR="009A49FB">
        <w:t xml:space="preserve"> as well as</w:t>
      </w:r>
      <w:r w:rsidRPr="00F01BC1">
        <w:t xml:space="preserve"> oil and water extraction</w:t>
      </w:r>
      <w:r>
        <w:t>.</w:t>
      </w:r>
    </w:p>
    <w:p w:rsidR="00E57E0A" w:rsidRDefault="00296371">
      <w:pPr>
        <w:pStyle w:val="BRNormal11pt0"/>
      </w:pPr>
      <w:r>
        <w:t>Th</w:t>
      </w:r>
      <w:r w:rsidR="006D6661">
        <w:t>is</w:t>
      </w:r>
      <w:r>
        <w:t xml:space="preserve"> </w:t>
      </w:r>
      <w:r w:rsidR="009617E9">
        <w:t>report</w:t>
      </w:r>
      <w:r w:rsidR="00A41BC2">
        <w:t xml:space="preserve"> first </w:t>
      </w:r>
      <w:r w:rsidR="00DA3E18">
        <w:t xml:space="preserve">describes </w:t>
      </w:r>
      <w:r w:rsidR="00A41BC2">
        <w:t xml:space="preserve">the hydrogeological settings under which coal seam gas production takes place, the extraction systems and their impacts on groundwater. Issues related to extraction are </w:t>
      </w:r>
      <w:r w:rsidR="006D6661">
        <w:t xml:space="preserve">then </w:t>
      </w:r>
      <w:r w:rsidR="00A41BC2">
        <w:t xml:space="preserve">identified. A review of modelling tools and approaches is </w:t>
      </w:r>
      <w:r w:rsidR="006D6661">
        <w:t>also</w:t>
      </w:r>
      <w:r w:rsidR="00A41BC2">
        <w:t xml:space="preserve"> </w:t>
      </w:r>
      <w:r w:rsidR="006D6661">
        <w:t>provided</w:t>
      </w:r>
      <w:r>
        <w:t xml:space="preserve"> </w:t>
      </w:r>
      <w:r w:rsidR="00A41BC2">
        <w:t>in the context of the issues identified.</w:t>
      </w:r>
    </w:p>
    <w:p w:rsidR="00E76100" w:rsidRDefault="00E76100" w:rsidP="007B0FCA">
      <w:pPr>
        <w:pStyle w:val="BRNormal11pt0"/>
      </w:pPr>
    </w:p>
    <w:p w:rsidR="007B0FCA" w:rsidRDefault="007B0FCA" w:rsidP="001E6DBD">
      <w:pPr>
        <w:pStyle w:val="Heading1"/>
      </w:pPr>
      <w:bookmarkStart w:id="459" w:name="_Toc402425288"/>
      <w:r>
        <w:t xml:space="preserve">What is </w:t>
      </w:r>
      <w:r w:rsidR="00FD23B8">
        <w:t>c</w:t>
      </w:r>
      <w:r>
        <w:t xml:space="preserve">oal </w:t>
      </w:r>
      <w:r w:rsidR="00FD23B8">
        <w:t>s</w:t>
      </w:r>
      <w:r>
        <w:t xml:space="preserve">eam </w:t>
      </w:r>
      <w:r w:rsidR="00FD23B8">
        <w:t>g</w:t>
      </w:r>
      <w:r>
        <w:t>as?</w:t>
      </w:r>
      <w:bookmarkEnd w:id="459"/>
    </w:p>
    <w:p w:rsidR="007B0FCA" w:rsidRDefault="007B0FCA" w:rsidP="007B0FCA">
      <w:pPr>
        <w:pStyle w:val="BRNormal11pt0"/>
      </w:pPr>
      <w:r>
        <w:t xml:space="preserve">Coal </w:t>
      </w:r>
      <w:r w:rsidR="00EC2CA4">
        <w:t>s</w:t>
      </w:r>
      <w:r>
        <w:t xml:space="preserve">eam </w:t>
      </w:r>
      <w:r w:rsidR="00EC2CA4">
        <w:t>g</w:t>
      </w:r>
      <w:r>
        <w:t>as</w:t>
      </w:r>
      <w:r w:rsidR="003721DE">
        <w:t>,</w:t>
      </w:r>
      <w:r>
        <w:t xml:space="preserve"> also referr</w:t>
      </w:r>
      <w:r w:rsidR="009A49FB">
        <w:t xml:space="preserve">ed to as coalbed methane (CBM) </w:t>
      </w:r>
      <w:r>
        <w:t xml:space="preserve">is a type of natural gas extracted from coal seams. It is an increasing source of natural gas around the world and Australia possesses </w:t>
      </w:r>
      <w:r w:rsidR="00F95B2F">
        <w:t xml:space="preserve">substantial </w:t>
      </w:r>
      <w:r>
        <w:t>deposits.</w:t>
      </w:r>
    </w:p>
    <w:p w:rsidR="007B0FCA" w:rsidRDefault="007B0FCA" w:rsidP="007B0FCA">
      <w:pPr>
        <w:pStyle w:val="Heading2"/>
      </w:pPr>
      <w:bookmarkStart w:id="460" w:name="_Toc402425289"/>
      <w:r>
        <w:t xml:space="preserve">Coal </w:t>
      </w:r>
      <w:r w:rsidR="00FD23B8">
        <w:t>s</w:t>
      </w:r>
      <w:r>
        <w:t xml:space="preserve">eams and </w:t>
      </w:r>
      <w:r w:rsidR="00FD23B8">
        <w:t>g</w:t>
      </w:r>
      <w:r>
        <w:t>as</w:t>
      </w:r>
      <w:bookmarkEnd w:id="460"/>
    </w:p>
    <w:p w:rsidR="007B0FCA" w:rsidRDefault="007B0FCA" w:rsidP="007B0FCA">
      <w:pPr>
        <w:pStyle w:val="BRNormal11pt0"/>
      </w:pPr>
      <w:r>
        <w:t>Coal seams are typically interbedded between low permeability rock units (strata) and are of low thickness relative to overlying and underlying strata. Coal seam gas comprises predominantly methane</w:t>
      </w:r>
      <w:r w:rsidR="00EC2CA4">
        <w:t xml:space="preserve"> </w:t>
      </w:r>
      <w:r>
        <w:t>(CH</w:t>
      </w:r>
      <w:r w:rsidR="005A0FA0" w:rsidRPr="005A0FA0">
        <w:rPr>
          <w:vertAlign w:val="subscript"/>
        </w:rPr>
        <w:t>4</w:t>
      </w:r>
      <w:r>
        <w:t>), with quantities of ethane (C</w:t>
      </w:r>
      <w:r w:rsidR="005A0FA0" w:rsidRPr="005A0FA0">
        <w:rPr>
          <w:vertAlign w:val="subscript"/>
        </w:rPr>
        <w:t>2</w:t>
      </w:r>
      <w:r>
        <w:t>H</w:t>
      </w:r>
      <w:r w:rsidR="005A0FA0" w:rsidRPr="005A0FA0">
        <w:rPr>
          <w:vertAlign w:val="subscript"/>
        </w:rPr>
        <w:t>6</w:t>
      </w:r>
      <w:r>
        <w:t>), propane (C</w:t>
      </w:r>
      <w:r w:rsidR="005A0FA0" w:rsidRPr="005A0FA0">
        <w:rPr>
          <w:vertAlign w:val="subscript"/>
        </w:rPr>
        <w:t>3</w:t>
      </w:r>
      <w:r>
        <w:t>H</w:t>
      </w:r>
      <w:r w:rsidR="005A0FA0" w:rsidRPr="005A0FA0">
        <w:rPr>
          <w:vertAlign w:val="subscript"/>
        </w:rPr>
        <w:t>8</w:t>
      </w:r>
      <w:r>
        <w:t>), butane (C</w:t>
      </w:r>
      <w:r w:rsidR="005A0FA0" w:rsidRPr="005A0FA0">
        <w:rPr>
          <w:vertAlign w:val="subscript"/>
        </w:rPr>
        <w:t>4</w:t>
      </w:r>
      <w:r>
        <w:t>H</w:t>
      </w:r>
      <w:r w:rsidR="005A0FA0" w:rsidRPr="005A0FA0">
        <w:rPr>
          <w:vertAlign w:val="subscript"/>
        </w:rPr>
        <w:t>10</w:t>
      </w:r>
      <w:r>
        <w:t>), nitrogen (N</w:t>
      </w:r>
      <w:r w:rsidR="00F95B2F">
        <w:rPr>
          <w:vertAlign w:val="subscript"/>
        </w:rPr>
        <w:t>2</w:t>
      </w:r>
      <w:r>
        <w:t>), carbon dioxide (CO</w:t>
      </w:r>
      <w:r w:rsidR="005A0FA0" w:rsidRPr="005A0FA0">
        <w:rPr>
          <w:vertAlign w:val="subscript"/>
        </w:rPr>
        <w:t>2</w:t>
      </w:r>
      <w:r>
        <w:t xml:space="preserve">) and other gases. Coal seam gas does not contain significant quantities of hydrogen </w:t>
      </w:r>
      <w:r w:rsidR="000B7D6F">
        <w:t xml:space="preserve">sulfide </w:t>
      </w:r>
      <w:r>
        <w:t>gas (H</w:t>
      </w:r>
      <w:r w:rsidR="005A0FA0" w:rsidRPr="005A0FA0">
        <w:rPr>
          <w:vertAlign w:val="subscript"/>
        </w:rPr>
        <w:t>2</w:t>
      </w:r>
      <w:r>
        <w:t xml:space="preserve">S) and, for this reason, is often referred to as </w:t>
      </w:r>
      <w:r w:rsidR="00EC2CA4">
        <w:t>‘</w:t>
      </w:r>
      <w:r>
        <w:t xml:space="preserve">sweet </w:t>
      </w:r>
      <w:proofErr w:type="gramStart"/>
      <w:r>
        <w:t>gas</w:t>
      </w:r>
      <w:r w:rsidR="00EC2CA4">
        <w:t>’</w:t>
      </w:r>
      <w:proofErr w:type="gramEnd"/>
      <w:r>
        <w:t>.</w:t>
      </w:r>
    </w:p>
    <w:p w:rsidR="007B0FCA" w:rsidRDefault="007B0FCA" w:rsidP="007B0FCA">
      <w:pPr>
        <w:pStyle w:val="BRNormal11pt0"/>
      </w:pPr>
      <w:r>
        <w:t xml:space="preserve">Coal seams possess both natural fractures and porous matrix blocks. The fractures are called </w:t>
      </w:r>
      <w:r w:rsidR="00461557">
        <w:t>‘</w:t>
      </w:r>
      <w:r>
        <w:t>cleats</w:t>
      </w:r>
      <w:r w:rsidR="00461557">
        <w:t>’</w:t>
      </w:r>
      <w:r>
        <w:t xml:space="preserve">. They usually occur in two sets that are perpendicular to one another and perpendicular to bedding. The cleats in one direction form first and exhibit a high level of continuity. These are called </w:t>
      </w:r>
      <w:r w:rsidR="00461557">
        <w:t>‘</w:t>
      </w:r>
      <w:r>
        <w:t>face cleats</w:t>
      </w:r>
      <w:r w:rsidR="00461557">
        <w:t>’</w:t>
      </w:r>
      <w:r>
        <w:t xml:space="preserve">. Cleats in the other direction are called </w:t>
      </w:r>
      <w:r w:rsidR="00461557">
        <w:t>‘</w:t>
      </w:r>
      <w:r>
        <w:t>butt cleats</w:t>
      </w:r>
      <w:r w:rsidR="00461557">
        <w:t>’</w:t>
      </w:r>
      <w:r>
        <w:t>. They are discontinuous and frequently truncated by face cleats. Due to their continuity, face cleats are more permeable than butt cleats, though both provide enhanced permeability compared with the permeability of the intact coal (Laubach et al</w:t>
      </w:r>
      <w:r w:rsidR="00461557">
        <w:t>.</w:t>
      </w:r>
      <w:r>
        <w:t xml:space="preserve"> 1998). </w:t>
      </w:r>
    </w:p>
    <w:p w:rsidR="007B0FCA" w:rsidRDefault="007B0FCA" w:rsidP="007B0FCA">
      <w:pPr>
        <w:pStyle w:val="BRNormal11pt0"/>
      </w:pPr>
      <w:r>
        <w:t xml:space="preserve">Figure 1 shows cleat orientation within a mass of coal. The cleats divide individual porous matrix blocks that contain pores of varying size (ranging </w:t>
      </w:r>
      <w:r w:rsidRPr="009114A0">
        <w:t>from a few nanometres to over one micrometre). The nature of the coal structure means that coal exhibits</w:t>
      </w:r>
      <w:r>
        <w:t xml:space="preserve"> a </w:t>
      </w:r>
      <w:r w:rsidR="00461557">
        <w:t>‘</w:t>
      </w:r>
      <w:r>
        <w:t>dual porosity</w:t>
      </w:r>
      <w:r w:rsidR="00461557">
        <w:t>’</w:t>
      </w:r>
      <w:r>
        <w:t xml:space="preserve"> (</w:t>
      </w:r>
      <w:r w:rsidR="00461557">
        <w:t>‘</w:t>
      </w:r>
      <w:r>
        <w:t>dual region</w:t>
      </w:r>
      <w:r w:rsidR="00461557">
        <w:t>’</w:t>
      </w:r>
      <w:r>
        <w:t xml:space="preserve">) system, whereby fluids may be present within the open fractures (which possess a certain storage capacity or </w:t>
      </w:r>
      <w:r w:rsidR="00461557">
        <w:t>‘</w:t>
      </w:r>
      <w:r>
        <w:t>primary porosity</w:t>
      </w:r>
      <w:r w:rsidR="00461557">
        <w:t>’</w:t>
      </w:r>
      <w:r>
        <w:t xml:space="preserve">) and within porous matrix blocks (which possess a different storage capacity or </w:t>
      </w:r>
      <w:r w:rsidR="00461557">
        <w:t>‘</w:t>
      </w:r>
      <w:r>
        <w:t>secondary porosity</w:t>
      </w:r>
      <w:r w:rsidR="00461557">
        <w:t>’</w:t>
      </w:r>
      <w:r>
        <w:t xml:space="preserve">). The orientation of </w:t>
      </w:r>
      <w:r w:rsidR="009114A0">
        <w:t xml:space="preserve">cleats </w:t>
      </w:r>
      <w:r>
        <w:t>(face and butt) means that coal also exhibits anisotropy: the permeability of face cleats is typically five times that of butt cleats (Massarotto et al. 2003).</w:t>
      </w:r>
    </w:p>
    <w:p w:rsidR="007B0FCA" w:rsidRDefault="007B0FCA" w:rsidP="00A90F48">
      <w:pPr>
        <w:pStyle w:val="Listintrotext"/>
      </w:pPr>
    </w:p>
    <w:p w:rsidR="007B0FCA" w:rsidRDefault="007B0FCA" w:rsidP="00A90F48">
      <w:pPr>
        <w:pStyle w:val="Listintrotext"/>
      </w:pPr>
      <w:r>
        <w:rPr>
          <w:noProof/>
          <w:lang w:val="en-AU" w:eastAsia="en-AU"/>
        </w:rPr>
        <w:drawing>
          <wp:inline distT="0" distB="0" distL="0" distR="0">
            <wp:extent cx="4133215" cy="2365375"/>
            <wp:effectExtent l="1905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215" cy="2365375"/>
                    </a:xfrm>
                    <a:prstGeom prst="rect">
                      <a:avLst/>
                    </a:prstGeom>
                    <a:noFill/>
                  </pic:spPr>
                </pic:pic>
              </a:graphicData>
            </a:graphic>
          </wp:inline>
        </w:drawing>
      </w:r>
    </w:p>
    <w:p w:rsidR="007B0FCA" w:rsidRDefault="00461557" w:rsidP="00D90926">
      <w:pPr>
        <w:pStyle w:val="Caption-figure"/>
      </w:pPr>
      <w:r w:rsidRPr="005A4936">
        <w:t xml:space="preserve">Figure </w:t>
      </w:r>
      <w:r w:rsidR="00E252C4" w:rsidRPr="005A4936">
        <w:fldChar w:fldCharType="begin"/>
      </w:r>
      <w:r w:rsidRPr="005A4936">
        <w:instrText xml:space="preserve"> SEQ Figure \* ARABIC </w:instrText>
      </w:r>
      <w:r w:rsidR="00E252C4" w:rsidRPr="005A4936">
        <w:fldChar w:fldCharType="separate"/>
      </w:r>
      <w:r w:rsidR="00906141">
        <w:rPr>
          <w:noProof/>
        </w:rPr>
        <w:t>1</w:t>
      </w:r>
      <w:r w:rsidR="00E252C4" w:rsidRPr="005A4936">
        <w:fldChar w:fldCharType="end"/>
      </w:r>
      <w:r w:rsidR="00274BC6">
        <w:t xml:space="preserve"> </w:t>
      </w:r>
      <w:r w:rsidR="007B0FCA">
        <w:t xml:space="preserve">Cleat </w:t>
      </w:r>
      <w:r>
        <w:t>o</w:t>
      </w:r>
      <w:r w:rsidR="007B0FCA">
        <w:t xml:space="preserve">rientation in </w:t>
      </w:r>
      <w:r>
        <w:t>c</w:t>
      </w:r>
      <w:r w:rsidR="007B0FCA">
        <w:t xml:space="preserve">oal </w:t>
      </w:r>
      <w:r>
        <w:t>m</w:t>
      </w:r>
      <w:r w:rsidR="007B0FCA">
        <w:t>ass</w:t>
      </w:r>
    </w:p>
    <w:p w:rsidR="00E57E0A" w:rsidRDefault="007B0FCA">
      <w:pPr>
        <w:pStyle w:val="Listintrotext"/>
      </w:pPr>
      <w:r>
        <w:t>Coal seam gas exists in three forms</w:t>
      </w:r>
      <w:r w:rsidR="000A5949">
        <w:t xml:space="preserve"> (Rightmire et al. 1984; Rice 1993; Shi &amp; Durucan</w:t>
      </w:r>
      <w:r w:rsidR="00114128">
        <w:t> </w:t>
      </w:r>
      <w:r w:rsidR="000A5949">
        <w:t>2005)</w:t>
      </w:r>
      <w:r>
        <w:t>:</w:t>
      </w:r>
    </w:p>
    <w:p w:rsidR="00E57E0A" w:rsidRDefault="007B0FCA" w:rsidP="007702DF">
      <w:pPr>
        <w:pStyle w:val="BRdotpoints"/>
      </w:pPr>
      <w:r>
        <w:t>free gas within the pores and fractures</w:t>
      </w:r>
    </w:p>
    <w:p w:rsidR="00E57E0A" w:rsidRDefault="007B0FCA" w:rsidP="007702DF">
      <w:pPr>
        <w:pStyle w:val="BRdotpoints"/>
      </w:pPr>
      <w:r>
        <w:t>adsorbed to coal surfaces</w:t>
      </w:r>
    </w:p>
    <w:p w:rsidR="00E57E0A" w:rsidRDefault="007B0FCA" w:rsidP="007702DF">
      <w:pPr>
        <w:pStyle w:val="BRdotpoints"/>
      </w:pPr>
      <w:proofErr w:type="gramStart"/>
      <w:r>
        <w:t>adsorbed</w:t>
      </w:r>
      <w:proofErr w:type="gramEnd"/>
      <w:r>
        <w:t xml:space="preserve"> within the molecular structure of the coal</w:t>
      </w:r>
      <w:r w:rsidR="000A5949">
        <w:t>.</w:t>
      </w:r>
    </w:p>
    <w:p w:rsidR="00E57E0A" w:rsidRDefault="007B0FCA">
      <w:pPr>
        <w:pStyle w:val="Post-listtext"/>
      </w:pPr>
      <w:r>
        <w:t xml:space="preserve">However, the vast majority of gas held in the coal is adsorbed to the coal surface and is the gas that is exploited in </w:t>
      </w:r>
      <w:r w:rsidR="003721DE">
        <w:rPr>
          <w:lang w:val="en-AU"/>
        </w:rPr>
        <w:t>coal seam gas</w:t>
      </w:r>
      <w:r w:rsidR="003721DE" w:rsidRPr="00E13ED7">
        <w:rPr>
          <w:lang w:val="en-AU"/>
        </w:rPr>
        <w:t xml:space="preserve"> </w:t>
      </w:r>
      <w:r>
        <w:t>production.</w:t>
      </w:r>
    </w:p>
    <w:p w:rsidR="007B0FCA" w:rsidRDefault="007B0FCA" w:rsidP="007B0FCA">
      <w:pPr>
        <w:pStyle w:val="BRNormal11pt0"/>
      </w:pPr>
      <w:r>
        <w:t>Unlike conventional gas reservoirs, gas within coal seams is predominantly (90</w:t>
      </w:r>
      <w:r w:rsidR="000A5949">
        <w:t xml:space="preserve"> per cent</w:t>
      </w:r>
      <w:r>
        <w:t xml:space="preserve"> to 98</w:t>
      </w:r>
      <w:r w:rsidR="000A5949">
        <w:t xml:space="preserve"> per cent</w:t>
      </w:r>
      <w:r>
        <w:t xml:space="preserve"> of all gas) adsorbed </w:t>
      </w:r>
      <w:r w:rsidR="000A5949">
        <w:t xml:space="preserve">to </w:t>
      </w:r>
      <w:r>
        <w:t xml:space="preserve">the coal </w:t>
      </w:r>
      <w:r w:rsidR="000A5949">
        <w:t xml:space="preserve">(i.e. adhered to the surfaces of the coal) </w:t>
      </w:r>
      <w:r>
        <w:t>within the coal matrix, and is in a compressed state (</w:t>
      </w:r>
      <w:r w:rsidR="000A5949">
        <w:t>i.e.</w:t>
      </w:r>
      <w:r>
        <w:t xml:space="preserve"> condensed similar to a liquid). The surface area of the fractures is comparatively small in comparison to that in the matrix, where it is anticipated that the majority of the gas storage is present. Because most of the gas in the coals is stored by adsorption in the coal matrix, the pressure versus volume relationship for the gas is defined by </w:t>
      </w:r>
      <w:proofErr w:type="gramStart"/>
      <w:r>
        <w:t>the desorption</w:t>
      </w:r>
      <w:proofErr w:type="gramEnd"/>
      <w:r>
        <w:t xml:space="preserve"> (or adsorption) isotherm and not by real gas law (Aminian 2003). A sorption isotherm relates the gas storage capacity of a coal to pressure and depends on the rank, temperature and moisture content of the coal.</w:t>
      </w:r>
    </w:p>
    <w:p w:rsidR="007B0FCA" w:rsidRDefault="007B0FCA" w:rsidP="007B0FCA">
      <w:pPr>
        <w:pStyle w:val="BRNormal11pt0"/>
      </w:pPr>
      <w:r>
        <w:t xml:space="preserve">Gas content in the coal tends to increase with quality </w:t>
      </w:r>
      <w:r w:rsidR="000A5949">
        <w:t xml:space="preserve">of the coal </w:t>
      </w:r>
      <w:r>
        <w:t>(</w:t>
      </w:r>
      <w:r w:rsidR="000A5949">
        <w:t xml:space="preserve">i.e. </w:t>
      </w:r>
      <w:r>
        <w:t xml:space="preserve">rank, grade and type), with the depth of the coal seam, and with the groundwater pressure. For example, the maximum volume of methane and carbon dioxide </w:t>
      </w:r>
      <w:r w:rsidR="000A5949">
        <w:t xml:space="preserve">that </w:t>
      </w:r>
      <w:r>
        <w:t>can be adsorbed to Bowen Basin coals is shown in Figure 2, based on laboratory testing (Saghafi 2005). Figure 2 also shows the amount of gas generated according to coal rank, also based on laboratory testing (Saghafi 2005).</w:t>
      </w:r>
    </w:p>
    <w:p w:rsidR="007B0FCA" w:rsidRDefault="00597C55" w:rsidP="007B0FCA">
      <w:pPr>
        <w:pStyle w:val="BRNormal11pt0"/>
      </w:pPr>
      <w:r>
        <w:t>D</w:t>
      </w:r>
      <w:r w:rsidR="007B0FCA">
        <w:t xml:space="preserve">epending on the </w:t>
      </w:r>
      <w:r w:rsidR="008D5978">
        <w:t xml:space="preserve">geological </w:t>
      </w:r>
      <w:r w:rsidR="007B0FCA">
        <w:t>setting and history, the gas content of coal can vary from zero to the capacity governed by relationships like those illustrated in Figure 2. Figure 3 illustrates variability of methane content for coal samples from the Bowen Basin and the Hunter Valley (Esterle et al</w:t>
      </w:r>
      <w:r w:rsidR="000A5949">
        <w:t>.</w:t>
      </w:r>
      <w:r w:rsidR="007B0FCA">
        <w:t xml:space="preserve"> 2006). The dashed line shown in Figure 3 shows the maximum volume of methane </w:t>
      </w:r>
      <w:r w:rsidR="000A5949">
        <w:t xml:space="preserve">that </w:t>
      </w:r>
      <w:r w:rsidR="007B0FCA">
        <w:t>can be stored per tonne of coal for a representative coal grade. The actual content obtained from testing is below this limit (excluding a few outlying results).</w:t>
      </w:r>
    </w:p>
    <w:p w:rsidR="007B0FCA" w:rsidRDefault="007B0FCA" w:rsidP="007B0FCA">
      <w:pPr>
        <w:pStyle w:val="BRNormal11pt0"/>
      </w:pPr>
      <w:r>
        <w:t>Coal seam gas production is typically undertaken in coals of mid-rank (i.e. low- to high-volatile bituminous coals), since desorption of coal seam gas from high rank coals such as anthracite is very slow (Levine 1993; Rice 1993).</w:t>
      </w:r>
    </w:p>
    <w:p w:rsidR="007B0FCA" w:rsidRDefault="007B0FCA" w:rsidP="00A90F48">
      <w:pPr>
        <w:pStyle w:val="Listintrotext"/>
      </w:pPr>
      <w:r>
        <w:rPr>
          <w:noProof/>
          <w:lang w:val="en-AU" w:eastAsia="en-AU"/>
        </w:rPr>
        <w:drawing>
          <wp:inline distT="0" distB="0" distL="0" distR="0">
            <wp:extent cx="5876925" cy="28497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9389" cy="2850975"/>
                    </a:xfrm>
                    <a:prstGeom prst="rect">
                      <a:avLst/>
                    </a:prstGeom>
                    <a:noFill/>
                  </pic:spPr>
                </pic:pic>
              </a:graphicData>
            </a:graphic>
          </wp:inline>
        </w:drawing>
      </w:r>
    </w:p>
    <w:p w:rsidR="007B0FCA" w:rsidRDefault="000A5949" w:rsidP="00D90926">
      <w:pPr>
        <w:pStyle w:val="Caption-figure"/>
      </w:pPr>
      <w:r w:rsidRPr="005A4936">
        <w:t xml:space="preserve">Figure </w:t>
      </w:r>
      <w:r w:rsidR="00E252C4" w:rsidRPr="005A4936">
        <w:fldChar w:fldCharType="begin"/>
      </w:r>
      <w:r w:rsidRPr="005A4936">
        <w:instrText xml:space="preserve"> SEQ Figure \* ARABIC </w:instrText>
      </w:r>
      <w:r w:rsidR="00E252C4" w:rsidRPr="005A4936">
        <w:fldChar w:fldCharType="separate"/>
      </w:r>
      <w:r w:rsidR="00906141">
        <w:rPr>
          <w:noProof/>
        </w:rPr>
        <w:t>2</w:t>
      </w:r>
      <w:r w:rsidR="00E252C4" w:rsidRPr="005A4936">
        <w:fldChar w:fldCharType="end"/>
      </w:r>
      <w:r w:rsidRPr="005A4936">
        <w:t xml:space="preserve"> </w:t>
      </w:r>
      <w:r w:rsidR="007B0FCA">
        <w:t>Methane (CH</w:t>
      </w:r>
      <w:r w:rsidR="005A0FA0" w:rsidRPr="005A0FA0">
        <w:rPr>
          <w:vertAlign w:val="subscript"/>
        </w:rPr>
        <w:t>4</w:t>
      </w:r>
      <w:r w:rsidR="007B0FCA">
        <w:t xml:space="preserve">) and </w:t>
      </w:r>
      <w:r>
        <w:t>c</w:t>
      </w:r>
      <w:r w:rsidR="007B0FCA">
        <w:t xml:space="preserve">arbon </w:t>
      </w:r>
      <w:r>
        <w:t>d</w:t>
      </w:r>
      <w:r w:rsidR="007B0FCA">
        <w:t>ioxide (CO</w:t>
      </w:r>
      <w:r w:rsidR="005A0FA0" w:rsidRPr="005A0FA0">
        <w:rPr>
          <w:vertAlign w:val="subscript"/>
        </w:rPr>
        <w:t>2</w:t>
      </w:r>
      <w:r w:rsidR="007B0FCA">
        <w:t xml:space="preserve">) </w:t>
      </w:r>
      <w:r>
        <w:t>a</w:t>
      </w:r>
      <w:r w:rsidR="007B0FCA">
        <w:t xml:space="preserve">dsorbed to Bowen Basin </w:t>
      </w:r>
      <w:r>
        <w:t>c</w:t>
      </w:r>
      <w:r w:rsidR="007B0FCA">
        <w:t>oals, and the amount of gas liberated according to coal rank (</w:t>
      </w:r>
      <w:r>
        <w:rPr>
          <w:rFonts w:cs="Arial"/>
        </w:rPr>
        <w:t>©</w:t>
      </w:r>
      <w:r>
        <w:t xml:space="preserve"> Copyright, </w:t>
      </w:r>
      <w:r w:rsidR="007B0FCA">
        <w:t>Saghafi 2005)</w:t>
      </w:r>
    </w:p>
    <w:p w:rsidR="007B0FCA" w:rsidRDefault="007B0FCA" w:rsidP="00A90F48">
      <w:pPr>
        <w:pStyle w:val="Listintrotext"/>
      </w:pPr>
    </w:p>
    <w:p w:rsidR="007B0FCA" w:rsidRDefault="007B0FCA" w:rsidP="00A90F48">
      <w:pPr>
        <w:pStyle w:val="Listintrotext"/>
      </w:pPr>
      <w:r>
        <w:rPr>
          <w:noProof/>
          <w:lang w:val="en-AU" w:eastAsia="en-AU"/>
        </w:rPr>
        <w:drawing>
          <wp:inline distT="0" distB="0" distL="0" distR="0">
            <wp:extent cx="5761355" cy="3755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1355" cy="3755390"/>
                    </a:xfrm>
                    <a:prstGeom prst="rect">
                      <a:avLst/>
                    </a:prstGeom>
                    <a:noFill/>
                  </pic:spPr>
                </pic:pic>
              </a:graphicData>
            </a:graphic>
          </wp:inline>
        </w:drawing>
      </w:r>
    </w:p>
    <w:p w:rsidR="000A5949" w:rsidRDefault="000A5949" w:rsidP="00154A6A">
      <w:pPr>
        <w:pStyle w:val="BelowTableFigureText9pt"/>
      </w:pPr>
      <w:r>
        <w:t>* The dashed line is the methane gas isotherm at the boundary of medium and low volatile rank coal at a volatile matter dry ash free content of 20 to 22 per cent.</w:t>
      </w:r>
    </w:p>
    <w:p w:rsidR="00E57E0A" w:rsidRDefault="000A5949">
      <w:pPr>
        <w:pStyle w:val="Caption-figure"/>
      </w:pPr>
      <w:r w:rsidRPr="005A4936">
        <w:t xml:space="preserve">Figure </w:t>
      </w:r>
      <w:r w:rsidR="00E252C4" w:rsidRPr="005A4936">
        <w:fldChar w:fldCharType="begin"/>
      </w:r>
      <w:r w:rsidRPr="005A4936">
        <w:instrText xml:space="preserve"> SEQ Figure \* ARABIC </w:instrText>
      </w:r>
      <w:r w:rsidR="00E252C4" w:rsidRPr="005A4936">
        <w:fldChar w:fldCharType="separate"/>
      </w:r>
      <w:r w:rsidR="00906141">
        <w:rPr>
          <w:noProof/>
        </w:rPr>
        <w:t>3</w:t>
      </w:r>
      <w:r w:rsidR="00E252C4" w:rsidRPr="005A4936">
        <w:fldChar w:fldCharType="end"/>
      </w:r>
      <w:r w:rsidRPr="005A4936">
        <w:t xml:space="preserve"> </w:t>
      </w:r>
      <w:r w:rsidR="007B0FCA">
        <w:t xml:space="preserve">Variation of </w:t>
      </w:r>
      <w:r>
        <w:t>c</w:t>
      </w:r>
      <w:r w:rsidR="007B0FCA">
        <w:t xml:space="preserve">oal </w:t>
      </w:r>
      <w:r>
        <w:t>s</w:t>
      </w:r>
      <w:r w:rsidR="007B0FCA">
        <w:t xml:space="preserve">eam </w:t>
      </w:r>
      <w:r>
        <w:t>g</w:t>
      </w:r>
      <w:r w:rsidR="007B0FCA">
        <w:t xml:space="preserve">as </w:t>
      </w:r>
      <w:r>
        <w:t>c</w:t>
      </w:r>
      <w:r w:rsidR="007B0FCA">
        <w:t xml:space="preserve">ontent </w:t>
      </w:r>
      <w:r>
        <w:t>a</w:t>
      </w:r>
      <w:r w:rsidR="007B0FCA">
        <w:t xml:space="preserve">gainst </w:t>
      </w:r>
      <w:r>
        <w:t>d</w:t>
      </w:r>
      <w:r w:rsidR="007B0FCA">
        <w:t>epth for Bowen Basin and Hunter Valley</w:t>
      </w:r>
      <w:r>
        <w:t xml:space="preserve"> coals</w:t>
      </w:r>
      <w:r w:rsidR="007B0FCA">
        <w:t xml:space="preserve"> (</w:t>
      </w:r>
      <w:r>
        <w:rPr>
          <w:rFonts w:cs="Arial"/>
        </w:rPr>
        <w:t>©</w:t>
      </w:r>
      <w:r>
        <w:t xml:space="preserve"> Copyright, </w:t>
      </w:r>
      <w:r w:rsidR="007B0FCA">
        <w:t>Esterle et al</w:t>
      </w:r>
      <w:r>
        <w:t>.</w:t>
      </w:r>
      <w:r w:rsidR="009F3F2B">
        <w:t xml:space="preserve"> 2006)</w:t>
      </w:r>
    </w:p>
    <w:p w:rsidR="007B0FCA" w:rsidRDefault="007B0FCA" w:rsidP="000A5949">
      <w:pPr>
        <w:pStyle w:val="Heading2"/>
      </w:pPr>
      <w:bookmarkStart w:id="461" w:name="_Toc391554252"/>
      <w:bookmarkStart w:id="462" w:name="_Toc394649768"/>
      <w:bookmarkStart w:id="463" w:name="_Toc391554253"/>
      <w:bookmarkStart w:id="464" w:name="_Toc394649769"/>
      <w:bookmarkStart w:id="465" w:name="_Toc402425290"/>
      <w:bookmarkEnd w:id="461"/>
      <w:bookmarkEnd w:id="462"/>
      <w:bookmarkEnd w:id="463"/>
      <w:bookmarkEnd w:id="464"/>
      <w:r>
        <w:t xml:space="preserve">Gas </w:t>
      </w:r>
      <w:r w:rsidR="00FD23B8">
        <w:t>e</w:t>
      </w:r>
      <w:r>
        <w:t>xtraction</w:t>
      </w:r>
      <w:bookmarkEnd w:id="465"/>
    </w:p>
    <w:p w:rsidR="007B0FCA" w:rsidRDefault="007B0FCA" w:rsidP="007B0FCA">
      <w:pPr>
        <w:pStyle w:val="BRNormal11pt0"/>
      </w:pPr>
      <w:r>
        <w:t xml:space="preserve">Extraction of methane gas may be achieved by introducing a more adsorbable gas (such as carbon dioxide), decreasing the methane partial pressure or decreasing the reservoir pressure. Most </w:t>
      </w:r>
      <w:r w:rsidR="003721DE">
        <w:rPr>
          <w:lang w:val="en-AU"/>
        </w:rPr>
        <w:t>coal seam gas</w:t>
      </w:r>
      <w:r w:rsidR="003721DE" w:rsidRPr="00E13ED7">
        <w:rPr>
          <w:lang w:val="en-AU"/>
        </w:rPr>
        <w:t xml:space="preserve"> </w:t>
      </w:r>
      <w:r>
        <w:t>extraction in the world is undertaken by reducing reservoir pressure</w:t>
      </w:r>
      <w:r w:rsidR="009114A0">
        <w:t xml:space="preserve">, which </w:t>
      </w:r>
      <w:r>
        <w:t>is achieved by pumping groundwater out of the coal formations. The groundwater level may remain unchanged above the coal seam, but the reduction in water pressure associated with the groundwater removal within the seam causes the coal seam gas to desorb from the coal</w:t>
      </w:r>
      <w:r w:rsidR="00440891">
        <w:t xml:space="preserve"> (i.e. detach from the surfaces of the coal)</w:t>
      </w:r>
      <w:r>
        <w:t>.</w:t>
      </w:r>
    </w:p>
    <w:p w:rsidR="007B0FCA" w:rsidRDefault="007B0FCA" w:rsidP="007B0FCA">
      <w:pPr>
        <w:pStyle w:val="BRNormal11pt0"/>
      </w:pPr>
      <w:r>
        <w:t xml:space="preserve">Enhanced </w:t>
      </w:r>
      <w:r w:rsidR="00440891">
        <w:t>c</w:t>
      </w:r>
      <w:r>
        <w:t xml:space="preserve">oal </w:t>
      </w:r>
      <w:r w:rsidR="00440891">
        <w:t>s</w:t>
      </w:r>
      <w:r>
        <w:t xml:space="preserve">eam </w:t>
      </w:r>
      <w:r w:rsidR="00440891">
        <w:t>g</w:t>
      </w:r>
      <w:r>
        <w:t>as (ECSG) extraction is an emerging technology that uses inert gas stripping (</w:t>
      </w:r>
      <w:r w:rsidR="00440891">
        <w:t xml:space="preserve">i.e. </w:t>
      </w:r>
      <w:r>
        <w:t>use of nitrogen to flush out methane) or displacement resorption (</w:t>
      </w:r>
      <w:r w:rsidR="00440891">
        <w:t xml:space="preserve">i.e. </w:t>
      </w:r>
      <w:r>
        <w:t xml:space="preserve">use of carbon dioxide to displace adsorbed methane). </w:t>
      </w:r>
      <w:r w:rsidR="009114A0">
        <w:t>C</w:t>
      </w:r>
      <w:r>
        <w:t xml:space="preserve">arbon dioxide (high affinity) and nitrogen (slight affinity) adsorb to coal, </w:t>
      </w:r>
      <w:r w:rsidR="009114A0">
        <w:t xml:space="preserve">so </w:t>
      </w:r>
      <w:r>
        <w:t>injecting those gases into the coal bed can displace the methane</w:t>
      </w:r>
      <w:r w:rsidR="009114A0">
        <w:t xml:space="preserve"> and allow </w:t>
      </w:r>
      <w:r w:rsidR="003721DE">
        <w:rPr>
          <w:lang w:val="en-AU"/>
        </w:rPr>
        <w:t>coal seam gas</w:t>
      </w:r>
      <w:r w:rsidR="003721DE" w:rsidRPr="00E13ED7">
        <w:rPr>
          <w:lang w:val="en-AU"/>
        </w:rPr>
        <w:t xml:space="preserve"> </w:t>
      </w:r>
      <w:r w:rsidR="009114A0">
        <w:t xml:space="preserve">to </w:t>
      </w:r>
      <w:r>
        <w:t xml:space="preserve">be collected. Nitrogen is lower sorbing than methane, and carbon dioxide is more sorbing than methane (see Figure 2). </w:t>
      </w:r>
      <w:r w:rsidR="003F624E">
        <w:t xml:space="preserve">Various studies </w:t>
      </w:r>
      <w:r w:rsidR="00382411">
        <w:t>trialing</w:t>
      </w:r>
      <w:r w:rsidR="003F624E">
        <w:t xml:space="preserve"> ECSG extraction have been conducted in the US and China (Saghafi 2005) and Australia (Pini et al. 2011).</w:t>
      </w:r>
    </w:p>
    <w:p w:rsidR="00A60C35" w:rsidRDefault="007B0FCA" w:rsidP="007B0FCA">
      <w:pPr>
        <w:pStyle w:val="BRNormal11pt0"/>
      </w:pPr>
      <w:r>
        <w:t>Groundwater is pumped from the coal formations using groundwater wells. Well construction first involves drilling a borehole to the depth of the coal seam</w:t>
      </w:r>
      <w:r w:rsidR="00440891">
        <w:t xml:space="preserve"> (or seams)</w:t>
      </w:r>
      <w:r>
        <w:t xml:space="preserve"> from which extraction will take place. Target coal seam depths are typically 300 to 1000</w:t>
      </w:r>
      <w:r w:rsidR="00440891">
        <w:t> m</w:t>
      </w:r>
      <w:r>
        <w:t xml:space="preserve"> below ground surface. A steel casing (tube) is cemented in place within the borehole and access to the coal seam is obtained through fibreglass intervals along the length of the casing. The construction details vary from place to place according to industry practice and regulatory requirements, but </w:t>
      </w:r>
      <w:r w:rsidR="00501753">
        <w:t xml:space="preserve">in Australia </w:t>
      </w:r>
      <w:r>
        <w:t xml:space="preserve">are completed in accordance with </w:t>
      </w:r>
      <w:proofErr w:type="gramStart"/>
      <w:r w:rsidRPr="003F624E">
        <w:rPr>
          <w:i/>
        </w:rPr>
        <w:t>The</w:t>
      </w:r>
      <w:proofErr w:type="gramEnd"/>
      <w:r w:rsidRPr="003F624E">
        <w:rPr>
          <w:i/>
        </w:rPr>
        <w:t xml:space="preserve"> </w:t>
      </w:r>
      <w:r w:rsidR="00440891">
        <w:rPr>
          <w:i/>
        </w:rPr>
        <w:t>m</w:t>
      </w:r>
      <w:r w:rsidRPr="003F624E">
        <w:rPr>
          <w:i/>
        </w:rPr>
        <w:t xml:space="preserve">inimum </w:t>
      </w:r>
      <w:r w:rsidR="00440891">
        <w:rPr>
          <w:i/>
        </w:rPr>
        <w:t>c</w:t>
      </w:r>
      <w:r w:rsidRPr="003F624E">
        <w:rPr>
          <w:i/>
        </w:rPr>
        <w:t xml:space="preserve">onstruction </w:t>
      </w:r>
      <w:r w:rsidR="00440891">
        <w:rPr>
          <w:i/>
        </w:rPr>
        <w:t>r</w:t>
      </w:r>
      <w:r w:rsidRPr="003F624E">
        <w:rPr>
          <w:i/>
        </w:rPr>
        <w:t xml:space="preserve">equirements for </w:t>
      </w:r>
      <w:r w:rsidR="00440891">
        <w:rPr>
          <w:i/>
        </w:rPr>
        <w:t>w</w:t>
      </w:r>
      <w:r w:rsidRPr="003F624E">
        <w:rPr>
          <w:i/>
        </w:rPr>
        <w:t xml:space="preserve">ater </w:t>
      </w:r>
      <w:r w:rsidR="00440891">
        <w:rPr>
          <w:i/>
        </w:rPr>
        <w:t>b</w:t>
      </w:r>
      <w:r w:rsidRPr="003F624E">
        <w:rPr>
          <w:i/>
        </w:rPr>
        <w:t>ores in Australia</w:t>
      </w:r>
      <w:r>
        <w:t xml:space="preserve"> (National Uniform Drillers Licensing Committee 2012). </w:t>
      </w:r>
      <w:r w:rsidR="00501753">
        <w:t>H</w:t>
      </w:r>
      <w:r>
        <w:t xml:space="preserve">orizontal bores drilled in the target coal seam can be used as an alternative to </w:t>
      </w:r>
      <w:r w:rsidR="00440891">
        <w:t xml:space="preserve">the </w:t>
      </w:r>
      <w:r>
        <w:t xml:space="preserve">vertical </w:t>
      </w:r>
      <w:r w:rsidR="00501753">
        <w:t>bores</w:t>
      </w:r>
      <w:r>
        <w:t>. A submersible pump is installed at the base of the well and water is pumped from there to the surface</w:t>
      </w:r>
      <w:r w:rsidR="00501753">
        <w:t xml:space="preserve">. Note that </w:t>
      </w:r>
      <w:r w:rsidR="00A60C35">
        <w:t>t</w:t>
      </w:r>
      <w:r>
        <w:t>he goal of pumping is to reduce the water pressure within</w:t>
      </w:r>
      <w:r w:rsidR="00440891">
        <w:t xml:space="preserve"> the coal seam</w:t>
      </w:r>
      <w:r>
        <w:t>, rather than fully dewater</w:t>
      </w:r>
      <w:r w:rsidR="00440891">
        <w:t xml:space="preserve"> it</w:t>
      </w:r>
      <w:r w:rsidR="00A60C35">
        <w:t>.</w:t>
      </w:r>
    </w:p>
    <w:p w:rsidR="007B0FCA" w:rsidRDefault="007B0FCA" w:rsidP="007B0FCA">
      <w:pPr>
        <w:pStyle w:val="BRNormal11pt0"/>
      </w:pPr>
      <w:r>
        <w:t xml:space="preserve">An example conceptual diagram of a </w:t>
      </w:r>
      <w:r w:rsidR="003721DE">
        <w:rPr>
          <w:lang w:val="en-AU"/>
        </w:rPr>
        <w:t>coal seam gas</w:t>
      </w:r>
      <w:r w:rsidR="003721DE" w:rsidRPr="00E13ED7">
        <w:rPr>
          <w:lang w:val="en-AU"/>
        </w:rPr>
        <w:t xml:space="preserve"> </w:t>
      </w:r>
      <w:r>
        <w:t>production well in the Surat Basin is shown in Figure 4.</w:t>
      </w:r>
    </w:p>
    <w:p w:rsidR="007B0FCA" w:rsidRDefault="007B0FCA" w:rsidP="00A90F48">
      <w:pPr>
        <w:pStyle w:val="Listintrotext"/>
      </w:pPr>
      <w:r>
        <w:rPr>
          <w:noProof/>
          <w:lang w:val="en-AU" w:eastAsia="en-AU"/>
        </w:rPr>
        <w:drawing>
          <wp:inline distT="0" distB="0" distL="0" distR="0">
            <wp:extent cx="4359275" cy="58585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9275" cy="5858510"/>
                    </a:xfrm>
                    <a:prstGeom prst="rect">
                      <a:avLst/>
                    </a:prstGeom>
                    <a:noFill/>
                  </pic:spPr>
                </pic:pic>
              </a:graphicData>
            </a:graphic>
          </wp:inline>
        </w:drawing>
      </w:r>
    </w:p>
    <w:p w:rsidR="00440891" w:rsidRDefault="00440891" w:rsidP="00501753">
      <w:pPr>
        <w:pStyle w:val="BelowTableFigureText9pt"/>
      </w:pPr>
      <w:r>
        <w:t>* This graphical representation of stratigraphy within the Surat Basin is the work of Origin and remains the possession of Origin. The use of this imagery is provided by courtesy of Origin. Any reproduction of this imagery is not to be undertaken without permission of Origin.</w:t>
      </w:r>
    </w:p>
    <w:p w:rsidR="007B0FCA" w:rsidRDefault="00440891" w:rsidP="00D90926">
      <w:pPr>
        <w:pStyle w:val="Caption-figure"/>
      </w:pPr>
      <w:r w:rsidRPr="005A4936">
        <w:t xml:space="preserve">Figure </w:t>
      </w:r>
      <w:r w:rsidR="00E252C4" w:rsidRPr="005A4936">
        <w:fldChar w:fldCharType="begin"/>
      </w:r>
      <w:r w:rsidRPr="005A4936">
        <w:instrText xml:space="preserve"> SEQ Figure \* ARABIC </w:instrText>
      </w:r>
      <w:r w:rsidR="00E252C4" w:rsidRPr="005A4936">
        <w:fldChar w:fldCharType="separate"/>
      </w:r>
      <w:r w:rsidR="00906141">
        <w:rPr>
          <w:noProof/>
        </w:rPr>
        <w:t>4</w:t>
      </w:r>
      <w:r w:rsidR="00E252C4" w:rsidRPr="005A4936">
        <w:fldChar w:fldCharType="end"/>
      </w:r>
      <w:proofErr w:type="gramStart"/>
      <w:r w:rsidRPr="005A4936">
        <w:t xml:space="preserve"> </w:t>
      </w:r>
      <w:r w:rsidR="007B0FCA">
        <w:t xml:space="preserve">Conceptual </w:t>
      </w:r>
      <w:r w:rsidR="003721DE">
        <w:rPr>
          <w:lang w:val="en-AU"/>
        </w:rPr>
        <w:t>coal seam gas</w:t>
      </w:r>
      <w:r w:rsidR="003721DE" w:rsidRPr="00E13ED7">
        <w:rPr>
          <w:lang w:val="en-AU"/>
        </w:rPr>
        <w:t xml:space="preserve"> </w:t>
      </w:r>
      <w:r>
        <w:t>p</w:t>
      </w:r>
      <w:r w:rsidR="007B0FCA">
        <w:t>roduction</w:t>
      </w:r>
      <w:proofErr w:type="gramEnd"/>
      <w:r w:rsidR="007B0FCA">
        <w:t xml:space="preserve"> </w:t>
      </w:r>
      <w:r>
        <w:t>w</w:t>
      </w:r>
      <w:r w:rsidR="007B0FCA">
        <w:t>ell in the Surat Basin’s Walloon Coal Measures (</w:t>
      </w:r>
      <w:r>
        <w:rPr>
          <w:rFonts w:cs="Arial"/>
        </w:rPr>
        <w:t>©</w:t>
      </w:r>
      <w:r>
        <w:t xml:space="preserve"> Copyright, </w:t>
      </w:r>
      <w:r w:rsidR="008D5978">
        <w:t>Origin Energy Limited 2012</w:t>
      </w:r>
      <w:r w:rsidR="007B0FCA">
        <w:t>)</w:t>
      </w:r>
    </w:p>
    <w:p w:rsidR="007B0FCA" w:rsidRDefault="007B0FCA" w:rsidP="00A90F48">
      <w:pPr>
        <w:pStyle w:val="Listintrotext"/>
      </w:pPr>
      <w:r>
        <w:t xml:space="preserve">Under </w:t>
      </w:r>
      <w:r w:rsidR="003721DE">
        <w:rPr>
          <w:lang w:val="en-AU"/>
        </w:rPr>
        <w:t>coal seam gas</w:t>
      </w:r>
      <w:r w:rsidR="003721DE" w:rsidRPr="00E13ED7">
        <w:rPr>
          <w:lang w:val="en-AU"/>
        </w:rPr>
        <w:t xml:space="preserve"> </w:t>
      </w:r>
      <w:r>
        <w:t>extraction, gas migrates through fractures in the coal matrix, by desorbing from coal cleat surfaces and by diffusion through the coal matrix to the cleats (Gas Research Institute 1996)</w:t>
      </w:r>
      <w:r w:rsidR="0056230B">
        <w:t>.</w:t>
      </w:r>
    </w:p>
    <w:p w:rsidR="007B0FCA" w:rsidRDefault="007B0FCA" w:rsidP="00A90F48">
      <w:pPr>
        <w:pStyle w:val="Listintrotext"/>
      </w:pPr>
      <w:r>
        <w:t xml:space="preserve">The gas extraction process </w:t>
      </w:r>
      <w:r w:rsidRPr="00DA5833">
        <w:t>undergoes</w:t>
      </w:r>
      <w:r>
        <w:t xml:space="preserve"> three distinct stages (McKee </w:t>
      </w:r>
      <w:r w:rsidR="00001329">
        <w:t xml:space="preserve">&amp; </w:t>
      </w:r>
      <w:r w:rsidR="00002770">
        <w:t>Bumb 1987):</w:t>
      </w:r>
    </w:p>
    <w:p w:rsidR="007B0FCA" w:rsidRDefault="007B0FCA" w:rsidP="007702DF">
      <w:pPr>
        <w:pStyle w:val="BRdotpoints"/>
      </w:pPr>
      <w:r>
        <w:t xml:space="preserve">Water is pumped from the coal seam to reduce the pressure. During this time the predominant fluid flowing within the coal cleats is water, with minor </w:t>
      </w:r>
      <w:r w:rsidR="000775CF">
        <w:t xml:space="preserve">amounts of </w:t>
      </w:r>
      <w:r>
        <w:t xml:space="preserve">dissolved and free gas. This stage is characterised by single-phase saturated </w:t>
      </w:r>
      <w:r w:rsidRPr="005368F7">
        <w:t>laminar</w:t>
      </w:r>
      <w:r>
        <w:t xml:space="preserve"> water flow from the coal seam to the well.</w:t>
      </w:r>
    </w:p>
    <w:p w:rsidR="007B0FCA" w:rsidRDefault="007B0FCA" w:rsidP="007702DF">
      <w:pPr>
        <w:pStyle w:val="BRdotpoints"/>
      </w:pPr>
      <w:r>
        <w:t xml:space="preserve">After </w:t>
      </w:r>
      <w:r w:rsidR="004D0191">
        <w:t>sufficient</w:t>
      </w:r>
      <w:r w:rsidR="009E7BCB">
        <w:t xml:space="preserve"> </w:t>
      </w:r>
      <w:r>
        <w:t>depressurisation of the coal seam (</w:t>
      </w:r>
      <w:r w:rsidR="000775CF">
        <w:t xml:space="preserve">i.e. </w:t>
      </w:r>
      <w:r>
        <w:t>lowering the hydraulic head within the target coal seam to within 35</w:t>
      </w:r>
      <w:r w:rsidR="000775CF">
        <w:t> </w:t>
      </w:r>
      <w:r>
        <w:t>to 40</w:t>
      </w:r>
      <w:r w:rsidR="000775CF">
        <w:t> </w:t>
      </w:r>
      <w:r>
        <w:t>m of the top of the coal seam), gas desorbs from coal surfaces and diffuses from the coal matrix to the cleats. Individual gas bubbles form</w:t>
      </w:r>
      <w:r w:rsidR="00D46977">
        <w:t>—</w:t>
      </w:r>
      <w:r>
        <w:t>similar to the way bubbles form in bottles of carbonated beverages when the cap is first released</w:t>
      </w:r>
      <w:r w:rsidR="00D46977">
        <w:t>—</w:t>
      </w:r>
      <w:r>
        <w:t>but remain immobile due to their isolation. The immobile gas bubbles partially impede the flow of water in the coal seam. This stage is characterised by single-phase unsaturated flow of water (only) in the coal seam.</w:t>
      </w:r>
    </w:p>
    <w:p w:rsidR="007B0FCA" w:rsidRDefault="007B0FCA" w:rsidP="007702DF">
      <w:pPr>
        <w:pStyle w:val="BRdotpoints"/>
      </w:pPr>
      <w:r>
        <w:t>Further depressurisation results in increased gas desorption such that a continuous gas flow pathway of coalesced bubbles develops allowing gas to flow to the extraction well. This stage is characterised by dual-phase flow in the coal seam</w:t>
      </w:r>
      <w:r w:rsidR="000775CF">
        <w:t xml:space="preserve"> (i.e. separate water and gas phases may both flow)</w:t>
      </w:r>
      <w:r>
        <w:t>.</w:t>
      </w:r>
    </w:p>
    <w:p w:rsidR="007B0FCA" w:rsidRDefault="007B0FCA" w:rsidP="00DA5833">
      <w:pPr>
        <w:pStyle w:val="BRNormal11pt0"/>
      </w:pPr>
      <w:r>
        <w:t xml:space="preserve">These regimes occur in spatial sequence (McKee </w:t>
      </w:r>
      <w:r w:rsidR="000775CF">
        <w:t xml:space="preserve">&amp; </w:t>
      </w:r>
      <w:r>
        <w:t xml:space="preserve">Bumb 1987), progressing outward from the well and into the coal seam (i.e. two-phase flow occurs near the well, unsaturated water flow at some distance from the well and saturated water flow at greater distance from the well). The flow occurring in the saturated zone within the seam is laminar and obeys </w:t>
      </w:r>
      <w:r w:rsidRPr="00B4513D">
        <w:t>Darcy’s Law</w:t>
      </w:r>
      <w:r>
        <w:t>. Figure 5 illustrates these regimes.</w:t>
      </w:r>
    </w:p>
    <w:p w:rsidR="000775CF" w:rsidRDefault="000775CF" w:rsidP="000775CF">
      <w:pPr>
        <w:pStyle w:val="BRNormal11pt0"/>
      </w:pPr>
      <w:r>
        <w:t>The gas separates from the groundwater naturally by desorption (</w:t>
      </w:r>
      <w:r w:rsidRPr="00B4513D">
        <w:t>Henry’s law</w:t>
      </w:r>
      <w:r>
        <w:t xml:space="preserve">) and then by buoyancy, either in the well casing and/or well head (preferable), or by compression at a compressor station at the surface, before being sent to gas pipelines. Figure 5 displays a cross section through a typical </w:t>
      </w:r>
      <w:r w:rsidR="00D52468">
        <w:t xml:space="preserve">production </w:t>
      </w:r>
      <w:r>
        <w:t>well.</w:t>
      </w:r>
    </w:p>
    <w:p w:rsidR="000775CF" w:rsidRDefault="00D52468" w:rsidP="000775CF">
      <w:pPr>
        <w:pStyle w:val="BRNormal11pt0"/>
      </w:pPr>
      <w:r>
        <w:t>C</w:t>
      </w:r>
      <w:r w:rsidR="000775CF">
        <w:t xml:space="preserve">oal seam gas extraction site </w:t>
      </w:r>
      <w:r>
        <w:t>usually</w:t>
      </w:r>
      <w:r w:rsidR="000775CF">
        <w:t xml:space="preserve"> comprise multiple wells, referred to as a ‘well field’. Well spacing over a well field can vary widely depending on local conditions. For example, Arrow Energy Pty Ltd proposes to install production wells for the Surat Basin Gas Project on an 800 m grid spacing, though those wells may be spaced as far apart as 1500 m in an irregular (non-grid-based) pattern</w:t>
      </w:r>
      <w:r w:rsidR="004B7C13">
        <w:t xml:space="preserve"> (Arrow Energy 2012a)</w:t>
      </w:r>
      <w:r w:rsidR="000775CF">
        <w:t>. This equates to an indicative density of one well per 65 </w:t>
      </w:r>
      <w:r w:rsidR="000775CF" w:rsidRPr="00B4513D">
        <w:t>ha</w:t>
      </w:r>
      <w:r w:rsidR="000775CF">
        <w:t xml:space="preserve">. In contrast, the typical well spacing for production in the Powder River Basin is approximately one well per 16 ha (US Department of Energy 2002); although this may vary over the region – e.g. Wheaton and Metesh (2002) quote one well per 311 ha over the Tongue River Member in the Powder River </w:t>
      </w:r>
      <w:r w:rsidR="00D02B6A">
        <w:t>Basin in Montana.</w:t>
      </w:r>
    </w:p>
    <w:p w:rsidR="000775CF" w:rsidRDefault="000775CF" w:rsidP="000775CF">
      <w:pPr>
        <w:pStyle w:val="BRNormal11pt0"/>
      </w:pPr>
      <w:r>
        <w:t xml:space="preserve">Table 1 provides a list of the well density for some </w:t>
      </w:r>
      <w:r w:rsidR="003721DE">
        <w:rPr>
          <w:lang w:val="en-AU"/>
        </w:rPr>
        <w:t>coal seam gas</w:t>
      </w:r>
      <w:r w:rsidR="003721DE" w:rsidRPr="00E13ED7">
        <w:rPr>
          <w:lang w:val="en-AU"/>
        </w:rPr>
        <w:t xml:space="preserve"> </w:t>
      </w:r>
      <w:r>
        <w:t>developments</w:t>
      </w:r>
      <w:r w:rsidR="004B7C13">
        <w:t xml:space="preserve"> in Australia and the US</w:t>
      </w:r>
      <w:r>
        <w:t>. Well spacing is selected to obtain the target groundwater depressurisation required over the well field to release the coal seam gas. The required depressurisation will depend on the properties of the aquifers and the gas-bearing coal seams. Additional wells may be installed over the lifetime of the development. There is no direct correlation between subsidence and the density of wells, since the induced subsidence depends on other factors such as the rate of dewatering and the geological characteristics.</w:t>
      </w:r>
    </w:p>
    <w:p w:rsidR="000775CF" w:rsidRDefault="000775CF" w:rsidP="00DA5833">
      <w:pPr>
        <w:pStyle w:val="BRNormal11pt0"/>
      </w:pPr>
    </w:p>
    <w:p w:rsidR="000775CF" w:rsidRDefault="00E57E0A" w:rsidP="000775CF">
      <w:pPr>
        <w:pStyle w:val="Listintrotext"/>
      </w:pPr>
      <w:r>
        <w:rPr>
          <w:noProof/>
          <w:lang w:val="en-AU" w:eastAsia="en-AU"/>
        </w:rPr>
        <w:drawing>
          <wp:inline distT="0" distB="0" distL="0" distR="0">
            <wp:extent cx="5749290" cy="443230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9290" cy="4432300"/>
                    </a:xfrm>
                    <a:prstGeom prst="rect">
                      <a:avLst/>
                    </a:prstGeom>
                    <a:noFill/>
                  </pic:spPr>
                </pic:pic>
              </a:graphicData>
            </a:graphic>
          </wp:inline>
        </w:drawing>
      </w:r>
      <w:r w:rsidR="000775CF">
        <w:t xml:space="preserve"> </w:t>
      </w:r>
    </w:p>
    <w:p w:rsidR="000775CF" w:rsidRDefault="000775CF" w:rsidP="004B7C13">
      <w:pPr>
        <w:pStyle w:val="BelowTableFigureText9pt"/>
      </w:pPr>
      <w:r>
        <w:t>* The background graphical representation of stratigraphy and the well infrastructure is the work of Origin and remains the possession of Origin. The use of this imagery is provided by courtesy of Origin. Any reproduction of this imagery is not to be undertaken without permission of Origin.</w:t>
      </w:r>
    </w:p>
    <w:p w:rsidR="000775CF" w:rsidRDefault="000775CF" w:rsidP="004C52F4">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w:t>
      </w:r>
      <w:r w:rsidR="00E252C4" w:rsidRPr="005A4936">
        <w:fldChar w:fldCharType="end"/>
      </w:r>
      <w:r w:rsidRPr="005A4936">
        <w:t xml:space="preserve"> </w:t>
      </w:r>
      <w:r>
        <w:t>Flow to well within coal seam (</w:t>
      </w:r>
      <w:r>
        <w:rPr>
          <w:rFonts w:cs="Arial"/>
        </w:rPr>
        <w:t>©</w:t>
      </w:r>
      <w:r>
        <w:t> Copyright, image adapted f</w:t>
      </w:r>
      <w:r w:rsidR="009F3F2B">
        <w:t>rom Origin Energy Limited 2012)</w:t>
      </w:r>
    </w:p>
    <w:p w:rsidR="007B0FCA" w:rsidRDefault="000775CF" w:rsidP="00D90926">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w:t>
      </w:r>
      <w:r w:rsidR="00E252C4" w:rsidRPr="001E0FA8">
        <w:fldChar w:fldCharType="end"/>
      </w:r>
      <w:r w:rsidRPr="001E0FA8">
        <w:t xml:space="preserve"> </w:t>
      </w:r>
      <w:r w:rsidR="007B0FCA">
        <w:t xml:space="preserve">Density of </w:t>
      </w:r>
      <w:r w:rsidR="003721DE">
        <w:rPr>
          <w:lang w:val="en-AU"/>
        </w:rPr>
        <w:t>coal seam gas</w:t>
      </w:r>
      <w:r w:rsidR="003721DE" w:rsidRPr="00E13ED7">
        <w:rPr>
          <w:lang w:val="en-AU"/>
        </w:rPr>
        <w:t xml:space="preserve"> </w:t>
      </w:r>
      <w:r>
        <w:t>w</w:t>
      </w:r>
      <w:r w:rsidR="007B0FCA">
        <w:t xml:space="preserve">ells in </w:t>
      </w:r>
      <w:r>
        <w:t>w</w:t>
      </w:r>
      <w:r w:rsidR="007B0FCA">
        <w:t>ell</w:t>
      </w:r>
      <w:r>
        <w:t xml:space="preserve"> </w:t>
      </w:r>
      <w:r w:rsidR="007B0FCA">
        <w:t>field</w:t>
      </w:r>
      <w:r w:rsidR="004C52F4">
        <w:t>s</w:t>
      </w:r>
    </w:p>
    <w:tbl>
      <w:tblPr>
        <w:tblStyle w:val="TableGrid2"/>
        <w:tblW w:w="9072" w:type="dxa"/>
        <w:tblInd w:w="108" w:type="dxa"/>
        <w:tblLook w:val="04A0"/>
      </w:tblPr>
      <w:tblGrid>
        <w:gridCol w:w="3261"/>
        <w:gridCol w:w="2693"/>
        <w:gridCol w:w="3118"/>
      </w:tblGrid>
      <w:tr w:rsidR="00DA5833" w:rsidRPr="00DA5833" w:rsidTr="009F3F2B">
        <w:trPr>
          <w:tblHeader/>
        </w:trPr>
        <w:tc>
          <w:tcPr>
            <w:tcW w:w="3261" w:type="dxa"/>
            <w:shd w:val="clear" w:color="auto" w:fill="C6D9F1" w:themeFill="text2" w:themeFillTint="33"/>
          </w:tcPr>
          <w:p w:rsidR="00DA5833" w:rsidRPr="00DA5833" w:rsidRDefault="00DA5833" w:rsidP="00DA5833">
            <w:pPr>
              <w:pStyle w:val="Tableheading"/>
            </w:pPr>
            <w:r w:rsidRPr="00DA5833">
              <w:t xml:space="preserve">Well </w:t>
            </w:r>
            <w:r w:rsidR="004B7C13">
              <w:t>f</w:t>
            </w:r>
            <w:r w:rsidRPr="00DA5833">
              <w:t>ield</w:t>
            </w:r>
          </w:p>
        </w:tc>
        <w:tc>
          <w:tcPr>
            <w:tcW w:w="2693" w:type="dxa"/>
            <w:shd w:val="clear" w:color="auto" w:fill="C6D9F1" w:themeFill="text2" w:themeFillTint="33"/>
          </w:tcPr>
          <w:p w:rsidR="00DA5833" w:rsidRPr="00DA5833" w:rsidRDefault="00DA5833" w:rsidP="00DA5833">
            <w:pPr>
              <w:pStyle w:val="Tableheading"/>
            </w:pPr>
            <w:r w:rsidRPr="00DA5833">
              <w:t xml:space="preserve">Approximate </w:t>
            </w:r>
            <w:r w:rsidR="004B7C13">
              <w:t>w</w:t>
            </w:r>
            <w:r w:rsidRPr="00DA5833">
              <w:t xml:space="preserve">ell </w:t>
            </w:r>
            <w:r w:rsidR="004B7C13">
              <w:t>d</w:t>
            </w:r>
            <w:r w:rsidRPr="00DA5833">
              <w:t>ensity (number of wells per 100</w:t>
            </w:r>
            <w:r w:rsidR="004B7C13">
              <w:t> </w:t>
            </w:r>
            <w:r w:rsidRPr="00DA5833">
              <w:t>h</w:t>
            </w:r>
            <w:r w:rsidR="004B7C13">
              <w:t>a</w:t>
            </w:r>
            <w:r w:rsidRPr="00DA5833">
              <w:t>)</w:t>
            </w:r>
          </w:p>
        </w:tc>
        <w:tc>
          <w:tcPr>
            <w:tcW w:w="3118" w:type="dxa"/>
            <w:shd w:val="clear" w:color="auto" w:fill="C6D9F1" w:themeFill="text2" w:themeFillTint="33"/>
          </w:tcPr>
          <w:p w:rsidR="00DA5833" w:rsidRPr="00DA5833" w:rsidRDefault="00DA5833" w:rsidP="00DA5833">
            <w:pPr>
              <w:pStyle w:val="Tableheading"/>
            </w:pPr>
            <w:r w:rsidRPr="00DA5833">
              <w:t>Reference</w:t>
            </w:r>
          </w:p>
        </w:tc>
      </w:tr>
      <w:tr w:rsidR="00DA5833" w:rsidRPr="00DA5833" w:rsidTr="004B7C13">
        <w:tc>
          <w:tcPr>
            <w:tcW w:w="3261" w:type="dxa"/>
          </w:tcPr>
          <w:p w:rsidR="00DA5833" w:rsidRPr="00DA5833" w:rsidRDefault="00DA5833" w:rsidP="00DA5833">
            <w:pPr>
              <w:pStyle w:val="Tabletext"/>
            </w:pPr>
            <w:r w:rsidRPr="00DA5833">
              <w:t xml:space="preserve">Arrow Surat Basin </w:t>
            </w:r>
            <w:r w:rsidR="004B7C13">
              <w:t>g</w:t>
            </w:r>
            <w:r w:rsidRPr="00DA5833">
              <w:t xml:space="preserve">as </w:t>
            </w:r>
            <w:r w:rsidR="004B7C13">
              <w:t>p</w:t>
            </w:r>
            <w:r w:rsidRPr="00DA5833">
              <w:t>roject Australia</w:t>
            </w:r>
          </w:p>
        </w:tc>
        <w:tc>
          <w:tcPr>
            <w:tcW w:w="2693" w:type="dxa"/>
          </w:tcPr>
          <w:p w:rsidR="00DA5833" w:rsidRPr="00DA5833" w:rsidRDefault="00DA5833" w:rsidP="004B7C13">
            <w:pPr>
              <w:pStyle w:val="Tabletext"/>
              <w:jc w:val="center"/>
            </w:pPr>
            <w:r w:rsidRPr="00DA5833">
              <w:t>1.5</w:t>
            </w:r>
          </w:p>
        </w:tc>
        <w:tc>
          <w:tcPr>
            <w:tcW w:w="3118" w:type="dxa"/>
          </w:tcPr>
          <w:p w:rsidR="00DA5833" w:rsidRPr="00DA5833" w:rsidRDefault="00DA5833" w:rsidP="00DA5833">
            <w:pPr>
              <w:pStyle w:val="Tabletext"/>
            </w:pPr>
            <w:r w:rsidRPr="00DA5833">
              <w:t>Arrow Energy 2012a</w:t>
            </w:r>
          </w:p>
        </w:tc>
      </w:tr>
      <w:tr w:rsidR="00DA5833" w:rsidRPr="00DA5833" w:rsidTr="004B7C13">
        <w:tc>
          <w:tcPr>
            <w:tcW w:w="3261" w:type="dxa"/>
          </w:tcPr>
          <w:p w:rsidR="00DA5833" w:rsidRPr="00DA5833" w:rsidRDefault="00DA5833" w:rsidP="00DA5833">
            <w:pPr>
              <w:pStyle w:val="Tabletext"/>
            </w:pPr>
            <w:r w:rsidRPr="00DA5833">
              <w:t>QGC Surat Basin Australia</w:t>
            </w:r>
          </w:p>
        </w:tc>
        <w:tc>
          <w:tcPr>
            <w:tcW w:w="2693" w:type="dxa"/>
          </w:tcPr>
          <w:p w:rsidR="00DA5833" w:rsidRPr="00DA5833" w:rsidRDefault="00DA5833" w:rsidP="004B7C13">
            <w:pPr>
              <w:pStyle w:val="Tabletext"/>
              <w:jc w:val="center"/>
            </w:pPr>
            <w:r w:rsidRPr="00DA5833">
              <w:t>1.8</w:t>
            </w:r>
          </w:p>
        </w:tc>
        <w:tc>
          <w:tcPr>
            <w:tcW w:w="3118" w:type="dxa"/>
          </w:tcPr>
          <w:p w:rsidR="00DA5833" w:rsidRPr="00DA5833" w:rsidRDefault="00DA5833" w:rsidP="00DA5833">
            <w:pPr>
              <w:pStyle w:val="Tabletext"/>
            </w:pPr>
            <w:r w:rsidRPr="00DA5833">
              <w:t>Golder Associates 2009b</w:t>
            </w:r>
          </w:p>
        </w:tc>
      </w:tr>
      <w:tr w:rsidR="00DA5833" w:rsidRPr="00DA5833" w:rsidTr="004B7C13">
        <w:tc>
          <w:tcPr>
            <w:tcW w:w="3261" w:type="dxa"/>
          </w:tcPr>
          <w:p w:rsidR="00DA5833" w:rsidRPr="00DA5833" w:rsidRDefault="00DA5833" w:rsidP="00DA5833">
            <w:pPr>
              <w:pStyle w:val="Tabletext"/>
            </w:pPr>
            <w:r w:rsidRPr="00DA5833">
              <w:t xml:space="preserve">Camden </w:t>
            </w:r>
            <w:r w:rsidR="004B7C13">
              <w:t>g</w:t>
            </w:r>
            <w:r w:rsidRPr="00DA5833">
              <w:t xml:space="preserve">as </w:t>
            </w:r>
            <w:r w:rsidR="004B7C13">
              <w:t>p</w:t>
            </w:r>
            <w:r w:rsidRPr="00DA5833">
              <w:t>roject (</w:t>
            </w:r>
            <w:r w:rsidR="004B7C13">
              <w:t>s</w:t>
            </w:r>
            <w:r w:rsidRPr="00DA5833">
              <w:t>tage 1) Australia</w:t>
            </w:r>
          </w:p>
        </w:tc>
        <w:tc>
          <w:tcPr>
            <w:tcW w:w="2693" w:type="dxa"/>
          </w:tcPr>
          <w:p w:rsidR="00DA5833" w:rsidRPr="00DA5833" w:rsidRDefault="00DA5833" w:rsidP="004B7C13">
            <w:pPr>
              <w:pStyle w:val="Tabletext"/>
              <w:jc w:val="center"/>
            </w:pPr>
            <w:r w:rsidRPr="00DA5833">
              <w:t>1.5</w:t>
            </w:r>
          </w:p>
        </w:tc>
        <w:tc>
          <w:tcPr>
            <w:tcW w:w="3118" w:type="dxa"/>
          </w:tcPr>
          <w:p w:rsidR="00DA5833" w:rsidRPr="00DA5833" w:rsidRDefault="00DA5833" w:rsidP="00DA5833">
            <w:pPr>
              <w:pStyle w:val="Tabletext"/>
            </w:pPr>
            <w:r w:rsidRPr="00DA5833">
              <w:t>AGL Energy Pty Ltd 2012</w:t>
            </w:r>
          </w:p>
        </w:tc>
      </w:tr>
      <w:tr w:rsidR="00DA5833" w:rsidRPr="00DA5833" w:rsidTr="004B7C13">
        <w:tc>
          <w:tcPr>
            <w:tcW w:w="3261" w:type="dxa"/>
          </w:tcPr>
          <w:p w:rsidR="00DA5833" w:rsidRPr="00DA5833" w:rsidRDefault="00DA5833" w:rsidP="004B7C13">
            <w:pPr>
              <w:pStyle w:val="Tabletext"/>
            </w:pPr>
            <w:r w:rsidRPr="00DA5833">
              <w:t xml:space="preserve">Camden </w:t>
            </w:r>
            <w:r w:rsidR="004B7C13">
              <w:t>g</w:t>
            </w:r>
            <w:r w:rsidRPr="00DA5833">
              <w:t xml:space="preserve">as </w:t>
            </w:r>
            <w:r w:rsidR="004B7C13">
              <w:t>p</w:t>
            </w:r>
            <w:r w:rsidRPr="00DA5833">
              <w:t>roject (</w:t>
            </w:r>
            <w:r w:rsidR="004B7C13">
              <w:t>s</w:t>
            </w:r>
            <w:r w:rsidRPr="00DA5833">
              <w:t>tage 2) Australia</w:t>
            </w:r>
          </w:p>
        </w:tc>
        <w:tc>
          <w:tcPr>
            <w:tcW w:w="2693" w:type="dxa"/>
          </w:tcPr>
          <w:p w:rsidR="00DA5833" w:rsidRPr="00DA5833" w:rsidRDefault="00DA5833" w:rsidP="004B7C13">
            <w:pPr>
              <w:pStyle w:val="Tabletext"/>
              <w:jc w:val="center"/>
            </w:pPr>
            <w:r w:rsidRPr="00DA5833">
              <w:t>8.2</w:t>
            </w:r>
          </w:p>
        </w:tc>
        <w:tc>
          <w:tcPr>
            <w:tcW w:w="3118" w:type="dxa"/>
          </w:tcPr>
          <w:p w:rsidR="00DA5833" w:rsidRPr="00DA5833" w:rsidRDefault="00DA5833" w:rsidP="00DA5833">
            <w:pPr>
              <w:pStyle w:val="Tabletext"/>
            </w:pPr>
            <w:r w:rsidRPr="00DA5833">
              <w:t>AGL Energy Pty Ltd 2012</w:t>
            </w:r>
          </w:p>
        </w:tc>
      </w:tr>
      <w:tr w:rsidR="00DA5833" w:rsidRPr="00DA5833" w:rsidTr="004B7C13">
        <w:tc>
          <w:tcPr>
            <w:tcW w:w="3261" w:type="dxa"/>
          </w:tcPr>
          <w:p w:rsidR="00DA5833" w:rsidRPr="00DA5833" w:rsidRDefault="00DA5833" w:rsidP="00DA5833">
            <w:pPr>
              <w:pStyle w:val="Tabletext"/>
            </w:pPr>
            <w:r w:rsidRPr="00DA5833">
              <w:t>Powder River Basin US</w:t>
            </w:r>
          </w:p>
        </w:tc>
        <w:tc>
          <w:tcPr>
            <w:tcW w:w="2693" w:type="dxa"/>
          </w:tcPr>
          <w:p w:rsidR="00DA5833" w:rsidRPr="00DA5833" w:rsidRDefault="00DA5833" w:rsidP="004B7C13">
            <w:pPr>
              <w:pStyle w:val="Tabletext"/>
              <w:jc w:val="center"/>
            </w:pPr>
            <w:r w:rsidRPr="00DA5833">
              <w:t>3.1 to 6.2</w:t>
            </w:r>
          </w:p>
        </w:tc>
        <w:tc>
          <w:tcPr>
            <w:tcW w:w="3118" w:type="dxa"/>
          </w:tcPr>
          <w:p w:rsidR="00DA5833" w:rsidRPr="00DA5833" w:rsidRDefault="00DA5833" w:rsidP="00DA5833">
            <w:pPr>
              <w:pStyle w:val="Tabletext"/>
            </w:pPr>
            <w:r w:rsidRPr="00DA5833">
              <w:t>US Department of Energy 2002</w:t>
            </w:r>
          </w:p>
        </w:tc>
      </w:tr>
      <w:tr w:rsidR="00DA5833" w:rsidRPr="00DA5833" w:rsidTr="004B7C13">
        <w:tc>
          <w:tcPr>
            <w:tcW w:w="3261" w:type="dxa"/>
          </w:tcPr>
          <w:p w:rsidR="00DA5833" w:rsidRPr="00DA5833" w:rsidRDefault="00DA5833" w:rsidP="00A65806">
            <w:pPr>
              <w:pStyle w:val="Tabletext"/>
            </w:pPr>
            <w:r w:rsidRPr="00DA5833">
              <w:t>Tongue River Member</w:t>
            </w:r>
            <w:r w:rsidR="004B7C13">
              <w:t>,</w:t>
            </w:r>
            <w:r w:rsidRPr="00DA5833">
              <w:t xml:space="preserve"> Powder River Basin US</w:t>
            </w:r>
          </w:p>
        </w:tc>
        <w:tc>
          <w:tcPr>
            <w:tcW w:w="2693" w:type="dxa"/>
          </w:tcPr>
          <w:p w:rsidR="00DA5833" w:rsidRPr="00DA5833" w:rsidRDefault="00DA5833" w:rsidP="004B7C13">
            <w:pPr>
              <w:pStyle w:val="Tabletext"/>
              <w:jc w:val="center"/>
            </w:pPr>
            <w:r w:rsidRPr="00DA5833">
              <w:t>0.3</w:t>
            </w:r>
          </w:p>
        </w:tc>
        <w:tc>
          <w:tcPr>
            <w:tcW w:w="3118" w:type="dxa"/>
          </w:tcPr>
          <w:p w:rsidR="00DA5833" w:rsidRPr="00DA5833" w:rsidRDefault="00DA5833" w:rsidP="004B7C13">
            <w:pPr>
              <w:pStyle w:val="Tabletext"/>
            </w:pPr>
            <w:r w:rsidRPr="00DA5833">
              <w:t xml:space="preserve">Wheaton </w:t>
            </w:r>
            <w:r w:rsidR="004B7C13">
              <w:t>&amp;</w:t>
            </w:r>
            <w:r w:rsidR="004B7C13" w:rsidRPr="00DA5833">
              <w:t xml:space="preserve"> </w:t>
            </w:r>
            <w:r w:rsidRPr="00DA5833">
              <w:t>Metesh 2002</w:t>
            </w:r>
          </w:p>
        </w:tc>
      </w:tr>
    </w:tbl>
    <w:p w:rsidR="007B0FCA" w:rsidRDefault="007B0FCA" w:rsidP="004C52F4">
      <w:pPr>
        <w:pStyle w:val="BRNormal11pt0"/>
      </w:pPr>
      <w:r>
        <w:t xml:space="preserve">Groundwater extracted during coal seam gas production is called </w:t>
      </w:r>
      <w:r w:rsidR="00A65806">
        <w:t>‘</w:t>
      </w:r>
      <w:r>
        <w:t>produced water</w:t>
      </w:r>
      <w:r w:rsidR="00A65806">
        <w:t>’</w:t>
      </w:r>
      <w:r>
        <w:t xml:space="preserve"> (or </w:t>
      </w:r>
      <w:r w:rsidR="00A65806">
        <w:t>‘</w:t>
      </w:r>
      <w:r>
        <w:t>coal seam water</w:t>
      </w:r>
      <w:r w:rsidR="00A65806">
        <w:t>’, ‘associated water’ or ‘co-produced water’</w:t>
      </w:r>
      <w:r>
        <w:t xml:space="preserve">). The volumes of produced water under coal seam gas production are large relative to those extracted from conventional gas reservoirs. Produced water typically possesses elevated salinity and may require treatment (such as reverse osmosis) prior to disposal or </w:t>
      </w:r>
      <w:r w:rsidR="004C52F4">
        <w:t xml:space="preserve">being </w:t>
      </w:r>
      <w:r>
        <w:t>use</w:t>
      </w:r>
      <w:r w:rsidR="004B7C13">
        <w:t>d</w:t>
      </w:r>
      <w:r>
        <w:t xml:space="preserve"> for other purposes, including agricultural use. Produced water that has been treated may be injected into the ground (either in the vicinity of the well field or elsewhere).</w:t>
      </w:r>
    </w:p>
    <w:p w:rsidR="007B0FCA" w:rsidRDefault="007B0FCA" w:rsidP="004C52F4">
      <w:pPr>
        <w:pStyle w:val="Heading2"/>
      </w:pPr>
      <w:bookmarkStart w:id="466" w:name="_Toc394649772"/>
      <w:bookmarkStart w:id="467" w:name="_Toc394649773"/>
      <w:bookmarkStart w:id="468" w:name="_Toc391554255"/>
      <w:bookmarkStart w:id="469" w:name="_Toc394649774"/>
      <w:bookmarkStart w:id="470" w:name="_Toc402425291"/>
      <w:bookmarkEnd w:id="466"/>
      <w:bookmarkEnd w:id="467"/>
      <w:bookmarkEnd w:id="468"/>
      <w:bookmarkEnd w:id="469"/>
      <w:r>
        <w:t xml:space="preserve">Hydraulic </w:t>
      </w:r>
      <w:r w:rsidR="00FD23B8">
        <w:t>f</w:t>
      </w:r>
      <w:r>
        <w:t>racturing</w:t>
      </w:r>
      <w:bookmarkEnd w:id="470"/>
    </w:p>
    <w:p w:rsidR="007B0FCA" w:rsidRDefault="007B0FCA" w:rsidP="0093202E">
      <w:pPr>
        <w:pStyle w:val="BRNormal11pt0"/>
      </w:pPr>
      <w:r>
        <w:t xml:space="preserve">Hydraulic fracturing (also referred to as </w:t>
      </w:r>
      <w:r w:rsidR="00D52468">
        <w:t xml:space="preserve">hydraulic stimulation, </w:t>
      </w:r>
      <w:r>
        <w:t>hydrofracking</w:t>
      </w:r>
      <w:r w:rsidR="00A65806">
        <w:t xml:space="preserve">, </w:t>
      </w:r>
      <w:r>
        <w:t>hydrofrac’ing</w:t>
      </w:r>
      <w:r w:rsidR="00A65806">
        <w:t xml:space="preserve">, </w:t>
      </w:r>
      <w:r>
        <w:t>hydrofraccing, or simply fracking</w:t>
      </w:r>
      <w:r w:rsidR="00A65806">
        <w:t xml:space="preserve">, </w:t>
      </w:r>
      <w:r>
        <w:t>frac’ing</w:t>
      </w:r>
      <w:r w:rsidR="00A65806">
        <w:t xml:space="preserve"> or </w:t>
      </w:r>
      <w:r>
        <w:t>fraccing) is a technique used to increase the permeability of geological strata in the vicinity of a well. Increasing the permeability of coal seams by hydraulic fracturing can enhance gas productivity and reduce the number of wells required.</w:t>
      </w:r>
    </w:p>
    <w:p w:rsidR="007B0FCA" w:rsidRDefault="007B0FCA" w:rsidP="00154A6A">
      <w:pPr>
        <w:pStyle w:val="BRNormal11pt0"/>
      </w:pPr>
      <w:r>
        <w:t xml:space="preserve">The hydraulic fracturing process involves pumping </w:t>
      </w:r>
      <w:proofErr w:type="gramStart"/>
      <w:r w:rsidRPr="00A65806">
        <w:t>a slurry</w:t>
      </w:r>
      <w:proofErr w:type="gramEnd"/>
      <w:r w:rsidRPr="00A65806">
        <w:t xml:space="preserve"> down</w:t>
      </w:r>
      <w:r>
        <w:t xml:space="preserve"> a well under sufficient pressure to cause existing narrow coal fractures to di</w:t>
      </w:r>
      <w:r w:rsidR="004B7C13">
        <w:t>l</w:t>
      </w:r>
      <w:r>
        <w:t>ate. The slurry comprises a proppant (</w:t>
      </w:r>
      <w:r w:rsidR="00A65806">
        <w:t xml:space="preserve">i.e. </w:t>
      </w:r>
      <w:r>
        <w:t>a material that keeps a fracture open</w:t>
      </w:r>
      <w:r w:rsidR="001431BF">
        <w:t>;</w:t>
      </w:r>
      <w:r>
        <w:t xml:space="preserve"> typically sand) and a hydraulic fracturing fluid. The hydraulic fracturing fluid may be water-, oil-, acid- or multiphase-based and is designed to transport and distribute the proppant into the fractures. </w:t>
      </w:r>
      <w:r w:rsidR="001431BF">
        <w:t>T</w:t>
      </w:r>
      <w:r>
        <w:t>o achieve this, gelling agents (such as cellulose) that increase the viscosity of the slurry are added. Conventional gels include cellulose derivatives or guar derivatives, although other gels may be used.</w:t>
      </w:r>
      <w:r w:rsidR="00A65806">
        <w:t xml:space="preserve"> </w:t>
      </w:r>
      <w:r>
        <w:t>Figure 6 illustrates the process of hydraulic fracturing.</w:t>
      </w:r>
    </w:p>
    <w:p w:rsidR="00A65806" w:rsidRDefault="005655A5" w:rsidP="00A65806">
      <w:pPr>
        <w:pStyle w:val="BRNormal11pt0"/>
      </w:pPr>
      <w:r>
        <w:t>Much of t</w:t>
      </w:r>
      <w:r w:rsidR="00A65806">
        <w:t>he hydraulic fracturing fluid is then recovered by a return flow to the well, while the proppant material remains in the open fractures, thereby maintaining increased permeability of the factures. The Queensland Government (201</w:t>
      </w:r>
      <w:r w:rsidR="00FA1FA5">
        <w:t>3</w:t>
      </w:r>
      <w:r w:rsidR="00A65806">
        <w:t xml:space="preserve">) </w:t>
      </w:r>
      <w:r w:rsidR="00FA1FA5">
        <w:t>advise</w:t>
      </w:r>
      <w:r w:rsidR="00A65806">
        <w:t xml:space="preserve"> that 1.5 times (150</w:t>
      </w:r>
      <w:r w:rsidR="00A56EEB">
        <w:t> per cent</w:t>
      </w:r>
      <w:r w:rsidR="00A65806">
        <w:t xml:space="preserve"> of) the volume of fluid used in hydraulic fracturing must be removed from a well</w:t>
      </w:r>
      <w:r w:rsidR="001506A8">
        <w:t>,</w:t>
      </w:r>
      <w:r w:rsidR="00A65806">
        <w:t xml:space="preserve"> </w:t>
      </w:r>
      <w:r w:rsidR="001506A8">
        <w:t>and monitoring for quality and quantity</w:t>
      </w:r>
      <w:r>
        <w:t xml:space="preserve"> must be undertaken</w:t>
      </w:r>
      <w:r w:rsidR="001506A8">
        <w:t xml:space="preserve"> </w:t>
      </w:r>
      <w:r w:rsidR="00A65806">
        <w:t xml:space="preserve">following </w:t>
      </w:r>
      <w:r w:rsidR="001506A8">
        <w:t xml:space="preserve">a </w:t>
      </w:r>
      <w:r w:rsidR="00A65806">
        <w:t>fracturing</w:t>
      </w:r>
      <w:r w:rsidR="001506A8">
        <w:t xml:space="preserve"> event</w:t>
      </w:r>
      <w:r w:rsidR="00A65806">
        <w:t xml:space="preserve">. </w:t>
      </w:r>
      <w:r w:rsidR="001431BF">
        <w:t>T</w:t>
      </w:r>
      <w:r w:rsidR="00A65806">
        <w:t xml:space="preserve">o prevent the proppant being extracted from the formation when the fluid is recovered, a breaker is also included to reduce the fluid’s viscosity. </w:t>
      </w:r>
      <w:proofErr w:type="gramStart"/>
      <w:r w:rsidR="00A65806">
        <w:t>pH</w:t>
      </w:r>
      <w:proofErr w:type="gramEnd"/>
      <w:r w:rsidR="00A65806">
        <w:t xml:space="preserve"> buffers may also be added to maintain the viscosity of the fluid, or to break down the gel at the conclusion of hydraulic fracturing. Biocides (such as sodium hypochlorite, i.e. bleach) may be added to reduce the growth of microorganisms that may clog the coal seam and well.</w:t>
      </w:r>
    </w:p>
    <w:p w:rsidR="00A65806" w:rsidRDefault="00A65806" w:rsidP="00A65806">
      <w:pPr>
        <w:pStyle w:val="BRNormal11pt0"/>
      </w:pPr>
      <w:r>
        <w:t>Hydraulic fracturing can unintentionally cause fracture penetration into shallower strata, thereby creating hydraulic connection (groundwater flow paths) between the target coal seams and shallower formations. The presence of such connections may lead to draining of groundwater from shallower aquifers when dewatering of coal seams for gas production occurs. Such connections would result in increased produced water without additional gas extraction and would reduce the efficiency of gas production, a result which is disadvantageous for the proponent.</w:t>
      </w:r>
      <w:r w:rsidR="004F4851">
        <w:t xml:space="preserve"> The additional dewatering required in this scenario would also contribute to further risk of subsidence.</w:t>
      </w:r>
    </w:p>
    <w:p w:rsidR="007B0FCA" w:rsidRDefault="00523CB7" w:rsidP="00A90F48">
      <w:pPr>
        <w:pStyle w:val="Listintrotext"/>
      </w:pPr>
      <w:r>
        <w:t>A number of f</w:t>
      </w:r>
      <w:r w:rsidR="00A65806">
        <w:t xml:space="preserve">racture diagnostic techniques are used to assess the length, width and hydraulic characteristics of fracture propagation </w:t>
      </w:r>
      <w:r>
        <w:t>from</w:t>
      </w:r>
      <w:r w:rsidR="00A65806">
        <w:t xml:space="preserve"> hydraulic fracturing (US EPA 2004). Direct techniques include tiltmeter and microseismic mapping, in which instruments are placed within boreholes to measure ground deformation and vibration</w:t>
      </w:r>
      <w:r>
        <w:t>s</w:t>
      </w:r>
      <w:r w:rsidR="00A65806">
        <w:t xml:space="preserve"> </w:t>
      </w:r>
      <w:r>
        <w:t>from</w:t>
      </w:r>
      <w:r w:rsidR="00A65806">
        <w:t xml:space="preserve"> hydraulic fracturing. Indirect techniques include modelling of pressures, production (injection) data analyses, use of geological information to estimate the shape and dimensions of fracture propagation, and use of radioactive tracers</w:t>
      </w:r>
      <w:r>
        <w:t>.</w:t>
      </w:r>
    </w:p>
    <w:p w:rsidR="007B0FCA" w:rsidRDefault="007B0FCA" w:rsidP="0093202E">
      <w:pPr>
        <w:pStyle w:val="BRNormal11pt0"/>
      </w:pPr>
      <w:r>
        <w:t xml:space="preserve"> </w:t>
      </w:r>
      <w:r w:rsidR="0093202E">
        <w:rPr>
          <w:noProof/>
          <w:lang w:val="en-AU" w:eastAsia="en-AU"/>
        </w:rPr>
        <w:drawing>
          <wp:inline distT="0" distB="0" distL="0" distR="0">
            <wp:extent cx="5819775" cy="6591300"/>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6591300"/>
                    </a:xfrm>
                    <a:prstGeom prst="rect">
                      <a:avLst/>
                    </a:prstGeom>
                    <a:noFill/>
                  </pic:spPr>
                </pic:pic>
              </a:graphicData>
            </a:graphic>
          </wp:inline>
        </w:drawing>
      </w:r>
    </w:p>
    <w:p w:rsidR="007B0FCA" w:rsidRDefault="00A6580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6</w:t>
      </w:r>
      <w:r w:rsidR="00E252C4" w:rsidRPr="005A4936">
        <w:fldChar w:fldCharType="end"/>
      </w:r>
      <w:proofErr w:type="gramStart"/>
      <w:r w:rsidRPr="005A4936">
        <w:t xml:space="preserve"> </w:t>
      </w:r>
      <w:r w:rsidR="007B0FCA">
        <w:t xml:space="preserve">Hydraulic </w:t>
      </w:r>
      <w:r>
        <w:t>f</w:t>
      </w:r>
      <w:r w:rsidR="007B0FCA">
        <w:t xml:space="preserve">racturing </w:t>
      </w:r>
      <w:r>
        <w:t>p</w:t>
      </w:r>
      <w:r w:rsidR="007B0FCA">
        <w:t>rocess</w:t>
      </w:r>
      <w:proofErr w:type="gramEnd"/>
      <w:r w:rsidR="007B0FCA">
        <w:t xml:space="preserve"> (</w:t>
      </w:r>
      <w:r>
        <w:rPr>
          <w:rFonts w:cs="Arial"/>
        </w:rPr>
        <w:t>©</w:t>
      </w:r>
      <w:r>
        <w:t xml:space="preserve"> Copyright, </w:t>
      </w:r>
      <w:r w:rsidR="007B0FCA">
        <w:t>US EPA 2004)</w:t>
      </w:r>
    </w:p>
    <w:p w:rsidR="007B0FCA" w:rsidRDefault="007035F4" w:rsidP="0093202E">
      <w:pPr>
        <w:pStyle w:val="BRNormal11pt0"/>
      </w:pPr>
      <w:r>
        <w:t>The u</w:t>
      </w:r>
      <w:r w:rsidR="007B0FCA">
        <w:t>se of radioactive tracers involves addi</w:t>
      </w:r>
      <w:r>
        <w:t>ng</w:t>
      </w:r>
      <w:r w:rsidR="007B0FCA">
        <w:t xml:space="preserve"> a radioactive tracer </w:t>
      </w:r>
      <w:r>
        <w:t xml:space="preserve">to </w:t>
      </w:r>
      <w:r w:rsidR="007B0FCA">
        <w:t xml:space="preserve">the proppant fluid. The tracer is selected for its chemical properties, its half-life and toxicity level, to minimise potential contamination. The movement of the tracer through fractures </w:t>
      </w:r>
      <w:r>
        <w:t xml:space="preserve">is </w:t>
      </w:r>
      <w:r w:rsidR="007B0FCA">
        <w:t xml:space="preserve">then tracked and an assessment of the geometry and extent of hydraulic fractures </w:t>
      </w:r>
      <w:r>
        <w:t xml:space="preserve">is </w:t>
      </w:r>
      <w:r w:rsidR="007B0FCA">
        <w:t xml:space="preserve">made. </w:t>
      </w:r>
    </w:p>
    <w:p w:rsidR="007B0FCA" w:rsidRDefault="007B0FCA" w:rsidP="0093202E">
      <w:pPr>
        <w:pStyle w:val="BRNormal11pt0"/>
      </w:pPr>
      <w:r>
        <w:t>Microseismic monitoring involves</w:t>
      </w:r>
      <w:r w:rsidR="007035F4">
        <w:t xml:space="preserve"> the</w:t>
      </w:r>
      <w:r>
        <w:t xml:space="preserve"> installation of geophones to measure minor seismic events (movements) that occur during hydraulic fracturing. The movements are the result of changes in stress and fluid pressure along natural (existing) fractures, bedding planes and areas of rock weakness. By tracking the movements that occur during hydraulic fracturing, the propagation of fractures </w:t>
      </w:r>
      <w:r w:rsidR="007035F4">
        <w:t>from</w:t>
      </w:r>
      <w:r>
        <w:t xml:space="preserve"> the hydraulic fracturing process can be mapped.</w:t>
      </w:r>
    </w:p>
    <w:p w:rsidR="007B0FCA" w:rsidRDefault="007B0FCA" w:rsidP="0093202E">
      <w:pPr>
        <w:pStyle w:val="BRNormal11pt0"/>
      </w:pPr>
      <w:r>
        <w:t xml:space="preserve">Johnson et al. (2010) analysed tiltmeter and microseismic monitoring data for hydraulic fracturing tests conducted in the Walloon Coal Measures in the Surat Basin of </w:t>
      </w:r>
      <w:r w:rsidR="004975B3">
        <w:t>Queensland</w:t>
      </w:r>
      <w:r>
        <w:t>. The majority of data suggested vertical fracture heights of between 50</w:t>
      </w:r>
      <w:r w:rsidR="004A035B">
        <w:t> </w:t>
      </w:r>
      <w:r>
        <w:t>and 130 m at depths of approximately 600 to 700 m below ground surface. Other Australian data on the extent of hydraulic fracturing are not available in the public domain.</w:t>
      </w:r>
    </w:p>
    <w:p w:rsidR="007B0FCA" w:rsidRDefault="007B0FCA" w:rsidP="0093202E">
      <w:pPr>
        <w:pStyle w:val="BRNormal11pt0"/>
      </w:pPr>
      <w:r>
        <w:t>Overseas measurements of fracturing extent are more numerous. Based on seismic data, Davies et al. (2012) found that hydraulic fracturing</w:t>
      </w:r>
      <w:r w:rsidR="004A035B">
        <w:t xml:space="preserve"> caused</w:t>
      </w:r>
      <w:r>
        <w:t xml:space="preserve"> 80</w:t>
      </w:r>
      <w:r w:rsidR="004A035B">
        <w:t xml:space="preserve"> per cent</w:t>
      </w:r>
      <w:r>
        <w:t xml:space="preserve"> of existing fractures within US shales </w:t>
      </w:r>
      <w:r w:rsidR="004A035B">
        <w:t xml:space="preserve">to </w:t>
      </w:r>
      <w:r>
        <w:t>propagate vertically upwards between approximately 30 m and 80 m.</w:t>
      </w:r>
    </w:p>
    <w:p w:rsidR="007B0FCA" w:rsidRDefault="007B0FCA" w:rsidP="0093202E">
      <w:pPr>
        <w:pStyle w:val="BRNormal11pt0"/>
      </w:pPr>
      <w:r>
        <w:t>Flewelling et al</w:t>
      </w:r>
      <w:r w:rsidR="00990713">
        <w:t>.</w:t>
      </w:r>
      <w:r>
        <w:t xml:space="preserve"> (2013) reported that the observed vertical extent of microseismicity during hydraulic fracturing stimulations in sedimentary basins across North America </w:t>
      </w:r>
      <w:r w:rsidR="004A035B">
        <w:t>wa</w:t>
      </w:r>
      <w:r>
        <w:t>s generally constrained by a simple function of the fluid volume used in a hydraulic fracturing event. They conclude</w:t>
      </w:r>
      <w:r w:rsidR="004A035B">
        <w:t>d</w:t>
      </w:r>
      <w:r>
        <w:t xml:space="preserve"> that the results suggest that maximum fracture heights and fault movements are ultimately constrained by the volume of hydraulic fracturing fluid used. The vast majority of hydraulic fracturing jobs used by Flewelling et al</w:t>
      </w:r>
      <w:r w:rsidR="00220346">
        <w:t>.</w:t>
      </w:r>
      <w:r>
        <w:t xml:space="preserve"> (2013) in their analysis were for depths greater than 100</w:t>
      </w:r>
      <w:r w:rsidR="00655298">
        <w:t> </w:t>
      </w:r>
      <w:r>
        <w:t>m. Thus, they indicate</w:t>
      </w:r>
      <w:r w:rsidR="004A035B">
        <w:t>d</w:t>
      </w:r>
      <w:r>
        <w:t xml:space="preserve"> that the derived function for the height of microsesimicity is likely to be valid for deeper formations (where the least principal stress is typically horizontal and fractures propagate vertically), but may not be appropriate at shallower depths (where the least principal stress tends to be vertical).</w:t>
      </w:r>
    </w:p>
    <w:p w:rsidR="006724D4" w:rsidRDefault="007B0FCA" w:rsidP="0093202E">
      <w:pPr>
        <w:pStyle w:val="BRNormal11pt0"/>
      </w:pPr>
      <w:r>
        <w:t>Further, data relating to the potential (natural) hydraulic connection between coal beds and overlying or underlying aquifer is limited. National Research Council (2010) cite</w:t>
      </w:r>
      <w:r w:rsidR="000E3E4A">
        <w:t>d</w:t>
      </w:r>
      <w:r w:rsidR="002018EA">
        <w:t xml:space="preserve"> only one study (</w:t>
      </w:r>
      <w:r>
        <w:t>Riese et al</w:t>
      </w:r>
      <w:r w:rsidR="000E3E4A">
        <w:t>.</w:t>
      </w:r>
      <w:r>
        <w:t xml:space="preserve"> 2005) that explored this phenomenon in US coal seam gas fields, and state</w:t>
      </w:r>
      <w:r w:rsidR="000E3E4A">
        <w:t>d</w:t>
      </w:r>
      <w:r>
        <w:t xml:space="preserve"> that this is a </w:t>
      </w:r>
      <w:r w:rsidR="000E3E4A">
        <w:t xml:space="preserve">key </w:t>
      </w:r>
      <w:r>
        <w:t>information gap.</w:t>
      </w:r>
    </w:p>
    <w:p w:rsidR="007B0FCA" w:rsidRDefault="007B0FCA" w:rsidP="00724B9E">
      <w:pPr>
        <w:pStyle w:val="Heading2"/>
      </w:pPr>
      <w:bookmarkStart w:id="471" w:name="_Toc391554257"/>
      <w:bookmarkStart w:id="472" w:name="_Toc394649776"/>
      <w:bookmarkStart w:id="473" w:name="_Toc391554258"/>
      <w:bookmarkStart w:id="474" w:name="_Toc394649777"/>
      <w:bookmarkStart w:id="475" w:name="_Toc402425292"/>
      <w:bookmarkEnd w:id="471"/>
      <w:bookmarkEnd w:id="472"/>
      <w:bookmarkEnd w:id="473"/>
      <w:bookmarkEnd w:id="474"/>
      <w:r>
        <w:t xml:space="preserve">Water and </w:t>
      </w:r>
      <w:r w:rsidR="00FD23B8">
        <w:t>g</w:t>
      </w:r>
      <w:r>
        <w:t xml:space="preserve">as </w:t>
      </w:r>
      <w:r w:rsidR="00FD23B8">
        <w:t>y</w:t>
      </w:r>
      <w:r>
        <w:t>ield</w:t>
      </w:r>
      <w:bookmarkEnd w:id="475"/>
    </w:p>
    <w:p w:rsidR="007B0FCA" w:rsidRDefault="007B0FCA" w:rsidP="0093202E">
      <w:pPr>
        <w:pStyle w:val="BRNormal11pt0"/>
      </w:pPr>
      <w:r>
        <w:t xml:space="preserve">During the initial depressurisation stage of production, groundwater is extracted at a constant and relatively high rate and the volume of gas extracted is low. Following depressurisation, water production reduces </w:t>
      </w:r>
      <w:r w:rsidR="009E7BCB">
        <w:t xml:space="preserve">markedly </w:t>
      </w:r>
      <w:r>
        <w:t>and gas production increases. After the gas production rate peaks, water production is relatively low and gas production continues at a gradually reducing rate. These trends are illustrated in Figure 7.</w:t>
      </w:r>
    </w:p>
    <w:p w:rsidR="007B0FCA" w:rsidRDefault="007B0FCA" w:rsidP="0093202E">
      <w:pPr>
        <w:pStyle w:val="BRNormal11pt0"/>
      </w:pPr>
      <w:r>
        <w:t xml:space="preserve">Some coal seams possess free gas within the coal cleats (fractures), allowing early gas production prior to </w:t>
      </w:r>
      <w:r w:rsidR="009E7BCB">
        <w:t xml:space="preserve">major </w:t>
      </w:r>
      <w:r>
        <w:t>depressurisation; for example, the Anderson, Canyon and Wyodak seams within the Fort Union Coals of the Powder River Basin (US Department of Energy 2002). However, this is not common in Australia.</w:t>
      </w:r>
    </w:p>
    <w:p w:rsidR="007B0FCA" w:rsidRDefault="007B0FCA" w:rsidP="0093202E">
      <w:pPr>
        <w:pStyle w:val="BRNormal11pt0"/>
      </w:pPr>
      <w:r>
        <w:t xml:space="preserve">The extracted gas and produced water volumes vary widely between different well fields. For example, the range of production was between 0.004 and 78.0 (mean 3.9) </w:t>
      </w:r>
      <w:r w:rsidR="000B7D6F">
        <w:t>petajoule</w:t>
      </w:r>
      <w:r w:rsidR="006064BD">
        <w:t xml:space="preserve"> (</w:t>
      </w:r>
      <w:r>
        <w:t>PJ</w:t>
      </w:r>
      <w:r w:rsidR="006064BD">
        <w:t>)</w:t>
      </w:r>
      <w:r>
        <w:t xml:space="preserve"> gas per </w:t>
      </w:r>
      <w:r w:rsidR="00EE3AE4">
        <w:t>megalitre (</w:t>
      </w:r>
      <w:r>
        <w:t>ML</w:t>
      </w:r>
      <w:r w:rsidR="00EE3AE4">
        <w:t>)</w:t>
      </w:r>
      <w:r>
        <w:t xml:space="preserve"> water per coal seam gas operational facility in Queensland for financial year 2010</w:t>
      </w:r>
      <w:r w:rsidR="00861B98">
        <w:t>/</w:t>
      </w:r>
      <w:r>
        <w:t>11 (Queensland Government</w:t>
      </w:r>
      <w:r w:rsidR="00861B98">
        <w:t xml:space="preserve"> 2012).</w:t>
      </w:r>
    </w:p>
    <w:p w:rsidR="007B0FCA" w:rsidRDefault="007B0FCA" w:rsidP="0093202E">
      <w:pPr>
        <w:pStyle w:val="BRNormal11pt0"/>
      </w:pPr>
      <w:r>
        <w:t>A typical coal seam gas field in the Surat Basin contains approximately 5.1</w:t>
      </w:r>
      <w:r w:rsidR="00636A8B">
        <w:t> </w:t>
      </w:r>
      <w:r>
        <w:t>PJ/km</w:t>
      </w:r>
      <w:r w:rsidRPr="00164C04">
        <w:rPr>
          <w:vertAlign w:val="superscript"/>
        </w:rPr>
        <w:t>2</w:t>
      </w:r>
      <w:r>
        <w:t xml:space="preserve"> of recoverable gas (Origin Energy 2012).</w:t>
      </w:r>
    </w:p>
    <w:p w:rsidR="007B0FCA" w:rsidRDefault="007B0FCA" w:rsidP="0093202E">
      <w:pPr>
        <w:pStyle w:val="BRNormal11pt0"/>
      </w:pPr>
      <w:r>
        <w:t xml:space="preserve">Gas fields for the Arrow Energy Pty Ltd Surat Basin </w:t>
      </w:r>
      <w:r w:rsidR="006D215E">
        <w:t>g</w:t>
      </w:r>
      <w:r>
        <w:t xml:space="preserve">as </w:t>
      </w:r>
      <w:r w:rsidR="006D215E">
        <w:t>p</w:t>
      </w:r>
      <w:r>
        <w:t xml:space="preserve">roject are expected to achieve peak production of approximately 1050 </w:t>
      </w:r>
      <w:r w:rsidR="006D215E">
        <w:t>terajoule (</w:t>
      </w:r>
      <w:r>
        <w:t>TJ</w:t>
      </w:r>
      <w:r w:rsidR="006D215E">
        <w:t xml:space="preserve">) per </w:t>
      </w:r>
      <w:r>
        <w:t xml:space="preserve">day (1.05 PJ/day) estimated </w:t>
      </w:r>
      <w:r w:rsidR="006D215E">
        <w:t>4</w:t>
      </w:r>
      <w:r w:rsidR="006D215E">
        <w:noBreakHyphen/>
        <w:t>5</w:t>
      </w:r>
      <w:r w:rsidR="00636A8B">
        <w:t> </w:t>
      </w:r>
      <w:r>
        <w:t>years after commencement, after which production at a declining rate is expected to continue for a further 20 years (Arrow Energy 2012a).</w:t>
      </w:r>
    </w:p>
    <w:p w:rsidR="007B0FCA" w:rsidRDefault="007B0FCA" w:rsidP="00A90F48">
      <w:pPr>
        <w:pStyle w:val="Listintrotext"/>
      </w:pPr>
    </w:p>
    <w:p w:rsidR="007B0FCA" w:rsidRDefault="0093202E" w:rsidP="00A90F48">
      <w:pPr>
        <w:pStyle w:val="Listintrotext"/>
      </w:pPr>
      <w:r>
        <w:rPr>
          <w:noProof/>
          <w:lang w:val="en-AU" w:eastAsia="en-AU"/>
        </w:rPr>
        <w:drawing>
          <wp:inline distT="0" distB="0" distL="0" distR="0">
            <wp:extent cx="5314950" cy="34702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9042" cy="3472925"/>
                    </a:xfrm>
                    <a:prstGeom prst="rect">
                      <a:avLst/>
                    </a:prstGeom>
                    <a:noFill/>
                  </pic:spPr>
                </pic:pic>
              </a:graphicData>
            </a:graphic>
          </wp:inline>
        </w:drawing>
      </w:r>
      <w:r w:rsidR="007B0FCA">
        <w:t xml:space="preserve"> </w:t>
      </w:r>
    </w:p>
    <w:p w:rsidR="007B0FCA" w:rsidRDefault="006064BD"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7</w:t>
      </w:r>
      <w:r w:rsidR="00E252C4" w:rsidRPr="005A4936">
        <w:fldChar w:fldCharType="end"/>
      </w:r>
      <w:r w:rsidRPr="005A4936">
        <w:t xml:space="preserve"> </w:t>
      </w:r>
      <w:r w:rsidR="007B0FCA">
        <w:t xml:space="preserve">Conceptual </w:t>
      </w:r>
      <w:r w:rsidR="006D215E">
        <w:t>g</w:t>
      </w:r>
      <w:r w:rsidR="007B0FCA">
        <w:t xml:space="preserve">as and </w:t>
      </w:r>
      <w:r w:rsidR="006D215E">
        <w:t>w</w:t>
      </w:r>
      <w:r w:rsidR="007B0FCA">
        <w:t xml:space="preserve">ater </w:t>
      </w:r>
      <w:r w:rsidR="006D215E">
        <w:t>e</w:t>
      </w:r>
      <w:r w:rsidR="007B0FCA">
        <w:t xml:space="preserve">xtraction </w:t>
      </w:r>
      <w:r w:rsidR="006D215E">
        <w:t>r</w:t>
      </w:r>
      <w:r w:rsidR="007B0FCA">
        <w:t xml:space="preserve">ates with </w:t>
      </w:r>
      <w:r w:rsidR="006D215E">
        <w:t>t</w:t>
      </w:r>
      <w:r w:rsidR="007B0FCA">
        <w:t>ime (</w:t>
      </w:r>
      <w:r w:rsidR="006D215E">
        <w:rPr>
          <w:rFonts w:cs="Arial"/>
        </w:rPr>
        <w:t>©</w:t>
      </w:r>
      <w:r w:rsidR="006D215E">
        <w:t xml:space="preserve"> Copyright, </w:t>
      </w:r>
      <w:r w:rsidR="007B0FCA">
        <w:t>Queensland Water Commission 2012)</w:t>
      </w:r>
    </w:p>
    <w:p w:rsidR="007B0FCA" w:rsidRDefault="006D215E" w:rsidP="0093202E">
      <w:pPr>
        <w:pStyle w:val="Heading2"/>
      </w:pPr>
      <w:bookmarkStart w:id="476" w:name="_Toc402425293"/>
      <w:r>
        <w:t>I</w:t>
      </w:r>
      <w:r w:rsidR="007B0FCA">
        <w:t>njection</w:t>
      </w:r>
      <w:bookmarkEnd w:id="476"/>
    </w:p>
    <w:p w:rsidR="007B0FCA" w:rsidRDefault="00164C04" w:rsidP="0093202E">
      <w:pPr>
        <w:pStyle w:val="BRNormal11pt0"/>
      </w:pPr>
      <w:r>
        <w:t>I</w:t>
      </w:r>
      <w:r w:rsidR="007B0FCA">
        <w:t xml:space="preserve">njection of produced water can replenish depleted </w:t>
      </w:r>
      <w:r>
        <w:t>aquifers</w:t>
      </w:r>
      <w:r w:rsidR="007B0FCA">
        <w:t xml:space="preserve">, potentially raising the groundwater table and thereby permitting improved accessibility to groundwater relative to </w:t>
      </w:r>
      <w:r>
        <w:t xml:space="preserve">the </w:t>
      </w:r>
      <w:r w:rsidR="007B0FCA">
        <w:t>drawdown conditions.</w:t>
      </w:r>
    </w:p>
    <w:p w:rsidR="007B0FCA" w:rsidRDefault="00164C04" w:rsidP="0093202E">
      <w:pPr>
        <w:pStyle w:val="BRNormal11pt0"/>
      </w:pPr>
      <w:r>
        <w:t>I</w:t>
      </w:r>
      <w:r w:rsidR="007B0FCA">
        <w:t>njection to either shallower or deeper aquifers may be undertaken. Deeper aquifers are often more saline than shallower aquifers and, due to the relative salinity of produced water, may therefore present a preferred injection target.</w:t>
      </w:r>
    </w:p>
    <w:p w:rsidR="007B0FCA" w:rsidRDefault="007B0FCA" w:rsidP="0093202E">
      <w:pPr>
        <w:pStyle w:val="BRNormal11pt0"/>
      </w:pPr>
      <w:r>
        <w:t>Injection pressure must be limited to reduce the risk of fracturing aquitards</w:t>
      </w:r>
      <w:r w:rsidR="00164C04">
        <w:t xml:space="preserve"> and</w:t>
      </w:r>
      <w:r>
        <w:t xml:space="preserve"> causing </w:t>
      </w:r>
      <w:r w:rsidR="00164C04">
        <w:t xml:space="preserve">a </w:t>
      </w:r>
      <w:r>
        <w:t xml:space="preserve">potential hydraulic connection between aquifers not previously connected. The Australian </w:t>
      </w:r>
      <w:r w:rsidR="009C224A">
        <w:t>g</w:t>
      </w:r>
      <w:r>
        <w:t xml:space="preserve">uidelines for </w:t>
      </w:r>
      <w:r w:rsidR="009C224A">
        <w:t>w</w:t>
      </w:r>
      <w:r>
        <w:t xml:space="preserve">ater </w:t>
      </w:r>
      <w:r w:rsidR="009C224A">
        <w:t>r</w:t>
      </w:r>
      <w:r>
        <w:t xml:space="preserve">ecycling (NRMMC 2009) note that the injection pressure should not exceed the dry overburden pressure (at the base of the aquitard) to avoid this. </w:t>
      </w:r>
      <w:r w:rsidR="009C224A">
        <w:t>I</w:t>
      </w:r>
      <w:r>
        <w:t>njection design should also consider the impact of injection pressure on other wells.</w:t>
      </w:r>
    </w:p>
    <w:p w:rsidR="007B0FCA" w:rsidRDefault="000E3E4A" w:rsidP="0093202E">
      <w:pPr>
        <w:pStyle w:val="BRNormal11pt0"/>
      </w:pPr>
      <w:r>
        <w:t>I</w:t>
      </w:r>
      <w:r w:rsidR="007B0FCA">
        <w:t xml:space="preserve">njection of water into compressible soils is a well known approach to reduce subsidence due to groundwater pressure changes in response to temporary engineering works such as construction dewatering. </w:t>
      </w:r>
      <w:r>
        <w:t>I</w:t>
      </w:r>
      <w:r w:rsidR="007B0FCA">
        <w:t xml:space="preserve">njection is subject to the effects of clogging as suspended solids within the injected water are forced into the receiving ground. Chemical precipitation can also result in clogging. </w:t>
      </w:r>
      <w:r w:rsidR="002E79E0">
        <w:t>T</w:t>
      </w:r>
      <w:r w:rsidR="007B0FCA">
        <w:t>o reduce the risk of clogging, periodic groundwater extraction from injection wells can be employed. Degraded injection wells may need to be replaced over time.</w:t>
      </w:r>
    </w:p>
    <w:p w:rsidR="007B0FCA" w:rsidRDefault="000E3E4A" w:rsidP="0093202E">
      <w:pPr>
        <w:pStyle w:val="BRNormal11pt0"/>
      </w:pPr>
      <w:r>
        <w:t>I</w:t>
      </w:r>
      <w:r w:rsidR="007B0FCA">
        <w:t>njection of produced water into strata may cause induced seismicity. Ellsworth (2013) report</w:t>
      </w:r>
      <w:r>
        <w:t>ed</w:t>
      </w:r>
      <w:r w:rsidR="007B0FCA">
        <w:t xml:space="preserve"> that micro-earthquakes (</w:t>
      </w:r>
      <w:r>
        <w:t>i.e.</w:t>
      </w:r>
      <w:r w:rsidR="007B0FCA">
        <w:t xml:space="preserve"> those with magnitudes below </w:t>
      </w:r>
      <w:r>
        <w:t>two</w:t>
      </w:r>
      <w:r w:rsidR="007B0FCA">
        <w:t>) are routinely produced as part of the hydraulic fracturing process used to stimulate the production of oil. The mechanism responsible for inducing these events appears to be the process of weakening of a pre-existing fault by elevating the fluid pressure. However, only those wells that dispose of large volumes of water, and/or communicate pressure perturbations, directly into basement faults appear to be problematic (Ellsworth 2013). Ellsworth note</w:t>
      </w:r>
      <w:r w:rsidR="00B0047C">
        <w:t>d</w:t>
      </w:r>
      <w:r w:rsidR="007B0FCA">
        <w:t xml:space="preserve"> that earthquakes with magnitude (M) ≥ 3 in the US midcontinent occurred at a steady rate of around 21 event</w:t>
      </w:r>
      <w:r>
        <w:t>s</w:t>
      </w:r>
      <w:r w:rsidR="004277FC">
        <w:t xml:space="preserve"> per </w:t>
      </w:r>
      <w:r w:rsidR="007B0FCA">
        <w:t>year between 1967 and 2001</w:t>
      </w:r>
      <w:r>
        <w:t>. S</w:t>
      </w:r>
      <w:r w:rsidR="007B0FCA">
        <w:t xml:space="preserve">ince 2001, the occurrence of these events began increasing, peaking at 188 events in 2011. </w:t>
      </w:r>
      <w:r w:rsidR="00FC3A9A">
        <w:t>Ellsworth proffer</w:t>
      </w:r>
      <w:r w:rsidR="00B0047C">
        <w:t>ed</w:t>
      </w:r>
      <w:r w:rsidR="00FC3A9A">
        <w:t xml:space="preserve"> that h</w:t>
      </w:r>
      <w:r w:rsidR="007B0FCA">
        <w:t>uman induced earthquakes are partially responsible for th</w:t>
      </w:r>
      <w:r w:rsidR="00FC3A9A">
        <w:t>is</w:t>
      </w:r>
      <w:r w:rsidR="007B0FCA">
        <w:t xml:space="preserve"> increase.</w:t>
      </w:r>
    </w:p>
    <w:p w:rsidR="007B0FCA" w:rsidRDefault="0093202E" w:rsidP="001E6DBD">
      <w:pPr>
        <w:pStyle w:val="Heading1"/>
      </w:pPr>
      <w:bookmarkStart w:id="477" w:name="_Toc402425294"/>
      <w:r w:rsidRPr="0093202E">
        <w:t xml:space="preserve">Typical </w:t>
      </w:r>
      <w:r w:rsidR="003721DE">
        <w:t>coal seam gas</w:t>
      </w:r>
      <w:r w:rsidR="003721DE" w:rsidRPr="0093202E">
        <w:t xml:space="preserve"> </w:t>
      </w:r>
      <w:r w:rsidR="00FD23B8">
        <w:t>r</w:t>
      </w:r>
      <w:r w:rsidRPr="0093202E">
        <w:t xml:space="preserve">egional </w:t>
      </w:r>
      <w:r w:rsidR="00FD23B8">
        <w:t>e</w:t>
      </w:r>
      <w:r w:rsidRPr="0093202E">
        <w:t>nvironment</w:t>
      </w:r>
      <w:bookmarkEnd w:id="477"/>
    </w:p>
    <w:p w:rsidR="0093202E" w:rsidRDefault="00A832CC" w:rsidP="0093202E">
      <w:pPr>
        <w:pStyle w:val="BRNormal11pt0"/>
      </w:pPr>
      <w:r>
        <w:t xml:space="preserve">In Australia, </w:t>
      </w:r>
      <w:r w:rsidR="003721DE">
        <w:rPr>
          <w:lang w:val="en-AU"/>
        </w:rPr>
        <w:t>coal seam gas</w:t>
      </w:r>
      <w:r w:rsidR="003721DE" w:rsidRPr="00E13ED7">
        <w:rPr>
          <w:lang w:val="en-AU"/>
        </w:rPr>
        <w:t xml:space="preserve"> </w:t>
      </w:r>
      <w:r w:rsidR="0093202E">
        <w:t xml:space="preserve">developments are </w:t>
      </w:r>
      <w:r w:rsidR="00B5272B">
        <w:t>predominantly</w:t>
      </w:r>
      <w:r w:rsidR="0093202E">
        <w:t xml:space="preserve"> located in rural areas with established groundwater use for agriculture and domestic purposes. Existing and proposed developments lie within the Sydney, Bowen, Surat, Galilee, Clarence Moreton, Gloucester, Otway, Gippsland and Cooper Basins in the states of Queensland, New South Wales</w:t>
      </w:r>
      <w:r w:rsidR="005F6200">
        <w:t xml:space="preserve"> (NSW)</w:t>
      </w:r>
      <w:r w:rsidR="0093202E">
        <w:t xml:space="preserve">, Victoria and South Australia. Figure 8 </w:t>
      </w:r>
      <w:r w:rsidR="006D59C3">
        <w:t>shows</w:t>
      </w:r>
      <w:r w:rsidR="0093202E">
        <w:t xml:space="preserve"> the Australian sedimentary basins with existing and proposed </w:t>
      </w:r>
      <w:r w:rsidR="003721DE">
        <w:rPr>
          <w:lang w:val="en-AU"/>
        </w:rPr>
        <w:t>coal seam gas</w:t>
      </w:r>
      <w:r w:rsidR="003721DE" w:rsidRPr="00E13ED7">
        <w:rPr>
          <w:lang w:val="en-AU"/>
        </w:rPr>
        <w:t xml:space="preserve"> </w:t>
      </w:r>
      <w:r w:rsidR="0093202E">
        <w:t>developments.</w:t>
      </w:r>
    </w:p>
    <w:p w:rsidR="0093202E" w:rsidRDefault="0093202E" w:rsidP="0093202E">
      <w:pPr>
        <w:pStyle w:val="BRNormal11pt0"/>
      </w:pPr>
      <w:r>
        <w:t xml:space="preserve">The </w:t>
      </w:r>
      <w:r w:rsidR="003721DE">
        <w:rPr>
          <w:lang w:val="en-AU"/>
        </w:rPr>
        <w:t>coal seam gas</w:t>
      </w:r>
      <w:r w:rsidR="003721DE" w:rsidRPr="00E13ED7">
        <w:rPr>
          <w:lang w:val="en-AU"/>
        </w:rPr>
        <w:t xml:space="preserve"> </w:t>
      </w:r>
      <w:r>
        <w:t>lease areas of different companies are often located adjacent to each other in each basin, as shown in Figure 9. In some proposed and existing development areas there is existing coal mining activity.</w:t>
      </w:r>
    </w:p>
    <w:p w:rsidR="0093202E" w:rsidRDefault="0093202E" w:rsidP="0093202E">
      <w:pPr>
        <w:pStyle w:val="BRNormal11pt0"/>
      </w:pPr>
      <w:r>
        <w:t>The geological conditions in these basins typically comprise surficial alluvial aquifer systems (such as in sands or clays), underlain by consolidated sedimentary geological units (</w:t>
      </w:r>
      <w:r w:rsidR="00FB5B82">
        <w:t xml:space="preserve">such as </w:t>
      </w:r>
      <w:r>
        <w:t>sandstone, siltstone, mudstone), with coal seams interbedded within the sedimentary units. The target gas-bearing coal seams are typically at depths greater than 200 m below ground surface.</w:t>
      </w:r>
    </w:p>
    <w:p w:rsidR="0093202E" w:rsidRDefault="0093202E" w:rsidP="0093202E">
      <w:pPr>
        <w:pStyle w:val="BRNormal11pt0"/>
      </w:pPr>
      <w:r>
        <w:t>Coal measures are the geological sedimentary unit in which potentially multiple coal seams are interbedded within a sedimentary profile. The coal seams themselves can range between centimetres and many metres in thickness, and may be laterally continuous or may pinch out frequently, resulting in laterally discontinuous seams. For example, the Gloucester Coal Measures of the Gloucester Basin contain multiple continuous and relatively thick coal seams, while coal within the Walloon Coal Measures of the Surat Basin is in the form of discontinuous and relatively thin seams. Figure 10</w:t>
      </w:r>
      <w:r w:rsidR="002A08C8">
        <w:t xml:space="preserve"> and Figure 11</w:t>
      </w:r>
      <w:r>
        <w:t xml:space="preserve"> shows the geological profile in the vicinity of coal seam gas developments in the Camden and Surat Basins</w:t>
      </w:r>
      <w:r w:rsidR="002A08C8">
        <w:t>, respectively</w:t>
      </w:r>
      <w:r>
        <w:t>.</w:t>
      </w:r>
    </w:p>
    <w:p w:rsidR="0093202E" w:rsidRDefault="0093202E" w:rsidP="0093202E">
      <w:pPr>
        <w:pStyle w:val="BRNormal11pt0"/>
      </w:pPr>
      <w:r>
        <w:t>The geological units are generally layered, but may exhibit geological features such as faults and intrusions that may penetrate multiple geological units within the sequence, and features such as folds, slides and other anomalies that may buckle or warp depositional surfaces.</w:t>
      </w:r>
    </w:p>
    <w:p w:rsidR="0093202E" w:rsidRDefault="0093202E" w:rsidP="0093202E">
      <w:pPr>
        <w:pStyle w:val="BRNormal11pt0"/>
      </w:pPr>
      <w:r>
        <w:t xml:space="preserve">Although datasets are relatively limited for the alluvial and sedimentary geological units in the areas of (proposed) </w:t>
      </w:r>
      <w:r w:rsidR="003721DE">
        <w:rPr>
          <w:lang w:val="en-AU"/>
        </w:rPr>
        <w:t>coal seam gas</w:t>
      </w:r>
      <w:r w:rsidR="003721DE" w:rsidRPr="00E13ED7">
        <w:rPr>
          <w:lang w:val="en-AU"/>
        </w:rPr>
        <w:t xml:space="preserve"> </w:t>
      </w:r>
      <w:r>
        <w:t>developments, available data indicate that these geological materials exhibit wide ranging hydraulic parameters. Nevertheless, broad characterisation of the hydraulic characteristics of each sedimentary basin is possible. The hydraulic characteristics are dependent on the local and regional (hydro</w:t>
      </w:r>
      <w:proofErr w:type="gramStart"/>
      <w:r>
        <w:t>)geological</w:t>
      </w:r>
      <w:proofErr w:type="gramEnd"/>
      <w:r>
        <w:t xml:space="preserve"> conditions, which are the result of the tectonic setting and structural history of the basin.</w:t>
      </w:r>
    </w:p>
    <w:p w:rsidR="0093202E" w:rsidRDefault="0093202E" w:rsidP="0093202E">
      <w:pPr>
        <w:pStyle w:val="BRNormal11pt0"/>
      </w:pPr>
      <w:r>
        <w:t>For example, the Gunnedah Basin experienced a higher contribution of quartzose sediment during its formation, resulting in relatively high permeability sedimentary units</w:t>
      </w:r>
      <w:r w:rsidR="00FB5B82">
        <w:t>,</w:t>
      </w:r>
      <w:r>
        <w:t xml:space="preserve"> whereas the Sydney, Bowen and Gloucester Basins received higher clay content contributing to the sandstone matrix, which reduced porosity and permeability (Holmes </w:t>
      </w:r>
      <w:r w:rsidR="00FB5B82">
        <w:t xml:space="preserve">&amp; </w:t>
      </w:r>
      <w:r>
        <w:t>Ross 2009). In addition, regional shale and tuffaceous claystones in these latter basins form low permeability horizons that limit vertical groundwater movement.</w:t>
      </w:r>
    </w:p>
    <w:p w:rsidR="0093202E" w:rsidRDefault="0093202E" w:rsidP="0093202E">
      <w:pPr>
        <w:pStyle w:val="BRNormal11pt0"/>
      </w:pPr>
      <w:r>
        <w:t>Generally, sedimentary basins formed in the Permian to Triassic geologic periods (such as the Sydney, Gunnedah and Bowen Basins) tend to possess lower permeability geological units, while younger sedimentary basins formed in the Jurassic to Cretaceous geologic periods (such as the Surat Basin) tend to possess higher permeability geological units.</w:t>
      </w:r>
    </w:p>
    <w:p w:rsidR="002E0D82" w:rsidRDefault="00E57E0A" w:rsidP="00D90926">
      <w:pPr>
        <w:pStyle w:val="Caption-figure"/>
      </w:pPr>
      <w:r>
        <w:rPr>
          <w:noProof/>
          <w:lang w:val="en-AU" w:eastAsia="en-AU"/>
        </w:rPr>
        <w:drawing>
          <wp:inline distT="0" distB="0" distL="0" distR="0">
            <wp:extent cx="4543425" cy="7462738"/>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3425" cy="7462738"/>
                    </a:xfrm>
                    <a:prstGeom prst="rect">
                      <a:avLst/>
                    </a:prstGeom>
                    <a:noFill/>
                    <a:ln>
                      <a:noFill/>
                    </a:ln>
                  </pic:spPr>
                </pic:pic>
              </a:graphicData>
            </a:graphic>
          </wp:inline>
        </w:drawing>
      </w:r>
    </w:p>
    <w:p w:rsidR="00A57CD1" w:rsidRDefault="002E0D82" w:rsidP="00D90926">
      <w:pPr>
        <w:pStyle w:val="Caption-figure"/>
        <w:sectPr w:rsidR="00A57CD1" w:rsidSect="00BD53B9">
          <w:headerReference w:type="default" r:id="rId30"/>
          <w:footerReference w:type="default" r:id="rId31"/>
          <w:headerReference w:type="first" r:id="rId32"/>
          <w:footerReference w:type="first" r:id="rId33"/>
          <w:type w:val="continuous"/>
          <w:pgSz w:w="11900" w:h="16840" w:code="9"/>
          <w:pgMar w:top="2092" w:right="1418" w:bottom="1418" w:left="1418" w:header="142" w:footer="709" w:gutter="0"/>
          <w:pgNumType w:start="1"/>
          <w:cols w:space="284"/>
          <w:noEndnote/>
          <w:titlePg/>
          <w:docGrid w:linePitch="326"/>
        </w:sectPr>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8</w:t>
      </w:r>
      <w:r w:rsidR="00E252C4" w:rsidRPr="005A4936">
        <w:fldChar w:fldCharType="end"/>
      </w:r>
      <w:r w:rsidRPr="005A4936">
        <w:t xml:space="preserve"> </w:t>
      </w:r>
      <w:r w:rsidRPr="0093202E">
        <w:t xml:space="preserve">Sedimentary </w:t>
      </w:r>
      <w:r>
        <w:t>b</w:t>
      </w:r>
      <w:r w:rsidRPr="0093202E">
        <w:t xml:space="preserve">asins of </w:t>
      </w:r>
      <w:r>
        <w:t>e</w:t>
      </w:r>
      <w:r w:rsidRPr="0093202E">
        <w:t xml:space="preserve">astern Australian </w:t>
      </w:r>
      <w:r>
        <w:t>u</w:t>
      </w:r>
      <w:r w:rsidRPr="0093202E">
        <w:t xml:space="preserve">nder </w:t>
      </w:r>
      <w:r>
        <w:t>e</w:t>
      </w:r>
      <w:r w:rsidRPr="0093202E">
        <w:t xml:space="preserve">xisting and </w:t>
      </w:r>
      <w:r>
        <w:t>p</w:t>
      </w:r>
      <w:r w:rsidRPr="0093202E">
        <w:t xml:space="preserve">roposed </w:t>
      </w:r>
      <w:r w:rsidR="003721DE">
        <w:rPr>
          <w:lang w:val="en-AU"/>
        </w:rPr>
        <w:t>coal seam gas</w:t>
      </w:r>
      <w:r w:rsidR="003721DE" w:rsidRPr="00E13ED7">
        <w:rPr>
          <w:lang w:val="en-AU"/>
        </w:rPr>
        <w:t xml:space="preserve"> </w:t>
      </w:r>
      <w:r>
        <w:t>d</w:t>
      </w:r>
      <w:r w:rsidRPr="0093202E">
        <w:t>evelopment</w:t>
      </w:r>
    </w:p>
    <w:p w:rsidR="00A57CD1" w:rsidRDefault="00E57E0A" w:rsidP="00F623A9">
      <w:pPr>
        <w:autoSpaceDE/>
        <w:autoSpaceDN/>
        <w:jc w:val="center"/>
      </w:pPr>
      <w:r>
        <w:rPr>
          <w:noProof/>
          <w:lang w:val="en-AU" w:eastAsia="en-AU"/>
        </w:rPr>
        <w:drawing>
          <wp:inline distT="0" distB="0" distL="0" distR="0">
            <wp:extent cx="7196446" cy="50059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10725" cy="5015888"/>
                    </a:xfrm>
                    <a:prstGeom prst="rect">
                      <a:avLst/>
                    </a:prstGeom>
                    <a:noFill/>
                  </pic:spPr>
                </pic:pic>
              </a:graphicData>
            </a:graphic>
          </wp:inline>
        </w:drawing>
      </w:r>
    </w:p>
    <w:p w:rsidR="00A57CD1" w:rsidRPr="005969D8" w:rsidRDefault="00A57CD1" w:rsidP="00D90926">
      <w:pPr>
        <w:pStyle w:val="Caption-figure"/>
        <w:sectPr w:rsidR="00A57CD1" w:rsidRPr="005969D8" w:rsidSect="00F623A9">
          <w:headerReference w:type="default" r:id="rId35"/>
          <w:headerReference w:type="first" r:id="rId36"/>
          <w:footerReference w:type="first" r:id="rId37"/>
          <w:pgSz w:w="16840" w:h="11900" w:orient="landscape" w:code="9"/>
          <w:pgMar w:top="1746" w:right="1963" w:bottom="1418" w:left="1418" w:header="142" w:footer="567" w:gutter="0"/>
          <w:cols w:space="284"/>
          <w:noEndnote/>
          <w:titlePg/>
          <w:docGrid w:linePitch="326"/>
        </w:sectPr>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9</w:t>
      </w:r>
      <w:r w:rsidR="00E252C4" w:rsidRPr="005A4936">
        <w:fldChar w:fldCharType="end"/>
      </w:r>
      <w:r>
        <w:t xml:space="preserve"> </w:t>
      </w:r>
      <w:r w:rsidRPr="0093202E">
        <w:t xml:space="preserve">Example of </w:t>
      </w:r>
      <w:r>
        <w:t>a</w:t>
      </w:r>
      <w:r w:rsidRPr="0093202E">
        <w:t xml:space="preserve">djacent </w:t>
      </w:r>
      <w:r w:rsidR="003721DE">
        <w:rPr>
          <w:lang w:val="en-AU"/>
        </w:rPr>
        <w:t>coal seam gas</w:t>
      </w:r>
      <w:r w:rsidR="003721DE" w:rsidRPr="00E13ED7">
        <w:rPr>
          <w:lang w:val="en-AU"/>
        </w:rPr>
        <w:t xml:space="preserve"> </w:t>
      </w:r>
      <w:r>
        <w:t>l</w:t>
      </w:r>
      <w:r w:rsidRPr="0093202E">
        <w:t xml:space="preserve">ease </w:t>
      </w:r>
      <w:r>
        <w:t>a</w:t>
      </w:r>
      <w:r w:rsidRPr="0093202E">
        <w:t>reas in the Surat Basin (</w:t>
      </w:r>
      <w:r>
        <w:rPr>
          <w:rFonts w:cs="Arial"/>
        </w:rPr>
        <w:t>©</w:t>
      </w:r>
      <w:r>
        <w:t xml:space="preserve"> Copyright, </w:t>
      </w:r>
      <w:r w:rsidRPr="0093202E">
        <w:t>University of Southern Queensland 2011)</w:t>
      </w:r>
      <w:r>
        <w:br w:type="page"/>
      </w:r>
    </w:p>
    <w:p w:rsidR="00A57CD1" w:rsidRDefault="00A57CD1" w:rsidP="00A57CD1">
      <w:pPr>
        <w:pStyle w:val="BRNormal11pt0"/>
      </w:pPr>
    </w:p>
    <w:p w:rsidR="00C16567" w:rsidRDefault="00C16567" w:rsidP="00A57CD1">
      <w:pPr>
        <w:pStyle w:val="BRNormal11pt0"/>
      </w:pPr>
    </w:p>
    <w:p w:rsidR="00A57CD1" w:rsidRDefault="00E57E0A" w:rsidP="00A57CD1">
      <w:pPr>
        <w:pStyle w:val="BRNormal11pt0"/>
      </w:pPr>
      <w:r>
        <w:rPr>
          <w:noProof/>
          <w:lang w:val="en-AU" w:eastAsia="en-AU"/>
        </w:rPr>
        <w:drawing>
          <wp:inline distT="0" distB="0" distL="0" distR="0">
            <wp:extent cx="5476875" cy="73210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484287" cy="73309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7CD1" w:rsidRPr="00D23C06" w:rsidRDefault="00A57CD1"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10</w:t>
      </w:r>
      <w:r w:rsidR="00E252C4" w:rsidRPr="005A4936">
        <w:fldChar w:fldCharType="end"/>
      </w:r>
      <w:proofErr w:type="gramStart"/>
      <w:r>
        <w:t xml:space="preserve"> </w:t>
      </w:r>
      <w:r w:rsidRPr="0093202E">
        <w:t xml:space="preserve">Geological </w:t>
      </w:r>
      <w:r>
        <w:t>p</w:t>
      </w:r>
      <w:r w:rsidRPr="0093202E">
        <w:t>rofile</w:t>
      </w:r>
      <w:proofErr w:type="gramEnd"/>
      <w:r w:rsidRPr="0093202E">
        <w:t xml:space="preserve"> in </w:t>
      </w:r>
      <w:r>
        <w:t>v</w:t>
      </w:r>
      <w:r w:rsidRPr="0093202E">
        <w:t xml:space="preserve">icinity of </w:t>
      </w:r>
      <w:r w:rsidR="003721DE">
        <w:rPr>
          <w:lang w:val="en-AU"/>
        </w:rPr>
        <w:t>coal seam gas</w:t>
      </w:r>
      <w:r w:rsidR="003721DE" w:rsidRPr="00E13ED7">
        <w:rPr>
          <w:lang w:val="en-AU"/>
        </w:rPr>
        <w:t xml:space="preserve"> </w:t>
      </w:r>
      <w:r>
        <w:t>d</w:t>
      </w:r>
      <w:r w:rsidRPr="0093202E">
        <w:t>evelopment for Surat Basin (</w:t>
      </w:r>
      <w:r>
        <w:t xml:space="preserve">© Copyright, </w:t>
      </w:r>
      <w:r w:rsidRPr="0093202E">
        <w:t>Arrow Energy 2012b)</w:t>
      </w:r>
    </w:p>
    <w:p w:rsidR="00A57CD1" w:rsidRDefault="00E57E0A" w:rsidP="00A57CD1">
      <w:pPr>
        <w:pStyle w:val="BRNormal11pt0"/>
      </w:pPr>
      <w:r>
        <w:rPr>
          <w:noProof/>
          <w:lang w:val="en-AU" w:eastAsia="en-AU"/>
        </w:rPr>
        <w:drawing>
          <wp:inline distT="0" distB="0" distL="0" distR="0">
            <wp:extent cx="5105714" cy="77628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9949" cy="7769314"/>
                    </a:xfrm>
                    <a:prstGeom prst="rect">
                      <a:avLst/>
                    </a:prstGeom>
                    <a:noFill/>
                  </pic:spPr>
                </pic:pic>
              </a:graphicData>
            </a:graphic>
          </wp:inline>
        </w:drawing>
      </w:r>
    </w:p>
    <w:p w:rsidR="00A57CD1" w:rsidRDefault="00A57CD1"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11</w:t>
      </w:r>
      <w:r w:rsidR="00E252C4" w:rsidRPr="005A4936">
        <w:fldChar w:fldCharType="end"/>
      </w:r>
      <w:proofErr w:type="gramStart"/>
      <w:r w:rsidRPr="0093202E">
        <w:t xml:space="preserve"> Geological </w:t>
      </w:r>
      <w:r w:rsidR="00B0047C">
        <w:t>p</w:t>
      </w:r>
      <w:r w:rsidRPr="0093202E">
        <w:t>rofile</w:t>
      </w:r>
      <w:proofErr w:type="gramEnd"/>
      <w:r w:rsidRPr="0093202E">
        <w:t xml:space="preserve"> in </w:t>
      </w:r>
      <w:r w:rsidR="00B0047C">
        <w:t>v</w:t>
      </w:r>
      <w:r w:rsidRPr="0093202E">
        <w:t xml:space="preserve">icinity of </w:t>
      </w:r>
      <w:r w:rsidR="00B0047C">
        <w:t>c</w:t>
      </w:r>
      <w:r w:rsidRPr="0093202E">
        <w:t xml:space="preserve">oal </w:t>
      </w:r>
      <w:r w:rsidR="00B0047C">
        <w:t>s</w:t>
      </w:r>
      <w:r w:rsidRPr="0093202E">
        <w:t xml:space="preserve">eam </w:t>
      </w:r>
      <w:r w:rsidR="00B0047C">
        <w:t>g</w:t>
      </w:r>
      <w:r w:rsidRPr="0093202E">
        <w:t xml:space="preserve">as </w:t>
      </w:r>
      <w:r w:rsidR="00B0047C">
        <w:t>d</w:t>
      </w:r>
      <w:r w:rsidRPr="0093202E">
        <w:t xml:space="preserve">evelopment for </w:t>
      </w:r>
      <w:r w:rsidR="00B0047C">
        <w:t xml:space="preserve">the </w:t>
      </w:r>
      <w:r w:rsidRPr="0093202E">
        <w:t>Camden Basin (</w:t>
      </w:r>
      <w:r>
        <w:rPr>
          <w:rFonts w:cs="Arial"/>
        </w:rPr>
        <w:t>©</w:t>
      </w:r>
      <w:r>
        <w:t xml:space="preserve"> Copyright, </w:t>
      </w:r>
      <w:r w:rsidRPr="0093202E">
        <w:t>adapted from AGL Energy Pty Ltd 2012)</w:t>
      </w:r>
    </w:p>
    <w:p w:rsidR="0093202E" w:rsidRDefault="0093202E" w:rsidP="0093202E">
      <w:pPr>
        <w:pStyle w:val="BRNormal11pt0"/>
      </w:pPr>
      <w:r>
        <w:t xml:space="preserve">As a result of these geologic histories, the coal permeability in the Gloucester, Sydney and Bowen Basins is relatively low and sufficient groundwater depressurisation can be attained in a </w:t>
      </w:r>
      <w:r w:rsidR="003721DE">
        <w:rPr>
          <w:lang w:val="en-AU"/>
        </w:rPr>
        <w:t>coal seam gas</w:t>
      </w:r>
      <w:r w:rsidR="003721DE" w:rsidRPr="00E13ED7">
        <w:rPr>
          <w:lang w:val="en-AU"/>
        </w:rPr>
        <w:t xml:space="preserve"> </w:t>
      </w:r>
      <w:r>
        <w:t xml:space="preserve">well field to produce gas within days or weeks. The produced gas and water volumes are relatively low, and commercially viable production requires a greater number of wells per square kilometre. In contrast, the relatively high permeability coals of the Surat Basin have higher water and gas production rates, and commercially viable production is possible with lower density well spacing, but it can take months for target depressurisation levels to be attained (Holmes </w:t>
      </w:r>
      <w:r w:rsidR="00FB5B82">
        <w:t xml:space="preserve">&amp; </w:t>
      </w:r>
      <w:r>
        <w:t>Ross 2009). The greater time required is also a function of coal rank and the gas/water saturation.</w:t>
      </w:r>
    </w:p>
    <w:p w:rsidR="0093202E" w:rsidRDefault="0093202E" w:rsidP="0093202E">
      <w:pPr>
        <w:pStyle w:val="BRNormal11pt0"/>
      </w:pPr>
      <w:r>
        <w:t>Groundwater quality (chemistry) is affected by geological conditions, recharge characteristics (proximity to recharge zones, recharge rates and groundwater flows) and groundwater residence time in the host geological units. In general, groundwater is relatively fresh in shallow geological formations and more saline at greater depth.</w:t>
      </w:r>
    </w:p>
    <w:p w:rsidR="00A832CC" w:rsidRDefault="003748B4" w:rsidP="00A90F48">
      <w:pPr>
        <w:pStyle w:val="Listintrotext"/>
        <w:rPr>
          <w:highlight w:val="yellow"/>
        </w:rPr>
      </w:pPr>
      <w:r>
        <w:t xml:space="preserve">The quality of water extracted from the coal seam varies depending on its specific characteristics and whether chemicals are </w:t>
      </w:r>
      <w:r w:rsidRPr="00826C6A">
        <w:t xml:space="preserve">used (SKM 2011; </w:t>
      </w:r>
      <w:r w:rsidRPr="00F3643B">
        <w:t>Commonwealth of Australia 2014</w:t>
      </w:r>
      <w:r w:rsidRPr="00826C6A">
        <w:t>). Co-produced water typically contains variable</w:t>
      </w:r>
      <w:r>
        <w:t xml:space="preserve"> but often elevated concentrations of salts as part of the total dissolved solids (TDS). </w:t>
      </w:r>
      <w:proofErr w:type="gramStart"/>
      <w:r>
        <w:t>Salinity levels in the Walloon Coal Measures in the Surat Basin range from 250</w:t>
      </w:r>
      <w:r w:rsidR="00636A8B">
        <w:t xml:space="preserve"> </w:t>
      </w:r>
      <w:r>
        <w:t>to 16 000 mg/L with a median concentration of around 1463 mg/L (WorleyParsons 2010b).</w:t>
      </w:r>
      <w:proofErr w:type="gramEnd"/>
      <w:r>
        <w:t xml:space="preserve"> This is generally elevated compared to the overlying and underlying aquifers. A similarly wide range in TDS has been found in other coal seams such as those in the Bowen Basin (WorleyParsons 2010b).</w:t>
      </w:r>
    </w:p>
    <w:p w:rsidR="0093202E" w:rsidRDefault="005E1687" w:rsidP="001E6DBD">
      <w:pPr>
        <w:pStyle w:val="Heading1"/>
      </w:pPr>
      <w:bookmarkStart w:id="478" w:name="_Toc391554262"/>
      <w:bookmarkStart w:id="479" w:name="_Toc391554263"/>
      <w:bookmarkStart w:id="480" w:name="_Toc402425295"/>
      <w:bookmarkEnd w:id="478"/>
      <w:bookmarkEnd w:id="479"/>
      <w:r w:rsidRPr="005E1687">
        <w:t xml:space="preserve">Physical </w:t>
      </w:r>
      <w:r w:rsidR="00FD23B8">
        <w:t>p</w:t>
      </w:r>
      <w:r w:rsidRPr="005E1687">
        <w:t xml:space="preserve">rocesses of </w:t>
      </w:r>
      <w:r w:rsidR="003721DE">
        <w:t>coal seam gas</w:t>
      </w:r>
      <w:r w:rsidR="003721DE" w:rsidRPr="005E1687">
        <w:t xml:space="preserve"> </w:t>
      </w:r>
      <w:r w:rsidR="00FD23B8">
        <w:t>p</w:t>
      </w:r>
      <w:r w:rsidRPr="005E1687">
        <w:t>roduction</w:t>
      </w:r>
      <w:bookmarkEnd w:id="480"/>
    </w:p>
    <w:p w:rsidR="005E1687" w:rsidRPr="005E1687" w:rsidRDefault="005E1687" w:rsidP="005E1687">
      <w:pPr>
        <w:pStyle w:val="BRNormal11pt0"/>
        <w:rPr>
          <w:lang w:val="en-GB"/>
        </w:rPr>
      </w:pPr>
      <w:r w:rsidRPr="005E1687">
        <w:rPr>
          <w:lang w:val="en-GB"/>
        </w:rPr>
        <w:t xml:space="preserve">This section discusses the physical processes relevant to modelling the potential impacts of </w:t>
      </w:r>
      <w:r w:rsidR="003721DE">
        <w:rPr>
          <w:lang w:val="en-AU"/>
        </w:rPr>
        <w:t>coal seam gas</w:t>
      </w:r>
      <w:r w:rsidR="003721DE" w:rsidRPr="00E13ED7">
        <w:rPr>
          <w:lang w:val="en-AU"/>
        </w:rPr>
        <w:t xml:space="preserve"> </w:t>
      </w:r>
      <w:r w:rsidRPr="005E1687">
        <w:rPr>
          <w:lang w:val="en-GB"/>
        </w:rPr>
        <w:t>developments on groundwater.</w:t>
      </w:r>
    </w:p>
    <w:p w:rsidR="005E1687" w:rsidRPr="005E1687" w:rsidRDefault="005E1687" w:rsidP="00A90F48">
      <w:pPr>
        <w:pStyle w:val="Listintrotext"/>
        <w:rPr>
          <w:lang w:val="en-GB"/>
        </w:rPr>
      </w:pPr>
      <w:r w:rsidRPr="005E1687">
        <w:rPr>
          <w:lang w:val="en-GB"/>
        </w:rPr>
        <w:t xml:space="preserve">Groundwater flow near a </w:t>
      </w:r>
      <w:r w:rsidR="003721DE">
        <w:rPr>
          <w:lang w:val="en-AU"/>
        </w:rPr>
        <w:t>coal seam gas</w:t>
      </w:r>
      <w:r w:rsidR="003721DE" w:rsidRPr="00E13ED7">
        <w:rPr>
          <w:lang w:val="en-AU"/>
        </w:rPr>
        <w:t xml:space="preserve"> </w:t>
      </w:r>
      <w:r w:rsidRPr="005E1687">
        <w:rPr>
          <w:lang w:val="en-GB"/>
        </w:rPr>
        <w:t>well field is known to be influenced by the following physical phenomena:</w:t>
      </w:r>
    </w:p>
    <w:p w:rsidR="00FC338D" w:rsidRDefault="00FC338D" w:rsidP="007702DF">
      <w:pPr>
        <w:pStyle w:val="BRdotpoints"/>
        <w:rPr>
          <w:lang w:val="en-GB"/>
        </w:rPr>
      </w:pPr>
      <w:r>
        <w:rPr>
          <w:lang w:val="en-GB"/>
        </w:rPr>
        <w:t>t</w:t>
      </w:r>
      <w:r w:rsidR="005E1687" w:rsidRPr="005E1687">
        <w:rPr>
          <w:lang w:val="en-GB"/>
        </w:rPr>
        <w:t xml:space="preserve">hree distinct fluid flow process stages experienced during </w:t>
      </w:r>
      <w:r w:rsidR="003721DE">
        <w:rPr>
          <w:lang w:val="en-AU"/>
        </w:rPr>
        <w:t>coal seam gas</w:t>
      </w:r>
      <w:r w:rsidR="003721DE" w:rsidRPr="00E13ED7">
        <w:rPr>
          <w:lang w:val="en-AU"/>
        </w:rPr>
        <w:t xml:space="preserve"> </w:t>
      </w:r>
      <w:r w:rsidR="005E1687" w:rsidRPr="005E1687">
        <w:rPr>
          <w:lang w:val="en-GB"/>
        </w:rPr>
        <w:t xml:space="preserve">extraction, each stage propagating spatially from the well into the coal seam: </w:t>
      </w:r>
    </w:p>
    <w:p w:rsidR="00E57E0A" w:rsidRDefault="005E1687">
      <w:pPr>
        <w:pStyle w:val="BR2ndbullet"/>
        <w:rPr>
          <w:lang w:val="en-GB"/>
        </w:rPr>
      </w:pPr>
      <w:r w:rsidRPr="005E1687">
        <w:rPr>
          <w:lang w:val="en-GB"/>
        </w:rPr>
        <w:t>saturated single-phase water flow</w:t>
      </w:r>
    </w:p>
    <w:p w:rsidR="00E57E0A" w:rsidRDefault="005E1687">
      <w:pPr>
        <w:pStyle w:val="BR2ndbullet"/>
        <w:rPr>
          <w:lang w:val="en-GB"/>
        </w:rPr>
      </w:pPr>
      <w:r w:rsidRPr="005E1687">
        <w:rPr>
          <w:lang w:val="en-GB"/>
        </w:rPr>
        <w:t>unsaturated single-phase water flow</w:t>
      </w:r>
    </w:p>
    <w:p w:rsidR="00E57E0A" w:rsidRDefault="005E1687">
      <w:pPr>
        <w:pStyle w:val="BR2ndbullet"/>
        <w:rPr>
          <w:lang w:val="en-GB"/>
        </w:rPr>
      </w:pPr>
      <w:r w:rsidRPr="005E1687">
        <w:rPr>
          <w:lang w:val="en-GB"/>
        </w:rPr>
        <w:t>dual-phase (water and gas) flow</w:t>
      </w:r>
    </w:p>
    <w:p w:rsidR="005E1687" w:rsidRPr="005E1687" w:rsidRDefault="00FC338D" w:rsidP="007702DF">
      <w:pPr>
        <w:pStyle w:val="BRdotpoints"/>
        <w:rPr>
          <w:lang w:val="en-GB"/>
        </w:rPr>
      </w:pPr>
      <w:proofErr w:type="gramStart"/>
      <w:r>
        <w:rPr>
          <w:lang w:val="en-GB"/>
        </w:rPr>
        <w:t>c</w:t>
      </w:r>
      <w:r w:rsidR="005E1687" w:rsidRPr="005E1687">
        <w:rPr>
          <w:lang w:val="en-GB"/>
        </w:rPr>
        <w:t>oal</w:t>
      </w:r>
      <w:proofErr w:type="gramEnd"/>
      <w:r w:rsidR="005E1687" w:rsidRPr="005E1687">
        <w:rPr>
          <w:lang w:val="en-GB"/>
        </w:rPr>
        <w:t xml:space="preserve"> seams exhibit a </w:t>
      </w:r>
      <w:r>
        <w:rPr>
          <w:lang w:val="en-GB"/>
        </w:rPr>
        <w:t>‘</w:t>
      </w:r>
      <w:r w:rsidR="005E1687" w:rsidRPr="005E1687">
        <w:rPr>
          <w:lang w:val="en-GB"/>
        </w:rPr>
        <w:t>dual porosity</w:t>
      </w:r>
      <w:r>
        <w:rPr>
          <w:lang w:val="en-GB"/>
        </w:rPr>
        <w:t>’</w:t>
      </w:r>
      <w:r w:rsidR="005E1687" w:rsidRPr="005E1687">
        <w:rPr>
          <w:lang w:val="en-GB"/>
        </w:rPr>
        <w:t xml:space="preserve"> system in which the coal material possesses both micropores (primary porosity, within the coal matrix) and macropores (fracture porosity, comprising the coal cleats). These structures affect fluid flow. The dual porosity nature of the system imparts a similar bimodal nature to the hydraulic conductivity distribution of the system</w:t>
      </w:r>
    </w:p>
    <w:p w:rsidR="005E1687" w:rsidRPr="005E1687" w:rsidRDefault="00FC338D" w:rsidP="007702DF">
      <w:pPr>
        <w:pStyle w:val="BRdotpoints"/>
        <w:rPr>
          <w:lang w:val="en-GB"/>
        </w:rPr>
      </w:pPr>
      <w:proofErr w:type="gramStart"/>
      <w:r>
        <w:rPr>
          <w:lang w:val="en-GB"/>
        </w:rPr>
        <w:t>g</w:t>
      </w:r>
      <w:r w:rsidR="005E1687" w:rsidRPr="005E1687">
        <w:rPr>
          <w:lang w:val="en-GB"/>
        </w:rPr>
        <w:t>as</w:t>
      </w:r>
      <w:proofErr w:type="gramEnd"/>
      <w:r w:rsidR="005E1687" w:rsidRPr="005E1687">
        <w:rPr>
          <w:lang w:val="en-GB"/>
        </w:rPr>
        <w:t xml:space="preserve"> liberation from the coal, which affects fluid flow.</w:t>
      </w:r>
    </w:p>
    <w:p w:rsidR="005E1687" w:rsidRPr="005E1687" w:rsidRDefault="005E1687" w:rsidP="005E1687">
      <w:pPr>
        <w:pStyle w:val="Post-listtext"/>
        <w:rPr>
          <w:lang w:val="en-GB"/>
        </w:rPr>
      </w:pPr>
      <w:r w:rsidRPr="005E1687">
        <w:rPr>
          <w:lang w:val="en-GB"/>
        </w:rPr>
        <w:t>These phenomena have distinct effects on the groundwater drawdown and produced water volumes.</w:t>
      </w:r>
    </w:p>
    <w:p w:rsidR="005E1687" w:rsidRPr="005E1687" w:rsidRDefault="005E1687" w:rsidP="005E1687">
      <w:pPr>
        <w:pStyle w:val="BRNormal11pt0"/>
        <w:rPr>
          <w:lang w:val="en-GB"/>
        </w:rPr>
      </w:pPr>
      <w:r w:rsidRPr="005E1687">
        <w:rPr>
          <w:lang w:val="en-GB"/>
        </w:rPr>
        <w:t>De Vertuil et al</w:t>
      </w:r>
      <w:r w:rsidR="00FC338D">
        <w:rPr>
          <w:lang w:val="en-GB"/>
        </w:rPr>
        <w:t>.</w:t>
      </w:r>
      <w:r w:rsidRPr="005E1687">
        <w:rPr>
          <w:lang w:val="en-GB"/>
        </w:rPr>
        <w:t xml:space="preserve"> (2013) developed a regional dual-phase flow model for assessment of far</w:t>
      </w:r>
      <w:r w:rsidR="00DB7D72">
        <w:rPr>
          <w:lang w:val="en-GB"/>
        </w:rPr>
        <w:t>-</w:t>
      </w:r>
      <w:r w:rsidR="00DB7D72" w:rsidRPr="005E1687">
        <w:rPr>
          <w:lang w:val="en-GB"/>
        </w:rPr>
        <w:t>field</w:t>
      </w:r>
      <w:r w:rsidRPr="005E1687">
        <w:rPr>
          <w:lang w:val="en-GB"/>
        </w:rPr>
        <w:t xml:space="preserve"> impacts. Initial results suggest that gas liberation plays a </w:t>
      </w:r>
      <w:r w:rsidR="00CB5093">
        <w:rPr>
          <w:lang w:val="en-GB"/>
        </w:rPr>
        <w:t>key</w:t>
      </w:r>
      <w:r w:rsidR="00CB5093" w:rsidRPr="005E1687">
        <w:rPr>
          <w:lang w:val="en-GB"/>
        </w:rPr>
        <w:t xml:space="preserve"> </w:t>
      </w:r>
      <w:r w:rsidRPr="005E1687">
        <w:rPr>
          <w:lang w:val="en-GB"/>
        </w:rPr>
        <w:t>role in controlling drawdown in the liquid groundwater phase at large distances. Development of these hybrid models is in a</w:t>
      </w:r>
      <w:r w:rsidR="0090494E">
        <w:rPr>
          <w:lang w:val="en-GB"/>
        </w:rPr>
        <w:t xml:space="preserve"> very early </w:t>
      </w:r>
      <w:r w:rsidRPr="005E1687">
        <w:rPr>
          <w:lang w:val="en-GB"/>
        </w:rPr>
        <w:t>stage</w:t>
      </w:r>
      <w:r w:rsidR="0090494E">
        <w:rPr>
          <w:lang w:val="en-GB"/>
        </w:rPr>
        <w:t>;</w:t>
      </w:r>
      <w:r w:rsidRPr="005E1687">
        <w:rPr>
          <w:lang w:val="en-GB"/>
        </w:rPr>
        <w:t xml:space="preserve"> however</w:t>
      </w:r>
      <w:r w:rsidR="0090494E">
        <w:rPr>
          <w:lang w:val="en-GB"/>
        </w:rPr>
        <w:t>,</w:t>
      </w:r>
      <w:r w:rsidRPr="005E1687">
        <w:rPr>
          <w:lang w:val="en-GB"/>
        </w:rPr>
        <w:t xml:space="preserve"> results are encouraging and may provide a more reliable platform for </w:t>
      </w:r>
      <w:r w:rsidR="003721DE">
        <w:rPr>
          <w:lang w:val="en-AU"/>
        </w:rPr>
        <w:t>coal seam gas</w:t>
      </w:r>
      <w:r w:rsidR="003721DE" w:rsidRPr="00E13ED7">
        <w:rPr>
          <w:lang w:val="en-AU"/>
        </w:rPr>
        <w:t xml:space="preserve"> </w:t>
      </w:r>
      <w:r w:rsidRPr="005E1687">
        <w:rPr>
          <w:lang w:val="en-GB"/>
        </w:rPr>
        <w:t>impact assessment. Th</w:t>
      </w:r>
      <w:r w:rsidR="0090494E">
        <w:rPr>
          <w:lang w:val="en-GB"/>
        </w:rPr>
        <w:t>e</w:t>
      </w:r>
      <w:r w:rsidRPr="005E1687">
        <w:rPr>
          <w:lang w:val="en-GB"/>
        </w:rPr>
        <w:t xml:space="preserve"> work suggest</w:t>
      </w:r>
      <w:r w:rsidR="0090494E">
        <w:rPr>
          <w:lang w:val="en-GB"/>
        </w:rPr>
        <w:t>ed</w:t>
      </w:r>
      <w:r w:rsidRPr="005E1687">
        <w:rPr>
          <w:lang w:val="en-GB"/>
        </w:rPr>
        <w:t xml:space="preserve"> that it is preferable to use a multi-phase flow modelling platform for </w:t>
      </w:r>
      <w:r w:rsidR="003721DE">
        <w:rPr>
          <w:lang w:val="en-AU"/>
        </w:rPr>
        <w:t>coal seam gas</w:t>
      </w:r>
      <w:r w:rsidR="003721DE" w:rsidRPr="00E13ED7">
        <w:rPr>
          <w:lang w:val="en-AU"/>
        </w:rPr>
        <w:t xml:space="preserve"> </w:t>
      </w:r>
      <w:r w:rsidRPr="005E1687">
        <w:rPr>
          <w:lang w:val="en-GB"/>
        </w:rPr>
        <w:t>development.</w:t>
      </w:r>
    </w:p>
    <w:p w:rsidR="005E1687" w:rsidRPr="005E1687" w:rsidRDefault="005E1687" w:rsidP="005E1687">
      <w:pPr>
        <w:pStyle w:val="Heading2"/>
      </w:pPr>
      <w:bookmarkStart w:id="481" w:name="_Toc402425296"/>
      <w:r w:rsidRPr="005E1687">
        <w:t xml:space="preserve">Dual </w:t>
      </w:r>
      <w:r w:rsidR="00FD23B8">
        <w:t>p</w:t>
      </w:r>
      <w:r w:rsidRPr="005E1687">
        <w:t>orosity</w:t>
      </w:r>
      <w:bookmarkEnd w:id="481"/>
    </w:p>
    <w:p w:rsidR="005E1687" w:rsidRPr="005E1687" w:rsidRDefault="005E1687" w:rsidP="005E1687">
      <w:pPr>
        <w:pStyle w:val="BRNormal11pt0"/>
        <w:rPr>
          <w:lang w:val="en-GB"/>
        </w:rPr>
      </w:pPr>
      <w:r w:rsidRPr="005E1687">
        <w:rPr>
          <w:lang w:val="en-GB"/>
        </w:rPr>
        <w:t xml:space="preserve">Coal seams exhibit a </w:t>
      </w:r>
      <w:r w:rsidR="0090494E">
        <w:rPr>
          <w:lang w:val="en-GB"/>
        </w:rPr>
        <w:t>‘</w:t>
      </w:r>
      <w:r w:rsidRPr="005E1687">
        <w:rPr>
          <w:lang w:val="en-GB"/>
        </w:rPr>
        <w:t>dual porosity</w:t>
      </w:r>
      <w:r w:rsidR="0090494E">
        <w:rPr>
          <w:lang w:val="en-GB"/>
        </w:rPr>
        <w:t>’</w:t>
      </w:r>
      <w:r w:rsidRPr="005E1687">
        <w:rPr>
          <w:lang w:val="en-GB"/>
        </w:rPr>
        <w:t xml:space="preserve"> system in which the coal material possesses both micropores (primary porosity, within the coal matrix) and macropores (fracture porosity, comprising the coal cleats). These structures affect fluid movement by creating non-uniform flow fields with widely different velocities. Such phenomena are often referred to as preferential flow. Preferential flow leads to a non-equilibrium situation with respect to the pressure head or the solute concentration. In coal seams, flow occurs more readily along cleats and bedding partings. Water contained within pore spaces within the coal blocks between cleats takes time to migrate to join flow a</w:t>
      </w:r>
      <w:r w:rsidR="00DB7D72">
        <w:rPr>
          <w:lang w:val="en-GB"/>
        </w:rPr>
        <w:t>long the preferred flow paths.</w:t>
      </w:r>
    </w:p>
    <w:p w:rsidR="005E1687" w:rsidRPr="005E1687" w:rsidRDefault="005E1687" w:rsidP="005E1687">
      <w:pPr>
        <w:pStyle w:val="BRNormal11pt0"/>
        <w:rPr>
          <w:lang w:val="en-GB"/>
        </w:rPr>
      </w:pPr>
      <w:r w:rsidRPr="005E1687">
        <w:rPr>
          <w:lang w:val="en-GB"/>
        </w:rPr>
        <w:t>This can be problematic for groundwater analysis as the process of gradual drainage from the coal blocks is not captured in the groundwater modelling tools in general use for flow modelling. The significance of this effect depends upon the time scale for migration of water (or gas) from within the coal matrix blocks to the cleats. Where changes in groundwater level are slow in comparison with this time scale, the behaviour can be modelled by assuming water is fully released from within the blocks. The validity of this assumption depends on the hydrogeological conditions and requires assessment on a case-by-case basis. This would typically be the case away from the pumping wells</w:t>
      </w:r>
      <w:r w:rsidR="0090494E">
        <w:rPr>
          <w:lang w:val="en-GB"/>
        </w:rPr>
        <w:t>,</w:t>
      </w:r>
      <w:r w:rsidRPr="005E1687">
        <w:rPr>
          <w:lang w:val="en-GB"/>
        </w:rPr>
        <w:t xml:space="preserve"> w</w:t>
      </w:r>
      <w:r w:rsidR="0090494E">
        <w:rPr>
          <w:lang w:val="en-GB"/>
        </w:rPr>
        <w:t>h</w:t>
      </w:r>
      <w:r w:rsidRPr="005E1687">
        <w:rPr>
          <w:lang w:val="en-GB"/>
        </w:rPr>
        <w:t xml:space="preserve">ere groundwater level changes would occur gradually with time. Where changes in groundwater level are rapid compared with </w:t>
      </w:r>
      <w:r w:rsidR="0090494E">
        <w:rPr>
          <w:lang w:val="en-GB"/>
        </w:rPr>
        <w:t xml:space="preserve">the </w:t>
      </w:r>
      <w:r w:rsidRPr="005E1687">
        <w:rPr>
          <w:lang w:val="en-GB"/>
        </w:rPr>
        <w:t>time scale for release of water from the blocks, this release can be disregarded in the short term as the water from within the blocks does not have time to contribute to the flow process. For the intermediate situation, such simplified treatment may be inadequate to address important aspects of groundwater response.</w:t>
      </w:r>
    </w:p>
    <w:p w:rsidR="005E1687" w:rsidRPr="005E1687" w:rsidRDefault="005E1687" w:rsidP="005E1687">
      <w:pPr>
        <w:pStyle w:val="BRNormal11pt0"/>
        <w:rPr>
          <w:lang w:val="en-GB"/>
        </w:rPr>
      </w:pPr>
      <w:r w:rsidRPr="005E1687">
        <w:rPr>
          <w:lang w:val="en-GB"/>
        </w:rPr>
        <w:t xml:space="preserve">A method for modelling of flow in dual porosity systems was developed by Warren and Root (1963). The method considers movement of water from the primary porosity (within the blocks) to the secondary porosity (fracture system). A series of charts </w:t>
      </w:r>
      <w:r w:rsidR="0090494E">
        <w:rPr>
          <w:lang w:val="en-GB"/>
        </w:rPr>
        <w:t>was</w:t>
      </w:r>
      <w:r w:rsidRPr="005E1687">
        <w:rPr>
          <w:lang w:val="en-GB"/>
        </w:rPr>
        <w:t xml:space="preserve"> provided illustrating the impacts on pressure change resulting from dual porosity effects. Gerkhe and Van Genuchten (1993) provide</w:t>
      </w:r>
      <w:r w:rsidR="0090494E">
        <w:rPr>
          <w:lang w:val="en-GB"/>
        </w:rPr>
        <w:t>d a</w:t>
      </w:r>
      <w:r w:rsidRPr="005E1687">
        <w:rPr>
          <w:lang w:val="en-GB"/>
        </w:rPr>
        <w:t xml:space="preserve"> discussion of approaches to modelling of dual porosity systems and present</w:t>
      </w:r>
      <w:r w:rsidR="0090494E">
        <w:rPr>
          <w:lang w:val="en-GB"/>
        </w:rPr>
        <w:t>ed</w:t>
      </w:r>
      <w:r w:rsidRPr="005E1687">
        <w:rPr>
          <w:lang w:val="en-GB"/>
        </w:rPr>
        <w:t xml:space="preserve"> a finite element approach.</w:t>
      </w:r>
    </w:p>
    <w:p w:rsidR="005E1687" w:rsidRPr="005E1687" w:rsidRDefault="005E1687" w:rsidP="005E1687">
      <w:pPr>
        <w:pStyle w:val="BRNormal11pt0"/>
        <w:rPr>
          <w:lang w:val="en-GB"/>
        </w:rPr>
      </w:pPr>
      <w:r w:rsidRPr="005E1687">
        <w:rPr>
          <w:lang w:val="en-GB"/>
        </w:rPr>
        <w:t xml:space="preserve">Implementation of a dual porosity model carries computational overheads and complexities and it is not generally incorporated into general purpose groundwater modelling tools used for regional modelling. One difficulty in the use of models </w:t>
      </w:r>
      <w:r w:rsidR="0090494E">
        <w:rPr>
          <w:lang w:val="en-GB"/>
        </w:rPr>
        <w:t>that</w:t>
      </w:r>
      <w:r w:rsidR="0090494E" w:rsidRPr="005E1687">
        <w:rPr>
          <w:lang w:val="en-GB"/>
        </w:rPr>
        <w:t xml:space="preserve"> </w:t>
      </w:r>
      <w:r w:rsidRPr="005E1687">
        <w:rPr>
          <w:lang w:val="en-GB"/>
        </w:rPr>
        <w:t>address dual porosity behaviour directly is that knowledge of the parameter values for parameters that control the process (such as fracture spacing, matrix permeability, matrix and fracture porosity and permeability) are often not available. This lack of data leads to uncertainty associated with model predictions. Use of a dual porosity conceptualisation is possible however, and is further discussed below.</w:t>
      </w:r>
    </w:p>
    <w:p w:rsidR="005E1687" w:rsidRPr="005E1687" w:rsidRDefault="002E79E0" w:rsidP="005E1687">
      <w:pPr>
        <w:pStyle w:val="BRNormal11pt0"/>
        <w:rPr>
          <w:lang w:val="en-GB"/>
        </w:rPr>
      </w:pPr>
      <w:r>
        <w:rPr>
          <w:lang w:val="en-GB"/>
        </w:rPr>
        <w:t>T</w:t>
      </w:r>
      <w:r w:rsidR="005E1687" w:rsidRPr="005E1687">
        <w:rPr>
          <w:lang w:val="en-GB"/>
        </w:rPr>
        <w:t>o accurately model groundwater flow in the near-field, models need to account for the dual porosity nature of coal. Methods for modelling dual porosity flow and transport and coupled geomechanics have been available since the mid</w:t>
      </w:r>
      <w:r w:rsidR="0090494E">
        <w:rPr>
          <w:lang w:val="en-GB"/>
        </w:rPr>
        <w:t>-</w:t>
      </w:r>
      <w:r w:rsidR="005E1687" w:rsidRPr="005E1687">
        <w:rPr>
          <w:lang w:val="en-GB"/>
        </w:rPr>
        <w:t xml:space="preserve">1990s. This would be important for </w:t>
      </w:r>
      <w:r w:rsidR="0090494E">
        <w:rPr>
          <w:lang w:val="en-GB"/>
        </w:rPr>
        <w:t xml:space="preserve">the </w:t>
      </w:r>
      <w:r w:rsidR="005E1687" w:rsidRPr="005E1687">
        <w:rPr>
          <w:lang w:val="en-GB"/>
        </w:rPr>
        <w:t xml:space="preserve">design of well fields. </w:t>
      </w:r>
      <w:r w:rsidR="007E38F7">
        <w:rPr>
          <w:lang w:val="en-GB"/>
        </w:rPr>
        <w:t>I</w:t>
      </w:r>
      <w:r w:rsidR="005E1687" w:rsidRPr="005E1687">
        <w:rPr>
          <w:lang w:val="en-GB"/>
        </w:rPr>
        <w:t>n regional modelling of groundwater flow</w:t>
      </w:r>
      <w:r w:rsidR="007E38F7">
        <w:rPr>
          <w:lang w:val="en-GB"/>
        </w:rPr>
        <w:t>, however, t</w:t>
      </w:r>
      <w:r w:rsidR="007E38F7" w:rsidRPr="005E1687">
        <w:rPr>
          <w:lang w:val="en-GB"/>
        </w:rPr>
        <w:t>he scale over which dual porosity effects are important is not typically considered</w:t>
      </w:r>
      <w:r w:rsidR="005E1687" w:rsidRPr="005E1687">
        <w:rPr>
          <w:lang w:val="en-GB"/>
        </w:rPr>
        <w:t xml:space="preserve">. Although laboratory results are available, the extrapolation of these results to the field scale involves scaling issues and other difficulties. This represents an implicit assumption </w:t>
      </w:r>
      <w:r w:rsidR="007E38F7">
        <w:rPr>
          <w:lang w:val="en-GB"/>
        </w:rPr>
        <w:t>that</w:t>
      </w:r>
      <w:r w:rsidR="007E38F7" w:rsidRPr="005E1687">
        <w:rPr>
          <w:lang w:val="en-GB"/>
        </w:rPr>
        <w:t xml:space="preserve"> </w:t>
      </w:r>
      <w:r w:rsidR="005E1687" w:rsidRPr="005E1687">
        <w:rPr>
          <w:lang w:val="en-GB"/>
        </w:rPr>
        <w:t xml:space="preserve">is not tested in relation to </w:t>
      </w:r>
      <w:r w:rsidR="007E38F7">
        <w:rPr>
          <w:lang w:val="en-GB"/>
        </w:rPr>
        <w:t xml:space="preserve">the </w:t>
      </w:r>
      <w:r w:rsidR="005E1687" w:rsidRPr="005E1687">
        <w:rPr>
          <w:lang w:val="en-GB"/>
        </w:rPr>
        <w:t xml:space="preserve">prediction of groundwater impacts from </w:t>
      </w:r>
      <w:r w:rsidR="003721DE">
        <w:rPr>
          <w:lang w:val="en-AU"/>
        </w:rPr>
        <w:t>coal seam gas</w:t>
      </w:r>
      <w:r w:rsidR="003721DE" w:rsidRPr="00E13ED7">
        <w:rPr>
          <w:lang w:val="en-AU"/>
        </w:rPr>
        <w:t xml:space="preserve"> </w:t>
      </w:r>
      <w:r w:rsidR="005E1687" w:rsidRPr="005E1687">
        <w:rPr>
          <w:lang w:val="en-GB"/>
        </w:rPr>
        <w:t xml:space="preserve">extraction. The groundwater drawdown and produced water volumes predicted by the model may differ depending on whether a dual porosity system is </w:t>
      </w:r>
      <w:r w:rsidR="007E38F7">
        <w:rPr>
          <w:lang w:val="en-GB"/>
        </w:rPr>
        <w:t xml:space="preserve">or is not </w:t>
      </w:r>
      <w:r w:rsidR="005E1687" w:rsidRPr="005E1687">
        <w:rPr>
          <w:lang w:val="en-GB"/>
        </w:rPr>
        <w:t>modelled.</w:t>
      </w:r>
    </w:p>
    <w:p w:rsidR="005E1687" w:rsidRPr="005E1687" w:rsidRDefault="005E1687" w:rsidP="005E1687">
      <w:pPr>
        <w:pStyle w:val="Heading2"/>
      </w:pPr>
      <w:bookmarkStart w:id="482" w:name="_Toc402425297"/>
      <w:r w:rsidRPr="005E1687">
        <w:t xml:space="preserve">Dual </w:t>
      </w:r>
      <w:r w:rsidR="00FD23B8">
        <w:t>p</w:t>
      </w:r>
      <w:r w:rsidRPr="005E1687">
        <w:t xml:space="preserve">hase </w:t>
      </w:r>
      <w:r w:rsidR="00FD23B8">
        <w:t>f</w:t>
      </w:r>
      <w:r w:rsidRPr="005E1687">
        <w:t xml:space="preserve">low and </w:t>
      </w:r>
      <w:r w:rsidR="00FD23B8">
        <w:t>u</w:t>
      </w:r>
      <w:r w:rsidRPr="005E1687">
        <w:t xml:space="preserve">nsaturated </w:t>
      </w:r>
      <w:r w:rsidR="00FD23B8">
        <w:t>f</w:t>
      </w:r>
      <w:r w:rsidRPr="005E1687">
        <w:t>low</w:t>
      </w:r>
      <w:bookmarkEnd w:id="482"/>
    </w:p>
    <w:p w:rsidR="005E1687" w:rsidRPr="005E1687" w:rsidRDefault="005E1687" w:rsidP="005E1687">
      <w:pPr>
        <w:pStyle w:val="BRNormal11pt0"/>
        <w:rPr>
          <w:lang w:val="en-GB"/>
        </w:rPr>
      </w:pPr>
      <w:r w:rsidRPr="005E1687">
        <w:rPr>
          <w:lang w:val="en-GB"/>
        </w:rPr>
        <w:t>As previously discussed, gas extraction involves three distinct flow process stages that propagate spatially from the well into the coal seam</w:t>
      </w:r>
      <w:r w:rsidR="007E38F7">
        <w:rPr>
          <w:lang w:val="en-GB"/>
        </w:rPr>
        <w:t xml:space="preserve">: </w:t>
      </w:r>
      <w:r w:rsidRPr="005E1687">
        <w:rPr>
          <w:lang w:val="en-GB"/>
        </w:rPr>
        <w:t>saturated single-phase water flow, unsaturated single-phase water flow, and dual-phase (water and gas) flow.</w:t>
      </w:r>
    </w:p>
    <w:p w:rsidR="005E1687" w:rsidRPr="005E1687" w:rsidRDefault="00B302C4" w:rsidP="005E1687">
      <w:pPr>
        <w:pStyle w:val="BRNormal11pt0"/>
        <w:rPr>
          <w:lang w:val="en-GB"/>
        </w:rPr>
      </w:pPr>
      <w:r>
        <w:rPr>
          <w:lang w:val="en-GB"/>
        </w:rPr>
        <w:t>T</w:t>
      </w:r>
      <w:r w:rsidR="005E1687" w:rsidRPr="005E1687">
        <w:rPr>
          <w:lang w:val="en-GB"/>
        </w:rPr>
        <w:t xml:space="preserve">o accurately model groundwater flow in the near-field, models need to account for multi-phase flow (i.e. either single or dual phases may be present) and variably saturated water flow (i.e. water flow may be saturated or unsaturated). Modelling regional groundwater impacts (i.e. in the far-field) may not require such behaviour to be modelled if the influence of dual phase flow and unsaturated flow are </w:t>
      </w:r>
      <w:r w:rsidR="00CB5093">
        <w:rPr>
          <w:lang w:val="en-GB"/>
        </w:rPr>
        <w:t>limited</w:t>
      </w:r>
      <w:r w:rsidR="00CB5093" w:rsidRPr="005E1687">
        <w:rPr>
          <w:lang w:val="en-GB"/>
        </w:rPr>
        <w:t xml:space="preserve"> </w:t>
      </w:r>
      <w:r w:rsidR="005E1687" w:rsidRPr="005E1687">
        <w:rPr>
          <w:lang w:val="en-GB"/>
        </w:rPr>
        <w:t>over the regional scale.</w:t>
      </w:r>
    </w:p>
    <w:p w:rsidR="00BD53B9" w:rsidRDefault="00BD53B9">
      <w:pPr>
        <w:autoSpaceDE/>
        <w:autoSpaceDN/>
        <w:rPr>
          <w:rFonts w:cs="Arial"/>
          <w:b/>
          <w:bCs/>
          <w:color w:val="1F497D" w:themeColor="text2"/>
          <w:sz w:val="30"/>
          <w:szCs w:val="30"/>
          <w:lang w:val="en-GB"/>
        </w:rPr>
      </w:pPr>
      <w:r>
        <w:br w:type="page"/>
      </w:r>
    </w:p>
    <w:p w:rsidR="005E1687" w:rsidRPr="005E1687" w:rsidRDefault="005E1687" w:rsidP="005E1687">
      <w:pPr>
        <w:pStyle w:val="Heading2"/>
      </w:pPr>
      <w:bookmarkStart w:id="483" w:name="_Toc402425298"/>
      <w:r w:rsidRPr="005E1687">
        <w:t xml:space="preserve">Geomechanical </w:t>
      </w:r>
      <w:r w:rsidR="00FD23B8">
        <w:t>e</w:t>
      </w:r>
      <w:r w:rsidRPr="005E1687">
        <w:t>ffects</w:t>
      </w:r>
      <w:bookmarkEnd w:id="483"/>
    </w:p>
    <w:p w:rsidR="005E1687" w:rsidRPr="005E1687" w:rsidRDefault="005E1687" w:rsidP="00A90F48">
      <w:pPr>
        <w:pStyle w:val="Listintrotext"/>
        <w:rPr>
          <w:lang w:val="en-GB"/>
        </w:rPr>
      </w:pPr>
      <w:r w:rsidRPr="005E1687">
        <w:rPr>
          <w:lang w:val="en-GB"/>
        </w:rPr>
        <w:t>During production, the permeability of coal may be modified in the following ways:</w:t>
      </w:r>
    </w:p>
    <w:p w:rsidR="005E1687" w:rsidRPr="005E1687" w:rsidRDefault="007E38F7" w:rsidP="007702DF">
      <w:pPr>
        <w:pStyle w:val="BRdotpoints"/>
        <w:rPr>
          <w:lang w:val="en-GB"/>
        </w:rPr>
      </w:pPr>
      <w:proofErr w:type="gramStart"/>
      <w:r>
        <w:rPr>
          <w:lang w:val="en-GB"/>
        </w:rPr>
        <w:t>r</w:t>
      </w:r>
      <w:r w:rsidR="005E1687" w:rsidRPr="005E1687">
        <w:rPr>
          <w:lang w:val="en-GB"/>
        </w:rPr>
        <w:t>eduction</w:t>
      </w:r>
      <w:proofErr w:type="gramEnd"/>
      <w:r w:rsidR="005E1687" w:rsidRPr="005E1687">
        <w:rPr>
          <w:lang w:val="en-GB"/>
        </w:rPr>
        <w:t xml:space="preserve"> of reservoir pressure (by pumping) causes reduction to the effective overburden stress and consequent closure of matrix fractures (matrix compaction), resulting in a reduction in the permeability of open fractures (cleats) within the coal (injection of water can result in the reverse phenomenon). Fracture apertures are typically sub-millimetre in scale</w:t>
      </w:r>
      <w:r w:rsidR="00736A86">
        <w:rPr>
          <w:lang w:val="en-GB"/>
        </w:rPr>
        <w:t>.</w:t>
      </w:r>
    </w:p>
    <w:p w:rsidR="005E1687" w:rsidRPr="005E1687" w:rsidRDefault="003F4A90" w:rsidP="007702DF">
      <w:pPr>
        <w:pStyle w:val="BRdotpoints"/>
        <w:rPr>
          <w:lang w:val="en-GB"/>
        </w:rPr>
      </w:pPr>
      <w:proofErr w:type="gramStart"/>
      <w:r>
        <w:rPr>
          <w:lang w:val="en-GB"/>
        </w:rPr>
        <w:t>d</w:t>
      </w:r>
      <w:r w:rsidR="005E1687" w:rsidRPr="005E1687">
        <w:rPr>
          <w:lang w:val="en-GB"/>
        </w:rPr>
        <w:t>esorption</w:t>
      </w:r>
      <w:proofErr w:type="gramEnd"/>
      <w:r w:rsidR="005E1687" w:rsidRPr="005E1687">
        <w:rPr>
          <w:lang w:val="en-GB"/>
        </w:rPr>
        <w:t xml:space="preserve"> of </w:t>
      </w:r>
      <w:r w:rsidR="003721DE">
        <w:rPr>
          <w:lang w:val="en-AU"/>
        </w:rPr>
        <w:t>coal seam gas</w:t>
      </w:r>
      <w:r w:rsidR="003721DE" w:rsidRPr="00E13ED7">
        <w:rPr>
          <w:lang w:val="en-AU"/>
        </w:rPr>
        <w:t xml:space="preserve"> </w:t>
      </w:r>
      <w:r w:rsidR="005E1687" w:rsidRPr="005E1687">
        <w:rPr>
          <w:lang w:val="en-GB"/>
        </w:rPr>
        <w:t>causes the coal matrix to shrink (re-adsorption causes it to expand). The shrinkage of the matrix results in increased fracture openings thereby increasing the permeability of open fractures (cleats). The amount of shrinkage depends on the volume of coal but is typically several millimetres or more.</w:t>
      </w:r>
    </w:p>
    <w:p w:rsidR="005E1687" w:rsidRPr="005E1687" w:rsidRDefault="005E1687" w:rsidP="006421C3">
      <w:pPr>
        <w:pStyle w:val="Post-listtext"/>
        <w:rPr>
          <w:lang w:val="en-GB"/>
        </w:rPr>
      </w:pPr>
      <w:r w:rsidRPr="005E1687">
        <w:rPr>
          <w:lang w:val="en-GB"/>
        </w:rPr>
        <w:t>Of the two permeability modification mechanisms, matrix compaction tends to dominate during the early stages of production (when large reductions in reservoir pressure yield small removal of gas), whereas matrix shrinkage tends to dominate during later stages of production (when large gas removal is associated with relatively small continuing reductions in reservoir pressure). Thus, the permeability of the coal typically reduces during the early stages of production, followed by a subsequent increase during later stages of production. Although early-stage dewatering contributes to a reduction in permeability and later-stage gas desorption contributes to an increase in permeability, both result in compaction of the coal seam and may contribute additively to ground subsidence.</w:t>
      </w:r>
    </w:p>
    <w:p w:rsidR="002A08C8" w:rsidRDefault="005E1687" w:rsidP="006421C3">
      <w:pPr>
        <w:pStyle w:val="BRNormal11pt0"/>
        <w:rPr>
          <w:lang w:val="en-GB"/>
        </w:rPr>
      </w:pPr>
      <w:r w:rsidRPr="005E1687">
        <w:rPr>
          <w:lang w:val="en-GB"/>
        </w:rPr>
        <w:t xml:space="preserve">Increased stress within coal seams (and other geological units) occurs as a result of </w:t>
      </w:r>
      <w:r w:rsidR="003F4A90">
        <w:rPr>
          <w:lang w:val="en-GB"/>
        </w:rPr>
        <w:t xml:space="preserve">a </w:t>
      </w:r>
      <w:r w:rsidRPr="005E1687">
        <w:rPr>
          <w:lang w:val="en-GB"/>
        </w:rPr>
        <w:t>reduction in groundwater level as the load previously carried by water pressure is transferred to the solid matrix. These increased stresses tend to close fractures, joints and cleats</w:t>
      </w:r>
      <w:r w:rsidR="003F4A90">
        <w:rPr>
          <w:lang w:val="en-GB"/>
        </w:rPr>
        <w:t>,</w:t>
      </w:r>
      <w:r w:rsidRPr="005E1687">
        <w:rPr>
          <w:lang w:val="en-GB"/>
        </w:rPr>
        <w:t xml:space="preserve"> resulting in a reduced permeability. Later stage desorption of methane also results in an increase in these effective stresses but the permeability increase that accompanies desorption is typically much larger than the overprinted permeability decrease due to effective stresses. Thus</w:t>
      </w:r>
      <w:r w:rsidR="003F4A90">
        <w:rPr>
          <w:lang w:val="en-GB"/>
        </w:rPr>
        <w:t>,</w:t>
      </w:r>
      <w:r w:rsidRPr="005E1687">
        <w:rPr>
          <w:lang w:val="en-GB"/>
        </w:rPr>
        <w:t xml:space="preserve"> a net permeability increase typically results during gas desorption at lower pressures (Izadi et al. </w:t>
      </w:r>
      <w:r w:rsidR="00B05B0A" w:rsidRPr="005E1687">
        <w:rPr>
          <w:lang w:val="en-GB"/>
        </w:rPr>
        <w:t>201</w:t>
      </w:r>
      <w:r w:rsidR="00B05B0A">
        <w:rPr>
          <w:lang w:val="en-GB"/>
        </w:rPr>
        <w:t>1</w:t>
      </w:r>
      <w:r w:rsidR="006C3069">
        <w:rPr>
          <w:lang w:val="en-GB"/>
        </w:rPr>
        <w:t>).</w:t>
      </w:r>
    </w:p>
    <w:p w:rsidR="005E1687" w:rsidRPr="005E1687" w:rsidRDefault="005E1687" w:rsidP="006421C3">
      <w:pPr>
        <w:pStyle w:val="BRNormal11pt0"/>
        <w:rPr>
          <w:lang w:val="en-GB"/>
        </w:rPr>
      </w:pPr>
      <w:r w:rsidRPr="005E1687">
        <w:rPr>
          <w:lang w:val="en-GB"/>
        </w:rPr>
        <w:t>Wu et al. (2011) discuss</w:t>
      </w:r>
      <w:r w:rsidR="002A08C8">
        <w:rPr>
          <w:lang w:val="en-GB"/>
        </w:rPr>
        <w:t>ed</w:t>
      </w:r>
      <w:r w:rsidRPr="005E1687">
        <w:rPr>
          <w:lang w:val="en-GB"/>
        </w:rPr>
        <w:t xml:space="preserve"> these processes</w:t>
      </w:r>
      <w:r w:rsidR="002A08C8">
        <w:rPr>
          <w:lang w:val="en-GB"/>
        </w:rPr>
        <w:t xml:space="preserve"> of </w:t>
      </w:r>
      <w:r w:rsidR="002A08C8" w:rsidRPr="005E1687">
        <w:rPr>
          <w:lang w:val="en-GB"/>
        </w:rPr>
        <w:t>this desorption response</w:t>
      </w:r>
      <w:r w:rsidRPr="005E1687">
        <w:rPr>
          <w:lang w:val="en-GB"/>
        </w:rPr>
        <w:t>, review</w:t>
      </w:r>
      <w:r w:rsidR="002A08C8">
        <w:rPr>
          <w:lang w:val="en-GB"/>
        </w:rPr>
        <w:t>ed</w:t>
      </w:r>
      <w:r w:rsidRPr="005E1687">
        <w:rPr>
          <w:lang w:val="en-GB"/>
        </w:rPr>
        <w:t xml:space="preserve"> background literature and present</w:t>
      </w:r>
      <w:r w:rsidR="002A08C8">
        <w:rPr>
          <w:lang w:val="en-GB"/>
        </w:rPr>
        <w:t>ed</w:t>
      </w:r>
      <w:r w:rsidRPr="005E1687">
        <w:rPr>
          <w:lang w:val="en-GB"/>
        </w:rPr>
        <w:t xml:space="preserve"> a model for analysis of methane recovery that incorporates the effects of shrinkage of coal from gas desorption, changes in permeability due to stress changes, dual phase flow, and stress changes in the coal. Wu et al. (2011) only deal</w:t>
      </w:r>
      <w:r w:rsidR="002A08C8">
        <w:rPr>
          <w:lang w:val="en-GB"/>
        </w:rPr>
        <w:t>t</w:t>
      </w:r>
      <w:r w:rsidRPr="005E1687">
        <w:rPr>
          <w:lang w:val="en-GB"/>
        </w:rPr>
        <w:t xml:space="preserve"> with gas pressure effects (not water)</w:t>
      </w:r>
      <w:r w:rsidR="002A08C8">
        <w:rPr>
          <w:lang w:val="en-GB"/>
        </w:rPr>
        <w:t>;</w:t>
      </w:r>
      <w:r w:rsidRPr="005E1687">
        <w:rPr>
          <w:lang w:val="en-GB"/>
        </w:rPr>
        <w:t xml:space="preserve"> however</w:t>
      </w:r>
      <w:r w:rsidR="002A08C8">
        <w:rPr>
          <w:lang w:val="en-GB"/>
        </w:rPr>
        <w:t>,</w:t>
      </w:r>
      <w:r w:rsidRPr="005E1687">
        <w:rPr>
          <w:lang w:val="en-GB"/>
        </w:rPr>
        <w:t xml:space="preserve"> the effects are analogous to those where water is present. Captur</w:t>
      </w:r>
      <w:r w:rsidR="002A08C8">
        <w:rPr>
          <w:lang w:val="en-GB"/>
        </w:rPr>
        <w:t>ing</w:t>
      </w:r>
      <w:r w:rsidRPr="005E1687">
        <w:rPr>
          <w:lang w:val="en-GB"/>
        </w:rPr>
        <w:t xml:space="preserve"> these processes </w:t>
      </w:r>
      <w:r w:rsidR="002A08C8">
        <w:rPr>
          <w:lang w:val="en-GB"/>
        </w:rPr>
        <w:t>in a model substantially</w:t>
      </w:r>
      <w:r w:rsidR="002A08C8" w:rsidRPr="005E1687">
        <w:rPr>
          <w:lang w:val="en-GB"/>
        </w:rPr>
        <w:t xml:space="preserve"> </w:t>
      </w:r>
      <w:r w:rsidRPr="005E1687">
        <w:rPr>
          <w:lang w:val="en-GB"/>
        </w:rPr>
        <w:t>increases the complexity of the model formulation and application is restricted to the behaviour in the vicinity of an individual extraction well.</w:t>
      </w:r>
    </w:p>
    <w:p w:rsidR="005E1687" w:rsidRPr="005E1687" w:rsidRDefault="005E1687" w:rsidP="006421C3">
      <w:pPr>
        <w:pStyle w:val="BRNormal11pt0"/>
        <w:rPr>
          <w:lang w:val="en-GB"/>
        </w:rPr>
      </w:pPr>
      <w:r w:rsidRPr="005E1687">
        <w:rPr>
          <w:lang w:val="en-GB"/>
        </w:rPr>
        <w:t xml:space="preserve">Figure </w:t>
      </w:r>
      <w:r w:rsidR="00A57CD1">
        <w:rPr>
          <w:lang w:val="en-GB"/>
        </w:rPr>
        <w:t>12</w:t>
      </w:r>
      <w:r w:rsidRPr="005E1687">
        <w:rPr>
          <w:lang w:val="en-GB"/>
        </w:rPr>
        <w:t xml:space="preserve"> (after Robertson </w:t>
      </w:r>
      <w:r w:rsidR="002A08C8">
        <w:rPr>
          <w:lang w:val="en-GB"/>
        </w:rPr>
        <w:t>&amp;</w:t>
      </w:r>
      <w:r w:rsidR="002A08C8" w:rsidRPr="005E1687">
        <w:rPr>
          <w:lang w:val="en-GB"/>
        </w:rPr>
        <w:t xml:space="preserve"> </w:t>
      </w:r>
      <w:r w:rsidRPr="005E1687">
        <w:rPr>
          <w:lang w:val="en-GB"/>
        </w:rPr>
        <w:t>Christiansen 2006) illustrates the modification in coal permeability due to pore pressure changes based on three different models. As depressurisation progresses (</w:t>
      </w:r>
      <w:r w:rsidR="002A08C8">
        <w:rPr>
          <w:lang w:val="en-GB"/>
        </w:rPr>
        <w:t xml:space="preserve">i.e. </w:t>
      </w:r>
      <w:proofErr w:type="gramStart"/>
      <w:r w:rsidRPr="005E1687">
        <w:rPr>
          <w:lang w:val="en-GB"/>
        </w:rPr>
        <w:t>pore</w:t>
      </w:r>
      <w:proofErr w:type="gramEnd"/>
      <w:r w:rsidRPr="005E1687">
        <w:rPr>
          <w:lang w:val="en-GB"/>
        </w:rPr>
        <w:t xml:space="preserve"> pressure decreases), a decrease in coal permeability occurs, after which the coal permeability rises. Of the models illustrated in Figure </w:t>
      </w:r>
      <w:r w:rsidR="00A57CD1">
        <w:rPr>
          <w:lang w:val="en-GB"/>
        </w:rPr>
        <w:t>12</w:t>
      </w:r>
      <w:r w:rsidRPr="005E1687">
        <w:rPr>
          <w:lang w:val="en-GB"/>
        </w:rPr>
        <w:t xml:space="preserve">, only the Robertson-Christiansen model incorporates the influence of effective stresses in the process of decreasing permeability with a decrease in gas or water pressure. The detail of the relationships illustrated in Figure </w:t>
      </w:r>
      <w:r w:rsidR="00A57CD1">
        <w:rPr>
          <w:lang w:val="en-GB"/>
        </w:rPr>
        <w:t>12</w:t>
      </w:r>
      <w:r w:rsidRPr="005E1687">
        <w:rPr>
          <w:lang w:val="en-GB"/>
        </w:rPr>
        <w:t xml:space="preserve"> </w:t>
      </w:r>
      <w:r w:rsidR="002A08C8">
        <w:rPr>
          <w:lang w:val="en-GB"/>
        </w:rPr>
        <w:t>would</w:t>
      </w:r>
      <w:r w:rsidR="002A08C8" w:rsidRPr="005E1687">
        <w:rPr>
          <w:lang w:val="en-GB"/>
        </w:rPr>
        <w:t xml:space="preserve"> </w:t>
      </w:r>
      <w:r w:rsidRPr="005E1687">
        <w:rPr>
          <w:lang w:val="en-GB"/>
        </w:rPr>
        <w:t>change according to the modulus (stiffness) of the coal, its structure (cleating), its porosity, initial gas content and gas sorption properties. In addition, these simple models of permeability increase with desorption depend on the initial gas pressure in the seam; at high initial gas pressures relative to the Langmuir pressure, a reduction in pressure may result in a decrease in permeability.</w:t>
      </w:r>
    </w:p>
    <w:p w:rsidR="005E1687" w:rsidRPr="005E1687" w:rsidRDefault="005E1687" w:rsidP="005E1687">
      <w:pPr>
        <w:rPr>
          <w:lang w:val="en-GB"/>
        </w:rPr>
      </w:pPr>
    </w:p>
    <w:p w:rsidR="005E1687" w:rsidRPr="005E1687" w:rsidRDefault="006421C3" w:rsidP="005E1687">
      <w:pPr>
        <w:rPr>
          <w:lang w:val="en-GB"/>
        </w:rPr>
      </w:pPr>
      <w:r>
        <w:rPr>
          <w:noProof/>
          <w:lang w:val="en-AU" w:eastAsia="en-AU"/>
        </w:rPr>
        <w:drawing>
          <wp:inline distT="0" distB="0" distL="0" distR="0">
            <wp:extent cx="4170045" cy="3206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0045" cy="3206750"/>
                    </a:xfrm>
                    <a:prstGeom prst="rect">
                      <a:avLst/>
                    </a:prstGeom>
                    <a:noFill/>
                  </pic:spPr>
                </pic:pic>
              </a:graphicData>
            </a:graphic>
          </wp:inline>
        </w:drawing>
      </w:r>
    </w:p>
    <w:p w:rsidR="00A57CD1" w:rsidRDefault="00A57CD1" w:rsidP="00154A6A">
      <w:pPr>
        <w:pStyle w:val="BelowTableFigureText9pt"/>
      </w:pPr>
      <w:r>
        <w:t xml:space="preserve">* </w:t>
      </w:r>
      <w:proofErr w:type="gramStart"/>
      <w:r w:rsidRPr="005E1687">
        <w:t>k/k0</w:t>
      </w:r>
      <w:proofErr w:type="gramEnd"/>
      <w:r w:rsidRPr="005E1687">
        <w:t xml:space="preserve"> is the ratio of the current permeability to the initial permeability at a pore pressure of 1100 psi.</w:t>
      </w:r>
    </w:p>
    <w:p w:rsidR="00A57CD1" w:rsidRDefault="00A57CD1"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12</w:t>
      </w:r>
      <w:r w:rsidR="00E252C4" w:rsidRPr="005A4936">
        <w:fldChar w:fldCharType="end"/>
      </w:r>
      <w:r>
        <w:t xml:space="preserve"> </w:t>
      </w:r>
      <w:r w:rsidR="005E1687" w:rsidRPr="005E1687">
        <w:t xml:space="preserve">Permeability </w:t>
      </w:r>
      <w:r>
        <w:t>m</w:t>
      </w:r>
      <w:r w:rsidR="005E1687" w:rsidRPr="005E1687">
        <w:t xml:space="preserve">odification of </w:t>
      </w:r>
      <w:r>
        <w:t>c</w:t>
      </w:r>
      <w:r w:rsidR="005E1687" w:rsidRPr="005E1687">
        <w:t xml:space="preserve">oal due to </w:t>
      </w:r>
      <w:r>
        <w:t>p</w:t>
      </w:r>
      <w:r w:rsidR="005E1687" w:rsidRPr="005E1687">
        <w:t xml:space="preserve">ore </w:t>
      </w:r>
      <w:r>
        <w:t>p</w:t>
      </w:r>
      <w:r w:rsidR="005E1687" w:rsidRPr="005E1687">
        <w:t xml:space="preserve">ressure </w:t>
      </w:r>
      <w:r>
        <w:t>c</w:t>
      </w:r>
      <w:r w:rsidR="005E1687" w:rsidRPr="005E1687">
        <w:t xml:space="preserve">hanges </w:t>
      </w:r>
      <w:r>
        <w:t>p</w:t>
      </w:r>
      <w:r w:rsidR="005E1687" w:rsidRPr="005E1687">
        <w:t xml:space="preserve">redicted by </w:t>
      </w:r>
      <w:r>
        <w:t>t</w:t>
      </w:r>
      <w:r w:rsidR="005E1687" w:rsidRPr="005E1687">
        <w:t xml:space="preserve">hree </w:t>
      </w:r>
      <w:r>
        <w:t>d</w:t>
      </w:r>
      <w:r w:rsidR="005E1687" w:rsidRPr="005E1687">
        <w:t xml:space="preserve">ifferent </w:t>
      </w:r>
      <w:r>
        <w:t>m</w:t>
      </w:r>
      <w:r w:rsidR="005E1687" w:rsidRPr="005E1687">
        <w:t>odels (</w:t>
      </w:r>
      <w:r>
        <w:rPr>
          <w:rFonts w:cs="Arial"/>
        </w:rPr>
        <w:t>©</w:t>
      </w:r>
      <w:r>
        <w:t xml:space="preserve"> Copyright, </w:t>
      </w:r>
      <w:r w:rsidR="005E1687" w:rsidRPr="005E1687">
        <w:t xml:space="preserve">Robertson </w:t>
      </w:r>
      <w:r>
        <w:t>&amp;</w:t>
      </w:r>
      <w:r w:rsidRPr="005E1687">
        <w:t xml:space="preserve"> </w:t>
      </w:r>
      <w:r w:rsidR="009F3F2B">
        <w:t>Christiansen 2006)</w:t>
      </w:r>
    </w:p>
    <w:p w:rsidR="005E1687" w:rsidRPr="005E1687" w:rsidRDefault="005E1687" w:rsidP="006421C3">
      <w:pPr>
        <w:pStyle w:val="Heading2"/>
      </w:pPr>
      <w:bookmarkStart w:id="484" w:name="_Toc402425299"/>
      <w:r w:rsidRPr="005E1687">
        <w:t xml:space="preserve">Hydraulic </w:t>
      </w:r>
      <w:r w:rsidR="00FD23B8">
        <w:t>f</w:t>
      </w:r>
      <w:r w:rsidRPr="005E1687">
        <w:t>racturing</w:t>
      </w:r>
      <w:bookmarkEnd w:id="484"/>
    </w:p>
    <w:p w:rsidR="005E1687" w:rsidRPr="005E1687" w:rsidRDefault="005E1687" w:rsidP="006421C3">
      <w:pPr>
        <w:pStyle w:val="BRNormal11pt0"/>
        <w:rPr>
          <w:lang w:val="en-GB"/>
        </w:rPr>
      </w:pPr>
      <w:r w:rsidRPr="005E1687">
        <w:rPr>
          <w:lang w:val="en-GB"/>
        </w:rPr>
        <w:t xml:space="preserve">The purpose of hydraulic fracturing is to increase the permeability of, and the extent of hydraulic connection within, target coal seams. Hydraulic fracturing is typically undertaken prior to production, but is sometimes conducted during the production phase in an attempt to increase production. Modelling should take into account permeability changes induced by hydraulic </w:t>
      </w:r>
      <w:proofErr w:type="gramStart"/>
      <w:r w:rsidRPr="005E1687">
        <w:rPr>
          <w:lang w:val="en-GB"/>
        </w:rPr>
        <w:t>fracturing,</w:t>
      </w:r>
      <w:proofErr w:type="gramEnd"/>
      <w:r w:rsidRPr="005E1687">
        <w:rPr>
          <w:lang w:val="en-GB"/>
        </w:rPr>
        <w:t xml:space="preserve"> as such changes to permeability may both increase groundwater flow within the aquifer system and cause hydraulic connection between the coal seam and over- or underlying stratigraphic units.</w:t>
      </w:r>
    </w:p>
    <w:p w:rsidR="005E1687" w:rsidRPr="005E1687" w:rsidRDefault="005E1687" w:rsidP="006421C3">
      <w:pPr>
        <w:pStyle w:val="Heading2"/>
      </w:pPr>
      <w:bookmarkStart w:id="485" w:name="_Toc402425300"/>
      <w:r w:rsidRPr="005E1687">
        <w:t xml:space="preserve">Solute </w:t>
      </w:r>
      <w:r w:rsidR="00FD23B8">
        <w:t>t</w:t>
      </w:r>
      <w:r w:rsidRPr="005E1687">
        <w:t>ransport</w:t>
      </w:r>
      <w:bookmarkEnd w:id="485"/>
    </w:p>
    <w:p w:rsidR="005E1687" w:rsidRPr="005E1687" w:rsidRDefault="005E1687" w:rsidP="006421C3">
      <w:pPr>
        <w:pStyle w:val="BRNormal11pt0"/>
        <w:rPr>
          <w:lang w:val="en-GB"/>
        </w:rPr>
      </w:pPr>
      <w:r w:rsidRPr="005E1687">
        <w:rPr>
          <w:lang w:val="en-GB"/>
        </w:rPr>
        <w:t xml:space="preserve">It can be important to predict the transport of dissolved substances (solutes) within groundwater (such as salts) under </w:t>
      </w:r>
      <w:r w:rsidR="003721DE">
        <w:rPr>
          <w:lang w:val="en-AU"/>
        </w:rPr>
        <w:t>coal seam gas</w:t>
      </w:r>
      <w:r w:rsidR="003721DE" w:rsidRPr="00E13ED7">
        <w:rPr>
          <w:lang w:val="en-AU"/>
        </w:rPr>
        <w:t xml:space="preserve"> </w:t>
      </w:r>
      <w:r w:rsidRPr="005E1687">
        <w:rPr>
          <w:lang w:val="en-GB"/>
        </w:rPr>
        <w:t xml:space="preserve">operations. Transport (migration) of solutes under </w:t>
      </w:r>
      <w:r w:rsidR="003721DE">
        <w:rPr>
          <w:lang w:val="en-AU"/>
        </w:rPr>
        <w:t>coal seam gas</w:t>
      </w:r>
      <w:r w:rsidR="003721DE" w:rsidRPr="00E13ED7">
        <w:rPr>
          <w:lang w:val="en-AU"/>
        </w:rPr>
        <w:t xml:space="preserve"> </w:t>
      </w:r>
      <w:r w:rsidRPr="005E1687">
        <w:rPr>
          <w:lang w:val="en-GB"/>
        </w:rPr>
        <w:t>operations may be useful in the following contexts:</w:t>
      </w:r>
    </w:p>
    <w:p w:rsidR="005E1687" w:rsidRPr="005E1687" w:rsidRDefault="00832DED" w:rsidP="007702DF">
      <w:pPr>
        <w:pStyle w:val="BRdotpoints"/>
        <w:rPr>
          <w:lang w:val="en-GB"/>
        </w:rPr>
      </w:pPr>
      <w:proofErr w:type="gramStart"/>
      <w:r>
        <w:rPr>
          <w:lang w:val="en-GB"/>
        </w:rPr>
        <w:t>t</w:t>
      </w:r>
      <w:r w:rsidR="005E1687" w:rsidRPr="005E1687">
        <w:rPr>
          <w:lang w:val="en-GB"/>
        </w:rPr>
        <w:t>he</w:t>
      </w:r>
      <w:proofErr w:type="gramEnd"/>
      <w:r w:rsidR="005E1687" w:rsidRPr="005E1687">
        <w:rPr>
          <w:lang w:val="en-GB"/>
        </w:rPr>
        <w:t xml:space="preserve"> groundwater extracted from aquifers under </w:t>
      </w:r>
      <w:r w:rsidR="003721DE">
        <w:rPr>
          <w:lang w:val="en-AU"/>
        </w:rPr>
        <w:t>coal seam gas</w:t>
      </w:r>
      <w:r w:rsidR="003721DE" w:rsidRPr="00E13ED7">
        <w:rPr>
          <w:lang w:val="en-AU"/>
        </w:rPr>
        <w:t xml:space="preserve"> </w:t>
      </w:r>
      <w:r w:rsidR="005E1687" w:rsidRPr="005E1687">
        <w:rPr>
          <w:lang w:val="en-GB"/>
        </w:rPr>
        <w:t>production may be saline, rendering it unsuitable for certain uses. Predicting the groundwater quality of produced water can be useful for assessing potential uses or likely treatment options for produced water</w:t>
      </w:r>
    </w:p>
    <w:p w:rsidR="005E1687" w:rsidRPr="005E1687" w:rsidRDefault="00832DED" w:rsidP="007702DF">
      <w:pPr>
        <w:pStyle w:val="BRdotpoints"/>
        <w:rPr>
          <w:lang w:val="en-GB"/>
        </w:rPr>
      </w:pPr>
      <w:proofErr w:type="gramStart"/>
      <w:r>
        <w:rPr>
          <w:lang w:val="en-GB"/>
        </w:rPr>
        <w:t>i</w:t>
      </w:r>
      <w:r w:rsidR="005E1687" w:rsidRPr="005E1687">
        <w:rPr>
          <w:lang w:val="en-GB"/>
        </w:rPr>
        <w:t>f</w:t>
      </w:r>
      <w:proofErr w:type="gramEnd"/>
      <w:r w:rsidR="005E1687" w:rsidRPr="005E1687">
        <w:rPr>
          <w:lang w:val="en-GB"/>
        </w:rPr>
        <w:t xml:space="preserve"> there is hydraulic connection between aquifers adjacent to that under which </w:t>
      </w:r>
      <w:r w:rsidR="003721DE">
        <w:rPr>
          <w:lang w:val="en-AU"/>
        </w:rPr>
        <w:t>coal seam gas</w:t>
      </w:r>
      <w:r w:rsidR="003721DE" w:rsidRPr="00E13ED7">
        <w:rPr>
          <w:lang w:val="en-AU"/>
        </w:rPr>
        <w:t xml:space="preserve"> </w:t>
      </w:r>
      <w:r w:rsidR="005E1687" w:rsidRPr="005E1687">
        <w:rPr>
          <w:lang w:val="en-GB"/>
        </w:rPr>
        <w:t xml:space="preserve">extraction takes place, groundwater quality in those adjacent aquifers may be impacted by the water quality in aquifers undergoing extraction (e.g. saline water drawn into shallow aquifers due to </w:t>
      </w:r>
      <w:r w:rsidR="003721DE">
        <w:rPr>
          <w:lang w:val="en-AU"/>
        </w:rPr>
        <w:t>coal seam gas</w:t>
      </w:r>
      <w:r w:rsidR="003721DE" w:rsidRPr="00E13ED7">
        <w:rPr>
          <w:lang w:val="en-AU"/>
        </w:rPr>
        <w:t xml:space="preserve"> </w:t>
      </w:r>
      <w:r w:rsidR="005E1687" w:rsidRPr="005E1687">
        <w:rPr>
          <w:lang w:val="en-GB"/>
        </w:rPr>
        <w:t>operations). Impact assessment may include prediction of the potential impact of operations on the groundwater quality of adjacent aquifers.</w:t>
      </w:r>
    </w:p>
    <w:p w:rsidR="005E1687" w:rsidRPr="005E1687" w:rsidRDefault="00832DED" w:rsidP="007702DF">
      <w:pPr>
        <w:pStyle w:val="BRdotpoints"/>
        <w:rPr>
          <w:lang w:val="en-GB"/>
        </w:rPr>
      </w:pPr>
      <w:proofErr w:type="gramStart"/>
      <w:r>
        <w:rPr>
          <w:lang w:val="en-GB"/>
        </w:rPr>
        <w:t>h</w:t>
      </w:r>
      <w:r w:rsidR="005E1687" w:rsidRPr="005E1687">
        <w:rPr>
          <w:lang w:val="en-GB"/>
        </w:rPr>
        <w:t>ydraulic</w:t>
      </w:r>
      <w:proofErr w:type="gramEnd"/>
      <w:r w:rsidR="005E1687" w:rsidRPr="005E1687">
        <w:rPr>
          <w:lang w:val="en-GB"/>
        </w:rPr>
        <w:t xml:space="preserve"> fracturing fluids may include additives whose migration is of concern. Impact assessment may include prediction of the potential migration of contaminant compounds within hydraulic fracturing fluids.</w:t>
      </w:r>
    </w:p>
    <w:p w:rsidR="005E1687" w:rsidRPr="005E1687" w:rsidRDefault="0063320B" w:rsidP="007702DF">
      <w:pPr>
        <w:pStyle w:val="BRdotpoints"/>
        <w:rPr>
          <w:lang w:val="en-GB"/>
        </w:rPr>
      </w:pPr>
      <w:proofErr w:type="gramStart"/>
      <w:r>
        <w:rPr>
          <w:lang w:val="en-GB"/>
        </w:rPr>
        <w:t>i</w:t>
      </w:r>
      <w:r w:rsidR="005E1687" w:rsidRPr="005E1687">
        <w:rPr>
          <w:lang w:val="en-GB"/>
        </w:rPr>
        <w:t>njection</w:t>
      </w:r>
      <w:proofErr w:type="gramEnd"/>
      <w:r w:rsidR="005E1687" w:rsidRPr="005E1687">
        <w:rPr>
          <w:lang w:val="en-GB"/>
        </w:rPr>
        <w:t xml:space="preserve"> of untreated produced water may alter the groundwater quality of aquifers in the vicinity of the points of injection. For example, untreated produced water may possess higher salinity than native groundwater.</w:t>
      </w:r>
    </w:p>
    <w:p w:rsidR="005E1687" w:rsidRPr="005E1687" w:rsidRDefault="005E1687" w:rsidP="006421C3">
      <w:pPr>
        <w:pStyle w:val="Heading2"/>
      </w:pPr>
      <w:bookmarkStart w:id="486" w:name="_Toc402425301"/>
      <w:r w:rsidRPr="005E1687">
        <w:t xml:space="preserve">Surface </w:t>
      </w:r>
      <w:r w:rsidR="00FD23B8">
        <w:t>w</w:t>
      </w:r>
      <w:r w:rsidRPr="005E1687">
        <w:t>ater</w:t>
      </w:r>
      <w:r w:rsidR="00FD23B8">
        <w:t xml:space="preserve"> </w:t>
      </w:r>
      <w:r w:rsidR="00100B5F">
        <w:t>and</w:t>
      </w:r>
      <w:r w:rsidR="00FD23B8">
        <w:t xml:space="preserve"> g</w:t>
      </w:r>
      <w:r w:rsidRPr="005E1687">
        <w:t xml:space="preserve">roundwater </w:t>
      </w:r>
      <w:r w:rsidR="00FD23B8">
        <w:t>i</w:t>
      </w:r>
      <w:r w:rsidRPr="005E1687">
        <w:t>nteraction</w:t>
      </w:r>
      <w:bookmarkEnd w:id="486"/>
    </w:p>
    <w:p w:rsidR="005E1687" w:rsidRPr="005E1687" w:rsidRDefault="005E1687" w:rsidP="006421C3">
      <w:pPr>
        <w:pStyle w:val="BRNormal11pt0"/>
        <w:rPr>
          <w:lang w:val="en-GB"/>
        </w:rPr>
      </w:pPr>
      <w:r w:rsidRPr="005E1687">
        <w:rPr>
          <w:lang w:val="en-GB"/>
        </w:rPr>
        <w:t xml:space="preserve">Due to the extraction of groundwater during </w:t>
      </w:r>
      <w:r w:rsidR="003721DE">
        <w:rPr>
          <w:lang w:val="en-AU"/>
        </w:rPr>
        <w:t>coal seam gas</w:t>
      </w:r>
      <w:r w:rsidR="003721DE" w:rsidRPr="00E13ED7">
        <w:rPr>
          <w:lang w:val="en-AU"/>
        </w:rPr>
        <w:t xml:space="preserve"> </w:t>
      </w:r>
      <w:r w:rsidRPr="005E1687">
        <w:rPr>
          <w:lang w:val="en-GB"/>
        </w:rPr>
        <w:t xml:space="preserve">production, </w:t>
      </w:r>
      <w:r w:rsidR="003721DE">
        <w:rPr>
          <w:lang w:val="en-AU"/>
        </w:rPr>
        <w:t>coal seam gas</w:t>
      </w:r>
      <w:r w:rsidR="003721DE" w:rsidRPr="00E13ED7">
        <w:rPr>
          <w:lang w:val="en-AU"/>
        </w:rPr>
        <w:t xml:space="preserve"> </w:t>
      </w:r>
      <w:r w:rsidRPr="005E1687">
        <w:rPr>
          <w:lang w:val="en-GB"/>
        </w:rPr>
        <w:t>operations may impact surface water resources by modifying the interaction between surface waters and groundwater. Interaction between surface water and groundwater involves any interaction between aquifers and rivers</w:t>
      </w:r>
      <w:r w:rsidR="00E503B0">
        <w:rPr>
          <w:lang w:val="en-GB"/>
        </w:rPr>
        <w:t>,</w:t>
      </w:r>
      <w:r w:rsidRPr="005E1687">
        <w:rPr>
          <w:lang w:val="en-GB"/>
        </w:rPr>
        <w:t xml:space="preserve"> streams, lakes,</w:t>
      </w:r>
      <w:r w:rsidR="00E503B0">
        <w:rPr>
          <w:lang w:val="en-GB"/>
        </w:rPr>
        <w:t xml:space="preserve"> </w:t>
      </w:r>
      <w:r w:rsidRPr="005E1687">
        <w:rPr>
          <w:lang w:val="en-GB"/>
        </w:rPr>
        <w:t>seas, wetlands, marshes, swamps</w:t>
      </w:r>
      <w:r w:rsidR="00E503B0">
        <w:rPr>
          <w:lang w:val="en-GB"/>
        </w:rPr>
        <w:t>,</w:t>
      </w:r>
      <w:r w:rsidRPr="005E1687">
        <w:rPr>
          <w:lang w:val="en-GB"/>
        </w:rPr>
        <w:t xml:space="preserve"> estuaries</w:t>
      </w:r>
      <w:r w:rsidR="00E503B0">
        <w:rPr>
          <w:lang w:val="en-GB"/>
        </w:rPr>
        <w:t xml:space="preserve"> and so on</w:t>
      </w:r>
      <w:r w:rsidRPr="005E1687">
        <w:rPr>
          <w:lang w:val="en-GB"/>
        </w:rPr>
        <w:t>.</w:t>
      </w:r>
    </w:p>
    <w:p w:rsidR="005E1687" w:rsidRPr="005E1687" w:rsidRDefault="005E1687" w:rsidP="006421C3">
      <w:pPr>
        <w:pStyle w:val="BRNormal11pt0"/>
        <w:rPr>
          <w:lang w:val="en-GB"/>
        </w:rPr>
      </w:pPr>
      <w:r w:rsidRPr="005E1687">
        <w:rPr>
          <w:lang w:val="en-GB"/>
        </w:rPr>
        <w:t xml:space="preserve">When surface waters are not </w:t>
      </w:r>
      <w:r w:rsidR="00CB5093">
        <w:rPr>
          <w:lang w:val="en-GB"/>
        </w:rPr>
        <w:t>substantially</w:t>
      </w:r>
      <w:r w:rsidR="00CB5093" w:rsidRPr="005E1687">
        <w:rPr>
          <w:lang w:val="en-GB"/>
        </w:rPr>
        <w:t xml:space="preserve"> </w:t>
      </w:r>
      <w:r w:rsidRPr="005E1687">
        <w:rPr>
          <w:lang w:val="en-GB"/>
        </w:rPr>
        <w:t xml:space="preserve">affected by groundwater flow exchange, models that represent surface waters by standard boundary conditions are expected to be sufficient to adequately model behaviour. </w:t>
      </w:r>
      <w:proofErr w:type="gramStart"/>
      <w:r w:rsidRPr="005E1687">
        <w:rPr>
          <w:lang w:val="en-GB"/>
        </w:rPr>
        <w:t>However, when surface waters are affected by groundwater flow exchange (e.g. changing from a gaining to a losing stream), a coupled surface water-groundwater modelling approach may be required.</w:t>
      </w:r>
      <w:proofErr w:type="gramEnd"/>
      <w:r w:rsidRPr="005E1687">
        <w:rPr>
          <w:lang w:val="en-GB"/>
        </w:rPr>
        <w:t xml:space="preserve"> The </w:t>
      </w:r>
      <w:r w:rsidR="005A0FA0" w:rsidRPr="005A0FA0">
        <w:rPr>
          <w:i/>
          <w:lang w:val="en-GB"/>
        </w:rPr>
        <w:t>Australian groundwater modelling guidelines</w:t>
      </w:r>
      <w:r w:rsidRPr="005E1687">
        <w:rPr>
          <w:lang w:val="en-GB"/>
        </w:rPr>
        <w:t xml:space="preserve"> (Barnett et al. 2012) provide guidance on suitable modelling approaches for surface water-groundwater interaction. Rassam et al. (2012), Rassam and Werner (2008) and Rassam et al. (2008) also provide useful guidance.</w:t>
      </w:r>
    </w:p>
    <w:p w:rsidR="005E1687" w:rsidRPr="005E1687" w:rsidRDefault="005E1687" w:rsidP="006421C3">
      <w:pPr>
        <w:pStyle w:val="Heading2"/>
      </w:pPr>
      <w:bookmarkStart w:id="487" w:name="_Toc402425302"/>
      <w:r w:rsidRPr="005E1687">
        <w:t xml:space="preserve">Anisotropic </w:t>
      </w:r>
      <w:r w:rsidR="00FD23B8">
        <w:t>n</w:t>
      </w:r>
      <w:r w:rsidRPr="005E1687">
        <w:t xml:space="preserve">ature of </w:t>
      </w:r>
      <w:r w:rsidR="00FD23B8">
        <w:t>c</w:t>
      </w:r>
      <w:r w:rsidRPr="005E1687">
        <w:t>oal</w:t>
      </w:r>
      <w:bookmarkEnd w:id="487"/>
    </w:p>
    <w:p w:rsidR="005E1687" w:rsidRPr="005E1687" w:rsidRDefault="005E1687" w:rsidP="006421C3">
      <w:pPr>
        <w:pStyle w:val="BRNormal11pt0"/>
        <w:rPr>
          <w:lang w:val="en-GB"/>
        </w:rPr>
      </w:pPr>
      <w:r w:rsidRPr="005E1687">
        <w:rPr>
          <w:lang w:val="en-GB"/>
        </w:rPr>
        <w:t xml:space="preserve">Coal is anisotropic due to the orientation of the cleats. The face cleats are aligned in one direction and typically have higher permeability than the butt cleats. The horizontal permeability in the direction of face cleats (Kf) is typically </w:t>
      </w:r>
      <w:r w:rsidR="00092E93">
        <w:rPr>
          <w:lang w:val="en-GB"/>
        </w:rPr>
        <w:t>five</w:t>
      </w:r>
      <w:r w:rsidR="004277FC" w:rsidRPr="005E1687">
        <w:rPr>
          <w:lang w:val="en-GB"/>
        </w:rPr>
        <w:t xml:space="preserve"> </w:t>
      </w:r>
      <w:r w:rsidRPr="005E1687">
        <w:rPr>
          <w:lang w:val="en-GB"/>
        </w:rPr>
        <w:t xml:space="preserve">to </w:t>
      </w:r>
      <w:r w:rsidR="00100B5F">
        <w:rPr>
          <w:lang w:val="en-GB"/>
        </w:rPr>
        <w:t>ten</w:t>
      </w:r>
      <w:r w:rsidR="004277FC" w:rsidRPr="005E1687">
        <w:rPr>
          <w:lang w:val="en-GB"/>
        </w:rPr>
        <w:t xml:space="preserve"> </w:t>
      </w:r>
      <w:r w:rsidRPr="005E1687">
        <w:rPr>
          <w:lang w:val="en-GB"/>
        </w:rPr>
        <w:t xml:space="preserve">times higher than the horizontal permeability in the direction of butt cleats (Kb), as shown in Figure </w:t>
      </w:r>
      <w:r w:rsidR="004277FC">
        <w:rPr>
          <w:lang w:val="en-GB"/>
        </w:rPr>
        <w:t>13</w:t>
      </w:r>
      <w:r w:rsidRPr="005E1687">
        <w:rPr>
          <w:lang w:val="en-GB"/>
        </w:rPr>
        <w:t>. Further, the vertical permeability (bedding-perpendicular, Kv) is typically lower than the horizontal permeability (bedding-parallel, in either horizontal direction) (Massarotto et al. 2003). Coal therefore exhibits both horizontal and vertical anisotropy. Anisotropy is also present in other fractured rock media and is mainly controlled by the geometry of the fracture population.</w:t>
      </w:r>
    </w:p>
    <w:p w:rsidR="005E1687" w:rsidRPr="005E1687" w:rsidRDefault="005E1687" w:rsidP="006421C3">
      <w:pPr>
        <w:pStyle w:val="BRNormal11pt0"/>
        <w:rPr>
          <w:lang w:val="en-GB"/>
        </w:rPr>
      </w:pPr>
      <w:r w:rsidRPr="005E1687">
        <w:rPr>
          <w:lang w:val="en-GB"/>
        </w:rPr>
        <w:t>Modelling of groundwater flow through coal seams therefore requires consideration of both the horizontal and vertical anisotropic nature of coal. The modelling tools widely used for regional groundwater impact assessment are capable of routinely accounting for the anisotropic nature of coal.</w:t>
      </w:r>
    </w:p>
    <w:p w:rsidR="005E1687" w:rsidRPr="005E1687" w:rsidRDefault="00E57E0A" w:rsidP="005E1687">
      <w:pPr>
        <w:rPr>
          <w:lang w:val="en-GB"/>
        </w:rPr>
      </w:pPr>
      <w:r>
        <w:rPr>
          <w:b/>
          <w:noProof/>
          <w:lang w:val="en-AU" w:eastAsia="en-AU"/>
        </w:rPr>
        <w:drawing>
          <wp:inline distT="0" distB="0" distL="0" distR="0">
            <wp:extent cx="5755640" cy="303004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jpg"/>
                    <pic:cNvPicPr/>
                  </pic:nvPicPr>
                  <pic:blipFill rotWithShape="1">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55640" cy="30300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5E1687" w:rsidRPr="005E1687">
        <w:rPr>
          <w:lang w:val="en-GB"/>
        </w:rPr>
        <w:t xml:space="preserve"> </w:t>
      </w:r>
    </w:p>
    <w:p w:rsidR="0074418A" w:rsidRDefault="0074418A" w:rsidP="00154A6A">
      <w:pPr>
        <w:pStyle w:val="BelowTableFigureText9pt"/>
      </w:pPr>
      <w:r>
        <w:t xml:space="preserve">* </w:t>
      </w:r>
      <w:r w:rsidRPr="005E1687">
        <w:t xml:space="preserve">Kf </w:t>
      </w:r>
      <w:r>
        <w:t xml:space="preserve">= </w:t>
      </w:r>
      <w:r w:rsidRPr="005E1687">
        <w:t>horizontal permeability in the direction of face cleats</w:t>
      </w:r>
      <w:r>
        <w:t>;</w:t>
      </w:r>
      <w:r w:rsidRPr="005E1687">
        <w:t xml:space="preserve"> Kb</w:t>
      </w:r>
      <w:r>
        <w:t xml:space="preserve"> =</w:t>
      </w:r>
      <w:r w:rsidRPr="005E1687">
        <w:t xml:space="preserve"> horizontal permeability in the direction of butt cleats</w:t>
      </w:r>
      <w:r>
        <w:t xml:space="preserve">; </w:t>
      </w:r>
      <w:r w:rsidRPr="005E1687">
        <w:t>Kv</w:t>
      </w:r>
      <w:r>
        <w:t xml:space="preserve"> =</w:t>
      </w:r>
      <w:r w:rsidRPr="005E1687">
        <w:t xml:space="preserve"> vertical perm</w:t>
      </w:r>
      <w:r>
        <w:t>eability (bedding-perpendicular).</w:t>
      </w:r>
      <w:r w:rsidRPr="005E1687">
        <w:t xml:space="preserve"> </w:t>
      </w:r>
    </w:p>
    <w:p w:rsidR="005E1687" w:rsidRPr="005E1687" w:rsidRDefault="004277FC"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13</w:t>
      </w:r>
      <w:r w:rsidR="00E252C4" w:rsidRPr="005A4936">
        <w:fldChar w:fldCharType="end"/>
      </w:r>
      <w:r>
        <w:t xml:space="preserve"> </w:t>
      </w:r>
      <w:r w:rsidR="005E1687" w:rsidRPr="005E1687">
        <w:t xml:space="preserve">Permeability </w:t>
      </w:r>
      <w:r>
        <w:t>a</w:t>
      </w:r>
      <w:r w:rsidR="005E1687" w:rsidRPr="005E1687">
        <w:t xml:space="preserve">nisotropy of </w:t>
      </w:r>
      <w:r>
        <w:t>c</w:t>
      </w:r>
      <w:r w:rsidR="005E1687" w:rsidRPr="005E1687">
        <w:t>oal</w:t>
      </w:r>
    </w:p>
    <w:p w:rsidR="0093202E" w:rsidRDefault="0093202E" w:rsidP="00A90F48">
      <w:pPr>
        <w:pStyle w:val="Listintrotext"/>
      </w:pPr>
    </w:p>
    <w:p w:rsidR="0093202E" w:rsidRPr="002F0D22" w:rsidRDefault="005A0FA0" w:rsidP="001E6DBD">
      <w:pPr>
        <w:pStyle w:val="Heading1"/>
      </w:pPr>
      <w:bookmarkStart w:id="488" w:name="_Toc402425303"/>
      <w:r w:rsidRPr="002F0D22">
        <w:t>Development of subsidence</w:t>
      </w:r>
      <w:bookmarkEnd w:id="488"/>
    </w:p>
    <w:p w:rsidR="00973D19" w:rsidRDefault="00973D19" w:rsidP="00973D19">
      <w:pPr>
        <w:pStyle w:val="Heading2"/>
      </w:pPr>
      <w:bookmarkStart w:id="489" w:name="_Toc402425304"/>
      <w:r>
        <w:t>Mechanism</w:t>
      </w:r>
      <w:bookmarkEnd w:id="489"/>
    </w:p>
    <w:p w:rsidR="00973D19" w:rsidRPr="00FD6096" w:rsidRDefault="00A623D4" w:rsidP="00A90F48">
      <w:pPr>
        <w:pStyle w:val="Listintrotext"/>
      </w:pPr>
      <w:r>
        <w:t>S</w:t>
      </w:r>
      <w:r w:rsidR="00973D19" w:rsidRPr="00FD6096">
        <w:t>ubsidence due to fluid withdrawal occurs when fluid pressures in a</w:t>
      </w:r>
      <w:r>
        <w:t xml:space="preserve"> geologic unit</w:t>
      </w:r>
      <w:r w:rsidR="00973D19" w:rsidRPr="00FD6096">
        <w:t xml:space="preserve"> decrease. The fluid can be water and/or gas</w:t>
      </w:r>
      <w:r>
        <w:t>, and the geologic units affected can be aquifers or aquitards</w:t>
      </w:r>
      <w:r w:rsidR="00973D19" w:rsidRPr="00FD6096">
        <w:t xml:space="preserve">. </w:t>
      </w:r>
      <w:r w:rsidR="005A0FA0" w:rsidRPr="005A0FA0">
        <w:t>When a decrease in fluid pressure occurs, compression may result</w:t>
      </w:r>
      <w:r>
        <w:t xml:space="preserve"> in compaction</w:t>
      </w:r>
      <w:r w:rsidR="005A0FA0" w:rsidRPr="005A0FA0">
        <w:t xml:space="preserve"> via the following processes:</w:t>
      </w:r>
    </w:p>
    <w:p w:rsidR="00973D19" w:rsidRPr="00FD6096" w:rsidRDefault="005A0FA0" w:rsidP="007702DF">
      <w:pPr>
        <w:pStyle w:val="BRdotpoints"/>
      </w:pPr>
      <w:r w:rsidRPr="005A0FA0">
        <w:t xml:space="preserve">the load carried by the aquifer skeleton increases, causing </w:t>
      </w:r>
      <w:r w:rsidR="00A623D4">
        <w:t>compaction</w:t>
      </w:r>
      <w:r w:rsidRPr="005A0FA0">
        <w:t xml:space="preserve"> of the skeleton (a mechanical process)</w:t>
      </w:r>
    </w:p>
    <w:p w:rsidR="00973D19" w:rsidRPr="00FD6096" w:rsidRDefault="005A0FA0" w:rsidP="007702DF">
      <w:pPr>
        <w:pStyle w:val="FinalDotPoint"/>
      </w:pPr>
      <w:proofErr w:type="gramStart"/>
      <w:r w:rsidRPr="005A0FA0">
        <w:t>for</w:t>
      </w:r>
      <w:proofErr w:type="gramEnd"/>
      <w:r w:rsidRPr="005A0FA0">
        <w:t xml:space="preserve"> some aquifer types (such as coal), solid phase material can transform to gaseous phase and escape, thereby shrinking the aquifer skeleton (a thermodynamic process).</w:t>
      </w:r>
    </w:p>
    <w:p w:rsidR="00973D19" w:rsidRPr="00FD6096" w:rsidRDefault="005A0FA0" w:rsidP="00A90F48">
      <w:pPr>
        <w:pStyle w:val="Listintrotext"/>
      </w:pPr>
      <w:r w:rsidRPr="005A0FA0">
        <w:t xml:space="preserve">The total </w:t>
      </w:r>
      <w:r w:rsidR="00BE08E5">
        <w:t xml:space="preserve">observed </w:t>
      </w:r>
      <w:r w:rsidR="00A623D4">
        <w:t>compaction</w:t>
      </w:r>
      <w:r w:rsidRPr="005A0FA0">
        <w:t xml:space="preserve"> is a sum of these two processes and mostly occurs in a vertical direction. The subsidence seen at ground surface is some component of the total </w:t>
      </w:r>
      <w:r w:rsidR="00A623D4">
        <w:t>compaction in each layer</w:t>
      </w:r>
      <w:r w:rsidRPr="005A0FA0">
        <w:t>, and depends on:</w:t>
      </w:r>
    </w:p>
    <w:p w:rsidR="008864DB" w:rsidRPr="00FD6096" w:rsidRDefault="008864DB" w:rsidP="007702DF">
      <w:pPr>
        <w:pStyle w:val="BRdotpoints"/>
      </w:pPr>
      <w:r w:rsidRPr="005A0FA0">
        <w:t xml:space="preserve">the depth and interval over which compression </w:t>
      </w:r>
      <w:r w:rsidR="0091309C">
        <w:t xml:space="preserve">resulting in compaction </w:t>
      </w:r>
      <w:r w:rsidRPr="005A0FA0">
        <w:t>occurs</w:t>
      </w:r>
    </w:p>
    <w:p w:rsidR="008864DB" w:rsidRPr="00FD6096" w:rsidRDefault="008864DB" w:rsidP="007702DF">
      <w:pPr>
        <w:pStyle w:val="BRdotpoints"/>
      </w:pPr>
      <w:r w:rsidRPr="005A0FA0">
        <w:t>the spatial extent and distribution of this compression</w:t>
      </w:r>
      <w:r w:rsidR="0091309C">
        <w:t xml:space="preserve"> resulting in compaction</w:t>
      </w:r>
    </w:p>
    <w:p w:rsidR="008864DB" w:rsidRPr="00FD6096" w:rsidRDefault="008864DB" w:rsidP="007702DF">
      <w:pPr>
        <w:pStyle w:val="FinalDotPoint"/>
      </w:pPr>
      <w:r w:rsidRPr="005A0FA0">
        <w:t>the geotechnical properties of the materials throughout the depth profile</w:t>
      </w:r>
      <w:r>
        <w:t xml:space="preserve"> (which d</w:t>
      </w:r>
      <w:r w:rsidR="0091309C">
        <w:t>etermine response to compression</w:t>
      </w:r>
      <w:r>
        <w:t>)</w:t>
      </w:r>
    </w:p>
    <w:p w:rsidR="00973D19" w:rsidRPr="00FD6096" w:rsidRDefault="005A0FA0" w:rsidP="007702DF">
      <w:pPr>
        <w:pStyle w:val="BRdotpoints"/>
      </w:pPr>
      <w:proofErr w:type="gramStart"/>
      <w:r w:rsidRPr="005A0FA0">
        <w:t>the</w:t>
      </w:r>
      <w:proofErr w:type="gramEnd"/>
      <w:r w:rsidRPr="005A0FA0">
        <w:t xml:space="preserve"> total amount and direction of </w:t>
      </w:r>
      <w:r w:rsidR="008864DB">
        <w:t>compaction.</w:t>
      </w:r>
    </w:p>
    <w:p w:rsidR="00973D19" w:rsidRDefault="00215C84" w:rsidP="00973D19">
      <w:pPr>
        <w:pStyle w:val="BRNormal11pt0"/>
      </w:pPr>
      <w:r>
        <w:t>Subsidence</w:t>
      </w:r>
      <w:r w:rsidR="00973D19">
        <w:t xml:space="preserve"> can be both reversible (elastic) and irreversible (non-elastic), depending on the material and structure</w:t>
      </w:r>
      <w:r>
        <w:t>,</w:t>
      </w:r>
      <w:r w:rsidR="00973D19">
        <w:t xml:space="preserve"> and the amount of deformation that occurs during compression</w:t>
      </w:r>
      <w:r>
        <w:t xml:space="preserve">. Response to </w:t>
      </w:r>
      <w:r w:rsidR="00973D19">
        <w:t xml:space="preserve">compression is heavily dependent on the history of the </w:t>
      </w:r>
      <w:r>
        <w:t>geologic unit</w:t>
      </w:r>
      <w:r w:rsidR="00973D19">
        <w:t xml:space="preserve"> (</w:t>
      </w:r>
      <w:r>
        <w:t>over</w:t>
      </w:r>
      <w:r w:rsidR="00973D19">
        <w:t xml:space="preserve"> geologic time).</w:t>
      </w:r>
    </w:p>
    <w:p w:rsidR="00973D19" w:rsidRDefault="0091309C" w:rsidP="00973D19">
      <w:pPr>
        <w:pStyle w:val="Heading2"/>
      </w:pPr>
      <w:bookmarkStart w:id="490" w:name="_Toc402425305"/>
      <w:r>
        <w:t>Compaction</w:t>
      </w:r>
      <w:r w:rsidR="00973D19">
        <w:t xml:space="preserve"> of the </w:t>
      </w:r>
      <w:r w:rsidR="00FD23B8">
        <w:t>t</w:t>
      </w:r>
      <w:r w:rsidR="00973D19">
        <w:t xml:space="preserve">arget </w:t>
      </w:r>
      <w:r w:rsidR="00FD23B8">
        <w:t>c</w:t>
      </w:r>
      <w:r w:rsidR="00973D19">
        <w:t xml:space="preserve">oal </w:t>
      </w:r>
      <w:r w:rsidR="00FD23B8">
        <w:t>s</w:t>
      </w:r>
      <w:r w:rsidR="00973D19">
        <w:t>eam</w:t>
      </w:r>
      <w:bookmarkEnd w:id="490"/>
    </w:p>
    <w:p w:rsidR="00973D19" w:rsidRDefault="00973D19" w:rsidP="00973D19">
      <w:pPr>
        <w:pStyle w:val="BRNormal11pt0"/>
      </w:pPr>
      <w:r>
        <w:t xml:space="preserve">A coal seam is an aquifer that is prone not only to mechanical compression, but also to changes in volume due to changes in phase (gas/liquid/solid) of its constituents. </w:t>
      </w:r>
      <w:r w:rsidR="00987036">
        <w:t>Coal seam gas</w:t>
      </w:r>
      <w:r>
        <w:t xml:space="preserve"> production involves extraction of methane gas that was previously sorbed </w:t>
      </w:r>
      <w:r w:rsidR="0091309C">
        <w:t>to</w:t>
      </w:r>
      <w:r>
        <w:t xml:space="preserve"> the solid phase in the coal, and results in shrinkage of the coal seam. Shrinkage from this process is highly variable but can reach in excess of </w:t>
      </w:r>
      <w:r w:rsidR="002F0D22">
        <w:t>one</w:t>
      </w:r>
      <w:r w:rsidR="00987036">
        <w:t xml:space="preserve"> per cent</w:t>
      </w:r>
      <w:r>
        <w:t xml:space="preserve"> vertically, which translates to a </w:t>
      </w:r>
      <w:r w:rsidR="00215C84">
        <w:t>subsidence of</w:t>
      </w:r>
      <w:r>
        <w:t xml:space="preserve"> 30</w:t>
      </w:r>
      <w:r w:rsidR="007B4D2A">
        <w:t> </w:t>
      </w:r>
      <w:r>
        <w:t xml:space="preserve">mm </w:t>
      </w:r>
      <w:r w:rsidR="00215C84">
        <w:t xml:space="preserve">at the top of </w:t>
      </w:r>
      <w:r>
        <w:t>a 3</w:t>
      </w:r>
      <w:r w:rsidR="007B4D2A">
        <w:t> </w:t>
      </w:r>
      <w:r>
        <w:t>m thick coal seam. The coal seam also undergoes mechanical comp</w:t>
      </w:r>
      <w:r w:rsidR="00215C84">
        <w:t>action</w:t>
      </w:r>
      <w:r>
        <w:t xml:space="preserve"> and so the total </w:t>
      </w:r>
      <w:r w:rsidR="00215C84">
        <w:t>subsidence (at the top of the coal seam)</w:t>
      </w:r>
      <w:r>
        <w:t xml:space="preserve"> is the sum of the shrinkage due to gas withdrawal and the mechanical comp</w:t>
      </w:r>
      <w:r w:rsidR="0091309C">
        <w:t>action</w:t>
      </w:r>
      <w:r>
        <w:t xml:space="preserve"> from fluid drawdown.</w:t>
      </w:r>
    </w:p>
    <w:p w:rsidR="00973D19" w:rsidRDefault="00973D19" w:rsidP="00973D19">
      <w:pPr>
        <w:pStyle w:val="BRNormal11pt0"/>
      </w:pPr>
      <w:r>
        <w:t>Field scale measurements of desorption-induced strain are not known, however laboratory measurements are common (see Figure</w:t>
      </w:r>
      <w:r w:rsidR="007B4D2A">
        <w:t> </w:t>
      </w:r>
      <w:r>
        <w:t xml:space="preserve">24). Sorption-induced </w:t>
      </w:r>
      <w:r w:rsidR="003532F3">
        <w:t>compaction</w:t>
      </w:r>
      <w:r>
        <w:t xml:space="preserve"> has been measured i</w:t>
      </w:r>
      <w:r w:rsidR="002F0D22">
        <w:t>n laboratory studies at around one</w:t>
      </w:r>
      <w:r w:rsidR="0063379F">
        <w:t xml:space="preserve"> per cent</w:t>
      </w:r>
      <w:r>
        <w:t xml:space="preserve"> (for carbon dioxide and methane combined) (Robertson 2005).</w:t>
      </w:r>
    </w:p>
    <w:p w:rsidR="00EA421C" w:rsidRDefault="00EA421C">
      <w:pPr>
        <w:autoSpaceDE/>
        <w:autoSpaceDN/>
        <w:rPr>
          <w:rFonts w:cs="Arial"/>
          <w:b/>
          <w:bCs/>
          <w:color w:val="1F497D" w:themeColor="text2"/>
          <w:sz w:val="30"/>
          <w:szCs w:val="30"/>
          <w:lang w:val="en-GB"/>
        </w:rPr>
      </w:pPr>
      <w:r>
        <w:br w:type="page"/>
      </w:r>
    </w:p>
    <w:p w:rsidR="00973D19" w:rsidRDefault="00600E84" w:rsidP="00973D19">
      <w:pPr>
        <w:pStyle w:val="Heading2"/>
      </w:pPr>
      <w:bookmarkStart w:id="491" w:name="_Toc402425306"/>
      <w:r>
        <w:t>Drawdown</w:t>
      </w:r>
      <w:r w:rsidR="00973D19">
        <w:t xml:space="preserve"> </w:t>
      </w:r>
      <w:r w:rsidR="00FD23B8">
        <w:t>z</w:t>
      </w:r>
      <w:r w:rsidR="00973D19">
        <w:t xml:space="preserve">one of </w:t>
      </w:r>
      <w:r w:rsidR="00FD23B8">
        <w:t>i</w:t>
      </w:r>
      <w:r w:rsidR="00973D19">
        <w:t>nfluence</w:t>
      </w:r>
      <w:bookmarkEnd w:id="491"/>
    </w:p>
    <w:p w:rsidR="001269A4" w:rsidRDefault="001269A4" w:rsidP="001269A4">
      <w:pPr>
        <w:pStyle w:val="Post-listtext"/>
      </w:pPr>
      <w:r>
        <w:t xml:space="preserve">When aquifer fluid depressurisation occurs </w:t>
      </w:r>
      <w:r w:rsidRPr="00973D19">
        <w:t>due</w:t>
      </w:r>
      <w:r>
        <w:t xml:space="preserve"> to </w:t>
      </w:r>
      <w:r>
        <w:rPr>
          <w:lang w:val="en-AU"/>
        </w:rPr>
        <w:t>coal seam gas</w:t>
      </w:r>
      <w:r w:rsidRPr="00E13ED7">
        <w:rPr>
          <w:lang w:val="en-AU"/>
        </w:rPr>
        <w:t xml:space="preserve"> </w:t>
      </w:r>
      <w:r>
        <w:t>production, the amount of depressurisation is greatest within the coal seam, and decreases moving away (vertically and laterally) from the zone of depressurisation. The difference between the initial (pre</w:t>
      </w:r>
      <w:r>
        <w:noBreakHyphen/>
        <w:t>pumping) pressure distribution in the subsurface and the pressure distribution at some time after pumping starts is known as the drawdown. The three-dimensional drawdown pattern (zone of influence) for layered sedimentary rock sequences (for example from pumping over a finite well screen interval at depth) is similar to an elliptical shape (in plane-view), with the exact shape and size of the zone of influence generally controlled by aquifer and aquitard permeability. The hydraulic storage characteristics of the subsurface also influence the amount of drawdown. In general, for a continuous groundwater system the drawdown at the water table is influenced by the specific yield and is generally much less than the drawdown in the interior of the subsurface, which is influenced by the specific storage (which is usually much smaller than the specific yield). The centre of the zone of influence occurs at the point of pumping. All material within the drawdown zone of influence will experience compression of some kind but some materials (generally high porosity materials such as clays and silts) are more susceptible to compaction than others.</w:t>
      </w:r>
    </w:p>
    <w:p w:rsidR="00973D19" w:rsidRDefault="00973D19" w:rsidP="00973D19">
      <w:pPr>
        <w:pStyle w:val="BRNormal11pt0"/>
      </w:pPr>
      <w:r>
        <w:t xml:space="preserve">The groundwater drawdown zone of influence can extend far beyond the well location in the coal seam, in both horizontal and vertical directions. The zone of influence continues increasing until the rate of pumping equals the rate of recharge to the zone of influence from other sources. In typical Australian </w:t>
      </w:r>
      <w:r w:rsidR="003721DE">
        <w:rPr>
          <w:lang w:val="en-AU"/>
        </w:rPr>
        <w:t>coal seam gas</w:t>
      </w:r>
      <w:r w:rsidR="003721DE" w:rsidRPr="00E13ED7">
        <w:rPr>
          <w:lang w:val="en-AU"/>
        </w:rPr>
        <w:t xml:space="preserve"> </w:t>
      </w:r>
      <w:r>
        <w:t xml:space="preserve">settings, the strata undergoing </w:t>
      </w:r>
      <w:r w:rsidR="003532F3">
        <w:t>most compaction</w:t>
      </w:r>
      <w:r>
        <w:t xml:space="preserve"> within th</w:t>
      </w:r>
      <w:r w:rsidR="0063379F">
        <w:t>e</w:t>
      </w:r>
      <w:r>
        <w:t xml:space="preserve"> zone of influence are typically sandstones and claystones; however, unconsolidated materials (soil) at the surface are very common and igneous rocks may also be present. However, in typical Australian </w:t>
      </w:r>
      <w:r w:rsidR="003721DE">
        <w:rPr>
          <w:lang w:val="en-AU"/>
        </w:rPr>
        <w:t>coal seam gas</w:t>
      </w:r>
      <w:r w:rsidR="003721DE" w:rsidRPr="00E13ED7">
        <w:rPr>
          <w:lang w:val="en-AU"/>
        </w:rPr>
        <w:t xml:space="preserve"> </w:t>
      </w:r>
      <w:r>
        <w:t>scenarios</w:t>
      </w:r>
      <w:r w:rsidR="0063379F">
        <w:t>,</w:t>
      </w:r>
      <w:r>
        <w:t xml:space="preserve"> the target coal seams </w:t>
      </w:r>
      <w:r w:rsidRPr="0020215A">
        <w:t>typically</w:t>
      </w:r>
      <w:r>
        <w:t xml:space="preserve"> underlie unlithified sediments.</w:t>
      </w:r>
    </w:p>
    <w:p w:rsidR="00973D19" w:rsidRDefault="001269A4" w:rsidP="00973D19">
      <w:pPr>
        <w:pStyle w:val="BRNormal11pt0"/>
      </w:pPr>
      <w:r>
        <w:t>Compaction</w:t>
      </w:r>
      <w:r w:rsidR="00973D19">
        <w:t xml:space="preserve"> will occur to some degree in any </w:t>
      </w:r>
      <w:r w:rsidR="00600E84">
        <w:t>geologic unit</w:t>
      </w:r>
      <w:r w:rsidR="00973D19">
        <w:t xml:space="preserve"> that is </w:t>
      </w:r>
      <w:r w:rsidR="003532F3">
        <w:t>depressurized in the zone of influence</w:t>
      </w:r>
      <w:r w:rsidR="00600E84">
        <w:t>, but is greatest in high porosity materials</w:t>
      </w:r>
      <w:r w:rsidR="00973D19">
        <w:t>. If there is sufficient hydraulic connection between the target coal seam(s) and the overlying and/or underlying geological units, then those units may also be depressurised, leading to additional comp</w:t>
      </w:r>
      <w:r w:rsidR="00600E84">
        <w:t>action</w:t>
      </w:r>
      <w:r w:rsidR="00973D19">
        <w:t xml:space="preserve"> of strata overlying and/or underlying the target coal seam(s).</w:t>
      </w:r>
    </w:p>
    <w:p w:rsidR="0093202E" w:rsidRDefault="00973D19" w:rsidP="00973D19">
      <w:pPr>
        <w:pStyle w:val="BRNormal11pt0"/>
      </w:pPr>
      <w:r>
        <w:t xml:space="preserve">In cases where coal seam gas production is located in the vicinity of (previous) longwall coal mining, the ground may be in a pre-disturbed condition, resulting in higher permeabilities and compressibilities that may amplify the </w:t>
      </w:r>
      <w:r w:rsidR="00600E84">
        <w:t>amount</w:t>
      </w:r>
      <w:r>
        <w:t xml:space="preserve"> of subsidence.</w:t>
      </w:r>
    </w:p>
    <w:p w:rsidR="00973D19" w:rsidRDefault="00973D19" w:rsidP="001E6DBD">
      <w:pPr>
        <w:pStyle w:val="Heading1"/>
      </w:pPr>
      <w:bookmarkStart w:id="492" w:name="_Toc402425307"/>
      <w:r w:rsidRPr="00973D19">
        <w:t xml:space="preserve">Subsidence - </w:t>
      </w:r>
      <w:r w:rsidR="00FD23B8">
        <w:t>i</w:t>
      </w:r>
      <w:r w:rsidRPr="00973D19">
        <w:t xml:space="preserve">nternational </w:t>
      </w:r>
      <w:r w:rsidR="00FD23B8">
        <w:t>e</w:t>
      </w:r>
      <w:r w:rsidRPr="00973D19">
        <w:t>xperience</w:t>
      </w:r>
      <w:bookmarkEnd w:id="492"/>
    </w:p>
    <w:p w:rsidR="00973D19" w:rsidRDefault="00973D19" w:rsidP="00973D19">
      <w:pPr>
        <w:pStyle w:val="Heading2"/>
      </w:pPr>
      <w:bookmarkStart w:id="493" w:name="_Toc402425308"/>
      <w:r>
        <w:t xml:space="preserve">Subsidence and </w:t>
      </w:r>
      <w:r w:rsidR="00FD23B8">
        <w:t>g</w:t>
      </w:r>
      <w:r>
        <w:t xml:space="preserve">roundwater </w:t>
      </w:r>
      <w:r w:rsidR="00FD23B8">
        <w:t>e</w:t>
      </w:r>
      <w:r>
        <w:t>xtraction</w:t>
      </w:r>
      <w:bookmarkEnd w:id="493"/>
    </w:p>
    <w:p w:rsidR="00973D19" w:rsidRDefault="00973D19" w:rsidP="00973D19">
      <w:pPr>
        <w:pStyle w:val="BRNormal11pt0"/>
      </w:pPr>
      <w:r>
        <w:t>The development of subsidence in response to groundwater extraction is well known. The importance of groundwater withdrawal in inducing ground surface settlement is clearly illustrated by a review of available case histories of subsidence.</w:t>
      </w:r>
    </w:p>
    <w:p w:rsidR="00EC12A3" w:rsidRDefault="00973D19" w:rsidP="00EC12A3">
      <w:pPr>
        <w:pStyle w:val="Listintrotext"/>
      </w:pPr>
      <w:r>
        <w:t>Subsidence may be related to</w:t>
      </w:r>
      <w:r w:rsidR="00EC12A3">
        <w:t>:</w:t>
      </w:r>
    </w:p>
    <w:p w:rsidR="00EC12A3" w:rsidRDefault="00973D19" w:rsidP="007702DF">
      <w:pPr>
        <w:pStyle w:val="BRdotpoints"/>
      </w:pPr>
      <w:r>
        <w:t>groundwater extraction due to agriculture</w:t>
      </w:r>
    </w:p>
    <w:p w:rsidR="00EC12A3" w:rsidRDefault="00973D19" w:rsidP="007702DF">
      <w:pPr>
        <w:pStyle w:val="BRdotpoints"/>
      </w:pPr>
      <w:r>
        <w:t>groundwater extraction associated with oil, gas and coal seam gas extraction</w:t>
      </w:r>
    </w:p>
    <w:p w:rsidR="00EC12A3" w:rsidRDefault="00973D19" w:rsidP="007702DF">
      <w:pPr>
        <w:pStyle w:val="BRdotpoints"/>
      </w:pPr>
      <w:proofErr w:type="gramStart"/>
      <w:r>
        <w:t>groundwater</w:t>
      </w:r>
      <w:proofErr w:type="gramEnd"/>
      <w:r>
        <w:t xml:space="preserve"> extraction due to mining. </w:t>
      </w:r>
    </w:p>
    <w:p w:rsidR="00973D19" w:rsidRDefault="00973D19" w:rsidP="00EC12A3">
      <w:pPr>
        <w:pStyle w:val="Post-listtext"/>
      </w:pPr>
      <w:r>
        <w:t>Subsidence related to the withdrawal of fluids from the subsurface is typically substantially less disruptive than that due to mining itself. The following sections discuss each of these individually.</w:t>
      </w:r>
    </w:p>
    <w:p w:rsidR="00973D19" w:rsidRDefault="00973D19" w:rsidP="00973D19">
      <w:pPr>
        <w:pStyle w:val="BRNormal11pt0"/>
      </w:pPr>
      <w:r>
        <w:t>There are numerous examples of substantial settlements associated with long</w:t>
      </w:r>
      <w:r w:rsidR="00EC12A3">
        <w:t>-</w:t>
      </w:r>
      <w:r>
        <w:t xml:space="preserve">term groundwater extraction. These examples of subsidence assess conditions </w:t>
      </w:r>
      <w:r w:rsidR="00EC12A3">
        <w:t xml:space="preserve">that </w:t>
      </w:r>
      <w:r>
        <w:t xml:space="preserve">are quite different from those occurring in the vicinity of coal seam gas developments. These examples are included firstly because a number of them are well known, and secondly so that the differences between these examples and the potential for </w:t>
      </w:r>
      <w:r w:rsidR="00EC12A3">
        <w:t>coal seam gas</w:t>
      </w:r>
      <w:r>
        <w:t xml:space="preserve"> related subsidence can be clarified.</w:t>
      </w:r>
    </w:p>
    <w:p w:rsidR="00973D19" w:rsidRDefault="00973D19" w:rsidP="00A90F48">
      <w:pPr>
        <w:pStyle w:val="Listintrotext"/>
      </w:pPr>
      <w:r>
        <w:t xml:space="preserve">The examples discussed in this section relate to conditions typically characterised by very deep soil profiles with groundwater level changes within these soils. The process of subsidence </w:t>
      </w:r>
      <w:r w:rsidRPr="00973D19">
        <w:t>development</w:t>
      </w:r>
      <w:r>
        <w:t xml:space="preserve"> is similar to that which would occur in relation to coal seam gas extraction, but the magnitudes of settlement are far greater due to either or both of the following:</w:t>
      </w:r>
    </w:p>
    <w:p w:rsidR="00973D19" w:rsidRDefault="00EC12A3" w:rsidP="007702DF">
      <w:pPr>
        <w:pStyle w:val="BRdotpoints"/>
      </w:pPr>
      <w:r>
        <w:t>t</w:t>
      </w:r>
      <w:r w:rsidR="00973D19">
        <w:t>he more compressible nature of the soil profile involved compared with the mainly sedimentary rock profile typically overlying coal seams targeted for coal seam gas extraction in Australia</w:t>
      </w:r>
    </w:p>
    <w:p w:rsidR="00973D19" w:rsidRDefault="00EC12A3" w:rsidP="007702DF">
      <w:pPr>
        <w:pStyle w:val="BRdotpoints"/>
      </w:pPr>
      <w:proofErr w:type="gramStart"/>
      <w:r>
        <w:t>t</w:t>
      </w:r>
      <w:r w:rsidR="00973D19">
        <w:t>he</w:t>
      </w:r>
      <w:proofErr w:type="gramEnd"/>
      <w:r w:rsidR="00973D19">
        <w:t xml:space="preserve"> large depth and large thicknesses of the depressurised strata in the examples.</w:t>
      </w:r>
    </w:p>
    <w:p w:rsidR="00973D19" w:rsidRDefault="00973D19" w:rsidP="00973D19">
      <w:pPr>
        <w:pStyle w:val="Heading2"/>
      </w:pPr>
      <w:bookmarkStart w:id="494" w:name="_Toc402425309"/>
      <w:r>
        <w:t xml:space="preserve">Subsidence </w:t>
      </w:r>
      <w:r w:rsidR="00FD23B8">
        <w:t>c</w:t>
      </w:r>
      <w:r>
        <w:t xml:space="preserve">ase </w:t>
      </w:r>
      <w:r w:rsidR="00FD23B8">
        <w:t>h</w:t>
      </w:r>
      <w:r>
        <w:t>istories</w:t>
      </w:r>
      <w:bookmarkEnd w:id="494"/>
    </w:p>
    <w:p w:rsidR="00973D19" w:rsidRDefault="00973D19" w:rsidP="00973D19">
      <w:pPr>
        <w:pStyle w:val="BRNormal11pt0"/>
      </w:pPr>
      <w:r>
        <w:t xml:space="preserve">Poland (1984) summarised 42 subsidence areas worldwide recorded from 1975 to 1978. That database lists subsidence in areas of wide ranging geological settings. Table </w:t>
      </w:r>
      <w:r w:rsidR="009A1188">
        <w:t>2</w:t>
      </w:r>
      <w:r>
        <w:t xml:space="preserve"> lists selected examples from cases reported by Poland (1984). These examples have varying drivers for groundwater withdrawal, such as irrigation and industrial water demand, and mine dewatering. Subsidence at Ravenna</w:t>
      </w:r>
      <w:r w:rsidR="00857550">
        <w:t xml:space="preserve"> in the Po </w:t>
      </w:r>
      <w:proofErr w:type="gramStart"/>
      <w:r w:rsidR="00857550">
        <w:t xml:space="preserve">Delta </w:t>
      </w:r>
      <w:r w:rsidR="00311206">
        <w:t>,</w:t>
      </w:r>
      <w:r w:rsidR="00857550">
        <w:t>Italy</w:t>
      </w:r>
      <w:proofErr w:type="gramEnd"/>
      <w:r w:rsidR="00311206">
        <w:t>,</w:t>
      </w:r>
      <w:r>
        <w:t xml:space="preserve"> was also influenced by conventional onshore gas withdrawal</w:t>
      </w:r>
      <w:r w:rsidR="00EC12A3">
        <w:t>.</w:t>
      </w:r>
      <w:r>
        <w:t xml:space="preserve"> </w:t>
      </w:r>
      <w:r w:rsidR="00EC12A3">
        <w:t>V</w:t>
      </w:r>
      <w:r>
        <w:t>arious authors have undertaken assessments to determine the respective influences of groundwater withdrawal and gas removal to the total subsidence (for example, Gambolati et al</w:t>
      </w:r>
      <w:r w:rsidR="00EC12A3">
        <w:t>.</w:t>
      </w:r>
      <w:r>
        <w:t xml:space="preserve"> 1991). The examples involve depressurisation of unlithified sediments</w:t>
      </w:r>
      <w:r w:rsidR="00327EC9">
        <w:t>.</w:t>
      </w:r>
      <w:r>
        <w:t xml:space="preserve"> </w:t>
      </w:r>
      <w:r w:rsidR="00327EC9">
        <w:t xml:space="preserve">These </w:t>
      </w:r>
      <w:r>
        <w:t>sediment types are provided for some examples in Table</w:t>
      </w:r>
      <w:r w:rsidR="00A811AB">
        <w:t> </w:t>
      </w:r>
      <w:r w:rsidR="009A1188">
        <w:t>2</w:t>
      </w:r>
      <w:r>
        <w:t>.</w:t>
      </w:r>
    </w:p>
    <w:p w:rsidR="00973D19" w:rsidRDefault="00973D19" w:rsidP="00973D19">
      <w:pPr>
        <w:pStyle w:val="BRNormal11pt0"/>
      </w:pPr>
      <w:r>
        <w:t xml:space="preserve">The range of recorded subsidence in that database varies from minor casing protrusion in Bangkok </w:t>
      </w:r>
      <w:r w:rsidR="00327EC9">
        <w:t>(</w:t>
      </w:r>
      <w:r>
        <w:t>Thailand</w:t>
      </w:r>
      <w:r w:rsidR="00327EC9">
        <w:t>)</w:t>
      </w:r>
      <w:r>
        <w:t xml:space="preserve"> to 0.15 m in Venice </w:t>
      </w:r>
      <w:r w:rsidR="00327EC9">
        <w:t>(</w:t>
      </w:r>
      <w:r>
        <w:t>Italy</w:t>
      </w:r>
      <w:r w:rsidR="00327EC9">
        <w:t>)</w:t>
      </w:r>
      <w:r>
        <w:t xml:space="preserve">, to 15 m in the Cheshire district </w:t>
      </w:r>
      <w:r w:rsidR="00BB36E4">
        <w:t>(</w:t>
      </w:r>
      <w:r>
        <w:t>Great Britain</w:t>
      </w:r>
      <w:r w:rsidR="00BB36E4">
        <w:t>)</w:t>
      </w:r>
      <w:r>
        <w:t>. In terms of the areal extent of subsidence, recorded data ranges from 10 km</w:t>
      </w:r>
      <w:r w:rsidR="005A0FA0" w:rsidRPr="005A0FA0">
        <w:rPr>
          <w:vertAlign w:val="superscript"/>
        </w:rPr>
        <w:t>2</w:t>
      </w:r>
      <w:r>
        <w:t xml:space="preserve"> in San Jacinto Valley to 13</w:t>
      </w:r>
      <w:r w:rsidR="00327EC9">
        <w:t> </w:t>
      </w:r>
      <w:r>
        <w:t>500 km</w:t>
      </w:r>
      <w:r w:rsidR="005A0FA0" w:rsidRPr="005A0FA0">
        <w:rPr>
          <w:vertAlign w:val="superscript"/>
        </w:rPr>
        <w:t>2</w:t>
      </w:r>
      <w:r>
        <w:t xml:space="preserve"> in the San Joaquin Valley, both in California (US). </w:t>
      </w:r>
    </w:p>
    <w:p w:rsidR="00973D19" w:rsidRDefault="00973D19" w:rsidP="00973D19">
      <w:pPr>
        <w:pStyle w:val="BRNormal11pt0"/>
      </w:pPr>
      <w:r>
        <w:t xml:space="preserve">Subsidence due to groundwater withdrawal develops under two main contrasting classes of geological condition (Poland 1984). Carbonate rocks overlain by unconsolidated deposits or old sinkholes filled with unconsolidated deposits are two cases that </w:t>
      </w:r>
      <w:r w:rsidR="00BB36E4">
        <w:t xml:space="preserve">are </w:t>
      </w:r>
      <w:r>
        <w:t>grouped in</w:t>
      </w:r>
      <w:r w:rsidR="00324332">
        <w:t xml:space="preserve"> Poland’s (1984)</w:t>
      </w:r>
      <w:r>
        <w:t xml:space="preserve"> first </w:t>
      </w:r>
      <w:r w:rsidR="00324332">
        <w:t xml:space="preserve">class of </w:t>
      </w:r>
      <w:r>
        <w:t>geological condition. In both cases, unconsolidated deposits receive buoyant support from the groundwater body. With decreasing groundwater level, the buoyant support reduce</w:t>
      </w:r>
      <w:r w:rsidR="00BB36E4">
        <w:t>s</w:t>
      </w:r>
      <w:r>
        <w:t xml:space="preserve"> and the unconsolidated material may move downward. Young unconsolidated or semi</w:t>
      </w:r>
      <w:r w:rsidR="00BB36E4">
        <w:noBreakHyphen/>
      </w:r>
      <w:r>
        <w:t xml:space="preserve">consolidated clastic sediments with high porosity laid down in alluvial, lacustrine or shallow marine environments belong to </w:t>
      </w:r>
      <w:r w:rsidR="00EE1EC1">
        <w:t xml:space="preserve">Poland’s (1984) </w:t>
      </w:r>
      <w:r>
        <w:t xml:space="preserve">second </w:t>
      </w:r>
      <w:r w:rsidR="00EE1EC1">
        <w:t xml:space="preserve">class of </w:t>
      </w:r>
      <w:r>
        <w:t>geological condition of land subsidence occurrence.</w:t>
      </w:r>
    </w:p>
    <w:p w:rsidR="00973D19" w:rsidRDefault="000318D9" w:rsidP="00D90926">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2</w:t>
      </w:r>
      <w:r w:rsidR="00E252C4" w:rsidRPr="001E0FA8">
        <w:fldChar w:fldCharType="end"/>
      </w:r>
      <w:r w:rsidRPr="001E0FA8">
        <w:t xml:space="preserve"> </w:t>
      </w:r>
      <w:r w:rsidR="00973D19">
        <w:t xml:space="preserve">Summary of </w:t>
      </w:r>
      <w:r w:rsidR="007B107C">
        <w:t>s</w:t>
      </w:r>
      <w:r w:rsidR="00973D19">
        <w:t xml:space="preserve">ubsidence </w:t>
      </w:r>
      <w:r w:rsidR="007B107C">
        <w:t>c</w:t>
      </w:r>
      <w:r w:rsidR="00973D19">
        <w:t xml:space="preserve">ase </w:t>
      </w:r>
      <w:r w:rsidR="007B107C">
        <w:t>h</w:t>
      </w:r>
      <w:r w:rsidR="00973D19">
        <w:t>istories</w:t>
      </w:r>
      <w:r w:rsidR="00480796" w:rsidRPr="00480796">
        <w:t xml:space="preserve"> </w:t>
      </w:r>
      <w:r w:rsidR="00480796">
        <w:t>(Poland 1984)</w:t>
      </w:r>
    </w:p>
    <w:tbl>
      <w:tblPr>
        <w:tblW w:w="4815" w:type="pct"/>
        <w:jc w:val="center"/>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7"/>
        <w:gridCol w:w="1750"/>
        <w:gridCol w:w="1732"/>
        <w:gridCol w:w="1380"/>
        <w:gridCol w:w="1380"/>
        <w:gridCol w:w="1378"/>
      </w:tblGrid>
      <w:tr w:rsidR="00973D19" w:rsidRPr="00973D19" w:rsidTr="00EA421C">
        <w:trPr>
          <w:tblHeader/>
          <w:jc w:val="center"/>
        </w:trPr>
        <w:tc>
          <w:tcPr>
            <w:tcW w:w="737" w:type="pct"/>
            <w:shd w:val="clear" w:color="auto" w:fill="C6D9F1" w:themeFill="text2" w:themeFillTint="33"/>
          </w:tcPr>
          <w:p w:rsidR="00973D19" w:rsidRPr="00973D19" w:rsidRDefault="00973D19" w:rsidP="00973D19">
            <w:pPr>
              <w:pStyle w:val="Tableheading"/>
              <w:rPr>
                <w:lang w:val="en-GB"/>
              </w:rPr>
            </w:pPr>
            <w:r w:rsidRPr="00973D19">
              <w:rPr>
                <w:lang w:val="en-GB"/>
              </w:rPr>
              <w:t>Location</w:t>
            </w:r>
          </w:p>
        </w:tc>
        <w:tc>
          <w:tcPr>
            <w:tcW w:w="979" w:type="pct"/>
            <w:shd w:val="clear" w:color="auto" w:fill="C6D9F1" w:themeFill="text2" w:themeFillTint="33"/>
          </w:tcPr>
          <w:p w:rsidR="00973D19" w:rsidRPr="00973D19" w:rsidRDefault="00973D19" w:rsidP="00973D19">
            <w:pPr>
              <w:pStyle w:val="Tableheading"/>
              <w:rPr>
                <w:lang w:val="en-GB"/>
              </w:rPr>
            </w:pPr>
            <w:r w:rsidRPr="00973D19">
              <w:rPr>
                <w:lang w:val="en-GB"/>
              </w:rPr>
              <w:t xml:space="preserve">Depositional </w:t>
            </w:r>
            <w:r w:rsidR="007B107C">
              <w:rPr>
                <w:lang w:val="en-GB"/>
              </w:rPr>
              <w:t>e</w:t>
            </w:r>
            <w:r w:rsidRPr="00973D19">
              <w:rPr>
                <w:lang w:val="en-GB"/>
              </w:rPr>
              <w:t xml:space="preserve">nvironment and </w:t>
            </w:r>
            <w:r w:rsidR="007B107C">
              <w:rPr>
                <w:lang w:val="en-GB"/>
              </w:rPr>
              <w:t>geological a</w:t>
            </w:r>
            <w:r w:rsidRPr="00973D19">
              <w:rPr>
                <w:lang w:val="en-GB"/>
              </w:rPr>
              <w:t>ge</w:t>
            </w:r>
          </w:p>
        </w:tc>
        <w:tc>
          <w:tcPr>
            <w:tcW w:w="969" w:type="pct"/>
            <w:shd w:val="clear" w:color="auto" w:fill="C6D9F1" w:themeFill="text2" w:themeFillTint="33"/>
          </w:tcPr>
          <w:p w:rsidR="00973D19" w:rsidRPr="00973D19" w:rsidRDefault="00973D19" w:rsidP="00973D19">
            <w:pPr>
              <w:pStyle w:val="Tableheading"/>
              <w:rPr>
                <w:lang w:val="en-GB"/>
              </w:rPr>
            </w:pPr>
            <w:r w:rsidRPr="00973D19">
              <w:rPr>
                <w:lang w:val="en-GB"/>
              </w:rPr>
              <w:t xml:space="preserve">Depth </w:t>
            </w:r>
            <w:r w:rsidR="007B107C">
              <w:rPr>
                <w:lang w:val="en-GB"/>
              </w:rPr>
              <w:t>r</w:t>
            </w:r>
            <w:r w:rsidRPr="00973D19">
              <w:rPr>
                <w:lang w:val="en-GB"/>
              </w:rPr>
              <w:t xml:space="preserve">ange of </w:t>
            </w:r>
            <w:r w:rsidR="007B107C">
              <w:rPr>
                <w:lang w:val="en-GB"/>
              </w:rPr>
              <w:t>c</w:t>
            </w:r>
            <w:r w:rsidRPr="00973D19">
              <w:rPr>
                <w:lang w:val="en-GB"/>
              </w:rPr>
              <w:t xml:space="preserve">ompacting </w:t>
            </w:r>
            <w:r w:rsidR="007B107C">
              <w:rPr>
                <w:lang w:val="en-GB"/>
              </w:rPr>
              <w:t>b</w:t>
            </w:r>
            <w:r w:rsidRPr="00973D19">
              <w:rPr>
                <w:lang w:val="en-GB"/>
              </w:rPr>
              <w:t>eds (m)</w:t>
            </w:r>
          </w:p>
        </w:tc>
        <w:tc>
          <w:tcPr>
            <w:tcW w:w="772" w:type="pct"/>
            <w:shd w:val="clear" w:color="auto" w:fill="C6D9F1" w:themeFill="text2" w:themeFillTint="33"/>
          </w:tcPr>
          <w:p w:rsidR="00973D19" w:rsidRPr="00973D19" w:rsidRDefault="00973D19" w:rsidP="00973D19">
            <w:pPr>
              <w:pStyle w:val="Tableheading"/>
              <w:rPr>
                <w:lang w:val="en-GB"/>
              </w:rPr>
            </w:pPr>
            <w:r w:rsidRPr="00973D19">
              <w:rPr>
                <w:lang w:val="en-GB"/>
              </w:rPr>
              <w:t xml:space="preserve">Maximum </w:t>
            </w:r>
            <w:r w:rsidR="007B107C">
              <w:rPr>
                <w:lang w:val="en-GB"/>
              </w:rPr>
              <w:t>s</w:t>
            </w:r>
            <w:r w:rsidRPr="00973D19">
              <w:rPr>
                <w:lang w:val="en-GB"/>
              </w:rPr>
              <w:t>ubsidence (m)</w:t>
            </w:r>
            <w:r w:rsidR="007B107C">
              <w:rPr>
                <w:lang w:val="en-GB"/>
              </w:rPr>
              <w:t xml:space="preserve"> and year</w:t>
            </w:r>
          </w:p>
        </w:tc>
        <w:tc>
          <w:tcPr>
            <w:tcW w:w="772" w:type="pct"/>
            <w:shd w:val="clear" w:color="auto" w:fill="C6D9F1" w:themeFill="text2" w:themeFillTint="33"/>
          </w:tcPr>
          <w:p w:rsidR="00973D19" w:rsidRPr="00973D19" w:rsidRDefault="00973D19" w:rsidP="00973D19">
            <w:pPr>
              <w:pStyle w:val="Tableheading"/>
              <w:rPr>
                <w:lang w:val="en-GB"/>
              </w:rPr>
            </w:pPr>
            <w:r w:rsidRPr="00973D19">
              <w:rPr>
                <w:lang w:val="en-GB"/>
              </w:rPr>
              <w:t xml:space="preserve">Area of </w:t>
            </w:r>
            <w:r w:rsidR="007B107C">
              <w:rPr>
                <w:lang w:val="en-GB"/>
              </w:rPr>
              <w:t>s</w:t>
            </w:r>
            <w:r w:rsidRPr="00973D19">
              <w:rPr>
                <w:lang w:val="en-GB"/>
              </w:rPr>
              <w:t>ubsidence (km</w:t>
            </w:r>
            <w:r w:rsidRPr="00973D19">
              <w:rPr>
                <w:vertAlign w:val="superscript"/>
                <w:lang w:val="en-GB"/>
              </w:rPr>
              <w:t>2</w:t>
            </w:r>
            <w:r w:rsidRPr="00973D19">
              <w:rPr>
                <w:lang w:val="en-GB"/>
              </w:rPr>
              <w:t>)</w:t>
            </w:r>
          </w:p>
        </w:tc>
        <w:tc>
          <w:tcPr>
            <w:tcW w:w="772" w:type="pct"/>
            <w:shd w:val="clear" w:color="auto" w:fill="C6D9F1" w:themeFill="text2" w:themeFillTint="33"/>
          </w:tcPr>
          <w:p w:rsidR="00973D19" w:rsidRPr="00973D19" w:rsidRDefault="00973D19" w:rsidP="00973D19">
            <w:pPr>
              <w:pStyle w:val="Tableheading"/>
              <w:rPr>
                <w:lang w:val="en-GB"/>
              </w:rPr>
            </w:pPr>
            <w:r w:rsidRPr="00973D19">
              <w:rPr>
                <w:lang w:val="en-GB"/>
              </w:rPr>
              <w:t xml:space="preserve">Time of </w:t>
            </w:r>
            <w:r w:rsidR="007B107C">
              <w:rPr>
                <w:lang w:val="en-GB"/>
              </w:rPr>
              <w:t>p</w:t>
            </w:r>
            <w:r w:rsidRPr="00973D19">
              <w:rPr>
                <w:lang w:val="en-GB"/>
              </w:rPr>
              <w:t xml:space="preserve">rincipal </w:t>
            </w:r>
            <w:r w:rsidR="007B107C">
              <w:rPr>
                <w:lang w:val="en-GB"/>
              </w:rPr>
              <w:t>o</w:t>
            </w:r>
            <w:r w:rsidRPr="00973D19">
              <w:rPr>
                <w:lang w:val="en-GB"/>
              </w:rPr>
              <w:t>ccurrence</w:t>
            </w:r>
            <w:r w:rsidR="007B107C">
              <w:rPr>
                <w:lang w:val="en-GB"/>
              </w:rPr>
              <w:t xml:space="preserve"> (year)</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Australia: Latrobe Valley</w:t>
            </w:r>
          </w:p>
        </w:tc>
        <w:tc>
          <w:tcPr>
            <w:tcW w:w="979" w:type="pct"/>
          </w:tcPr>
          <w:p w:rsidR="00973D19" w:rsidRPr="002C4B69" w:rsidRDefault="00973D19" w:rsidP="00973D19">
            <w:pPr>
              <w:pStyle w:val="Tabletext"/>
              <w:rPr>
                <w:lang w:val="en-GB"/>
              </w:rPr>
            </w:pPr>
            <w:r w:rsidRPr="002C4B69">
              <w:rPr>
                <w:lang w:val="en-GB"/>
              </w:rPr>
              <w:t xml:space="preserve">Lacustrine and fluviatile; early Tertiary </w:t>
            </w:r>
            <w:r w:rsidR="005A0FA0" w:rsidRPr="005A0FA0">
              <w:rPr>
                <w:lang w:val="en-GB"/>
              </w:rPr>
              <w:t>(sand, clay and brown coal seams)</w:t>
            </w:r>
            <w:r w:rsidRPr="002C4B69">
              <w:rPr>
                <w:lang w:val="en-GB"/>
              </w:rPr>
              <w:t>.</w:t>
            </w:r>
          </w:p>
        </w:tc>
        <w:tc>
          <w:tcPr>
            <w:tcW w:w="969" w:type="pct"/>
          </w:tcPr>
          <w:p w:rsidR="00973D19" w:rsidRPr="00973D19" w:rsidRDefault="00973D19" w:rsidP="00973D19">
            <w:pPr>
              <w:pStyle w:val="Tabletext"/>
              <w:rPr>
                <w:lang w:val="en-GB"/>
              </w:rPr>
            </w:pPr>
            <w:r w:rsidRPr="00973D19">
              <w:rPr>
                <w:lang w:val="en-GB"/>
              </w:rPr>
              <w:t>10-300</w:t>
            </w:r>
          </w:p>
        </w:tc>
        <w:tc>
          <w:tcPr>
            <w:tcW w:w="772" w:type="pct"/>
          </w:tcPr>
          <w:p w:rsidR="00973D19" w:rsidRPr="00973D19" w:rsidRDefault="00973D19" w:rsidP="00973D19">
            <w:pPr>
              <w:pStyle w:val="Tabletext"/>
              <w:rPr>
                <w:lang w:val="en-GB"/>
              </w:rPr>
            </w:pPr>
            <w:r w:rsidRPr="00973D19">
              <w:rPr>
                <w:lang w:val="en-GB"/>
              </w:rPr>
              <w:t>1.6 (1977)</w:t>
            </w:r>
          </w:p>
        </w:tc>
        <w:tc>
          <w:tcPr>
            <w:tcW w:w="772" w:type="pct"/>
          </w:tcPr>
          <w:p w:rsidR="00973D19" w:rsidRPr="00973D19" w:rsidRDefault="00973D19" w:rsidP="00973D19">
            <w:pPr>
              <w:pStyle w:val="Tabletext"/>
              <w:rPr>
                <w:lang w:val="en-GB"/>
              </w:rPr>
            </w:pPr>
            <w:r w:rsidRPr="00973D19">
              <w:rPr>
                <w:lang w:val="en-GB"/>
              </w:rPr>
              <w:t>100 (&gt; 0.2 m)</w:t>
            </w:r>
          </w:p>
        </w:tc>
        <w:tc>
          <w:tcPr>
            <w:tcW w:w="772" w:type="pct"/>
          </w:tcPr>
          <w:p w:rsidR="00973D19" w:rsidRPr="00973D19" w:rsidRDefault="00973D19" w:rsidP="00973D19">
            <w:pPr>
              <w:pStyle w:val="Tabletext"/>
              <w:rPr>
                <w:lang w:val="en-GB"/>
              </w:rPr>
            </w:pPr>
            <w:r w:rsidRPr="00973D19">
              <w:rPr>
                <w:lang w:val="en-GB"/>
              </w:rPr>
              <w:t>1961-78</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China: Shanghai</w:t>
            </w:r>
          </w:p>
        </w:tc>
        <w:tc>
          <w:tcPr>
            <w:tcW w:w="979" w:type="pct"/>
          </w:tcPr>
          <w:p w:rsidR="00973D19" w:rsidRPr="002C4B69" w:rsidRDefault="00973D19" w:rsidP="002C4B69">
            <w:pPr>
              <w:pStyle w:val="Tabletext"/>
              <w:rPr>
                <w:lang w:val="en-GB"/>
              </w:rPr>
            </w:pPr>
            <w:r w:rsidRPr="002C4B69">
              <w:rPr>
                <w:lang w:val="en-GB"/>
              </w:rPr>
              <w:t xml:space="preserve">Alternating freshwater and marine; Quaternary </w:t>
            </w:r>
            <w:r w:rsidR="005A0FA0" w:rsidRPr="005A0FA0">
              <w:rPr>
                <w:lang w:val="en-GB"/>
              </w:rPr>
              <w:t>(sand, gravel and stiff clay)</w:t>
            </w:r>
          </w:p>
        </w:tc>
        <w:tc>
          <w:tcPr>
            <w:tcW w:w="969" w:type="pct"/>
          </w:tcPr>
          <w:p w:rsidR="00973D19" w:rsidRPr="00973D19" w:rsidRDefault="00973D19" w:rsidP="00973D19">
            <w:pPr>
              <w:pStyle w:val="Tabletext"/>
              <w:rPr>
                <w:lang w:val="en-GB"/>
              </w:rPr>
            </w:pPr>
            <w:r w:rsidRPr="00973D19">
              <w:rPr>
                <w:lang w:val="en-GB"/>
              </w:rPr>
              <w:t>3-300</w:t>
            </w:r>
          </w:p>
        </w:tc>
        <w:tc>
          <w:tcPr>
            <w:tcW w:w="772" w:type="pct"/>
          </w:tcPr>
          <w:p w:rsidR="00973D19" w:rsidRPr="00973D19" w:rsidRDefault="00973D19" w:rsidP="00973D19">
            <w:pPr>
              <w:pStyle w:val="Tabletext"/>
              <w:rPr>
                <w:lang w:val="en-GB"/>
              </w:rPr>
            </w:pPr>
            <w:r w:rsidRPr="00973D19">
              <w:rPr>
                <w:lang w:val="en-GB"/>
              </w:rPr>
              <w:t>2.63 (1965)</w:t>
            </w:r>
          </w:p>
        </w:tc>
        <w:tc>
          <w:tcPr>
            <w:tcW w:w="772" w:type="pct"/>
          </w:tcPr>
          <w:p w:rsidR="00973D19" w:rsidRPr="00973D19" w:rsidRDefault="00973D19" w:rsidP="00973D19">
            <w:pPr>
              <w:pStyle w:val="Tabletext"/>
              <w:rPr>
                <w:lang w:val="en-GB"/>
              </w:rPr>
            </w:pPr>
            <w:r w:rsidRPr="00973D19">
              <w:rPr>
                <w:lang w:val="en-GB"/>
              </w:rPr>
              <w:t>121</w:t>
            </w:r>
          </w:p>
        </w:tc>
        <w:tc>
          <w:tcPr>
            <w:tcW w:w="772" w:type="pct"/>
          </w:tcPr>
          <w:p w:rsidR="00973D19" w:rsidRPr="00973D19" w:rsidRDefault="00973D19" w:rsidP="00973D19">
            <w:pPr>
              <w:pStyle w:val="Tabletext"/>
              <w:rPr>
                <w:lang w:val="en-GB"/>
              </w:rPr>
            </w:pPr>
            <w:r w:rsidRPr="00973D19">
              <w:rPr>
                <w:lang w:val="en-GB"/>
              </w:rPr>
              <w:t>1921-65</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Taiwan: Taipei Basin</w:t>
            </w:r>
          </w:p>
        </w:tc>
        <w:tc>
          <w:tcPr>
            <w:tcW w:w="979" w:type="pct"/>
          </w:tcPr>
          <w:p w:rsidR="00973D19" w:rsidRPr="002C4B69" w:rsidRDefault="00973D19" w:rsidP="002C4B69">
            <w:pPr>
              <w:pStyle w:val="Tabletext"/>
              <w:rPr>
                <w:lang w:val="en-GB"/>
              </w:rPr>
            </w:pPr>
            <w:r w:rsidRPr="002C4B69">
              <w:rPr>
                <w:lang w:val="en-GB"/>
              </w:rPr>
              <w:t xml:space="preserve">Alternating freshwater and marine; Quaternary </w:t>
            </w:r>
            <w:r w:rsidR="005A0FA0" w:rsidRPr="005A0FA0">
              <w:rPr>
                <w:lang w:val="en-GB"/>
              </w:rPr>
              <w:t>(clay, silt, sand and gravel)</w:t>
            </w:r>
          </w:p>
        </w:tc>
        <w:tc>
          <w:tcPr>
            <w:tcW w:w="969" w:type="pct"/>
          </w:tcPr>
          <w:p w:rsidR="00973D19" w:rsidRPr="00973D19" w:rsidRDefault="00973D19" w:rsidP="00973D19">
            <w:pPr>
              <w:pStyle w:val="Tabletext"/>
              <w:rPr>
                <w:lang w:val="en-GB"/>
              </w:rPr>
            </w:pPr>
            <w:r w:rsidRPr="00973D19">
              <w:rPr>
                <w:lang w:val="en-GB"/>
              </w:rPr>
              <w:t>10-240</w:t>
            </w:r>
          </w:p>
        </w:tc>
        <w:tc>
          <w:tcPr>
            <w:tcW w:w="772" w:type="pct"/>
          </w:tcPr>
          <w:p w:rsidR="00973D19" w:rsidRPr="00973D19" w:rsidRDefault="00973D19" w:rsidP="00973D19">
            <w:pPr>
              <w:pStyle w:val="Tabletext"/>
              <w:rPr>
                <w:lang w:val="en-GB"/>
              </w:rPr>
            </w:pPr>
            <w:r w:rsidRPr="00973D19">
              <w:rPr>
                <w:lang w:val="en-GB"/>
              </w:rPr>
              <w:t>1.9 (1974)</w:t>
            </w:r>
          </w:p>
        </w:tc>
        <w:tc>
          <w:tcPr>
            <w:tcW w:w="772" w:type="pct"/>
          </w:tcPr>
          <w:p w:rsidR="00973D19" w:rsidRPr="00973D19" w:rsidRDefault="00973D19" w:rsidP="00973D19">
            <w:pPr>
              <w:pStyle w:val="Tabletext"/>
              <w:rPr>
                <w:lang w:val="en-GB"/>
              </w:rPr>
            </w:pPr>
            <w:r w:rsidRPr="00973D19">
              <w:rPr>
                <w:lang w:val="en-GB"/>
              </w:rPr>
              <w:t>235</w:t>
            </w:r>
          </w:p>
        </w:tc>
        <w:tc>
          <w:tcPr>
            <w:tcW w:w="772" w:type="pct"/>
          </w:tcPr>
          <w:p w:rsidR="00973D19" w:rsidRPr="00973D19" w:rsidRDefault="00973D19" w:rsidP="00973D19">
            <w:pPr>
              <w:pStyle w:val="Tabletext"/>
              <w:rPr>
                <w:lang w:val="en-GB"/>
              </w:rPr>
            </w:pPr>
            <w:r w:rsidRPr="00973D19">
              <w:rPr>
                <w:lang w:val="en-GB"/>
              </w:rPr>
              <w:t>1955-74</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Great Britain: London</w:t>
            </w:r>
          </w:p>
        </w:tc>
        <w:tc>
          <w:tcPr>
            <w:tcW w:w="979" w:type="pct"/>
          </w:tcPr>
          <w:p w:rsidR="00973D19" w:rsidRPr="002C4B69" w:rsidRDefault="00973D19" w:rsidP="00565387">
            <w:pPr>
              <w:pStyle w:val="Tabletext"/>
              <w:rPr>
                <w:lang w:val="en-GB"/>
              </w:rPr>
            </w:pPr>
            <w:r w:rsidRPr="002C4B69">
              <w:rPr>
                <w:lang w:val="en-GB"/>
              </w:rPr>
              <w:t>London Clay of Eocene age overlying chalk aquifer of Cretaceous age.</w:t>
            </w:r>
          </w:p>
        </w:tc>
        <w:tc>
          <w:tcPr>
            <w:tcW w:w="969" w:type="pct"/>
          </w:tcPr>
          <w:p w:rsidR="00973D19" w:rsidRPr="00973D19" w:rsidRDefault="00973D19" w:rsidP="00973D19">
            <w:pPr>
              <w:pStyle w:val="Tabletext"/>
              <w:rPr>
                <w:lang w:val="en-GB"/>
              </w:rPr>
            </w:pPr>
            <w:r w:rsidRPr="00973D19">
              <w:rPr>
                <w:lang w:val="en-GB"/>
              </w:rPr>
              <w:t>50-100</w:t>
            </w:r>
          </w:p>
        </w:tc>
        <w:tc>
          <w:tcPr>
            <w:tcW w:w="772" w:type="pct"/>
          </w:tcPr>
          <w:p w:rsidR="00973D19" w:rsidRPr="00973D19" w:rsidRDefault="00973D19" w:rsidP="00973D19">
            <w:pPr>
              <w:pStyle w:val="Tabletext"/>
              <w:rPr>
                <w:lang w:val="en-GB"/>
              </w:rPr>
            </w:pPr>
            <w:r w:rsidRPr="00973D19">
              <w:rPr>
                <w:lang w:val="en-GB"/>
              </w:rPr>
              <w:t>0.35 (1976)</w:t>
            </w:r>
          </w:p>
        </w:tc>
        <w:tc>
          <w:tcPr>
            <w:tcW w:w="772" w:type="pct"/>
          </w:tcPr>
          <w:p w:rsidR="00973D19" w:rsidRPr="00973D19" w:rsidRDefault="00973D19" w:rsidP="00973D19">
            <w:pPr>
              <w:pStyle w:val="Tabletext"/>
              <w:rPr>
                <w:lang w:val="en-GB"/>
              </w:rPr>
            </w:pPr>
            <w:r w:rsidRPr="00973D19">
              <w:rPr>
                <w:lang w:val="en-GB"/>
              </w:rPr>
              <w:t>450</w:t>
            </w:r>
          </w:p>
        </w:tc>
        <w:tc>
          <w:tcPr>
            <w:tcW w:w="772" w:type="pct"/>
          </w:tcPr>
          <w:p w:rsidR="00973D19" w:rsidRPr="00973D19" w:rsidRDefault="00973D19" w:rsidP="00973D19">
            <w:pPr>
              <w:pStyle w:val="Tabletext"/>
              <w:rPr>
                <w:lang w:val="en-GB"/>
              </w:rPr>
            </w:pPr>
            <w:r w:rsidRPr="00973D19">
              <w:rPr>
                <w:lang w:val="en-GB"/>
              </w:rPr>
              <w:t>1865-1932</w:t>
            </w:r>
          </w:p>
        </w:tc>
      </w:tr>
      <w:tr w:rsidR="00973D19" w:rsidRPr="00973D19" w:rsidTr="0091309C">
        <w:trPr>
          <w:jc w:val="center"/>
        </w:trPr>
        <w:tc>
          <w:tcPr>
            <w:tcW w:w="737" w:type="pct"/>
          </w:tcPr>
          <w:p w:rsidR="00973D19" w:rsidRPr="00973D19" w:rsidRDefault="00F60A59" w:rsidP="00973D19">
            <w:pPr>
              <w:pStyle w:val="Tabletext"/>
              <w:rPr>
                <w:lang w:val="en-GB"/>
              </w:rPr>
            </w:pPr>
            <w:r>
              <w:rPr>
                <w:lang w:val="en-GB"/>
              </w:rPr>
              <w:t xml:space="preserve">Great Britain: </w:t>
            </w:r>
            <w:r w:rsidR="00973D19" w:rsidRPr="00973D19">
              <w:rPr>
                <w:lang w:val="en-GB"/>
              </w:rPr>
              <w:t>Cheshire district</w:t>
            </w:r>
          </w:p>
        </w:tc>
        <w:tc>
          <w:tcPr>
            <w:tcW w:w="979" w:type="pct"/>
          </w:tcPr>
          <w:p w:rsidR="00973D19" w:rsidRPr="00973D19" w:rsidRDefault="00973D19" w:rsidP="00973D19">
            <w:pPr>
              <w:pStyle w:val="Tabletext"/>
              <w:rPr>
                <w:lang w:val="en-GB"/>
              </w:rPr>
            </w:pPr>
            <w:r w:rsidRPr="00973D19">
              <w:rPr>
                <w:lang w:val="en-GB"/>
              </w:rPr>
              <w:t>Sandstone, marl and rock salt; Triassic</w:t>
            </w:r>
          </w:p>
        </w:tc>
        <w:tc>
          <w:tcPr>
            <w:tcW w:w="969" w:type="pct"/>
          </w:tcPr>
          <w:p w:rsidR="00973D19" w:rsidRPr="00973D19" w:rsidRDefault="00973D19" w:rsidP="00973D19">
            <w:pPr>
              <w:pStyle w:val="Tabletext"/>
              <w:rPr>
                <w:lang w:val="en-GB"/>
              </w:rPr>
            </w:pPr>
            <w:r w:rsidRPr="00973D19">
              <w:rPr>
                <w:lang w:val="en-GB"/>
              </w:rPr>
              <w:t>100-300</w:t>
            </w:r>
          </w:p>
        </w:tc>
        <w:tc>
          <w:tcPr>
            <w:tcW w:w="772" w:type="pct"/>
          </w:tcPr>
          <w:p w:rsidR="00973D19" w:rsidRPr="00973D19" w:rsidRDefault="00973D19" w:rsidP="00973D19">
            <w:pPr>
              <w:pStyle w:val="Tabletext"/>
              <w:rPr>
                <w:lang w:val="en-GB"/>
              </w:rPr>
            </w:pPr>
            <w:r w:rsidRPr="00973D19">
              <w:rPr>
                <w:lang w:val="en-GB"/>
              </w:rPr>
              <w:t>15 (1977)</w:t>
            </w:r>
          </w:p>
        </w:tc>
        <w:tc>
          <w:tcPr>
            <w:tcW w:w="772" w:type="pct"/>
          </w:tcPr>
          <w:p w:rsidR="00973D19" w:rsidRPr="00973D19" w:rsidRDefault="00973D19" w:rsidP="00973D19">
            <w:pPr>
              <w:pStyle w:val="Tabletext"/>
              <w:rPr>
                <w:lang w:val="en-GB"/>
              </w:rPr>
            </w:pPr>
            <w:r w:rsidRPr="00973D19">
              <w:rPr>
                <w:lang w:val="en-GB"/>
              </w:rPr>
              <w:t>1500</w:t>
            </w:r>
          </w:p>
        </w:tc>
        <w:tc>
          <w:tcPr>
            <w:tcW w:w="772" w:type="pct"/>
          </w:tcPr>
          <w:p w:rsidR="00973D19" w:rsidRPr="00973D19" w:rsidRDefault="00973D19" w:rsidP="00973D19">
            <w:pPr>
              <w:pStyle w:val="Tabletext"/>
              <w:rPr>
                <w:lang w:val="en-GB"/>
              </w:rPr>
            </w:pPr>
            <w:r w:rsidRPr="00973D19">
              <w:rPr>
                <w:lang w:val="en-GB"/>
              </w:rPr>
              <w:t>1533-1977</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Hungary: Debrecen</w:t>
            </w:r>
          </w:p>
        </w:tc>
        <w:tc>
          <w:tcPr>
            <w:tcW w:w="979" w:type="pct"/>
          </w:tcPr>
          <w:p w:rsidR="00973D19" w:rsidRPr="00973D19" w:rsidRDefault="00973D19" w:rsidP="00973D19">
            <w:pPr>
              <w:pStyle w:val="Tabletext"/>
              <w:rPr>
                <w:lang w:val="en-GB"/>
              </w:rPr>
            </w:pPr>
            <w:r w:rsidRPr="00973D19">
              <w:rPr>
                <w:lang w:val="en-GB"/>
              </w:rPr>
              <w:t>Fluviatile; Quaternary</w:t>
            </w:r>
          </w:p>
        </w:tc>
        <w:tc>
          <w:tcPr>
            <w:tcW w:w="969" w:type="pct"/>
          </w:tcPr>
          <w:p w:rsidR="00973D19" w:rsidRPr="00973D19" w:rsidRDefault="00973D19" w:rsidP="00973D19">
            <w:pPr>
              <w:pStyle w:val="Tabletext"/>
              <w:rPr>
                <w:lang w:val="en-GB"/>
              </w:rPr>
            </w:pPr>
            <w:r w:rsidRPr="00973D19">
              <w:rPr>
                <w:lang w:val="en-GB"/>
              </w:rPr>
              <w:t>50-250</w:t>
            </w:r>
          </w:p>
        </w:tc>
        <w:tc>
          <w:tcPr>
            <w:tcW w:w="772" w:type="pct"/>
          </w:tcPr>
          <w:p w:rsidR="00973D19" w:rsidRPr="00973D19" w:rsidRDefault="00973D19" w:rsidP="00973D19">
            <w:pPr>
              <w:pStyle w:val="Tabletext"/>
              <w:rPr>
                <w:lang w:val="en-GB"/>
              </w:rPr>
            </w:pPr>
            <w:r w:rsidRPr="00973D19">
              <w:rPr>
                <w:lang w:val="en-GB"/>
              </w:rPr>
              <w:t>0.42 (1975)</w:t>
            </w:r>
          </w:p>
        </w:tc>
        <w:tc>
          <w:tcPr>
            <w:tcW w:w="772" w:type="pct"/>
          </w:tcPr>
          <w:p w:rsidR="00973D19" w:rsidRPr="00973D19" w:rsidRDefault="00973D19" w:rsidP="00973D19">
            <w:pPr>
              <w:pStyle w:val="Tabletext"/>
              <w:rPr>
                <w:lang w:val="en-GB"/>
              </w:rPr>
            </w:pPr>
            <w:r w:rsidRPr="00973D19">
              <w:rPr>
                <w:lang w:val="en-GB"/>
              </w:rPr>
              <w:t>40</w:t>
            </w:r>
          </w:p>
        </w:tc>
        <w:tc>
          <w:tcPr>
            <w:tcW w:w="772" w:type="pct"/>
          </w:tcPr>
          <w:p w:rsidR="00973D19" w:rsidRPr="00973D19" w:rsidRDefault="00973D19" w:rsidP="00973D19">
            <w:pPr>
              <w:pStyle w:val="Tabletext"/>
              <w:rPr>
                <w:lang w:val="en-GB"/>
              </w:rPr>
            </w:pPr>
            <w:r w:rsidRPr="00973D19">
              <w:rPr>
                <w:lang w:val="en-GB"/>
              </w:rPr>
              <w:t>1961-75</w:t>
            </w:r>
          </w:p>
        </w:tc>
      </w:tr>
      <w:tr w:rsidR="00973D19" w:rsidRPr="00973D19" w:rsidTr="0091309C">
        <w:trPr>
          <w:jc w:val="center"/>
        </w:trPr>
        <w:tc>
          <w:tcPr>
            <w:tcW w:w="737" w:type="pct"/>
          </w:tcPr>
          <w:p w:rsidR="00973D19" w:rsidRPr="00973D19" w:rsidRDefault="0051645E" w:rsidP="00973D19">
            <w:pPr>
              <w:pStyle w:val="Tabletext"/>
              <w:rPr>
                <w:lang w:val="en-GB"/>
              </w:rPr>
            </w:pPr>
            <w:r>
              <w:rPr>
                <w:lang w:val="en-GB"/>
              </w:rPr>
              <w:t xml:space="preserve">Italy: </w:t>
            </w:r>
            <w:r w:rsidR="00973D19" w:rsidRPr="00973D19">
              <w:rPr>
                <w:lang w:val="en-GB"/>
              </w:rPr>
              <w:t>Visconta</w:t>
            </w:r>
          </w:p>
        </w:tc>
        <w:tc>
          <w:tcPr>
            <w:tcW w:w="979" w:type="pct"/>
          </w:tcPr>
          <w:p w:rsidR="00973D19" w:rsidRPr="00973D19" w:rsidRDefault="00973D19" w:rsidP="00973D19">
            <w:pPr>
              <w:pStyle w:val="Tabletext"/>
              <w:rPr>
                <w:lang w:val="en-GB"/>
              </w:rPr>
            </w:pPr>
            <w:r w:rsidRPr="00973D19">
              <w:rPr>
                <w:lang w:val="en-GB"/>
              </w:rPr>
              <w:t>Fluviatile and swampy; late Cenozoic</w:t>
            </w:r>
          </w:p>
        </w:tc>
        <w:tc>
          <w:tcPr>
            <w:tcW w:w="969" w:type="pct"/>
          </w:tcPr>
          <w:p w:rsidR="00973D19" w:rsidRPr="00973D19" w:rsidRDefault="00973D19" w:rsidP="00973D19">
            <w:pPr>
              <w:pStyle w:val="Tabletext"/>
              <w:rPr>
                <w:lang w:val="en-GB"/>
              </w:rPr>
            </w:pPr>
            <w:r w:rsidRPr="00973D19">
              <w:rPr>
                <w:lang w:val="en-GB"/>
              </w:rPr>
              <w:t>20-100</w:t>
            </w:r>
          </w:p>
        </w:tc>
        <w:tc>
          <w:tcPr>
            <w:tcW w:w="772" w:type="pct"/>
          </w:tcPr>
          <w:p w:rsidR="00973D19" w:rsidRPr="00973D19" w:rsidRDefault="00973D19" w:rsidP="00973D19">
            <w:pPr>
              <w:pStyle w:val="Tabletext"/>
              <w:rPr>
                <w:lang w:val="en-GB"/>
              </w:rPr>
            </w:pPr>
            <w:r w:rsidRPr="00973D19">
              <w:rPr>
                <w:lang w:val="en-GB"/>
              </w:rPr>
              <w:t xml:space="preserve">0.5 (1975) </w:t>
            </w:r>
          </w:p>
        </w:tc>
        <w:tc>
          <w:tcPr>
            <w:tcW w:w="772" w:type="pct"/>
          </w:tcPr>
          <w:p w:rsidR="00973D19" w:rsidRPr="00973D19" w:rsidRDefault="00973D19" w:rsidP="00973D19">
            <w:pPr>
              <w:pStyle w:val="Tabletext"/>
              <w:rPr>
                <w:lang w:val="en-GB"/>
              </w:rPr>
            </w:pPr>
            <w:r w:rsidRPr="00973D19">
              <w:rPr>
                <w:lang w:val="en-GB"/>
              </w:rPr>
              <w:t>40</w:t>
            </w:r>
          </w:p>
        </w:tc>
        <w:tc>
          <w:tcPr>
            <w:tcW w:w="772" w:type="pct"/>
          </w:tcPr>
          <w:p w:rsidR="00973D19" w:rsidRPr="00973D19" w:rsidRDefault="00973D19" w:rsidP="00973D19">
            <w:pPr>
              <w:pStyle w:val="Tabletext"/>
              <w:rPr>
                <w:lang w:val="en-GB"/>
              </w:rPr>
            </w:pPr>
            <w:r w:rsidRPr="00973D19">
              <w:rPr>
                <w:lang w:val="en-GB"/>
              </w:rPr>
              <w:t>1961-1975</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Italy: Po Delta</w:t>
            </w:r>
          </w:p>
        </w:tc>
        <w:tc>
          <w:tcPr>
            <w:tcW w:w="979" w:type="pct"/>
          </w:tcPr>
          <w:p w:rsidR="00973D19" w:rsidRPr="00973D19" w:rsidRDefault="00973D19" w:rsidP="00973D19">
            <w:pPr>
              <w:pStyle w:val="Tabletext"/>
              <w:rPr>
                <w:lang w:val="en-GB"/>
              </w:rPr>
            </w:pPr>
            <w:r w:rsidRPr="00973D19">
              <w:rPr>
                <w:lang w:val="en-GB"/>
              </w:rPr>
              <w:t>Alluvial, lagoonal and shallow marine; Quaternary</w:t>
            </w:r>
          </w:p>
        </w:tc>
        <w:tc>
          <w:tcPr>
            <w:tcW w:w="969" w:type="pct"/>
          </w:tcPr>
          <w:p w:rsidR="00973D19" w:rsidRPr="00973D19" w:rsidRDefault="00973D19" w:rsidP="00973D19">
            <w:pPr>
              <w:pStyle w:val="Tabletext"/>
              <w:rPr>
                <w:lang w:val="en-GB"/>
              </w:rPr>
            </w:pPr>
            <w:r w:rsidRPr="00973D19">
              <w:rPr>
                <w:lang w:val="en-GB"/>
              </w:rPr>
              <w:t>100-600</w:t>
            </w:r>
          </w:p>
        </w:tc>
        <w:tc>
          <w:tcPr>
            <w:tcW w:w="772" w:type="pct"/>
          </w:tcPr>
          <w:p w:rsidR="00973D19" w:rsidRPr="00973D19" w:rsidRDefault="00973D19" w:rsidP="00973D19">
            <w:pPr>
              <w:pStyle w:val="Tabletext"/>
              <w:rPr>
                <w:lang w:val="en-GB"/>
              </w:rPr>
            </w:pPr>
            <w:r w:rsidRPr="00973D19">
              <w:rPr>
                <w:lang w:val="en-GB"/>
              </w:rPr>
              <w:t>3.2</w:t>
            </w:r>
            <w:r w:rsidR="0051645E">
              <w:rPr>
                <w:lang w:val="en-GB"/>
              </w:rPr>
              <w:t xml:space="preserve"> (1973)</w:t>
            </w:r>
          </w:p>
        </w:tc>
        <w:tc>
          <w:tcPr>
            <w:tcW w:w="772" w:type="pct"/>
          </w:tcPr>
          <w:p w:rsidR="00973D19" w:rsidRPr="00973D19" w:rsidRDefault="00973D19" w:rsidP="00973D19">
            <w:pPr>
              <w:pStyle w:val="Tabletext"/>
              <w:rPr>
                <w:lang w:val="en-GB"/>
              </w:rPr>
            </w:pPr>
            <w:r w:rsidRPr="00973D19">
              <w:rPr>
                <w:lang w:val="en-GB"/>
              </w:rPr>
              <w:t>2600</w:t>
            </w:r>
          </w:p>
        </w:tc>
        <w:tc>
          <w:tcPr>
            <w:tcW w:w="772" w:type="pct"/>
          </w:tcPr>
          <w:p w:rsidR="00973D19" w:rsidRPr="00973D19" w:rsidRDefault="00973D19" w:rsidP="00973D19">
            <w:pPr>
              <w:pStyle w:val="Tabletext"/>
              <w:rPr>
                <w:lang w:val="en-GB"/>
              </w:rPr>
            </w:pPr>
            <w:r w:rsidRPr="00973D19">
              <w:rPr>
                <w:lang w:val="en-GB"/>
              </w:rPr>
              <w:t>1951-66</w:t>
            </w:r>
          </w:p>
        </w:tc>
      </w:tr>
      <w:tr w:rsidR="00973D19" w:rsidRPr="00973D19" w:rsidTr="0091309C">
        <w:trPr>
          <w:jc w:val="center"/>
        </w:trPr>
        <w:tc>
          <w:tcPr>
            <w:tcW w:w="737" w:type="pct"/>
          </w:tcPr>
          <w:p w:rsidR="00973D19" w:rsidRPr="00973D19" w:rsidRDefault="00300F86" w:rsidP="00973D19">
            <w:pPr>
              <w:pStyle w:val="Tabletext"/>
              <w:rPr>
                <w:lang w:val="en-GB"/>
              </w:rPr>
            </w:pPr>
            <w:r>
              <w:rPr>
                <w:lang w:val="en-GB"/>
              </w:rPr>
              <w:t xml:space="preserve">Italy: </w:t>
            </w:r>
            <w:r w:rsidR="00973D19" w:rsidRPr="00973D19">
              <w:rPr>
                <w:lang w:val="en-GB"/>
              </w:rPr>
              <w:t>Ravenna</w:t>
            </w:r>
          </w:p>
        </w:tc>
        <w:tc>
          <w:tcPr>
            <w:tcW w:w="979" w:type="pct"/>
          </w:tcPr>
          <w:p w:rsidR="00973D19" w:rsidRPr="002C4B69" w:rsidRDefault="00973D19" w:rsidP="00565387">
            <w:pPr>
              <w:pStyle w:val="Tabletext"/>
              <w:rPr>
                <w:lang w:val="en-GB"/>
              </w:rPr>
            </w:pPr>
            <w:r w:rsidRPr="002C4B69">
              <w:rPr>
                <w:lang w:val="en-GB"/>
              </w:rPr>
              <w:t>Alluvial, lacustrine and shallow marine; Neozoic</w:t>
            </w:r>
            <w:r w:rsidRPr="002C4B69">
              <w:rPr>
                <w:rFonts w:ascii="Calibri" w:hAnsi="Calibri" w:cs="Calibri"/>
                <w:lang w:val="en-GB"/>
              </w:rPr>
              <w:t xml:space="preserve"> </w:t>
            </w:r>
            <w:r w:rsidR="005A0FA0" w:rsidRPr="005A0FA0">
              <w:rPr>
                <w:rFonts w:ascii="Calibri" w:hAnsi="Calibri" w:cs="Calibri"/>
                <w:lang w:val="en-GB"/>
              </w:rPr>
              <w:t>(</w:t>
            </w:r>
            <w:r w:rsidR="005A0FA0" w:rsidRPr="005A0FA0">
              <w:rPr>
                <w:lang w:val="en-GB"/>
              </w:rPr>
              <w:t>fine and medium sands with occasional shells, occasional</w:t>
            </w:r>
            <w:r w:rsidR="00565387">
              <w:rPr>
                <w:lang w:val="en-GB"/>
              </w:rPr>
              <w:t xml:space="preserve"> </w:t>
            </w:r>
            <w:r w:rsidR="005A0FA0" w:rsidRPr="005A0FA0">
              <w:rPr>
                <w:lang w:val="en-GB"/>
              </w:rPr>
              <w:t>clayey or silty sands)</w:t>
            </w:r>
          </w:p>
        </w:tc>
        <w:tc>
          <w:tcPr>
            <w:tcW w:w="969" w:type="pct"/>
          </w:tcPr>
          <w:p w:rsidR="00973D19" w:rsidRPr="00973D19" w:rsidRDefault="00973D19" w:rsidP="00973D19">
            <w:pPr>
              <w:pStyle w:val="Tabletext"/>
              <w:rPr>
                <w:lang w:val="en-GB"/>
              </w:rPr>
            </w:pPr>
            <w:r w:rsidRPr="00973D19">
              <w:rPr>
                <w:lang w:val="en-GB"/>
              </w:rPr>
              <w:t>80-500</w:t>
            </w:r>
          </w:p>
        </w:tc>
        <w:tc>
          <w:tcPr>
            <w:tcW w:w="772" w:type="pct"/>
          </w:tcPr>
          <w:p w:rsidR="00973D19" w:rsidRPr="00973D19" w:rsidRDefault="00973D19" w:rsidP="00973D19">
            <w:pPr>
              <w:pStyle w:val="Tabletext"/>
              <w:rPr>
                <w:lang w:val="en-GB"/>
              </w:rPr>
            </w:pPr>
            <w:r w:rsidRPr="00973D19">
              <w:rPr>
                <w:lang w:val="en-GB"/>
              </w:rPr>
              <w:t>1.2 (1977)</w:t>
            </w:r>
          </w:p>
        </w:tc>
        <w:tc>
          <w:tcPr>
            <w:tcW w:w="772" w:type="pct"/>
          </w:tcPr>
          <w:p w:rsidR="00973D19" w:rsidRPr="00973D19" w:rsidRDefault="00973D19" w:rsidP="00973D19">
            <w:pPr>
              <w:pStyle w:val="Tabletext"/>
              <w:rPr>
                <w:lang w:val="en-GB"/>
              </w:rPr>
            </w:pPr>
            <w:r w:rsidRPr="00973D19">
              <w:rPr>
                <w:lang w:val="en-GB"/>
              </w:rPr>
              <w:t>About 600</w:t>
            </w:r>
          </w:p>
        </w:tc>
        <w:tc>
          <w:tcPr>
            <w:tcW w:w="772" w:type="pct"/>
          </w:tcPr>
          <w:p w:rsidR="00973D19" w:rsidRPr="00973D19" w:rsidRDefault="00973D19" w:rsidP="00973D19">
            <w:pPr>
              <w:pStyle w:val="Tabletext"/>
              <w:rPr>
                <w:lang w:val="en-GB"/>
              </w:rPr>
            </w:pPr>
            <w:r w:rsidRPr="00973D19">
              <w:rPr>
                <w:lang w:val="en-GB"/>
              </w:rPr>
              <w:t>1955-77</w:t>
            </w:r>
          </w:p>
        </w:tc>
      </w:tr>
      <w:tr w:rsidR="00973D19" w:rsidRPr="00973D19" w:rsidTr="0091309C">
        <w:trPr>
          <w:jc w:val="center"/>
        </w:trPr>
        <w:tc>
          <w:tcPr>
            <w:tcW w:w="737" w:type="pct"/>
          </w:tcPr>
          <w:p w:rsidR="00973D19" w:rsidRPr="00973D19" w:rsidRDefault="00300F86" w:rsidP="00973D19">
            <w:pPr>
              <w:pStyle w:val="Tabletext"/>
              <w:rPr>
                <w:lang w:val="en-GB"/>
              </w:rPr>
            </w:pPr>
            <w:r>
              <w:rPr>
                <w:lang w:val="en-GB"/>
              </w:rPr>
              <w:t xml:space="preserve">Italy: </w:t>
            </w:r>
            <w:r w:rsidR="00973D19" w:rsidRPr="00973D19">
              <w:rPr>
                <w:lang w:val="en-GB"/>
              </w:rPr>
              <w:t>Venice</w:t>
            </w:r>
          </w:p>
        </w:tc>
        <w:tc>
          <w:tcPr>
            <w:tcW w:w="979" w:type="pct"/>
          </w:tcPr>
          <w:p w:rsidR="00973D19" w:rsidRPr="002C4B69" w:rsidRDefault="00973D19" w:rsidP="00973D19">
            <w:pPr>
              <w:pStyle w:val="Tabletext"/>
              <w:rPr>
                <w:lang w:val="en-GB"/>
              </w:rPr>
            </w:pPr>
            <w:r w:rsidRPr="002C4B69">
              <w:rPr>
                <w:lang w:val="en-GB"/>
              </w:rPr>
              <w:t xml:space="preserve">Alluvial, lacustrine and shallow marine; Neozoic </w:t>
            </w:r>
            <w:r w:rsidR="005A0FA0" w:rsidRPr="005A0FA0">
              <w:rPr>
                <w:lang w:val="en-GB"/>
              </w:rPr>
              <w:t>(sand, silt and clay)</w:t>
            </w:r>
          </w:p>
        </w:tc>
        <w:tc>
          <w:tcPr>
            <w:tcW w:w="969" w:type="pct"/>
          </w:tcPr>
          <w:p w:rsidR="00973D19" w:rsidRPr="00973D19" w:rsidRDefault="00973D19" w:rsidP="00973D19">
            <w:pPr>
              <w:pStyle w:val="Tabletext"/>
              <w:rPr>
                <w:lang w:val="en-GB"/>
              </w:rPr>
            </w:pPr>
            <w:r w:rsidRPr="00973D19">
              <w:rPr>
                <w:lang w:val="en-GB"/>
              </w:rPr>
              <w:t>70-350</w:t>
            </w:r>
          </w:p>
        </w:tc>
        <w:tc>
          <w:tcPr>
            <w:tcW w:w="772" w:type="pct"/>
          </w:tcPr>
          <w:p w:rsidR="00973D19" w:rsidRPr="00973D19" w:rsidRDefault="00973D19" w:rsidP="00973D19">
            <w:pPr>
              <w:pStyle w:val="Tabletext"/>
              <w:rPr>
                <w:lang w:val="en-GB"/>
              </w:rPr>
            </w:pPr>
            <w:r w:rsidRPr="00973D19">
              <w:rPr>
                <w:lang w:val="en-GB"/>
              </w:rPr>
              <w:t>0.15 (1976)</w:t>
            </w:r>
          </w:p>
        </w:tc>
        <w:tc>
          <w:tcPr>
            <w:tcW w:w="772" w:type="pct"/>
          </w:tcPr>
          <w:p w:rsidR="00973D19" w:rsidRPr="00973D19" w:rsidRDefault="00973D19" w:rsidP="00973D19">
            <w:pPr>
              <w:pStyle w:val="Tabletext"/>
              <w:rPr>
                <w:lang w:val="en-GB"/>
              </w:rPr>
            </w:pPr>
            <w:r w:rsidRPr="00973D19">
              <w:rPr>
                <w:lang w:val="en-GB"/>
              </w:rPr>
              <w:t>About 400</w:t>
            </w:r>
          </w:p>
        </w:tc>
        <w:tc>
          <w:tcPr>
            <w:tcW w:w="772" w:type="pct"/>
          </w:tcPr>
          <w:p w:rsidR="00973D19" w:rsidRPr="00973D19" w:rsidRDefault="00973D19" w:rsidP="00973D19">
            <w:pPr>
              <w:pStyle w:val="Tabletext"/>
              <w:rPr>
                <w:lang w:val="en-GB"/>
              </w:rPr>
            </w:pPr>
            <w:r w:rsidRPr="00973D19">
              <w:rPr>
                <w:lang w:val="en-GB"/>
              </w:rPr>
              <w:t>1952-70</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Japan: Aomori</w:t>
            </w:r>
          </w:p>
        </w:tc>
        <w:tc>
          <w:tcPr>
            <w:tcW w:w="979" w:type="pct"/>
          </w:tcPr>
          <w:p w:rsidR="00973D19" w:rsidRPr="002C4B69" w:rsidRDefault="00973D19" w:rsidP="00973D19">
            <w:pPr>
              <w:pStyle w:val="Tabletext"/>
              <w:rPr>
                <w:lang w:val="en-GB"/>
              </w:rPr>
            </w:pPr>
            <w:r w:rsidRPr="002C4B69">
              <w:rPr>
                <w:lang w:val="en-GB"/>
              </w:rPr>
              <w:t>Alluvial and lacustrine; late Cenozoic</w:t>
            </w:r>
          </w:p>
        </w:tc>
        <w:tc>
          <w:tcPr>
            <w:tcW w:w="969" w:type="pct"/>
          </w:tcPr>
          <w:p w:rsidR="00973D19" w:rsidRPr="00973D19" w:rsidRDefault="00973D19" w:rsidP="00973D19">
            <w:pPr>
              <w:pStyle w:val="Tabletext"/>
              <w:rPr>
                <w:lang w:val="en-GB"/>
              </w:rPr>
            </w:pPr>
            <w:r w:rsidRPr="00973D19">
              <w:rPr>
                <w:lang w:val="en-GB"/>
              </w:rPr>
              <w:t>0-600</w:t>
            </w:r>
          </w:p>
        </w:tc>
        <w:tc>
          <w:tcPr>
            <w:tcW w:w="772" w:type="pct"/>
          </w:tcPr>
          <w:p w:rsidR="00973D19" w:rsidRPr="00973D19" w:rsidRDefault="00973D19" w:rsidP="00973D19">
            <w:pPr>
              <w:pStyle w:val="Tabletext"/>
              <w:rPr>
                <w:lang w:val="en-GB"/>
              </w:rPr>
            </w:pPr>
            <w:r w:rsidRPr="00973D19">
              <w:rPr>
                <w:lang w:val="en-GB"/>
              </w:rPr>
              <w:t>0.45 (1977)</w:t>
            </w:r>
          </w:p>
        </w:tc>
        <w:tc>
          <w:tcPr>
            <w:tcW w:w="772" w:type="pct"/>
          </w:tcPr>
          <w:p w:rsidR="00973D19" w:rsidRPr="00973D19" w:rsidRDefault="00973D19" w:rsidP="00973D19">
            <w:pPr>
              <w:pStyle w:val="Tabletext"/>
              <w:rPr>
                <w:lang w:val="en-GB"/>
              </w:rPr>
            </w:pPr>
            <w:r w:rsidRPr="00973D19">
              <w:rPr>
                <w:lang w:val="en-GB"/>
              </w:rPr>
              <w:t>65</w:t>
            </w:r>
          </w:p>
        </w:tc>
        <w:tc>
          <w:tcPr>
            <w:tcW w:w="772" w:type="pct"/>
          </w:tcPr>
          <w:p w:rsidR="00973D19" w:rsidRPr="00973D19" w:rsidRDefault="00973D19" w:rsidP="00973D19">
            <w:pPr>
              <w:pStyle w:val="Tabletext"/>
              <w:rPr>
                <w:lang w:val="en-GB"/>
              </w:rPr>
            </w:pPr>
            <w:r w:rsidRPr="00973D19">
              <w:rPr>
                <w:lang w:val="en-GB"/>
              </w:rPr>
              <w:t>1958-78</w:t>
            </w:r>
          </w:p>
        </w:tc>
      </w:tr>
      <w:tr w:rsidR="00973D19" w:rsidRPr="00973D19" w:rsidTr="0091309C">
        <w:trPr>
          <w:jc w:val="center"/>
        </w:trPr>
        <w:tc>
          <w:tcPr>
            <w:tcW w:w="737" w:type="pct"/>
          </w:tcPr>
          <w:p w:rsidR="00973D19" w:rsidRPr="00973D19" w:rsidRDefault="00F60A59" w:rsidP="00973D19">
            <w:pPr>
              <w:pStyle w:val="Tabletext"/>
              <w:rPr>
                <w:lang w:val="en-GB"/>
              </w:rPr>
            </w:pPr>
            <w:r>
              <w:rPr>
                <w:lang w:val="en-GB"/>
              </w:rPr>
              <w:t xml:space="preserve">Japan: </w:t>
            </w:r>
            <w:r w:rsidR="00973D19" w:rsidRPr="00973D19">
              <w:rPr>
                <w:lang w:val="en-GB"/>
              </w:rPr>
              <w:t>Sendai</w:t>
            </w:r>
          </w:p>
        </w:tc>
        <w:tc>
          <w:tcPr>
            <w:tcW w:w="979" w:type="pct"/>
          </w:tcPr>
          <w:p w:rsidR="00973D19" w:rsidRPr="00973D19" w:rsidRDefault="00973D19" w:rsidP="00973D19">
            <w:pPr>
              <w:pStyle w:val="Tabletext"/>
              <w:rPr>
                <w:lang w:val="en-GB"/>
              </w:rPr>
            </w:pPr>
            <w:r w:rsidRPr="00973D19">
              <w:rPr>
                <w:lang w:val="en-GB"/>
              </w:rPr>
              <w:t>Alluvial and shallow marine; late Cenozoic</w:t>
            </w:r>
          </w:p>
        </w:tc>
        <w:tc>
          <w:tcPr>
            <w:tcW w:w="969" w:type="pct"/>
          </w:tcPr>
          <w:p w:rsidR="00973D19" w:rsidRPr="00973D19" w:rsidRDefault="00973D19" w:rsidP="00973D19">
            <w:pPr>
              <w:pStyle w:val="Tabletext"/>
              <w:rPr>
                <w:lang w:val="en-GB"/>
              </w:rPr>
            </w:pPr>
            <w:r w:rsidRPr="00973D19">
              <w:rPr>
                <w:lang w:val="en-GB"/>
              </w:rPr>
              <w:t>0-300</w:t>
            </w:r>
          </w:p>
        </w:tc>
        <w:tc>
          <w:tcPr>
            <w:tcW w:w="772" w:type="pct"/>
          </w:tcPr>
          <w:p w:rsidR="00973D19" w:rsidRPr="00973D19" w:rsidRDefault="00973D19" w:rsidP="00973D19">
            <w:pPr>
              <w:pStyle w:val="Tabletext"/>
              <w:rPr>
                <w:lang w:val="en-GB"/>
              </w:rPr>
            </w:pPr>
            <w:r w:rsidRPr="00973D19">
              <w:rPr>
                <w:lang w:val="en-GB"/>
              </w:rPr>
              <w:t>0.57 (1977)</w:t>
            </w:r>
          </w:p>
        </w:tc>
        <w:tc>
          <w:tcPr>
            <w:tcW w:w="772" w:type="pct"/>
          </w:tcPr>
          <w:p w:rsidR="00973D19" w:rsidRPr="00973D19" w:rsidRDefault="00973D19" w:rsidP="00973D19">
            <w:pPr>
              <w:pStyle w:val="Tabletext"/>
              <w:rPr>
                <w:lang w:val="en-GB"/>
              </w:rPr>
            </w:pPr>
            <w:r w:rsidRPr="00973D19">
              <w:rPr>
                <w:lang w:val="en-GB"/>
              </w:rPr>
              <w:t>90</w:t>
            </w:r>
          </w:p>
        </w:tc>
        <w:tc>
          <w:tcPr>
            <w:tcW w:w="772" w:type="pct"/>
          </w:tcPr>
          <w:p w:rsidR="00973D19" w:rsidRPr="00973D19" w:rsidRDefault="00973D19" w:rsidP="00973D19">
            <w:pPr>
              <w:pStyle w:val="Tabletext"/>
              <w:rPr>
                <w:lang w:val="en-GB"/>
              </w:rPr>
            </w:pPr>
            <w:r w:rsidRPr="00973D19">
              <w:rPr>
                <w:lang w:val="en-GB"/>
              </w:rPr>
              <w:t>1966-78</w:t>
            </w:r>
          </w:p>
        </w:tc>
      </w:tr>
      <w:tr w:rsidR="00973D19" w:rsidRPr="00973D19" w:rsidTr="0091309C">
        <w:trPr>
          <w:jc w:val="center"/>
        </w:trPr>
        <w:tc>
          <w:tcPr>
            <w:tcW w:w="737" w:type="pct"/>
          </w:tcPr>
          <w:p w:rsidR="00973D19" w:rsidRPr="00973D19" w:rsidRDefault="00973D19" w:rsidP="00973D19">
            <w:pPr>
              <w:pStyle w:val="Tabletext"/>
              <w:rPr>
                <w:lang w:val="en-GB"/>
              </w:rPr>
            </w:pPr>
            <w:r w:rsidRPr="00973D19">
              <w:rPr>
                <w:lang w:val="en-GB"/>
              </w:rPr>
              <w:t>US: San Joaquin Valley</w:t>
            </w:r>
          </w:p>
        </w:tc>
        <w:tc>
          <w:tcPr>
            <w:tcW w:w="979" w:type="pct"/>
          </w:tcPr>
          <w:p w:rsidR="00973D19" w:rsidRPr="00973D19" w:rsidRDefault="00973D19" w:rsidP="00973D19">
            <w:pPr>
              <w:pStyle w:val="Tabletext"/>
              <w:rPr>
                <w:lang w:val="en-GB"/>
              </w:rPr>
            </w:pPr>
            <w:r w:rsidRPr="00973D19">
              <w:rPr>
                <w:lang w:val="en-GB"/>
              </w:rPr>
              <w:t xml:space="preserve">Lacustrine and Fluviatile; late </w:t>
            </w:r>
            <w:r w:rsidRPr="002C4B69">
              <w:rPr>
                <w:lang w:val="en-GB"/>
              </w:rPr>
              <w:t xml:space="preserve">Quaternary to early Tertiary </w:t>
            </w:r>
            <w:r w:rsidR="005A0FA0" w:rsidRPr="005A0FA0">
              <w:rPr>
                <w:lang w:val="en-GB"/>
              </w:rPr>
              <w:t>(sand, gravel, silt and clay)</w:t>
            </w:r>
          </w:p>
        </w:tc>
        <w:tc>
          <w:tcPr>
            <w:tcW w:w="969" w:type="pct"/>
          </w:tcPr>
          <w:p w:rsidR="00973D19" w:rsidRPr="00973D19" w:rsidRDefault="00973D19" w:rsidP="00973D19">
            <w:pPr>
              <w:pStyle w:val="Tabletext"/>
              <w:rPr>
                <w:lang w:val="en-GB"/>
              </w:rPr>
            </w:pPr>
            <w:r w:rsidRPr="00973D19">
              <w:rPr>
                <w:lang w:val="en-GB"/>
              </w:rPr>
              <w:t>0-600</w:t>
            </w:r>
          </w:p>
        </w:tc>
        <w:tc>
          <w:tcPr>
            <w:tcW w:w="772" w:type="pct"/>
          </w:tcPr>
          <w:p w:rsidR="00973D19" w:rsidRPr="00973D19" w:rsidRDefault="00973D19" w:rsidP="00973D19">
            <w:pPr>
              <w:pStyle w:val="Tabletext"/>
              <w:rPr>
                <w:lang w:val="en-GB"/>
              </w:rPr>
            </w:pPr>
            <w:r w:rsidRPr="00973D19">
              <w:rPr>
                <w:lang w:val="en-GB"/>
              </w:rPr>
              <w:t>9 (1977)</w:t>
            </w:r>
          </w:p>
        </w:tc>
        <w:tc>
          <w:tcPr>
            <w:tcW w:w="772" w:type="pct"/>
          </w:tcPr>
          <w:p w:rsidR="00973D19" w:rsidRPr="00973D19" w:rsidRDefault="00973D19" w:rsidP="00973D19">
            <w:pPr>
              <w:pStyle w:val="Tabletext"/>
              <w:rPr>
                <w:lang w:val="en-GB"/>
              </w:rPr>
            </w:pPr>
            <w:r w:rsidRPr="00973D19">
              <w:rPr>
                <w:lang w:val="en-GB"/>
              </w:rPr>
              <w:t>13,000</w:t>
            </w:r>
          </w:p>
        </w:tc>
        <w:tc>
          <w:tcPr>
            <w:tcW w:w="772" w:type="pct"/>
          </w:tcPr>
          <w:p w:rsidR="00973D19" w:rsidRPr="00973D19" w:rsidRDefault="00973D19" w:rsidP="00973D19">
            <w:pPr>
              <w:pStyle w:val="Tabletext"/>
              <w:rPr>
                <w:lang w:val="en-GB"/>
              </w:rPr>
            </w:pPr>
            <w:r w:rsidRPr="00973D19">
              <w:rPr>
                <w:lang w:val="en-GB"/>
              </w:rPr>
              <w:t>1930-77</w:t>
            </w:r>
          </w:p>
        </w:tc>
      </w:tr>
    </w:tbl>
    <w:p w:rsidR="00973D19" w:rsidRDefault="00973D19" w:rsidP="00A90F48">
      <w:pPr>
        <w:pStyle w:val="Listintrotext"/>
      </w:pPr>
    </w:p>
    <w:p w:rsidR="00973D19" w:rsidRPr="00973D19" w:rsidRDefault="00973D19" w:rsidP="00973D19">
      <w:pPr>
        <w:pStyle w:val="Heading2"/>
      </w:pPr>
      <w:bookmarkStart w:id="495" w:name="_Toc387410237"/>
      <w:bookmarkStart w:id="496" w:name="_Toc402425310"/>
      <w:r w:rsidRPr="00973D19">
        <w:t xml:space="preserve">Subsidence and </w:t>
      </w:r>
      <w:r w:rsidR="00FD23B8">
        <w:t>a</w:t>
      </w:r>
      <w:r w:rsidRPr="00973D19">
        <w:t>griculture</w:t>
      </w:r>
      <w:bookmarkEnd w:id="495"/>
      <w:bookmarkEnd w:id="496"/>
    </w:p>
    <w:p w:rsidR="00973D19" w:rsidRPr="00973D19" w:rsidRDefault="00973D19" w:rsidP="00973D19">
      <w:pPr>
        <w:pStyle w:val="BRNormal11pt0"/>
        <w:rPr>
          <w:lang w:val="en-GB"/>
        </w:rPr>
      </w:pPr>
      <w:r w:rsidRPr="00973D19">
        <w:rPr>
          <w:lang w:val="en-GB"/>
        </w:rPr>
        <w:t>The San Joaquin Valley is one of the largest alterations of land surface attributed to humankind. In 1970, comprehensive surveys of land subsidence in this area indicated that subsidence in excess of 30 cm had affected more than 13</w:t>
      </w:r>
      <w:r w:rsidR="00300F86">
        <w:rPr>
          <w:lang w:val="en-GB"/>
        </w:rPr>
        <w:t> </w:t>
      </w:r>
      <w:r w:rsidRPr="00973D19">
        <w:rPr>
          <w:lang w:val="en-GB"/>
        </w:rPr>
        <w:t>000 km</w:t>
      </w:r>
      <w:r w:rsidRPr="00973D19">
        <w:rPr>
          <w:vertAlign w:val="superscript"/>
          <w:lang w:val="en-GB"/>
        </w:rPr>
        <w:t>2</w:t>
      </w:r>
      <w:r w:rsidRPr="00973D19">
        <w:rPr>
          <w:lang w:val="en-GB"/>
        </w:rPr>
        <w:t xml:space="preserve"> of irrigable land. Figure</w:t>
      </w:r>
      <w:r w:rsidR="00300F86">
        <w:rPr>
          <w:lang w:val="en-GB"/>
        </w:rPr>
        <w:t> </w:t>
      </w:r>
      <w:r w:rsidR="00987036">
        <w:rPr>
          <w:lang w:val="en-GB"/>
        </w:rPr>
        <w:t>14</w:t>
      </w:r>
      <w:r w:rsidR="00987036" w:rsidRPr="00973D19">
        <w:rPr>
          <w:lang w:val="en-GB"/>
        </w:rPr>
        <w:t xml:space="preserve"> </w:t>
      </w:r>
      <w:r w:rsidRPr="00973D19">
        <w:rPr>
          <w:lang w:val="en-GB"/>
        </w:rPr>
        <w:t>shows the level of land surface in 1925, 1955 and 1977 (</w:t>
      </w:r>
      <w:r w:rsidR="00251CAA">
        <w:t>Ireland et al. 1984</w:t>
      </w:r>
      <w:r w:rsidRPr="00973D19">
        <w:rPr>
          <w:lang w:val="en-GB"/>
        </w:rPr>
        <w:t>).</w:t>
      </w:r>
    </w:p>
    <w:p w:rsidR="00973D19" w:rsidRPr="00973D19" w:rsidRDefault="00973D19" w:rsidP="00A90F48">
      <w:pPr>
        <w:pStyle w:val="Listintrotext"/>
        <w:rPr>
          <w:lang w:val="en-GB"/>
        </w:rPr>
      </w:pPr>
      <w:r w:rsidRPr="00973D19">
        <w:rPr>
          <w:noProof/>
          <w:lang w:val="en-AU" w:eastAsia="en-AU"/>
        </w:rPr>
        <w:drawing>
          <wp:inline distT="0" distB="0" distL="0" distR="0">
            <wp:extent cx="2981325" cy="67506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8001" cy="6765718"/>
                    </a:xfrm>
                    <a:prstGeom prst="rect">
                      <a:avLst/>
                    </a:prstGeom>
                    <a:noFill/>
                    <a:ln>
                      <a:noFill/>
                    </a:ln>
                  </pic:spPr>
                </pic:pic>
              </a:graphicData>
            </a:graphic>
          </wp:inline>
        </w:drawing>
      </w:r>
    </w:p>
    <w:p w:rsidR="00973D19" w:rsidRPr="00973D19"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14</w:t>
      </w:r>
      <w:r w:rsidR="00E252C4" w:rsidRPr="005A4936">
        <w:fldChar w:fldCharType="end"/>
      </w:r>
      <w:r>
        <w:t xml:space="preserve"> </w:t>
      </w:r>
      <w:r w:rsidR="00973D19" w:rsidRPr="00973D19">
        <w:t xml:space="preserve">Signs </w:t>
      </w:r>
      <w:r w:rsidR="00300F86">
        <w:t>s</w:t>
      </w:r>
      <w:r w:rsidR="00973D19" w:rsidRPr="00973D19">
        <w:t>how</w:t>
      </w:r>
      <w:r w:rsidR="00300F86">
        <w:t>ing</w:t>
      </w:r>
      <w:r w:rsidR="00973D19" w:rsidRPr="00973D19">
        <w:t xml:space="preserve"> </w:t>
      </w:r>
      <w:r w:rsidR="00300F86">
        <w:t>a</w:t>
      </w:r>
      <w:r w:rsidR="00973D19" w:rsidRPr="00973D19">
        <w:t xml:space="preserve">pproximate </w:t>
      </w:r>
      <w:r w:rsidR="00300F86">
        <w:t>e</w:t>
      </w:r>
      <w:r w:rsidR="00973D19" w:rsidRPr="00973D19">
        <w:t xml:space="preserve">levation of </w:t>
      </w:r>
      <w:r w:rsidR="00300F86">
        <w:t>l</w:t>
      </w:r>
      <w:r w:rsidR="00973D19" w:rsidRPr="00973D19">
        <w:t xml:space="preserve">and </w:t>
      </w:r>
      <w:r w:rsidR="00300F86">
        <w:t>s</w:t>
      </w:r>
      <w:r w:rsidR="00973D19" w:rsidRPr="00973D19">
        <w:t xml:space="preserve">urface </w:t>
      </w:r>
      <w:r w:rsidR="00300F86">
        <w:t>o</w:t>
      </w:r>
      <w:r w:rsidR="00973D19" w:rsidRPr="00973D19">
        <w:t xml:space="preserve">ver the </w:t>
      </w:r>
      <w:r w:rsidR="00300F86">
        <w:t>p</w:t>
      </w:r>
      <w:r w:rsidR="00973D19" w:rsidRPr="00973D19">
        <w:t xml:space="preserve">eriod 1925 to 1977 </w:t>
      </w:r>
      <w:r w:rsidR="00DE27A7">
        <w:t xml:space="preserve">in the San Joaquin Valley, California </w:t>
      </w:r>
      <w:r w:rsidR="00973D19" w:rsidRPr="00973D19">
        <w:t>(</w:t>
      </w:r>
      <w:r w:rsidR="00300F86">
        <w:rPr>
          <w:rFonts w:cs="Arial"/>
        </w:rPr>
        <w:t>©</w:t>
      </w:r>
      <w:r w:rsidR="00300F86">
        <w:t xml:space="preserve"> Copyright, </w:t>
      </w:r>
      <w:r w:rsidR="00251CAA">
        <w:t>Ireland et al. 1984</w:t>
      </w:r>
      <w:r w:rsidR="00973D19" w:rsidRPr="00973D19">
        <w:t>)</w:t>
      </w:r>
    </w:p>
    <w:p w:rsidR="00973D19" w:rsidRPr="00973D19" w:rsidRDefault="00973D19" w:rsidP="00973D19">
      <w:pPr>
        <w:pStyle w:val="BRNormal11pt0"/>
        <w:rPr>
          <w:lang w:val="en-GB"/>
        </w:rPr>
      </w:pPr>
      <w:r w:rsidRPr="00973D19">
        <w:rPr>
          <w:lang w:val="en-GB"/>
        </w:rPr>
        <w:t xml:space="preserve">In this case, groundwater pumping for agricultural needs and irrigation altered the groundwater flow direction. Prior </w:t>
      </w:r>
      <w:r w:rsidR="00B123DA">
        <w:rPr>
          <w:lang w:val="en-GB"/>
        </w:rPr>
        <w:t>to development</w:t>
      </w:r>
      <w:r w:rsidRPr="00973D19">
        <w:rPr>
          <w:lang w:val="en-GB"/>
        </w:rPr>
        <w:t xml:space="preserve"> for agriculture, groundwater flowed from </w:t>
      </w:r>
      <w:r w:rsidR="006E550C">
        <w:rPr>
          <w:lang w:val="en-GB"/>
        </w:rPr>
        <w:t xml:space="preserve">the </w:t>
      </w:r>
      <w:r w:rsidRPr="00973D19">
        <w:rPr>
          <w:lang w:val="en-GB"/>
        </w:rPr>
        <w:t>mountains toward the centre of</w:t>
      </w:r>
      <w:r w:rsidR="006E550C">
        <w:rPr>
          <w:lang w:val="en-GB"/>
        </w:rPr>
        <w:t xml:space="preserve"> the</w:t>
      </w:r>
      <w:r w:rsidRPr="00973D19">
        <w:rPr>
          <w:lang w:val="en-GB"/>
        </w:rPr>
        <w:t xml:space="preserve"> valley. Groundwater withdrawal changed the flow direction toward pumping centres. The geological environment comprises Corcoran Clay distributed throughout the central and western valley, confining a deeper aquifer system that comprises fine-grained aquitards interbedded with coarser aquifers, as shown in Figure</w:t>
      </w:r>
      <w:r w:rsidR="001B58B6">
        <w:rPr>
          <w:lang w:val="en-GB"/>
        </w:rPr>
        <w:t> </w:t>
      </w:r>
      <w:r w:rsidR="00987036">
        <w:rPr>
          <w:lang w:val="en-GB"/>
        </w:rPr>
        <w:t>15</w:t>
      </w:r>
      <w:r w:rsidRPr="00973D19">
        <w:rPr>
          <w:lang w:val="en-GB"/>
        </w:rPr>
        <w:t xml:space="preserve">. Most of the developed subsidence has been associated with water level reduction within the deep confined aquifer system. </w:t>
      </w:r>
    </w:p>
    <w:p w:rsidR="00973D19" w:rsidRPr="00973D19" w:rsidRDefault="00973D19" w:rsidP="00A90F48">
      <w:pPr>
        <w:pStyle w:val="Listintrotext"/>
        <w:rPr>
          <w:lang w:val="en-GB"/>
        </w:rPr>
      </w:pPr>
      <w:r w:rsidRPr="00973D19">
        <w:rPr>
          <w:noProof/>
          <w:lang w:val="en-AU" w:eastAsia="en-AU"/>
        </w:rPr>
        <w:drawing>
          <wp:inline distT="0" distB="0" distL="0" distR="0">
            <wp:extent cx="5810250" cy="2667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812160" cy="26678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3D19"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15</w:t>
      </w:r>
      <w:r w:rsidR="00E252C4" w:rsidRPr="005A4936">
        <w:fldChar w:fldCharType="end"/>
      </w:r>
      <w:r>
        <w:t xml:space="preserve"> </w:t>
      </w:r>
      <w:r w:rsidR="00DB0C4A">
        <w:t>G</w:t>
      </w:r>
      <w:r w:rsidR="00001291">
        <w:t xml:space="preserve">roundwater movement and aquifer conditions in the </w:t>
      </w:r>
      <w:r w:rsidR="00973D19" w:rsidRPr="00973D19">
        <w:t xml:space="preserve">San Joaquin Valley </w:t>
      </w:r>
      <w:r w:rsidR="00001291">
        <w:t xml:space="preserve">prior to </w:t>
      </w:r>
      <w:r w:rsidR="005E0A94">
        <w:t xml:space="preserve">agricultural </w:t>
      </w:r>
      <w:r w:rsidR="00001291">
        <w:t xml:space="preserve">development in the area </w:t>
      </w:r>
      <w:r w:rsidR="00973D19" w:rsidRPr="00973D19">
        <w:t>(</w:t>
      </w:r>
      <w:r w:rsidR="00300F86">
        <w:rPr>
          <w:rFonts w:cs="Arial"/>
        </w:rPr>
        <w:t>©</w:t>
      </w:r>
      <w:r w:rsidR="00300F86">
        <w:t xml:space="preserve"> Copyright, </w:t>
      </w:r>
      <w:r w:rsidR="00973D19" w:rsidRPr="00973D19">
        <w:t>Darini 2007)</w:t>
      </w:r>
    </w:p>
    <w:p w:rsidR="00973D19" w:rsidRPr="00973D19" w:rsidRDefault="00973D19" w:rsidP="00973D19">
      <w:pPr>
        <w:pStyle w:val="Heading2"/>
      </w:pPr>
      <w:bookmarkStart w:id="497" w:name="_Toc394649797"/>
      <w:bookmarkStart w:id="498" w:name="_Toc387410238"/>
      <w:bookmarkStart w:id="499" w:name="_Toc402425311"/>
      <w:bookmarkEnd w:id="497"/>
      <w:r w:rsidRPr="00973D19">
        <w:t xml:space="preserve">Subsidence and </w:t>
      </w:r>
      <w:r w:rsidR="00FD23B8">
        <w:t>m</w:t>
      </w:r>
      <w:r w:rsidRPr="00973D19">
        <w:t>ining</w:t>
      </w:r>
      <w:bookmarkEnd w:id="498"/>
      <w:bookmarkEnd w:id="499"/>
    </w:p>
    <w:p w:rsidR="00973D19" w:rsidRPr="00973D19" w:rsidRDefault="00973D19" w:rsidP="00973D19">
      <w:pPr>
        <w:pStyle w:val="BRNormal11pt0"/>
        <w:rPr>
          <w:lang w:val="en-GB"/>
        </w:rPr>
      </w:pPr>
      <w:r w:rsidRPr="00973D19">
        <w:rPr>
          <w:lang w:val="en-GB"/>
        </w:rPr>
        <w:t>The Gippsland Basin covers the Latrobe Valley</w:t>
      </w:r>
      <w:r w:rsidR="00B123DA">
        <w:rPr>
          <w:lang w:val="en-GB"/>
        </w:rPr>
        <w:t xml:space="preserve"> in</w:t>
      </w:r>
      <w:r w:rsidRPr="00973D19">
        <w:rPr>
          <w:lang w:val="en-GB"/>
        </w:rPr>
        <w:t xml:space="preserve"> Victoria, Australia. Within the Latrobe </w:t>
      </w:r>
      <w:r w:rsidR="00912320">
        <w:rPr>
          <w:lang w:val="en-GB"/>
        </w:rPr>
        <w:t>V</w:t>
      </w:r>
      <w:r w:rsidRPr="00973D19">
        <w:rPr>
          <w:lang w:val="en-GB"/>
        </w:rPr>
        <w:t>alley depression</w:t>
      </w:r>
      <w:r w:rsidR="00912320">
        <w:rPr>
          <w:lang w:val="en-GB"/>
        </w:rPr>
        <w:t>,</w:t>
      </w:r>
      <w:r w:rsidRPr="00973D19">
        <w:rPr>
          <w:lang w:val="en-GB"/>
        </w:rPr>
        <w:t xml:space="preserve"> some 700</w:t>
      </w:r>
      <w:r w:rsidR="001B58B6">
        <w:rPr>
          <w:lang w:val="en-GB"/>
        </w:rPr>
        <w:t> </w:t>
      </w:r>
      <w:r w:rsidRPr="00973D19">
        <w:rPr>
          <w:lang w:val="en-GB"/>
        </w:rPr>
        <w:t xml:space="preserve">m of Tertiary sediments named the Latrobe </w:t>
      </w:r>
      <w:r w:rsidR="00912320">
        <w:rPr>
          <w:lang w:val="en-GB"/>
        </w:rPr>
        <w:t>V</w:t>
      </w:r>
      <w:r w:rsidRPr="00973D19">
        <w:rPr>
          <w:lang w:val="en-GB"/>
        </w:rPr>
        <w:t xml:space="preserve">alley coal </w:t>
      </w:r>
      <w:proofErr w:type="gramStart"/>
      <w:r w:rsidRPr="00973D19">
        <w:rPr>
          <w:lang w:val="en-GB"/>
        </w:rPr>
        <w:t>measures (including brown coal material, as well as some volcanic material towards the base) was</w:t>
      </w:r>
      <w:proofErr w:type="gramEnd"/>
      <w:r w:rsidRPr="00973D19">
        <w:rPr>
          <w:lang w:val="en-GB"/>
        </w:rPr>
        <w:t xml:space="preserve"> deposited over predominantly lower cretaceous sandstones and shales. Unconfined groundwaters are present over most of the area, as shown in Figure</w:t>
      </w:r>
      <w:r w:rsidR="001B58B6">
        <w:rPr>
          <w:lang w:val="en-GB"/>
        </w:rPr>
        <w:t> </w:t>
      </w:r>
      <w:r w:rsidR="00987036">
        <w:rPr>
          <w:lang w:val="en-GB"/>
        </w:rPr>
        <w:t>16</w:t>
      </w:r>
      <w:r w:rsidRPr="00973D19">
        <w:rPr>
          <w:lang w:val="en-GB"/>
        </w:rPr>
        <w:t>.</w:t>
      </w:r>
    </w:p>
    <w:p w:rsidR="00912320" w:rsidRPr="00973D19" w:rsidRDefault="00E57E0A" w:rsidP="00912320">
      <w:pPr>
        <w:pStyle w:val="Listintrotext"/>
        <w:rPr>
          <w:lang w:val="en-GB"/>
        </w:rPr>
      </w:pPr>
      <w:r>
        <w:rPr>
          <w:noProof/>
          <w:lang w:val="en-AU" w:eastAsia="en-AU"/>
        </w:rPr>
        <w:drawing>
          <wp:inline distT="0" distB="0" distL="0" distR="0">
            <wp:extent cx="5267739" cy="32203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301820" cy="32412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12320" w:rsidRPr="00973D19" w:rsidRDefault="00912320"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16</w:t>
      </w:r>
      <w:r w:rsidR="00E252C4" w:rsidRPr="005A4936">
        <w:fldChar w:fldCharType="end"/>
      </w:r>
      <w:r>
        <w:t xml:space="preserve"> </w:t>
      </w:r>
      <w:r w:rsidRPr="00973D19">
        <w:t xml:space="preserve">Location of Latrobe </w:t>
      </w:r>
      <w:r>
        <w:t>Valley, Gippsland Basin (</w:t>
      </w:r>
      <w:r w:rsidR="00BF45E7">
        <w:rPr>
          <w:rFonts w:cs="Arial"/>
        </w:rPr>
        <w:t>©</w:t>
      </w:r>
      <w:r w:rsidR="00BF45E7">
        <w:t xml:space="preserve"> Copyright, </w:t>
      </w:r>
      <w:r>
        <w:t>Poland</w:t>
      </w:r>
      <w:r w:rsidR="009F3F2B">
        <w:t xml:space="preserve"> 1984)</w:t>
      </w:r>
    </w:p>
    <w:p w:rsidR="00E57E0A" w:rsidRDefault="00973D19">
      <w:pPr>
        <w:pStyle w:val="Listintrotext"/>
        <w:rPr>
          <w:lang w:val="en-GB"/>
        </w:rPr>
      </w:pPr>
      <w:r w:rsidRPr="00973D19">
        <w:rPr>
          <w:lang w:val="en-GB"/>
        </w:rPr>
        <w:t xml:space="preserve">To provide safe operating conditions for coal extraction, the artesian pressure of underlying aquifers was reduced. The resulting increased effective stress induced consolidation of strata and caused land subsidence. Surface movements have occurred since excavation commenced. By 1977, when the open cut had reached its full depth and was being developed to the west, horizontal movements had reached as much as 2.25 m and vertical movement had reached 1.68 m at the top of the northern and eastern batters, as shown in Figure </w:t>
      </w:r>
      <w:r w:rsidR="00987036">
        <w:rPr>
          <w:lang w:val="en-GB"/>
        </w:rPr>
        <w:t>17</w:t>
      </w:r>
      <w:r w:rsidRPr="00973D19">
        <w:rPr>
          <w:lang w:val="en-GB"/>
        </w:rPr>
        <w:t xml:space="preserve">. These movements are attributed to a combination of the </w:t>
      </w:r>
      <w:r w:rsidR="00912320">
        <w:rPr>
          <w:lang w:val="en-GB"/>
        </w:rPr>
        <w:t>following:</w:t>
      </w:r>
    </w:p>
    <w:p w:rsidR="00E57E0A" w:rsidRDefault="00973D19" w:rsidP="007702DF">
      <w:pPr>
        <w:pStyle w:val="BRdotpoints"/>
        <w:rPr>
          <w:lang w:val="en-GB"/>
        </w:rPr>
      </w:pPr>
      <w:r w:rsidRPr="00973D19">
        <w:rPr>
          <w:lang w:val="en-GB"/>
        </w:rPr>
        <w:t xml:space="preserve">effects of stress relief from mine excavation and from lowering of groundwater pressures within the coal as a result of drainage to the excavated face </w:t>
      </w:r>
    </w:p>
    <w:p w:rsidR="00E57E0A" w:rsidRDefault="00973D19" w:rsidP="007702DF">
      <w:pPr>
        <w:pStyle w:val="BRdotpoints"/>
        <w:rPr>
          <w:lang w:val="en-GB"/>
        </w:rPr>
      </w:pPr>
      <w:proofErr w:type="gramStart"/>
      <w:r w:rsidRPr="00973D19">
        <w:rPr>
          <w:lang w:val="en-GB"/>
        </w:rPr>
        <w:t>as</w:t>
      </w:r>
      <w:proofErr w:type="gramEnd"/>
      <w:r w:rsidRPr="00973D19">
        <w:rPr>
          <w:lang w:val="en-GB"/>
        </w:rPr>
        <w:t xml:space="preserve"> a result of pumping to control potential uplift of the floor of the mine as a result of groundwater pressure.</w:t>
      </w:r>
    </w:p>
    <w:p w:rsidR="00973D19" w:rsidRPr="00973D19" w:rsidRDefault="00973D19" w:rsidP="00A90F48">
      <w:pPr>
        <w:pStyle w:val="Listintrotext"/>
        <w:rPr>
          <w:lang w:val="en-GB"/>
        </w:rPr>
      </w:pPr>
      <w:r w:rsidRPr="00973D19">
        <w:rPr>
          <w:noProof/>
          <w:lang w:val="en-AU" w:eastAsia="en-AU"/>
        </w:rPr>
        <w:drawing>
          <wp:inline distT="0" distB="0" distL="0" distR="0">
            <wp:extent cx="5954816" cy="361950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980221" cy="36349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3D19" w:rsidRPr="00973D19"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17</w:t>
      </w:r>
      <w:r w:rsidR="00E252C4" w:rsidRPr="005A4936">
        <w:fldChar w:fldCharType="end"/>
      </w:r>
      <w:r>
        <w:t xml:space="preserve"> </w:t>
      </w:r>
      <w:r w:rsidR="00973D19" w:rsidRPr="00973D19">
        <w:t xml:space="preserve">Horizontal and </w:t>
      </w:r>
      <w:r w:rsidR="00912320">
        <w:t>v</w:t>
      </w:r>
      <w:r w:rsidR="00973D19" w:rsidRPr="00973D19">
        <w:t xml:space="preserve">ertical </w:t>
      </w:r>
      <w:r w:rsidR="00912320">
        <w:t>m</w:t>
      </w:r>
      <w:r w:rsidR="00973D19" w:rsidRPr="00973D19">
        <w:t xml:space="preserve">ovement </w:t>
      </w:r>
      <w:r w:rsidR="00912320">
        <w:t>a</w:t>
      </w:r>
      <w:r w:rsidR="00973D19" w:rsidRPr="00973D19">
        <w:t>djacent to Morwell Open Cut (</w:t>
      </w:r>
      <w:r w:rsidR="00BF45E7">
        <w:rPr>
          <w:rFonts w:cs="Arial"/>
        </w:rPr>
        <w:t>©</w:t>
      </w:r>
      <w:r w:rsidR="00BF45E7">
        <w:t xml:space="preserve"> Copyright, </w:t>
      </w:r>
      <w:r w:rsidR="00973D19" w:rsidRPr="00973D19">
        <w:t>Poland</w:t>
      </w:r>
      <w:r w:rsidR="001B58B6">
        <w:t> </w:t>
      </w:r>
      <w:r w:rsidR="009F3F2B">
        <w:t>1984)</w:t>
      </w:r>
    </w:p>
    <w:p w:rsidR="00973D19" w:rsidRPr="00973D19" w:rsidRDefault="00973D19" w:rsidP="00973D19">
      <w:pPr>
        <w:pStyle w:val="BRNormal11pt0"/>
        <w:rPr>
          <w:lang w:val="en-GB"/>
        </w:rPr>
      </w:pPr>
      <w:r w:rsidRPr="00973D19">
        <w:rPr>
          <w:lang w:val="en-GB"/>
        </w:rPr>
        <w:t xml:space="preserve">Apart from the geometry of the cut and the geological structure, the </w:t>
      </w:r>
      <w:r w:rsidR="00CB5093">
        <w:rPr>
          <w:lang w:val="en-GB"/>
        </w:rPr>
        <w:t>major</w:t>
      </w:r>
      <w:r w:rsidR="00CB5093" w:rsidRPr="00973D19">
        <w:rPr>
          <w:lang w:val="en-GB"/>
        </w:rPr>
        <w:t xml:space="preserve"> </w:t>
      </w:r>
      <w:r w:rsidRPr="00973D19">
        <w:rPr>
          <w:lang w:val="en-GB"/>
        </w:rPr>
        <w:t xml:space="preserve">factors influencing movements in the area around Morwell </w:t>
      </w:r>
      <w:r w:rsidR="00912320">
        <w:rPr>
          <w:lang w:val="en-GB"/>
        </w:rPr>
        <w:t>O</w:t>
      </w:r>
      <w:r w:rsidRPr="00973D19">
        <w:rPr>
          <w:lang w:val="en-GB"/>
        </w:rPr>
        <w:t xml:space="preserve">pen </w:t>
      </w:r>
      <w:r w:rsidR="00912320">
        <w:rPr>
          <w:lang w:val="en-GB"/>
        </w:rPr>
        <w:t>C</w:t>
      </w:r>
      <w:r w:rsidRPr="00973D19">
        <w:rPr>
          <w:lang w:val="en-GB"/>
        </w:rPr>
        <w:t xml:space="preserve">ut are pressure relief and reduction in groundwater pressures. </w:t>
      </w:r>
    </w:p>
    <w:p w:rsidR="00973D19" w:rsidRPr="00973D19" w:rsidRDefault="00973D19" w:rsidP="004D2FC8">
      <w:pPr>
        <w:pStyle w:val="Heading2"/>
      </w:pPr>
      <w:bookmarkStart w:id="500" w:name="_Toc387410239"/>
      <w:bookmarkStart w:id="501" w:name="_Toc402425312"/>
      <w:r w:rsidRPr="00973D19">
        <w:t xml:space="preserve">Subsidence and </w:t>
      </w:r>
      <w:r w:rsidR="00FD23B8">
        <w:t>o</w:t>
      </w:r>
      <w:r w:rsidRPr="00973D19">
        <w:t xml:space="preserve">il and </w:t>
      </w:r>
      <w:r w:rsidR="00FD23B8">
        <w:t>c</w:t>
      </w:r>
      <w:r w:rsidRPr="00973D19">
        <w:t xml:space="preserve">onventional </w:t>
      </w:r>
      <w:r w:rsidR="00FD23B8">
        <w:t>g</w:t>
      </w:r>
      <w:r w:rsidRPr="00973D19">
        <w:t xml:space="preserve">as </w:t>
      </w:r>
      <w:r w:rsidR="00FD23B8">
        <w:t>e</w:t>
      </w:r>
      <w:r w:rsidRPr="00973D19">
        <w:t>xtraction</w:t>
      </w:r>
      <w:bookmarkEnd w:id="500"/>
      <w:bookmarkEnd w:id="501"/>
    </w:p>
    <w:p w:rsidR="00973D19" w:rsidRPr="00973D19" w:rsidRDefault="00973D19" w:rsidP="004D2FC8">
      <w:pPr>
        <w:pStyle w:val="BRNormal11pt0"/>
        <w:rPr>
          <w:lang w:val="en-GB"/>
        </w:rPr>
      </w:pPr>
      <w:r w:rsidRPr="00973D19">
        <w:rPr>
          <w:lang w:val="en-GB"/>
        </w:rPr>
        <w:t xml:space="preserve">Of the case histories listed in </w:t>
      </w:r>
      <w:r w:rsidR="00912320">
        <w:rPr>
          <w:lang w:val="en-GB"/>
        </w:rPr>
        <w:t>Table</w:t>
      </w:r>
      <w:r w:rsidR="001B58B6">
        <w:rPr>
          <w:lang w:val="en-GB"/>
        </w:rPr>
        <w:t> </w:t>
      </w:r>
      <w:r w:rsidR="009A1188">
        <w:rPr>
          <w:lang w:val="en-GB"/>
        </w:rPr>
        <w:t>2</w:t>
      </w:r>
      <w:r w:rsidRPr="00973D19">
        <w:rPr>
          <w:lang w:val="en-GB"/>
        </w:rPr>
        <w:t>, two are related to gas extraction</w:t>
      </w:r>
      <w:r w:rsidR="00912320">
        <w:rPr>
          <w:lang w:val="en-GB"/>
        </w:rPr>
        <w:t>:</w:t>
      </w:r>
      <w:r w:rsidRPr="00973D19">
        <w:rPr>
          <w:lang w:val="en-GB"/>
        </w:rPr>
        <w:t xml:space="preserve"> Po</w:t>
      </w:r>
      <w:r w:rsidR="00912320">
        <w:rPr>
          <w:lang w:val="en-GB"/>
        </w:rPr>
        <w:t> D</w:t>
      </w:r>
      <w:r w:rsidRPr="00973D19">
        <w:rPr>
          <w:lang w:val="en-GB"/>
        </w:rPr>
        <w:t xml:space="preserve">elta </w:t>
      </w:r>
      <w:r w:rsidR="00912320">
        <w:rPr>
          <w:lang w:val="en-GB"/>
        </w:rPr>
        <w:t>(</w:t>
      </w:r>
      <w:r w:rsidRPr="00973D19">
        <w:rPr>
          <w:lang w:val="en-GB"/>
        </w:rPr>
        <w:t>Italy</w:t>
      </w:r>
      <w:r w:rsidR="00912320">
        <w:rPr>
          <w:lang w:val="en-GB"/>
        </w:rPr>
        <w:t>)</w:t>
      </w:r>
      <w:r w:rsidRPr="00973D19">
        <w:rPr>
          <w:lang w:val="en-GB"/>
        </w:rPr>
        <w:t xml:space="preserve"> and Niigata </w:t>
      </w:r>
      <w:r w:rsidR="00912320">
        <w:rPr>
          <w:lang w:val="en-GB"/>
        </w:rPr>
        <w:t>(</w:t>
      </w:r>
      <w:r w:rsidRPr="00973D19">
        <w:rPr>
          <w:lang w:val="en-GB"/>
        </w:rPr>
        <w:t>Japan).</w:t>
      </w:r>
      <w:r w:rsidR="006B287D">
        <w:rPr>
          <w:lang w:val="en-GB"/>
        </w:rPr>
        <w:t xml:space="preserve"> The Niigata case history is summarised in this section. </w:t>
      </w:r>
    </w:p>
    <w:p w:rsidR="00973D19" w:rsidRDefault="00973D19" w:rsidP="004D2FC8">
      <w:pPr>
        <w:pStyle w:val="BRNormal11pt0"/>
        <w:rPr>
          <w:lang w:val="en-GB"/>
        </w:rPr>
      </w:pPr>
      <w:r w:rsidRPr="00973D19">
        <w:rPr>
          <w:lang w:val="en-GB"/>
        </w:rPr>
        <w:t xml:space="preserve">The Niigata case history relates to the Niigata </w:t>
      </w:r>
      <w:r w:rsidR="00912320">
        <w:rPr>
          <w:lang w:val="en-GB"/>
        </w:rPr>
        <w:t>P</w:t>
      </w:r>
      <w:r w:rsidRPr="00973D19">
        <w:rPr>
          <w:lang w:val="en-GB"/>
        </w:rPr>
        <w:t xml:space="preserve">lain, a large coastal plain along the Sea of Japan coast. It is bounded to the east by mountains, to the south and west by hills, and to the north by the Sea of Japan. The area possessed abundant methane gas. The major gas reservoirs in the Niigata </w:t>
      </w:r>
      <w:r w:rsidR="00BF45E7">
        <w:rPr>
          <w:lang w:val="en-GB"/>
        </w:rPr>
        <w:t>G</w:t>
      </w:r>
      <w:r w:rsidRPr="00973D19">
        <w:rPr>
          <w:lang w:val="en-GB"/>
        </w:rPr>
        <w:t xml:space="preserve">as </w:t>
      </w:r>
      <w:r w:rsidR="00BF45E7">
        <w:rPr>
          <w:lang w:val="en-GB"/>
        </w:rPr>
        <w:t>F</w:t>
      </w:r>
      <w:r w:rsidRPr="00973D19">
        <w:rPr>
          <w:lang w:val="en-GB"/>
        </w:rPr>
        <w:t>ield belong to the Uonuma geological group of Pleistocene age, which is characterised by alternation of clay, sand and gravel beds. Confined aquifers consisting of sand and gravel act as gas reservoirs, filled with brackish to saline water. Large quantities of saline ground water containing dissolved gas were pumped from wells as deep as 1000</w:t>
      </w:r>
      <w:r w:rsidR="00D6530B">
        <w:rPr>
          <w:lang w:val="en-GB"/>
        </w:rPr>
        <w:t> m</w:t>
      </w:r>
      <w:r w:rsidRPr="00973D19">
        <w:rPr>
          <w:lang w:val="en-GB"/>
        </w:rPr>
        <w:t xml:space="preserve"> below ground surface. The recorded long-term subsidence between 1898 and 1970 is shown in Figure </w:t>
      </w:r>
      <w:r w:rsidR="00987036">
        <w:rPr>
          <w:lang w:val="en-GB"/>
        </w:rPr>
        <w:t>18</w:t>
      </w:r>
      <w:r w:rsidRPr="00973D19">
        <w:rPr>
          <w:lang w:val="en-GB"/>
        </w:rPr>
        <w:t xml:space="preserve">. Natural gas production began about 1947 and increased rapidly in the 1950s. Figure </w:t>
      </w:r>
      <w:r w:rsidR="00987036">
        <w:rPr>
          <w:lang w:val="en-GB"/>
        </w:rPr>
        <w:t>18</w:t>
      </w:r>
      <w:r w:rsidR="00987036" w:rsidRPr="00973D19">
        <w:rPr>
          <w:lang w:val="en-GB"/>
        </w:rPr>
        <w:t xml:space="preserve"> </w:t>
      </w:r>
      <w:r w:rsidRPr="00973D19">
        <w:rPr>
          <w:lang w:val="en-GB"/>
        </w:rPr>
        <w:t>shows that accelerated subsidence coincided with gas production.</w:t>
      </w:r>
    </w:p>
    <w:p w:rsidR="00ED7703" w:rsidRPr="00973D19" w:rsidRDefault="00ED7703" w:rsidP="004D2FC8">
      <w:pPr>
        <w:pStyle w:val="BRNormal11pt0"/>
        <w:rPr>
          <w:lang w:val="en-GB"/>
        </w:rPr>
      </w:pPr>
    </w:p>
    <w:p w:rsidR="00973D19" w:rsidRPr="00973D19" w:rsidRDefault="00973D19" w:rsidP="00A90F48">
      <w:pPr>
        <w:pStyle w:val="Listintrotext"/>
        <w:rPr>
          <w:lang w:val="en-GB"/>
        </w:rPr>
      </w:pPr>
      <w:r w:rsidRPr="00973D19">
        <w:rPr>
          <w:noProof/>
          <w:lang w:val="en-AU" w:eastAsia="en-AU"/>
        </w:rPr>
        <w:drawing>
          <wp:inline distT="0" distB="0" distL="0" distR="0">
            <wp:extent cx="5000625" cy="66307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9758" cy="6642870"/>
                    </a:xfrm>
                    <a:prstGeom prst="rect">
                      <a:avLst/>
                    </a:prstGeom>
                    <a:noFill/>
                    <a:ln>
                      <a:noFill/>
                    </a:ln>
                  </pic:spPr>
                </pic:pic>
              </a:graphicData>
            </a:graphic>
          </wp:inline>
        </w:drawing>
      </w:r>
    </w:p>
    <w:p w:rsidR="00973D19" w:rsidRPr="00973D19"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18</w:t>
      </w:r>
      <w:r w:rsidR="00E252C4" w:rsidRPr="005A4936">
        <w:fldChar w:fldCharType="end"/>
      </w:r>
      <w:proofErr w:type="gramStart"/>
      <w:r>
        <w:t xml:space="preserve"> </w:t>
      </w:r>
      <w:r w:rsidR="00973D19" w:rsidRPr="00973D19">
        <w:t xml:space="preserve">Recorded </w:t>
      </w:r>
      <w:r w:rsidR="00D6530B">
        <w:t>s</w:t>
      </w:r>
      <w:r w:rsidR="00973D19" w:rsidRPr="00973D19">
        <w:t>ubsidence</w:t>
      </w:r>
      <w:proofErr w:type="gramEnd"/>
      <w:r w:rsidR="00973D19" w:rsidRPr="00973D19">
        <w:t xml:space="preserve"> in Niigata Plain Gas Field, Japan (</w:t>
      </w:r>
      <w:r w:rsidR="00D6530B">
        <w:rPr>
          <w:rFonts w:cs="Arial"/>
        </w:rPr>
        <w:t>©</w:t>
      </w:r>
      <w:r w:rsidR="00D6530B">
        <w:t xml:space="preserve"> Copyright, </w:t>
      </w:r>
      <w:r w:rsidR="00E35E34">
        <w:t>Poland 1984)</w:t>
      </w:r>
    </w:p>
    <w:p w:rsidR="00973D19" w:rsidRPr="00973D19" w:rsidRDefault="00973D19" w:rsidP="004D2FC8">
      <w:pPr>
        <w:pStyle w:val="Heading2"/>
      </w:pPr>
      <w:bookmarkStart w:id="502" w:name="_Toc391554282"/>
      <w:bookmarkStart w:id="503" w:name="_Toc394649800"/>
      <w:bookmarkStart w:id="504" w:name="_Toc387410240"/>
      <w:bookmarkStart w:id="505" w:name="_Toc402425313"/>
      <w:bookmarkEnd w:id="502"/>
      <w:bookmarkEnd w:id="503"/>
      <w:r w:rsidRPr="00973D19">
        <w:t xml:space="preserve">Subsidence and </w:t>
      </w:r>
      <w:r w:rsidR="00FD23B8">
        <w:t>c</w:t>
      </w:r>
      <w:r w:rsidRPr="00973D19">
        <w:t xml:space="preserve">oal </w:t>
      </w:r>
      <w:r w:rsidR="00FD23B8">
        <w:t>s</w:t>
      </w:r>
      <w:r w:rsidRPr="00973D19">
        <w:t xml:space="preserve">eam </w:t>
      </w:r>
      <w:r w:rsidR="00FD23B8">
        <w:t>g</w:t>
      </w:r>
      <w:r w:rsidRPr="00973D19">
        <w:t xml:space="preserve">as </w:t>
      </w:r>
      <w:r w:rsidR="00FD23B8">
        <w:t>e</w:t>
      </w:r>
      <w:r w:rsidRPr="00973D19">
        <w:t>xtraction</w:t>
      </w:r>
      <w:bookmarkEnd w:id="504"/>
      <w:bookmarkEnd w:id="505"/>
    </w:p>
    <w:p w:rsidR="00973D19" w:rsidRPr="00973D19" w:rsidRDefault="00973D19" w:rsidP="004D2FC8">
      <w:pPr>
        <w:pStyle w:val="BRNormal11pt0"/>
        <w:rPr>
          <w:lang w:val="en-GB"/>
        </w:rPr>
      </w:pPr>
      <w:r w:rsidRPr="00973D19">
        <w:rPr>
          <w:lang w:val="en-GB"/>
        </w:rPr>
        <w:t xml:space="preserve">This section discusses examples of subsidence related to coal seam gas (coal bed methane) outside </w:t>
      </w:r>
      <w:r w:rsidR="009C3E88">
        <w:rPr>
          <w:lang w:val="en-GB"/>
        </w:rPr>
        <w:t xml:space="preserve">of </w:t>
      </w:r>
      <w:r w:rsidRPr="00973D19">
        <w:rPr>
          <w:lang w:val="en-GB"/>
        </w:rPr>
        <w:t>Australia.</w:t>
      </w:r>
    </w:p>
    <w:p w:rsidR="00973D19" w:rsidRPr="00973D19" w:rsidRDefault="00973D19" w:rsidP="004D2FC8">
      <w:pPr>
        <w:pStyle w:val="BRNormal11pt0"/>
        <w:rPr>
          <w:lang w:val="en-GB"/>
        </w:rPr>
      </w:pPr>
      <w:r w:rsidRPr="00973D19">
        <w:rPr>
          <w:lang w:val="en-GB"/>
        </w:rPr>
        <w:t xml:space="preserve">Measurements of subsidence associated with coal seam gas production are available from the </w:t>
      </w:r>
      <w:r w:rsidR="009C3E88">
        <w:rPr>
          <w:lang w:val="en-GB"/>
        </w:rPr>
        <w:t>US</w:t>
      </w:r>
      <w:r w:rsidRPr="00973D19">
        <w:rPr>
          <w:lang w:val="en-GB"/>
        </w:rPr>
        <w:t xml:space="preserve">. Grigg (2012) reported that in the Powder River Basin of Wyoming (US), groundwater has been extracted by </w:t>
      </w:r>
      <w:r w:rsidR="00C723CB">
        <w:rPr>
          <w:lang w:val="en-GB"/>
        </w:rPr>
        <w:t>coal seam gas</w:t>
      </w:r>
      <w:r w:rsidR="00C723CB" w:rsidRPr="00973D19">
        <w:rPr>
          <w:lang w:val="en-GB"/>
        </w:rPr>
        <w:t xml:space="preserve"> </w:t>
      </w:r>
      <w:r w:rsidRPr="00973D19">
        <w:rPr>
          <w:lang w:val="en-GB"/>
        </w:rPr>
        <w:t>development at rates greater than 350</w:t>
      </w:r>
      <w:r w:rsidR="009C3E88">
        <w:rPr>
          <w:lang w:val="en-GB"/>
        </w:rPr>
        <w:t> </w:t>
      </w:r>
      <w:r w:rsidRPr="00973D19">
        <w:rPr>
          <w:lang w:val="en-GB"/>
        </w:rPr>
        <w:t xml:space="preserve">ML/day. Land subsidence in the </w:t>
      </w:r>
      <w:r w:rsidR="009C3E88" w:rsidRPr="00973D19">
        <w:rPr>
          <w:lang w:val="en-GB"/>
        </w:rPr>
        <w:t xml:space="preserve">Powder River Basin </w:t>
      </w:r>
      <w:r w:rsidRPr="00973D19">
        <w:rPr>
          <w:lang w:val="en-GB"/>
        </w:rPr>
        <w:t xml:space="preserve">has been measured using </w:t>
      </w:r>
      <w:r w:rsidR="00455BBE">
        <w:rPr>
          <w:lang w:val="en-GB"/>
        </w:rPr>
        <w:t>interferometric s</w:t>
      </w:r>
      <w:r w:rsidRPr="00973D19">
        <w:rPr>
          <w:lang w:val="en-GB"/>
        </w:rPr>
        <w:t xml:space="preserve">ynthetic </w:t>
      </w:r>
      <w:r w:rsidR="00455BBE">
        <w:rPr>
          <w:lang w:val="en-GB"/>
        </w:rPr>
        <w:t>a</w:t>
      </w:r>
      <w:r w:rsidRPr="00973D19">
        <w:rPr>
          <w:lang w:val="en-GB"/>
        </w:rPr>
        <w:t xml:space="preserve">perture </w:t>
      </w:r>
      <w:r w:rsidR="00455BBE">
        <w:rPr>
          <w:lang w:val="en-GB"/>
        </w:rPr>
        <w:t>r</w:t>
      </w:r>
      <w:r w:rsidRPr="00973D19">
        <w:rPr>
          <w:lang w:val="en-GB"/>
        </w:rPr>
        <w:t xml:space="preserve">adar (InSAR). InSAR data collected from 1997 to 2000 and 2004 to 2007 indicated several centimetres of subsidence. In the east-central part of the study area, the largest subsidence values of 4 cm and 6 cm </w:t>
      </w:r>
      <w:r w:rsidR="009C3E88">
        <w:rPr>
          <w:lang w:val="en-GB"/>
        </w:rPr>
        <w:t>were</w:t>
      </w:r>
      <w:r w:rsidR="009C3E88" w:rsidRPr="00973D19">
        <w:rPr>
          <w:lang w:val="en-GB"/>
        </w:rPr>
        <w:t xml:space="preserve"> </w:t>
      </w:r>
      <w:r w:rsidRPr="00973D19">
        <w:rPr>
          <w:lang w:val="en-GB"/>
        </w:rPr>
        <w:t xml:space="preserve">correlated to large clusters of </w:t>
      </w:r>
      <w:r w:rsidR="003721DE">
        <w:rPr>
          <w:lang w:val="en-AU"/>
        </w:rPr>
        <w:t>coal seam gas</w:t>
      </w:r>
      <w:r w:rsidR="003721DE" w:rsidRPr="00E13ED7">
        <w:rPr>
          <w:lang w:val="en-AU"/>
        </w:rPr>
        <w:t xml:space="preserve"> </w:t>
      </w:r>
      <w:r w:rsidRPr="00973D19">
        <w:rPr>
          <w:lang w:val="en-GB"/>
        </w:rPr>
        <w:t>wells. Other subsidence in the area might be related to oil production and other groundwater use. Target coal seam average depths range</w:t>
      </w:r>
      <w:r w:rsidR="009C3E88">
        <w:rPr>
          <w:lang w:val="en-GB"/>
        </w:rPr>
        <w:t>d</w:t>
      </w:r>
      <w:r w:rsidRPr="00973D19">
        <w:rPr>
          <w:lang w:val="en-GB"/>
        </w:rPr>
        <w:t xml:space="preserve"> </w:t>
      </w:r>
      <w:r w:rsidR="00753B39">
        <w:rPr>
          <w:lang w:val="en-GB"/>
        </w:rPr>
        <w:t>from</w:t>
      </w:r>
      <w:r w:rsidR="00753B39" w:rsidRPr="00973D19">
        <w:rPr>
          <w:lang w:val="en-GB"/>
        </w:rPr>
        <w:t xml:space="preserve"> </w:t>
      </w:r>
      <w:r w:rsidRPr="00973D19">
        <w:rPr>
          <w:lang w:val="en-GB"/>
        </w:rPr>
        <w:t>140</w:t>
      </w:r>
      <w:r w:rsidR="009C3E88">
        <w:rPr>
          <w:lang w:val="en-GB"/>
        </w:rPr>
        <w:t> </w:t>
      </w:r>
      <w:r w:rsidRPr="00973D19">
        <w:rPr>
          <w:lang w:val="en-GB"/>
        </w:rPr>
        <w:t xml:space="preserve">m </w:t>
      </w:r>
      <w:r w:rsidR="00753B39">
        <w:rPr>
          <w:lang w:val="en-GB"/>
        </w:rPr>
        <w:t>to</w:t>
      </w:r>
      <w:r w:rsidR="00753B39" w:rsidRPr="00973D19">
        <w:rPr>
          <w:lang w:val="en-GB"/>
        </w:rPr>
        <w:t xml:space="preserve"> </w:t>
      </w:r>
      <w:r w:rsidRPr="00973D19">
        <w:rPr>
          <w:lang w:val="en-GB"/>
        </w:rPr>
        <w:t>460</w:t>
      </w:r>
      <w:r w:rsidR="009C3E88">
        <w:rPr>
          <w:lang w:val="en-GB"/>
        </w:rPr>
        <w:t> </w:t>
      </w:r>
      <w:r w:rsidRPr="00973D19">
        <w:rPr>
          <w:lang w:val="en-GB"/>
        </w:rPr>
        <w:t xml:space="preserve">m. Coal seams are relatively thick, ranging </w:t>
      </w:r>
      <w:r w:rsidR="00970E0B">
        <w:rPr>
          <w:lang w:val="en-GB"/>
        </w:rPr>
        <w:t>from</w:t>
      </w:r>
      <w:r w:rsidRPr="00973D19">
        <w:rPr>
          <w:lang w:val="en-GB"/>
        </w:rPr>
        <w:t xml:space="preserve"> 7</w:t>
      </w:r>
      <w:r w:rsidR="009C3E88">
        <w:rPr>
          <w:lang w:val="en-GB"/>
        </w:rPr>
        <w:t> </w:t>
      </w:r>
      <w:r w:rsidRPr="00973D19">
        <w:rPr>
          <w:lang w:val="en-GB"/>
        </w:rPr>
        <w:t xml:space="preserve">m </w:t>
      </w:r>
      <w:r w:rsidR="00970E0B">
        <w:rPr>
          <w:lang w:val="en-GB"/>
        </w:rPr>
        <w:t>to</w:t>
      </w:r>
      <w:r w:rsidR="00970E0B" w:rsidRPr="00973D19">
        <w:rPr>
          <w:lang w:val="en-GB"/>
        </w:rPr>
        <w:t xml:space="preserve"> </w:t>
      </w:r>
      <w:r w:rsidRPr="00973D19">
        <w:rPr>
          <w:lang w:val="en-GB"/>
        </w:rPr>
        <w:t>22</w:t>
      </w:r>
      <w:r w:rsidR="009C3E88">
        <w:rPr>
          <w:lang w:val="en-GB"/>
        </w:rPr>
        <w:t> </w:t>
      </w:r>
      <w:r w:rsidRPr="00973D19">
        <w:rPr>
          <w:lang w:val="en-GB"/>
        </w:rPr>
        <w:t>m, with an average of about 11</w:t>
      </w:r>
      <w:r w:rsidR="009C3E88">
        <w:rPr>
          <w:lang w:val="en-GB"/>
        </w:rPr>
        <w:t> </w:t>
      </w:r>
      <w:r w:rsidRPr="00973D19">
        <w:rPr>
          <w:lang w:val="en-GB"/>
        </w:rPr>
        <w:t>m.</w:t>
      </w:r>
    </w:p>
    <w:p w:rsidR="00973D19" w:rsidRPr="00973D19" w:rsidRDefault="00973D19" w:rsidP="004D2FC8">
      <w:pPr>
        <w:pStyle w:val="BRNormal11pt0"/>
        <w:rPr>
          <w:lang w:val="en-GB"/>
        </w:rPr>
      </w:pPr>
      <w:r w:rsidRPr="00973D19">
        <w:rPr>
          <w:lang w:val="en-GB"/>
        </w:rPr>
        <w:t>In contrast, predictions made by Case et al</w:t>
      </w:r>
      <w:r w:rsidR="009C3E88">
        <w:rPr>
          <w:lang w:val="en-GB"/>
        </w:rPr>
        <w:t>.</w:t>
      </w:r>
      <w:r w:rsidRPr="00973D19">
        <w:rPr>
          <w:lang w:val="en-GB"/>
        </w:rPr>
        <w:t xml:space="preserve"> (2000) suggested a total subsidence of less than 13</w:t>
      </w:r>
      <w:r w:rsidR="009C3E88">
        <w:rPr>
          <w:lang w:val="en-GB"/>
        </w:rPr>
        <w:t> </w:t>
      </w:r>
      <w:r w:rsidRPr="00973D19">
        <w:rPr>
          <w:lang w:val="en-GB"/>
        </w:rPr>
        <w:t xml:space="preserve">mm in the Gillette area of the </w:t>
      </w:r>
      <w:r w:rsidR="009C3E88" w:rsidRPr="00973D19">
        <w:rPr>
          <w:lang w:val="en-GB"/>
        </w:rPr>
        <w:t>Powder River Basin</w:t>
      </w:r>
      <w:r w:rsidRPr="00973D19">
        <w:rPr>
          <w:lang w:val="en-GB"/>
        </w:rPr>
        <w:t>, using a simplistic formula for subsidence and an aquifer storage coefficient of 1×10</w:t>
      </w:r>
      <w:r w:rsidRPr="00973D19">
        <w:rPr>
          <w:vertAlign w:val="superscript"/>
          <w:lang w:val="en-GB"/>
        </w:rPr>
        <w:t>-4</w:t>
      </w:r>
      <w:r w:rsidRPr="00973D19">
        <w:rPr>
          <w:lang w:val="en-GB"/>
        </w:rPr>
        <w:t xml:space="preserve"> for the coal seam. It was also estimated that only a part of this </w:t>
      </w:r>
      <w:r w:rsidR="0091309C">
        <w:rPr>
          <w:lang w:val="en-GB"/>
        </w:rPr>
        <w:t>compaction</w:t>
      </w:r>
      <w:r w:rsidRPr="00973D19">
        <w:rPr>
          <w:lang w:val="en-GB"/>
        </w:rPr>
        <w:t xml:space="preserve"> would be seen at the surface. </w:t>
      </w:r>
      <w:r w:rsidR="0091309C">
        <w:rPr>
          <w:lang w:val="en-GB"/>
        </w:rPr>
        <w:t>Compaction</w:t>
      </w:r>
      <w:r w:rsidRPr="00973D19">
        <w:rPr>
          <w:lang w:val="en-GB"/>
        </w:rPr>
        <w:t xml:space="preserve"> of overburden </w:t>
      </w:r>
      <w:r w:rsidR="009C3E88">
        <w:rPr>
          <w:lang w:val="en-GB"/>
        </w:rPr>
        <w:t>was not included in the assessment</w:t>
      </w:r>
      <w:r w:rsidRPr="00973D19">
        <w:rPr>
          <w:lang w:val="en-GB"/>
        </w:rPr>
        <w:t>. This would give a lower bound to the predicted subsidence.</w:t>
      </w:r>
    </w:p>
    <w:p w:rsidR="00973D19" w:rsidRPr="00973D19" w:rsidRDefault="00973D19" w:rsidP="00FA1C5B">
      <w:pPr>
        <w:pStyle w:val="Post-listtext"/>
        <w:rPr>
          <w:lang w:val="en-GB"/>
        </w:rPr>
      </w:pPr>
      <w:r w:rsidRPr="00973D19">
        <w:rPr>
          <w:lang w:val="en-GB"/>
        </w:rPr>
        <w:t>A technical advisory committee (TAC) was established to oversee the groundwater characteri</w:t>
      </w:r>
      <w:r w:rsidR="00AC7951">
        <w:rPr>
          <w:lang w:val="en-GB"/>
        </w:rPr>
        <w:t>s</w:t>
      </w:r>
      <w:r w:rsidRPr="00973D19">
        <w:rPr>
          <w:lang w:val="en-GB"/>
        </w:rPr>
        <w:t xml:space="preserve">ation, monitoring and evaluation requirements of the </w:t>
      </w:r>
      <w:r w:rsidR="00AC7951" w:rsidRPr="00973D19">
        <w:rPr>
          <w:lang w:val="en-GB"/>
        </w:rPr>
        <w:t>Powder River Basin</w:t>
      </w:r>
      <w:r w:rsidR="00AC7951">
        <w:rPr>
          <w:lang w:val="en-GB"/>
        </w:rPr>
        <w:t xml:space="preserve"> </w:t>
      </w:r>
      <w:r w:rsidRPr="00973D19">
        <w:rPr>
          <w:lang w:val="en-GB"/>
        </w:rPr>
        <w:t xml:space="preserve">Controlled Groundwater Area (PRBCGA). The TAC consists of five members selected by DNRC for their expertise in hydrogeology, water quality and </w:t>
      </w:r>
      <w:r w:rsidR="00C723CB">
        <w:rPr>
          <w:lang w:val="en-GB"/>
        </w:rPr>
        <w:t>coal seam gas</w:t>
      </w:r>
      <w:r w:rsidR="00C723CB" w:rsidRPr="00973D19">
        <w:rPr>
          <w:lang w:val="en-GB"/>
        </w:rPr>
        <w:t xml:space="preserve"> </w:t>
      </w:r>
      <w:r w:rsidRPr="00973D19">
        <w:rPr>
          <w:lang w:val="en-GB"/>
        </w:rPr>
        <w:t>extraction systems and operations</w:t>
      </w:r>
      <w:r w:rsidR="0018478E">
        <w:rPr>
          <w:lang w:val="en-GB"/>
        </w:rPr>
        <w:t xml:space="preserve"> (DNRC 1999)</w:t>
      </w:r>
      <w:r w:rsidRPr="00973D19">
        <w:rPr>
          <w:lang w:val="en-GB"/>
        </w:rPr>
        <w:t xml:space="preserve">. Two additional ex-officio members represent the </w:t>
      </w:r>
      <w:r w:rsidR="00C723CB">
        <w:rPr>
          <w:lang w:val="en-GB"/>
        </w:rPr>
        <w:t>coal seam gas</w:t>
      </w:r>
      <w:r w:rsidR="00C723CB" w:rsidRPr="00973D19">
        <w:rPr>
          <w:lang w:val="en-GB"/>
        </w:rPr>
        <w:t xml:space="preserve"> </w:t>
      </w:r>
      <w:r w:rsidRPr="00973D19">
        <w:rPr>
          <w:lang w:val="en-GB"/>
        </w:rPr>
        <w:t xml:space="preserve">industry and </w:t>
      </w:r>
      <w:r w:rsidR="00CC2E9D">
        <w:rPr>
          <w:lang w:val="en-GB"/>
        </w:rPr>
        <w:t xml:space="preserve">the </w:t>
      </w:r>
      <w:r w:rsidRPr="00973D19">
        <w:rPr>
          <w:lang w:val="en-GB"/>
        </w:rPr>
        <w:t xml:space="preserve">water user and conservation interests. In addition to overseeing monitoring and reporting requirements for individual </w:t>
      </w:r>
      <w:r w:rsidR="00C723CB">
        <w:rPr>
          <w:lang w:val="en-GB"/>
        </w:rPr>
        <w:t>coal seam gas</w:t>
      </w:r>
      <w:r w:rsidR="00C723CB" w:rsidRPr="00973D19">
        <w:rPr>
          <w:lang w:val="en-GB"/>
        </w:rPr>
        <w:t xml:space="preserve"> </w:t>
      </w:r>
      <w:r w:rsidRPr="00973D19">
        <w:rPr>
          <w:lang w:val="en-GB"/>
        </w:rPr>
        <w:t xml:space="preserve">fields, the TAC is assigned to review groundwater data and scientific evidence related to the PRBCGA and make recommendations regarding </w:t>
      </w:r>
      <w:r w:rsidR="00CC2E9D">
        <w:rPr>
          <w:lang w:val="en-GB"/>
        </w:rPr>
        <w:t xml:space="preserve">the </w:t>
      </w:r>
      <w:r w:rsidRPr="00973D19">
        <w:rPr>
          <w:lang w:val="en-GB"/>
        </w:rPr>
        <w:t>mitigation of impact.</w:t>
      </w:r>
    </w:p>
    <w:p w:rsidR="00973D19" w:rsidRPr="00973D19" w:rsidRDefault="00973D19" w:rsidP="00FA1C5B">
      <w:pPr>
        <w:pStyle w:val="BRNormal11pt0"/>
        <w:rPr>
          <w:lang w:val="en-GB"/>
        </w:rPr>
      </w:pPr>
      <w:r w:rsidRPr="00973D19">
        <w:rPr>
          <w:lang w:val="en-GB"/>
        </w:rPr>
        <w:t xml:space="preserve">The Montana Bureau of Mines and Geology produces annual groundwater monitoring reports for </w:t>
      </w:r>
      <w:r w:rsidR="00C723CB">
        <w:rPr>
          <w:lang w:val="en-GB"/>
        </w:rPr>
        <w:t>coal seam gas</w:t>
      </w:r>
      <w:r w:rsidR="00C723CB" w:rsidRPr="00973D19">
        <w:rPr>
          <w:lang w:val="en-GB"/>
        </w:rPr>
        <w:t xml:space="preserve"> </w:t>
      </w:r>
      <w:r w:rsidRPr="00973D19">
        <w:rPr>
          <w:lang w:val="en-GB"/>
        </w:rPr>
        <w:t xml:space="preserve">production areas in the </w:t>
      </w:r>
      <w:r w:rsidR="00A112B4" w:rsidRPr="00973D19">
        <w:rPr>
          <w:lang w:val="en-GB"/>
        </w:rPr>
        <w:t>Powder River Basin</w:t>
      </w:r>
      <w:r w:rsidR="00A112B4">
        <w:rPr>
          <w:lang w:val="en-GB"/>
        </w:rPr>
        <w:t xml:space="preserve"> </w:t>
      </w:r>
      <w:r w:rsidRPr="00973D19">
        <w:rPr>
          <w:lang w:val="en-GB"/>
        </w:rPr>
        <w:t>(Meredith et al</w:t>
      </w:r>
      <w:r w:rsidR="00A112B4">
        <w:rPr>
          <w:lang w:val="en-GB"/>
        </w:rPr>
        <w:t>.</w:t>
      </w:r>
      <w:r w:rsidRPr="00973D19">
        <w:rPr>
          <w:lang w:val="en-GB"/>
        </w:rPr>
        <w:t xml:space="preserve"> 2010). Coal reserves in the </w:t>
      </w:r>
      <w:r w:rsidR="00A112B4" w:rsidRPr="00973D19">
        <w:rPr>
          <w:lang w:val="en-GB"/>
        </w:rPr>
        <w:t>Powder River Basin</w:t>
      </w:r>
      <w:r w:rsidR="00A112B4">
        <w:rPr>
          <w:lang w:val="en-GB"/>
        </w:rPr>
        <w:t xml:space="preserve"> </w:t>
      </w:r>
      <w:r w:rsidRPr="00973D19">
        <w:rPr>
          <w:lang w:val="en-GB"/>
        </w:rPr>
        <w:t xml:space="preserve">have been previously mined by underground methods, creating </w:t>
      </w:r>
      <w:r w:rsidR="00CB5093">
        <w:rPr>
          <w:lang w:val="en-GB"/>
        </w:rPr>
        <w:t>substantial</w:t>
      </w:r>
      <w:r w:rsidR="00CB5093" w:rsidRPr="00973D19">
        <w:rPr>
          <w:lang w:val="en-GB"/>
        </w:rPr>
        <w:t xml:space="preserve"> </w:t>
      </w:r>
      <w:r w:rsidRPr="00973D19">
        <w:rPr>
          <w:lang w:val="en-GB"/>
        </w:rPr>
        <w:t>drawdown and large vertical hydraulic head gradients. Figure</w:t>
      </w:r>
      <w:r w:rsidR="00A112B4">
        <w:rPr>
          <w:lang w:val="en-GB"/>
        </w:rPr>
        <w:t> </w:t>
      </w:r>
      <w:r w:rsidR="00987036">
        <w:rPr>
          <w:lang w:val="en-GB"/>
        </w:rPr>
        <w:t>19</w:t>
      </w:r>
      <w:r w:rsidR="00987036" w:rsidRPr="00973D19">
        <w:rPr>
          <w:lang w:val="en-GB"/>
        </w:rPr>
        <w:t xml:space="preserve"> </w:t>
      </w:r>
      <w:r w:rsidRPr="00973D19">
        <w:rPr>
          <w:lang w:val="en-GB"/>
        </w:rPr>
        <w:t>shows an example of the change in the pressure head profile (</w:t>
      </w:r>
      <w:r w:rsidR="00A112B4">
        <w:rPr>
          <w:lang w:val="en-GB"/>
        </w:rPr>
        <w:t>i.e.</w:t>
      </w:r>
      <w:r w:rsidRPr="00973D19">
        <w:rPr>
          <w:lang w:val="en-GB"/>
        </w:rPr>
        <w:t xml:space="preserve"> the drawdown) within the area of influence of </w:t>
      </w:r>
      <w:r w:rsidR="00C723CB">
        <w:rPr>
          <w:lang w:val="en-GB"/>
        </w:rPr>
        <w:t>coal seam gas</w:t>
      </w:r>
      <w:r w:rsidR="00C723CB" w:rsidRPr="00973D19">
        <w:rPr>
          <w:lang w:val="en-GB"/>
        </w:rPr>
        <w:t xml:space="preserve"> </w:t>
      </w:r>
      <w:r w:rsidRPr="00973D19">
        <w:rPr>
          <w:lang w:val="en-GB"/>
        </w:rPr>
        <w:t>production (</w:t>
      </w:r>
      <w:r w:rsidRPr="006B287D">
        <w:rPr>
          <w:i/>
          <w:lang w:val="en-GB"/>
        </w:rPr>
        <w:t>ibid</w:t>
      </w:r>
      <w:r w:rsidR="00A112B4">
        <w:rPr>
          <w:lang w:val="en-GB"/>
        </w:rPr>
        <w:t>.</w:t>
      </w:r>
      <w:r w:rsidRPr="00973D19">
        <w:rPr>
          <w:lang w:val="en-GB"/>
        </w:rPr>
        <w:t>). The drawdown is greatest closest to the target seam and decreases towards the surface.</w:t>
      </w:r>
    </w:p>
    <w:p w:rsidR="000200FC" w:rsidRPr="00973D19" w:rsidRDefault="000200FC" w:rsidP="000200FC">
      <w:pPr>
        <w:pStyle w:val="Listintrotext"/>
        <w:rPr>
          <w:lang w:val="en-GB"/>
        </w:rPr>
      </w:pPr>
      <w:r w:rsidRPr="00973D19">
        <w:rPr>
          <w:noProof/>
          <w:lang w:val="en-AU" w:eastAsia="en-AU"/>
        </w:rPr>
        <w:drawing>
          <wp:inline distT="0" distB="0" distL="0" distR="0">
            <wp:extent cx="2019300" cy="2997817"/>
            <wp:effectExtent l="0" t="0" r="0" b="0"/>
            <wp:docPr id="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8.jpg"/>
                    <pic:cNvPicPr/>
                  </pic:nvPicPr>
                  <pic:blipFill rotWithShape="1">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19300" cy="29978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00FC" w:rsidRPr="00973D19" w:rsidRDefault="000200FC" w:rsidP="000200FC">
      <w:pPr>
        <w:pStyle w:val="Caption-figure"/>
      </w:pPr>
      <w:r>
        <w:t>F</w:t>
      </w:r>
      <w:r w:rsidRPr="005A4936">
        <w:t xml:space="preserve">igure </w:t>
      </w:r>
      <w:r w:rsidR="00E252C4">
        <w:fldChar w:fldCharType="begin"/>
      </w:r>
      <w:r w:rsidR="00484FBC">
        <w:instrText xml:space="preserve"> SEQ Figure \* ARABIC </w:instrText>
      </w:r>
      <w:r w:rsidR="00E252C4">
        <w:fldChar w:fldCharType="separate"/>
      </w:r>
      <w:r w:rsidR="00906141">
        <w:rPr>
          <w:noProof/>
        </w:rPr>
        <w:t>19</w:t>
      </w:r>
      <w:r w:rsidR="00E252C4">
        <w:fldChar w:fldCharType="end"/>
      </w:r>
      <w:r>
        <w:t xml:space="preserve"> </w:t>
      </w:r>
      <w:r w:rsidRPr="00973D19">
        <w:t xml:space="preserve">Example of the change in </w:t>
      </w:r>
      <w:r w:rsidRPr="00FA1C5B">
        <w:t>the</w:t>
      </w:r>
      <w:r>
        <w:t xml:space="preserve"> p</w:t>
      </w:r>
      <w:r w:rsidRPr="00973D19">
        <w:t xml:space="preserve">ressure </w:t>
      </w:r>
      <w:r>
        <w:t>h</w:t>
      </w:r>
      <w:r w:rsidRPr="00973D19">
        <w:t xml:space="preserve">ead </w:t>
      </w:r>
      <w:r>
        <w:t>p</w:t>
      </w:r>
      <w:r w:rsidRPr="00973D19">
        <w:t xml:space="preserve">rofile due to </w:t>
      </w:r>
      <w:r>
        <w:t>coal seam gas</w:t>
      </w:r>
      <w:r w:rsidRPr="00973D19">
        <w:t xml:space="preserve"> production in the Powder River Basin (</w:t>
      </w:r>
      <w:r>
        <w:rPr>
          <w:rFonts w:cs="Arial"/>
        </w:rPr>
        <w:t>©</w:t>
      </w:r>
      <w:r>
        <w:t xml:space="preserve"> Copyright, </w:t>
      </w:r>
      <w:r w:rsidRPr="00973D19">
        <w:t>Meredith et al</w:t>
      </w:r>
      <w:r>
        <w:t>.</w:t>
      </w:r>
      <w:r w:rsidR="00E35E34">
        <w:t xml:space="preserve"> 2010)</w:t>
      </w:r>
    </w:p>
    <w:p w:rsidR="000200FC" w:rsidRDefault="000200FC" w:rsidP="00CF5F1A">
      <w:pPr>
        <w:pStyle w:val="BRNormal11pt0"/>
        <w:rPr>
          <w:lang w:val="en-GB"/>
        </w:rPr>
      </w:pPr>
    </w:p>
    <w:p w:rsidR="00CF5F1A" w:rsidRPr="00973D19" w:rsidRDefault="00CF5F1A" w:rsidP="00CF5F1A">
      <w:pPr>
        <w:pStyle w:val="BRNormal11pt0"/>
        <w:rPr>
          <w:lang w:val="en-GB"/>
        </w:rPr>
      </w:pPr>
      <w:r w:rsidRPr="00973D19">
        <w:rPr>
          <w:lang w:val="en-GB"/>
        </w:rPr>
        <w:t xml:space="preserve">Katzenstein (2012) recognised the concern associated with the potential for subsidence resulting from groundwater withdrawal during </w:t>
      </w:r>
      <w:r>
        <w:rPr>
          <w:lang w:val="en-GB"/>
        </w:rPr>
        <w:t>coal seam gas</w:t>
      </w:r>
      <w:r w:rsidRPr="00973D19">
        <w:rPr>
          <w:lang w:val="en-GB"/>
        </w:rPr>
        <w:t xml:space="preserve"> development. A study (</w:t>
      </w:r>
      <w:r w:rsidRPr="00BC639C">
        <w:rPr>
          <w:i/>
          <w:lang w:val="en-GB"/>
        </w:rPr>
        <w:t>ibid</w:t>
      </w:r>
      <w:r>
        <w:rPr>
          <w:lang w:val="en-GB"/>
        </w:rPr>
        <w:t>.</w:t>
      </w:r>
      <w:r w:rsidRPr="00973D19">
        <w:rPr>
          <w:lang w:val="en-GB"/>
        </w:rPr>
        <w:t xml:space="preserve">) of subsidence associated with </w:t>
      </w:r>
      <w:r>
        <w:rPr>
          <w:lang w:val="en-GB"/>
        </w:rPr>
        <w:t>coal seam gas</w:t>
      </w:r>
      <w:r w:rsidRPr="00973D19">
        <w:rPr>
          <w:lang w:val="en-GB"/>
        </w:rPr>
        <w:t xml:space="preserve"> production in the San Juan Valley of New Mexico (US) used InSAR data to quantify the surface response to aquifer drawdown in the vicinity of </w:t>
      </w:r>
      <w:r>
        <w:rPr>
          <w:lang w:val="en-GB"/>
        </w:rPr>
        <w:t>coal seam gas</w:t>
      </w:r>
      <w:r w:rsidRPr="00973D19">
        <w:rPr>
          <w:lang w:val="en-GB"/>
        </w:rPr>
        <w:t xml:space="preserve"> production in the San Juan Basin. Results show</w:t>
      </w:r>
      <w:r>
        <w:rPr>
          <w:lang w:val="en-GB"/>
        </w:rPr>
        <w:t>ed</w:t>
      </w:r>
      <w:r w:rsidRPr="00973D19">
        <w:rPr>
          <w:lang w:val="en-GB"/>
        </w:rPr>
        <w:t xml:space="preserve"> that there had been enough groundwater extraction to result in measurable subsidence (several centimetres). Estimates of both the magnitude and aerial extent of the subsidence resulting from </w:t>
      </w:r>
      <w:r>
        <w:rPr>
          <w:lang w:val="en-GB"/>
        </w:rPr>
        <w:t>coal seam gas</w:t>
      </w:r>
      <w:r w:rsidRPr="00973D19">
        <w:rPr>
          <w:lang w:val="en-GB"/>
        </w:rPr>
        <w:t xml:space="preserve"> production in the San Juan Basin have been derived but are as yet unpublished (Katzenstein 2012).</w:t>
      </w:r>
    </w:p>
    <w:p w:rsidR="00973D19" w:rsidRPr="00973D19" w:rsidRDefault="00973D19" w:rsidP="00A90F48">
      <w:pPr>
        <w:pStyle w:val="Listintrotext"/>
        <w:rPr>
          <w:lang w:val="en-GB"/>
        </w:rPr>
      </w:pPr>
    </w:p>
    <w:p w:rsidR="00FA1C5B" w:rsidRPr="00FA1C5B" w:rsidRDefault="00FA1C5B" w:rsidP="001E6DBD">
      <w:pPr>
        <w:pStyle w:val="Heading1"/>
      </w:pPr>
      <w:bookmarkStart w:id="506" w:name="_Toc387410241"/>
      <w:bookmarkStart w:id="507" w:name="_Toc402425314"/>
      <w:r w:rsidRPr="00FA1C5B">
        <w:t xml:space="preserve">Subsidence - </w:t>
      </w:r>
      <w:r w:rsidR="00FD23B8">
        <w:t>p</w:t>
      </w:r>
      <w:r w:rsidRPr="00FA1C5B">
        <w:t xml:space="preserve">redictions and </w:t>
      </w:r>
      <w:r w:rsidR="00FD23B8">
        <w:t>e</w:t>
      </w:r>
      <w:r w:rsidRPr="00FA1C5B">
        <w:t xml:space="preserve">xperience </w:t>
      </w:r>
      <w:r w:rsidR="00FD23B8">
        <w:t>r</w:t>
      </w:r>
      <w:r w:rsidRPr="00FA1C5B">
        <w:t xml:space="preserve">elating to Australian </w:t>
      </w:r>
      <w:r w:rsidR="003721DE">
        <w:t>coal seam gas</w:t>
      </w:r>
      <w:r w:rsidR="003721DE" w:rsidRPr="00FA1C5B">
        <w:t xml:space="preserve"> </w:t>
      </w:r>
      <w:r w:rsidR="00FD23B8">
        <w:t>p</w:t>
      </w:r>
      <w:r w:rsidRPr="00FA1C5B">
        <w:t>rojects</w:t>
      </w:r>
      <w:bookmarkEnd w:id="506"/>
      <w:bookmarkEnd w:id="507"/>
    </w:p>
    <w:p w:rsidR="00FA1C5B" w:rsidRPr="00FA1C5B" w:rsidRDefault="00FA1C5B" w:rsidP="00FA1C5B">
      <w:pPr>
        <w:pStyle w:val="BRNormal11pt0"/>
        <w:rPr>
          <w:lang w:val="en-GB"/>
        </w:rPr>
      </w:pPr>
      <w:r w:rsidRPr="00FA1C5B">
        <w:rPr>
          <w:lang w:val="en-GB"/>
        </w:rPr>
        <w:t>Eastern Australia possesses major sedimentary basins comprising Permian to Jurassic-age sedimentary sequences that typically contain coal seams at depth. These coal seams are frequently methane-bearing.</w:t>
      </w:r>
    </w:p>
    <w:p w:rsidR="00FA1C5B" w:rsidRPr="00FA1C5B" w:rsidRDefault="00FA1C5B" w:rsidP="00A112B4">
      <w:pPr>
        <w:pStyle w:val="Listintrotext"/>
        <w:rPr>
          <w:lang w:val="en-GB"/>
        </w:rPr>
      </w:pPr>
      <w:r w:rsidRPr="00FA1C5B">
        <w:rPr>
          <w:lang w:val="en-GB"/>
        </w:rPr>
        <w:t xml:space="preserve">In Queensland, coal seam gas projects are currently targeting the Walloon Coal Measures (or equivalent) within the Surat Basin, Clarence-Moreton Basin and Bowen Basin. The Surat Basin projects are further advanced than those in the Bowen Basin, with </w:t>
      </w:r>
      <w:r w:rsidR="000200FC">
        <w:rPr>
          <w:lang w:val="en-GB"/>
        </w:rPr>
        <w:t>three</w:t>
      </w:r>
      <w:r w:rsidRPr="00FA1C5B">
        <w:rPr>
          <w:lang w:val="en-GB"/>
        </w:rPr>
        <w:t xml:space="preserve"> major projects </w:t>
      </w:r>
      <w:r w:rsidR="000200FC">
        <w:rPr>
          <w:lang w:val="en-GB"/>
        </w:rPr>
        <w:t xml:space="preserve">underway and the fourth </w:t>
      </w:r>
      <w:r w:rsidRPr="00FA1C5B">
        <w:rPr>
          <w:lang w:val="en-GB"/>
        </w:rPr>
        <w:t>at advanced stages in the Environmental Impact Statement (EIS) approval process. These projects and relevant groundwater impact assessment</w:t>
      </w:r>
      <w:r w:rsidR="00A112B4">
        <w:rPr>
          <w:lang w:val="en-GB"/>
        </w:rPr>
        <w:t xml:space="preserve"> </w:t>
      </w:r>
      <w:r w:rsidR="00A112B4" w:rsidRPr="00CE4EEB">
        <w:t>reports</w:t>
      </w:r>
      <w:r w:rsidRPr="00FA1C5B">
        <w:rPr>
          <w:lang w:val="en-GB"/>
        </w:rPr>
        <w:t xml:space="preserve"> </w:t>
      </w:r>
      <w:r w:rsidR="000674C2">
        <w:rPr>
          <w:lang w:val="en-GB"/>
        </w:rPr>
        <w:t>include</w:t>
      </w:r>
      <w:r w:rsidRPr="00FA1C5B">
        <w:rPr>
          <w:lang w:val="en-GB"/>
        </w:rPr>
        <w:t>:</w:t>
      </w:r>
    </w:p>
    <w:p w:rsidR="00FA1C5B" w:rsidRPr="00FA1C5B" w:rsidRDefault="00FA1C5B" w:rsidP="007702DF">
      <w:pPr>
        <w:pStyle w:val="BRdotpoints"/>
        <w:rPr>
          <w:lang w:val="en-GB"/>
        </w:rPr>
      </w:pPr>
      <w:r w:rsidRPr="00FA1C5B">
        <w:rPr>
          <w:lang w:val="en-GB"/>
        </w:rPr>
        <w:t xml:space="preserve">Surat Gas Project (Arrow Energy) – Coffey Environments </w:t>
      </w:r>
      <w:r w:rsidR="00A112B4">
        <w:rPr>
          <w:lang w:val="en-GB"/>
        </w:rPr>
        <w:t>(</w:t>
      </w:r>
      <w:r w:rsidRPr="00FA1C5B">
        <w:rPr>
          <w:lang w:val="en-GB"/>
        </w:rPr>
        <w:t>2012</w:t>
      </w:r>
      <w:r w:rsidR="00A112B4">
        <w:rPr>
          <w:lang w:val="en-GB"/>
        </w:rPr>
        <w:t>)</w:t>
      </w:r>
    </w:p>
    <w:p w:rsidR="00FA1C5B" w:rsidRPr="00FA1C5B" w:rsidRDefault="004132CB" w:rsidP="007702DF">
      <w:pPr>
        <w:pStyle w:val="BRdotpoints"/>
        <w:rPr>
          <w:lang w:val="en-GB"/>
        </w:rPr>
      </w:pPr>
      <w:r>
        <w:rPr>
          <w:lang w:val="en-GB"/>
        </w:rPr>
        <w:t>Australia</w:t>
      </w:r>
      <w:r w:rsidRPr="00FA1C5B">
        <w:rPr>
          <w:lang w:val="en-GB"/>
        </w:rPr>
        <w:t xml:space="preserve"> </w:t>
      </w:r>
      <w:r w:rsidR="00FA1C5B" w:rsidRPr="00FA1C5B">
        <w:rPr>
          <w:lang w:val="en-GB"/>
        </w:rPr>
        <w:t>Pacific Liqu</w:t>
      </w:r>
      <w:r w:rsidR="00AA6C59">
        <w:rPr>
          <w:lang w:val="en-GB"/>
        </w:rPr>
        <w:t>efied</w:t>
      </w:r>
      <w:r w:rsidR="00FA1C5B" w:rsidRPr="00FA1C5B">
        <w:rPr>
          <w:lang w:val="en-GB"/>
        </w:rPr>
        <w:t xml:space="preserve"> Natural Gas Project (APLNG</w:t>
      </w:r>
      <w:r w:rsidR="00AA6C59">
        <w:rPr>
          <w:lang w:val="en-GB"/>
        </w:rPr>
        <w:t xml:space="preserve"> Project</w:t>
      </w:r>
      <w:r w:rsidR="00FA1C5B" w:rsidRPr="00FA1C5B">
        <w:rPr>
          <w:lang w:val="en-GB"/>
        </w:rPr>
        <w:t xml:space="preserve">, APLNG Consortium) – WorleyParsons </w:t>
      </w:r>
      <w:r w:rsidR="00A112B4">
        <w:rPr>
          <w:lang w:val="en-GB"/>
        </w:rPr>
        <w:t>(</w:t>
      </w:r>
      <w:r w:rsidR="00FA1C5B" w:rsidRPr="00FA1C5B">
        <w:rPr>
          <w:lang w:val="en-GB"/>
        </w:rPr>
        <w:t>2010a</w:t>
      </w:r>
      <w:r w:rsidR="00A112B4">
        <w:rPr>
          <w:lang w:val="en-GB"/>
        </w:rPr>
        <w:t>)</w:t>
      </w:r>
    </w:p>
    <w:p w:rsidR="00A112B4" w:rsidRDefault="00FA1C5B" w:rsidP="007702DF">
      <w:pPr>
        <w:pStyle w:val="BRdotpoints"/>
        <w:rPr>
          <w:lang w:val="en-GB"/>
        </w:rPr>
      </w:pPr>
      <w:r w:rsidRPr="00FA1C5B">
        <w:rPr>
          <w:lang w:val="en-GB"/>
        </w:rPr>
        <w:t>Gladstone Liqu</w:t>
      </w:r>
      <w:r w:rsidR="00AA6C59">
        <w:rPr>
          <w:lang w:val="en-GB"/>
        </w:rPr>
        <w:t>efied</w:t>
      </w:r>
      <w:r w:rsidRPr="00FA1C5B">
        <w:rPr>
          <w:lang w:val="en-GB"/>
        </w:rPr>
        <w:t xml:space="preserve"> Natural Gas Project (GLNG</w:t>
      </w:r>
      <w:r w:rsidR="00AA6C59">
        <w:rPr>
          <w:lang w:val="en-GB"/>
        </w:rPr>
        <w:t xml:space="preserve"> Project</w:t>
      </w:r>
      <w:r w:rsidRPr="00FA1C5B">
        <w:rPr>
          <w:lang w:val="en-GB"/>
        </w:rPr>
        <w:t>, Santos)</w:t>
      </w:r>
      <w:r w:rsidR="00A112B4">
        <w:rPr>
          <w:lang w:val="en-GB"/>
        </w:rPr>
        <w:t>:</w:t>
      </w:r>
    </w:p>
    <w:p w:rsidR="00A112B4" w:rsidRDefault="00FA1C5B" w:rsidP="00CE4EEB">
      <w:pPr>
        <w:pStyle w:val="BR2ndbullet"/>
        <w:rPr>
          <w:lang w:val="en-GB"/>
        </w:rPr>
      </w:pPr>
      <w:r w:rsidRPr="00FA1C5B">
        <w:rPr>
          <w:lang w:val="en-GB"/>
        </w:rPr>
        <w:t xml:space="preserve">URS </w:t>
      </w:r>
      <w:r w:rsidR="00A112B4">
        <w:rPr>
          <w:lang w:val="en-GB"/>
        </w:rPr>
        <w:t>(</w:t>
      </w:r>
      <w:r w:rsidRPr="00FA1C5B">
        <w:rPr>
          <w:lang w:val="en-GB"/>
        </w:rPr>
        <w:t>2009</w:t>
      </w:r>
      <w:r w:rsidR="00A112B4">
        <w:rPr>
          <w:lang w:val="en-GB"/>
        </w:rPr>
        <w:t>)</w:t>
      </w:r>
      <w:r w:rsidRPr="00FA1C5B">
        <w:rPr>
          <w:lang w:val="en-GB"/>
        </w:rPr>
        <w:t xml:space="preserve"> </w:t>
      </w:r>
      <w:r w:rsidR="00A112B4">
        <w:rPr>
          <w:lang w:val="en-GB"/>
        </w:rPr>
        <w:t xml:space="preserve">- </w:t>
      </w:r>
      <w:r w:rsidRPr="00FA1C5B">
        <w:rPr>
          <w:lang w:val="en-GB"/>
        </w:rPr>
        <w:t>shallow aquifer modelling</w:t>
      </w:r>
    </w:p>
    <w:p w:rsidR="00A112B4" w:rsidRDefault="00FA1C5B" w:rsidP="00CE4EEB">
      <w:pPr>
        <w:pStyle w:val="BR2ndbullet"/>
        <w:rPr>
          <w:lang w:val="en-GB"/>
        </w:rPr>
      </w:pPr>
      <w:r w:rsidRPr="00FA1C5B">
        <w:rPr>
          <w:lang w:val="en-GB"/>
        </w:rPr>
        <w:t>Matrix</w:t>
      </w:r>
      <w:r w:rsidR="00055732">
        <w:rPr>
          <w:lang w:val="en-GB"/>
        </w:rPr>
        <w:t>P</w:t>
      </w:r>
      <w:r w:rsidRPr="00FA1C5B">
        <w:rPr>
          <w:lang w:val="en-GB"/>
        </w:rPr>
        <w:t xml:space="preserve">lus Consulting </w:t>
      </w:r>
      <w:r w:rsidR="00A112B4">
        <w:rPr>
          <w:lang w:val="en-GB"/>
        </w:rPr>
        <w:t>(</w:t>
      </w:r>
      <w:r w:rsidRPr="00FA1C5B">
        <w:rPr>
          <w:lang w:val="en-GB"/>
        </w:rPr>
        <w:t>2009</w:t>
      </w:r>
      <w:r w:rsidR="00A112B4">
        <w:rPr>
          <w:lang w:val="en-GB"/>
        </w:rPr>
        <w:t>)</w:t>
      </w:r>
      <w:r w:rsidRPr="00FA1C5B">
        <w:rPr>
          <w:lang w:val="en-GB"/>
        </w:rPr>
        <w:t xml:space="preserve"> </w:t>
      </w:r>
      <w:r w:rsidR="00A112B4">
        <w:rPr>
          <w:lang w:val="en-GB"/>
        </w:rPr>
        <w:t xml:space="preserve">- </w:t>
      </w:r>
      <w:r w:rsidRPr="00FA1C5B">
        <w:rPr>
          <w:lang w:val="en-GB"/>
        </w:rPr>
        <w:t>deep aquifer modelling</w:t>
      </w:r>
    </w:p>
    <w:p w:rsidR="00FA1C5B" w:rsidRPr="00FA1C5B" w:rsidRDefault="00FA1C5B" w:rsidP="00CE4EEB">
      <w:pPr>
        <w:pStyle w:val="BR2ndbullet"/>
        <w:rPr>
          <w:lang w:val="en-GB"/>
        </w:rPr>
      </w:pPr>
      <w:r w:rsidRPr="00FA1C5B">
        <w:rPr>
          <w:lang w:val="en-GB"/>
        </w:rPr>
        <w:t xml:space="preserve">Golder Associates </w:t>
      </w:r>
      <w:r w:rsidR="00A112B4">
        <w:rPr>
          <w:lang w:val="en-GB"/>
        </w:rPr>
        <w:t>(</w:t>
      </w:r>
      <w:r w:rsidRPr="00FA1C5B">
        <w:rPr>
          <w:lang w:val="en-GB"/>
        </w:rPr>
        <w:t>2009a</w:t>
      </w:r>
      <w:r w:rsidR="00A112B4">
        <w:rPr>
          <w:lang w:val="en-GB"/>
        </w:rPr>
        <w:t>)</w:t>
      </w:r>
      <w:r w:rsidRPr="00FA1C5B">
        <w:rPr>
          <w:lang w:val="en-GB"/>
        </w:rPr>
        <w:t xml:space="preserve"> </w:t>
      </w:r>
      <w:r w:rsidR="00A112B4">
        <w:rPr>
          <w:lang w:val="en-GB"/>
        </w:rPr>
        <w:t xml:space="preserve">- </w:t>
      </w:r>
      <w:r w:rsidRPr="00FA1C5B">
        <w:rPr>
          <w:lang w:val="en-GB"/>
        </w:rPr>
        <w:t>supplementary information</w:t>
      </w:r>
    </w:p>
    <w:p w:rsidR="00FA1C5B" w:rsidRPr="00FA1C5B" w:rsidRDefault="00FA1C5B" w:rsidP="007702DF">
      <w:pPr>
        <w:pStyle w:val="FinalDotPoint"/>
        <w:rPr>
          <w:lang w:val="en-GB"/>
        </w:rPr>
      </w:pPr>
      <w:r w:rsidRPr="00FA1C5B">
        <w:rPr>
          <w:lang w:val="en-GB"/>
        </w:rPr>
        <w:t>Queensland Curtis Liqu</w:t>
      </w:r>
      <w:r w:rsidR="00AA6C59">
        <w:rPr>
          <w:lang w:val="en-GB"/>
        </w:rPr>
        <w:t>efied</w:t>
      </w:r>
      <w:r w:rsidRPr="00FA1C5B">
        <w:rPr>
          <w:lang w:val="en-GB"/>
        </w:rPr>
        <w:t xml:space="preserve"> Natural Gas Project (QCLNG</w:t>
      </w:r>
      <w:r w:rsidR="00AA6C59">
        <w:rPr>
          <w:lang w:val="en-GB"/>
        </w:rPr>
        <w:t xml:space="preserve"> Project</w:t>
      </w:r>
      <w:r w:rsidRPr="00FA1C5B">
        <w:rPr>
          <w:lang w:val="en-GB"/>
        </w:rPr>
        <w:t>, Queensland Curtis Gas Consortium)</w:t>
      </w:r>
      <w:r w:rsidR="00A112B4">
        <w:rPr>
          <w:lang w:val="en-GB"/>
        </w:rPr>
        <w:t xml:space="preserve"> –</w:t>
      </w:r>
      <w:r w:rsidRPr="00FA1C5B">
        <w:rPr>
          <w:lang w:val="en-GB"/>
        </w:rPr>
        <w:t xml:space="preserve"> Golder</w:t>
      </w:r>
      <w:r w:rsidR="00A112B4">
        <w:rPr>
          <w:lang w:val="en-GB"/>
        </w:rPr>
        <w:t xml:space="preserve"> </w:t>
      </w:r>
      <w:r w:rsidRPr="00FA1C5B">
        <w:rPr>
          <w:lang w:val="en-GB"/>
        </w:rPr>
        <w:t xml:space="preserve">Associates </w:t>
      </w:r>
      <w:r w:rsidR="00A112B4">
        <w:rPr>
          <w:lang w:val="en-GB"/>
        </w:rPr>
        <w:t>(</w:t>
      </w:r>
      <w:r w:rsidRPr="00FA1C5B">
        <w:rPr>
          <w:lang w:val="en-GB"/>
        </w:rPr>
        <w:t>2009b</w:t>
      </w:r>
      <w:r w:rsidR="00A112B4">
        <w:rPr>
          <w:lang w:val="en-GB"/>
        </w:rPr>
        <w:t>,</w:t>
      </w:r>
      <w:r w:rsidRPr="00FA1C5B">
        <w:rPr>
          <w:lang w:val="en-GB"/>
        </w:rPr>
        <w:t xml:space="preserve"> 2009c</w:t>
      </w:r>
      <w:r w:rsidR="00A112B4">
        <w:rPr>
          <w:lang w:val="en-GB"/>
        </w:rPr>
        <w:t>)</w:t>
      </w:r>
      <w:r w:rsidRPr="00FA1C5B">
        <w:rPr>
          <w:lang w:val="en-GB"/>
        </w:rPr>
        <w:t xml:space="preserve"> (supplementary information).</w:t>
      </w:r>
    </w:p>
    <w:p w:rsidR="00FA1C5B" w:rsidRPr="00FA1C5B" w:rsidRDefault="00FA1C5B" w:rsidP="00FA1C5B">
      <w:pPr>
        <w:pStyle w:val="Post-listtext"/>
        <w:rPr>
          <w:lang w:val="en-GB"/>
        </w:rPr>
      </w:pPr>
      <w:r w:rsidRPr="00FA1C5B">
        <w:rPr>
          <w:lang w:val="en-GB"/>
        </w:rPr>
        <w:t xml:space="preserve">In </w:t>
      </w:r>
      <w:r w:rsidR="005F6200">
        <w:rPr>
          <w:lang w:val="en-GB"/>
        </w:rPr>
        <w:t>NSW</w:t>
      </w:r>
      <w:r w:rsidRPr="00FA1C5B">
        <w:rPr>
          <w:lang w:val="en-GB"/>
        </w:rPr>
        <w:t>, underground and open cut mining of coal seams</w:t>
      </w:r>
      <w:r w:rsidR="00A112B4">
        <w:rPr>
          <w:lang w:val="en-GB"/>
        </w:rPr>
        <w:t xml:space="preserve"> in and </w:t>
      </w:r>
      <w:r w:rsidRPr="00FA1C5B">
        <w:rPr>
          <w:lang w:val="en-GB"/>
        </w:rPr>
        <w:t xml:space="preserve">around the Illawarra (southern coalfield) and Hunter regions has been ongoing for well over 100 years. As in Queensland, the potential for extraction of coal seam gas is recognised, with some exploration and pilot studies underway. Mining in the Sydney-Gunnedah Basin targets the Illawarra Coal Measures to the south of Sydney, the Newcastle and Greta Coal Measures in the Newcastle/Hunter region, and the Late Permian Black Jack Group and Early Triassic Digby Formation in the northern Gunnedah Basin. Preliminary investigation of </w:t>
      </w:r>
      <w:r w:rsidR="00C723CB">
        <w:rPr>
          <w:lang w:val="en-GB"/>
        </w:rPr>
        <w:t>coal seam gas</w:t>
      </w:r>
      <w:r w:rsidR="00C723CB" w:rsidRPr="00973D19">
        <w:rPr>
          <w:lang w:val="en-GB"/>
        </w:rPr>
        <w:t xml:space="preserve"> </w:t>
      </w:r>
      <w:r w:rsidRPr="00FA1C5B">
        <w:rPr>
          <w:lang w:val="en-GB"/>
        </w:rPr>
        <w:t xml:space="preserve">in a smaller basin, the Gloucester-Stroud Basin (containing coal in the Gloucester Coal Seam), has also commenced. Relevant exploration and feasibility projects are confined to </w:t>
      </w:r>
      <w:r w:rsidR="00CE4EEB">
        <w:rPr>
          <w:lang w:val="en-GB"/>
        </w:rPr>
        <w:t xml:space="preserve">the </w:t>
      </w:r>
      <w:r w:rsidRPr="00FA1C5B">
        <w:rPr>
          <w:lang w:val="en-GB"/>
        </w:rPr>
        <w:t xml:space="preserve">AGL Camden Gas Project (targeting the Illawarra Coal Measures) and Gloucester Gas Project (targeting the Gloucester Coal Measures). Further information on the geological setting is included in Table </w:t>
      </w:r>
      <w:r w:rsidR="002C43B4">
        <w:rPr>
          <w:lang w:val="en-GB"/>
        </w:rPr>
        <w:t>3</w:t>
      </w:r>
      <w:r w:rsidRPr="00FA1C5B">
        <w:rPr>
          <w:lang w:val="en-GB"/>
        </w:rPr>
        <w:t>.</w:t>
      </w:r>
    </w:p>
    <w:p w:rsidR="00FA1C5B" w:rsidRPr="00FA1C5B" w:rsidRDefault="00FA1C5B" w:rsidP="00FA1C5B">
      <w:pPr>
        <w:pStyle w:val="BRNormal11pt0"/>
        <w:rPr>
          <w:lang w:val="en-GB"/>
        </w:rPr>
      </w:pPr>
      <w:r w:rsidRPr="00FA1C5B">
        <w:rPr>
          <w:lang w:val="en-AU"/>
        </w:rPr>
        <w:t xml:space="preserve">Currently there </w:t>
      </w:r>
      <w:r w:rsidR="000200FC">
        <w:rPr>
          <w:lang w:val="en-AU"/>
        </w:rPr>
        <w:t>are</w:t>
      </w:r>
      <w:r w:rsidRPr="00FA1C5B">
        <w:rPr>
          <w:lang w:val="en-AU"/>
        </w:rPr>
        <w:t xml:space="preserve"> very limited</w:t>
      </w:r>
      <w:r w:rsidR="00CE4EEB">
        <w:rPr>
          <w:lang w:val="en-AU"/>
        </w:rPr>
        <w:t xml:space="preserve"> publicly available</w:t>
      </w:r>
      <w:r w:rsidRPr="00FA1C5B">
        <w:rPr>
          <w:lang w:val="en-AU"/>
        </w:rPr>
        <w:t xml:space="preserve"> subsidence data for Australian coal seam gas developments, though subsidence monitoring is widely proposed for Australian coal seam gas developments.</w:t>
      </w:r>
    </w:p>
    <w:p w:rsidR="00FA1C5B" w:rsidRPr="00FA1C5B" w:rsidRDefault="00FA1C5B" w:rsidP="00FA1C5B">
      <w:pPr>
        <w:pStyle w:val="BRNormal11pt0"/>
        <w:rPr>
          <w:lang w:val="en-GB"/>
        </w:rPr>
      </w:pPr>
      <w:r w:rsidRPr="00FA1C5B">
        <w:rPr>
          <w:lang w:val="en-GB"/>
        </w:rPr>
        <w:t xml:space="preserve">This section provides a summary of the </w:t>
      </w:r>
      <w:r w:rsidR="00CE4EEB">
        <w:rPr>
          <w:lang w:val="en-GB"/>
        </w:rPr>
        <w:t xml:space="preserve">publicly available </w:t>
      </w:r>
      <w:r w:rsidRPr="00FA1C5B">
        <w:rPr>
          <w:lang w:val="en-GB"/>
        </w:rPr>
        <w:t>findings of studies assessing the potential impacts of coal seam gas extraction on subsidence.</w:t>
      </w:r>
    </w:p>
    <w:p w:rsidR="00FA1C5B" w:rsidRPr="00FA1C5B" w:rsidRDefault="00FA1C5B" w:rsidP="00FA1C5B">
      <w:pPr>
        <w:pStyle w:val="Heading2"/>
      </w:pPr>
      <w:bookmarkStart w:id="508" w:name="_Toc387410242"/>
      <w:bookmarkStart w:id="509" w:name="_Toc402425315"/>
      <w:r w:rsidRPr="00FA1C5B">
        <w:t xml:space="preserve">Impact </w:t>
      </w:r>
      <w:r w:rsidR="00FD23B8">
        <w:t>a</w:t>
      </w:r>
      <w:r w:rsidRPr="00FA1C5B">
        <w:t xml:space="preserve">ssessment </w:t>
      </w:r>
      <w:r w:rsidR="00FD23B8">
        <w:t>s</w:t>
      </w:r>
      <w:r w:rsidRPr="00FA1C5B">
        <w:t xml:space="preserve">tudy </w:t>
      </w:r>
      <w:r w:rsidR="00FD23B8">
        <w:t>o</w:t>
      </w:r>
      <w:r w:rsidRPr="00FA1C5B">
        <w:t>bservations</w:t>
      </w:r>
      <w:bookmarkEnd w:id="508"/>
      <w:bookmarkEnd w:id="509"/>
    </w:p>
    <w:p w:rsidR="00FA1C5B" w:rsidRPr="00FA1C5B" w:rsidRDefault="00FA1C5B" w:rsidP="00FA1C5B">
      <w:pPr>
        <w:pStyle w:val="BRNormal11pt0"/>
        <w:rPr>
          <w:lang w:val="en-GB"/>
        </w:rPr>
      </w:pPr>
      <w:r w:rsidRPr="00FA1C5B">
        <w:rPr>
          <w:lang w:val="en-GB"/>
        </w:rPr>
        <w:t xml:space="preserve">The reviewed studies did not contain direct measurements of subsidence relating to existing coal seam gas extraction, despite the fact that some projects had commenced preliminary operations some years </w:t>
      </w:r>
      <w:r w:rsidR="000200FC">
        <w:rPr>
          <w:lang w:val="en-GB"/>
        </w:rPr>
        <w:t>ago.</w:t>
      </w:r>
    </w:p>
    <w:p w:rsidR="00FA1C5B" w:rsidRPr="00FA1C5B" w:rsidRDefault="00FA1C5B" w:rsidP="00FA1C5B">
      <w:pPr>
        <w:pStyle w:val="BRNormal11pt0"/>
        <w:rPr>
          <w:lang w:val="en-GB"/>
        </w:rPr>
      </w:pPr>
      <w:r w:rsidRPr="00FA1C5B">
        <w:rPr>
          <w:lang w:val="en-GB"/>
        </w:rPr>
        <w:t xml:space="preserve">Subsidence is a consequence </w:t>
      </w:r>
      <w:r w:rsidR="0091309C" w:rsidRPr="00793C9F">
        <w:t>groundwater withdrawal, the degassing of the coal, the depth and depth-interval over which compression occurs, and the geotechnical properties of the geological units throughout the depth profile.</w:t>
      </w:r>
      <w:r w:rsidRPr="00FA1C5B">
        <w:rPr>
          <w:lang w:val="en-GB"/>
        </w:rPr>
        <w:t xml:space="preserve"> (Golder Associates 2009a, 2009b, 2009c; Matrix</w:t>
      </w:r>
      <w:r w:rsidR="006674E5">
        <w:rPr>
          <w:lang w:val="en-GB"/>
        </w:rPr>
        <w:t>P</w:t>
      </w:r>
      <w:r w:rsidRPr="00FA1C5B">
        <w:rPr>
          <w:lang w:val="en-GB"/>
        </w:rPr>
        <w:t>lus Consulting 2009; URS 2009; WorleyParsons 2010a; Coffey E</w:t>
      </w:r>
      <w:r w:rsidR="00565387">
        <w:rPr>
          <w:lang w:val="en-GB"/>
        </w:rPr>
        <w:t>nvironments 2012).</w:t>
      </w:r>
    </w:p>
    <w:p w:rsidR="00FA1C5B" w:rsidRPr="00FA1C5B" w:rsidRDefault="00FA1C5B" w:rsidP="00FA1C5B">
      <w:pPr>
        <w:pStyle w:val="BRNormal11pt0"/>
        <w:rPr>
          <w:lang w:val="en-GB"/>
        </w:rPr>
      </w:pPr>
      <w:r w:rsidRPr="00FA1C5B">
        <w:rPr>
          <w:lang w:val="en-GB"/>
        </w:rPr>
        <w:t xml:space="preserve">Historic groundwater drawdown values have been assessed in some cases. Arrow Energy’s Daandine </w:t>
      </w:r>
      <w:r w:rsidR="00C723CB">
        <w:rPr>
          <w:lang w:val="en-GB"/>
        </w:rPr>
        <w:t>coal seam gas</w:t>
      </w:r>
      <w:r w:rsidR="00C723CB" w:rsidRPr="00973D19">
        <w:rPr>
          <w:lang w:val="en-GB"/>
        </w:rPr>
        <w:t xml:space="preserve"> </w:t>
      </w:r>
      <w:r w:rsidRPr="00FA1C5B">
        <w:rPr>
          <w:lang w:val="en-GB"/>
        </w:rPr>
        <w:t xml:space="preserve">operations resulted in up to 30 m of drawdown within the Walloon Coal Measures between 2005 and 2008 (Coffey Environments 2012). The project areas are </w:t>
      </w:r>
      <w:r w:rsidR="00B5272B">
        <w:rPr>
          <w:lang w:val="en-GB"/>
        </w:rPr>
        <w:t>predominantly</w:t>
      </w:r>
      <w:r w:rsidRPr="00FA1C5B">
        <w:rPr>
          <w:lang w:val="en-GB"/>
        </w:rPr>
        <w:t xml:space="preserve"> located in agriculturally productive areas, particularly those in the Surat Basin. Groundwater extraction for irrigation has caused appreciable drawdown (values are unavailable), especially within shallow aquifers (Coffey Environments 2012).</w:t>
      </w:r>
    </w:p>
    <w:p w:rsidR="00FA1C5B" w:rsidRPr="00FA1C5B" w:rsidRDefault="00FA1C5B" w:rsidP="00FA1C5B">
      <w:pPr>
        <w:pStyle w:val="BRNormal11pt0"/>
        <w:rPr>
          <w:lang w:val="en-GB"/>
        </w:rPr>
      </w:pPr>
      <w:r w:rsidRPr="00FA1C5B">
        <w:rPr>
          <w:lang w:val="en-GB"/>
        </w:rPr>
        <w:t xml:space="preserve">Predictions regarding drawdown magnitudes have been made, typically based on numerical modelling of groundwater behaviour, both during operations and subsequent recovery. Models are regional or field-based, and are not sufficiently detailed to provide information at the individual well-scale. Similarly, drawdown is assessed at a regional or field-based scale, with detailed vertical profiles beyond the scope of the studies. </w:t>
      </w:r>
    </w:p>
    <w:p w:rsidR="00FA1C5B" w:rsidRPr="00FA1C5B" w:rsidRDefault="00FA1C5B" w:rsidP="00A90F48">
      <w:pPr>
        <w:pStyle w:val="Listintrotext"/>
        <w:rPr>
          <w:lang w:val="en-GB"/>
        </w:rPr>
      </w:pPr>
      <w:r w:rsidRPr="00FA1C5B">
        <w:rPr>
          <w:lang w:val="en-GB"/>
        </w:rPr>
        <w:t>Prior to coal seam gas developments, the</w:t>
      </w:r>
      <w:r w:rsidRPr="00FA1C5B">
        <w:rPr>
          <w:rStyle w:val="BRNormal11ptChar0"/>
          <w:lang w:val="en-GB"/>
        </w:rPr>
        <w:t xml:space="preserve"> </w:t>
      </w:r>
      <w:r w:rsidRPr="00FA1C5B">
        <w:rPr>
          <w:lang w:val="en-GB"/>
        </w:rPr>
        <w:t xml:space="preserve">groundwater may </w:t>
      </w:r>
      <w:r w:rsidR="0041164D">
        <w:rPr>
          <w:lang w:val="en-GB"/>
        </w:rPr>
        <w:t xml:space="preserve">have been </w:t>
      </w:r>
      <w:r w:rsidRPr="00FA1C5B">
        <w:rPr>
          <w:lang w:val="en-GB"/>
        </w:rPr>
        <w:t>in a pre-existing condition of depressurisation due to existing groundwater users in the region (e.g. groundwater extraction for irrigation) or mining</w:t>
      </w:r>
      <w:r w:rsidR="004132CB">
        <w:rPr>
          <w:lang w:val="en-GB"/>
        </w:rPr>
        <w:t xml:space="preserve"> activities</w:t>
      </w:r>
      <w:r w:rsidRPr="00FA1C5B">
        <w:rPr>
          <w:lang w:val="en-GB"/>
        </w:rPr>
        <w:t xml:space="preserve"> (</w:t>
      </w:r>
      <w:r w:rsidR="004132CB">
        <w:rPr>
          <w:lang w:val="en-GB"/>
        </w:rPr>
        <w:t xml:space="preserve">e.g. </w:t>
      </w:r>
      <w:r w:rsidR="00C723CB">
        <w:rPr>
          <w:lang w:val="en-GB"/>
        </w:rPr>
        <w:t>coal seam gas</w:t>
      </w:r>
      <w:r w:rsidR="00C723CB" w:rsidRPr="00973D19">
        <w:rPr>
          <w:lang w:val="en-GB"/>
        </w:rPr>
        <w:t xml:space="preserve"> </w:t>
      </w:r>
      <w:r w:rsidRPr="00FA1C5B">
        <w:rPr>
          <w:lang w:val="en-GB"/>
        </w:rPr>
        <w:t xml:space="preserve">production is frequently undertaken in areas previously mined for coal by underground methods, predisposing the gas-bearing formations to greater gas extraction). Adjacent coal seam gas extraction will have an additive effect on falling groundwater levels. It is therefore important for groundwater modelling and subsidence </w:t>
      </w:r>
      <w:proofErr w:type="gramStart"/>
      <w:r w:rsidRPr="00FA1C5B">
        <w:rPr>
          <w:lang w:val="en-GB"/>
        </w:rPr>
        <w:t xml:space="preserve">assessment to consider the cumulative impacts </w:t>
      </w:r>
      <w:r w:rsidR="004132CB">
        <w:rPr>
          <w:lang w:val="en-GB"/>
        </w:rPr>
        <w:t xml:space="preserve">(i.e. </w:t>
      </w:r>
      <w:r w:rsidRPr="00FA1C5B">
        <w:rPr>
          <w:lang w:val="en-GB"/>
        </w:rPr>
        <w:t>the combined stresses on groundwater levels</w:t>
      </w:r>
      <w:r w:rsidR="004132CB">
        <w:rPr>
          <w:lang w:val="en-GB"/>
        </w:rPr>
        <w:t>)</w:t>
      </w:r>
      <w:r w:rsidRPr="00FA1C5B">
        <w:rPr>
          <w:lang w:val="en-GB"/>
        </w:rPr>
        <w:t xml:space="preserve"> to accurately predict</w:t>
      </w:r>
      <w:proofErr w:type="gramEnd"/>
      <w:r w:rsidRPr="00FA1C5B">
        <w:rPr>
          <w:lang w:val="en-GB"/>
        </w:rPr>
        <w:t xml:space="preserve"> subsidence impacts. It is also important to have legislative decisions based on cumulative impacts so that subsequent users understand their liability. In the US</w:t>
      </w:r>
      <w:r w:rsidR="004132CB">
        <w:rPr>
          <w:lang w:val="en-GB"/>
        </w:rPr>
        <w:t>,</w:t>
      </w:r>
      <w:r w:rsidRPr="00FA1C5B">
        <w:rPr>
          <w:lang w:val="en-GB"/>
        </w:rPr>
        <w:t xml:space="preserve"> Cumulative Hydrologic Impact Assessments (CHIA) </w:t>
      </w:r>
      <w:proofErr w:type="gramStart"/>
      <w:r w:rsidRPr="00FA1C5B">
        <w:rPr>
          <w:lang w:val="en-GB"/>
        </w:rPr>
        <w:t>are</w:t>
      </w:r>
      <w:proofErr w:type="gramEnd"/>
      <w:r w:rsidRPr="00FA1C5B">
        <w:rPr>
          <w:lang w:val="en-GB"/>
        </w:rPr>
        <w:t xml:space="preserve"> used to define rights and liabilities of the chain of users.</w:t>
      </w:r>
    </w:p>
    <w:p w:rsidR="00FA1C5B" w:rsidRPr="00FA1C5B" w:rsidRDefault="00FA1C5B" w:rsidP="00A90F48">
      <w:pPr>
        <w:pStyle w:val="Listintrotext"/>
        <w:rPr>
          <w:lang w:val="en-GB"/>
        </w:rPr>
      </w:pPr>
      <w:r w:rsidRPr="00FA1C5B">
        <w:rPr>
          <w:lang w:val="en-GB"/>
        </w:rPr>
        <w:t>Available subsidence predictions are:</w:t>
      </w:r>
    </w:p>
    <w:p w:rsidR="00FA1C5B" w:rsidRPr="00FA1C5B" w:rsidRDefault="00FA1C5B" w:rsidP="007702DF">
      <w:pPr>
        <w:pStyle w:val="BRdotpoints"/>
        <w:rPr>
          <w:lang w:val="en-GB"/>
        </w:rPr>
      </w:pPr>
      <w:r w:rsidRPr="00FA1C5B">
        <w:rPr>
          <w:lang w:val="en-GB"/>
        </w:rPr>
        <w:t>Coffey Environments (2012) indicate</w:t>
      </w:r>
      <w:r w:rsidR="004132CB">
        <w:rPr>
          <w:lang w:val="en-GB"/>
        </w:rPr>
        <w:t>d</w:t>
      </w:r>
      <w:r w:rsidRPr="00FA1C5B">
        <w:rPr>
          <w:lang w:val="en-GB"/>
        </w:rPr>
        <w:t xml:space="preserve"> that the Surat Gas Project alone will result in maximum drawdown of 75 m within the coal measures. These values are based on the estimated rates of coal seam water extraction increasing from the current rate of 11</w:t>
      </w:r>
      <w:r w:rsidR="004132CB">
        <w:rPr>
          <w:lang w:val="en-GB"/>
        </w:rPr>
        <w:t> </w:t>
      </w:r>
      <w:r w:rsidRPr="00FA1C5B">
        <w:rPr>
          <w:lang w:val="en-GB"/>
        </w:rPr>
        <w:t>ML/day to a maximum of 120</w:t>
      </w:r>
      <w:r w:rsidR="009430B5">
        <w:rPr>
          <w:lang w:val="en-GB"/>
        </w:rPr>
        <w:t> </w:t>
      </w:r>
      <w:r w:rsidRPr="00FA1C5B">
        <w:rPr>
          <w:lang w:val="en-GB"/>
        </w:rPr>
        <w:t>ML/day (equating to nearly 49</w:t>
      </w:r>
      <w:r w:rsidR="004132CB">
        <w:rPr>
          <w:lang w:val="en-GB"/>
        </w:rPr>
        <w:t> </w:t>
      </w:r>
      <w:r w:rsidRPr="00FA1C5B">
        <w:rPr>
          <w:lang w:val="en-GB"/>
        </w:rPr>
        <w:t>000 ML/year some 20</w:t>
      </w:r>
      <w:r w:rsidR="004132CB">
        <w:rPr>
          <w:lang w:val="en-GB"/>
        </w:rPr>
        <w:t> </w:t>
      </w:r>
      <w:r w:rsidRPr="00FA1C5B">
        <w:rPr>
          <w:lang w:val="en-GB"/>
        </w:rPr>
        <w:t>years after production commences). In nearby sandstone aquifers, associated drawdown will be a maximum of 30 m</w:t>
      </w:r>
      <w:r w:rsidR="004132CB">
        <w:rPr>
          <w:lang w:val="en-GB"/>
        </w:rPr>
        <w:t>; h</w:t>
      </w:r>
      <w:r w:rsidRPr="00FA1C5B">
        <w:rPr>
          <w:lang w:val="en-GB"/>
        </w:rPr>
        <w:t>owever, cumulative maximum drawdown (i.e. considering the effects of the</w:t>
      </w:r>
      <w:r w:rsidR="004132CB">
        <w:rPr>
          <w:lang w:val="en-GB"/>
        </w:rPr>
        <w:t xml:space="preserve"> nearby</w:t>
      </w:r>
      <w:r w:rsidRPr="00FA1C5B">
        <w:rPr>
          <w:lang w:val="en-GB"/>
        </w:rPr>
        <w:t xml:space="preserve"> QCLNG, GLNG and APLNG projects) is anticipated to be more than double the sole-operator drawdown, with predictions of over 150 m in the coal measures and between 60</w:t>
      </w:r>
      <w:r w:rsidR="009430B5">
        <w:rPr>
          <w:lang w:val="en-GB"/>
        </w:rPr>
        <w:t> </w:t>
      </w:r>
      <w:r w:rsidRPr="00FA1C5B">
        <w:rPr>
          <w:lang w:val="en-GB"/>
        </w:rPr>
        <w:t>m and 75</w:t>
      </w:r>
      <w:r w:rsidR="009430B5">
        <w:rPr>
          <w:lang w:val="en-GB"/>
        </w:rPr>
        <w:t> </w:t>
      </w:r>
      <w:r w:rsidRPr="00FA1C5B">
        <w:rPr>
          <w:lang w:val="en-GB"/>
        </w:rPr>
        <w:t xml:space="preserve">m in the sandstone aquifers. </w:t>
      </w:r>
    </w:p>
    <w:p w:rsidR="00FA1C5B" w:rsidRPr="00FA1C5B" w:rsidRDefault="00FA1C5B" w:rsidP="007702DF">
      <w:pPr>
        <w:pStyle w:val="BRdotpoints"/>
        <w:rPr>
          <w:lang w:val="en-GB"/>
        </w:rPr>
      </w:pPr>
      <w:r w:rsidRPr="00FA1C5B">
        <w:rPr>
          <w:lang w:val="en-GB"/>
        </w:rPr>
        <w:t>WorleyParsons (2010a) note</w:t>
      </w:r>
      <w:r w:rsidR="004132CB">
        <w:rPr>
          <w:lang w:val="en-GB"/>
        </w:rPr>
        <w:t>d</w:t>
      </w:r>
      <w:r w:rsidRPr="00FA1C5B">
        <w:rPr>
          <w:lang w:val="en-GB"/>
        </w:rPr>
        <w:t xml:space="preserve"> that, for the </w:t>
      </w:r>
      <w:r w:rsidR="00D33155">
        <w:rPr>
          <w:lang w:val="en-GB"/>
        </w:rPr>
        <w:t xml:space="preserve">Australia </w:t>
      </w:r>
      <w:r w:rsidRPr="00FA1C5B">
        <w:rPr>
          <w:lang w:val="en-GB"/>
        </w:rPr>
        <w:t xml:space="preserve">Pacific LNG </w:t>
      </w:r>
      <w:r w:rsidR="00AA6C59">
        <w:rPr>
          <w:lang w:val="en-GB"/>
        </w:rPr>
        <w:t>Project</w:t>
      </w:r>
      <w:r w:rsidRPr="00FA1C5B">
        <w:rPr>
          <w:lang w:val="en-GB"/>
        </w:rPr>
        <w:t>, hydrostatic pressure within the coal seams must be reduced to around 350</w:t>
      </w:r>
      <w:r w:rsidR="00AA6C59">
        <w:rPr>
          <w:lang w:val="en-GB"/>
        </w:rPr>
        <w:t> </w:t>
      </w:r>
      <w:r w:rsidRPr="00FA1C5B">
        <w:rPr>
          <w:lang w:val="en-GB"/>
        </w:rPr>
        <w:t>kPa (equating to a groundwater level of about 35</w:t>
      </w:r>
      <w:r w:rsidR="009430B5">
        <w:rPr>
          <w:lang w:val="en-GB"/>
        </w:rPr>
        <w:t> </w:t>
      </w:r>
      <w:r w:rsidRPr="00FA1C5B">
        <w:rPr>
          <w:lang w:val="en-GB"/>
        </w:rPr>
        <w:t>m above the top of the coal seam) through groundwater extraction over a 50</w:t>
      </w:r>
      <w:r w:rsidR="009430B5">
        <w:rPr>
          <w:lang w:val="en-GB"/>
        </w:rPr>
        <w:t> </w:t>
      </w:r>
      <w:r w:rsidRPr="00FA1C5B">
        <w:rPr>
          <w:lang w:val="en-GB"/>
        </w:rPr>
        <w:t>year timeframe, to allow desorption of methane from the coal. Maximum drawdown is assumed to occur 30</w:t>
      </w:r>
      <w:r w:rsidR="009430B5">
        <w:rPr>
          <w:lang w:val="en-GB"/>
        </w:rPr>
        <w:t> </w:t>
      </w:r>
      <w:r w:rsidRPr="00FA1C5B">
        <w:rPr>
          <w:lang w:val="en-GB"/>
        </w:rPr>
        <w:t>years after commencement of production. Drawdown is anticipated to be greatest where the coal seams are at their greatest depths. Maximum drawdown in the sandstone aquifers is anticipated to be 15 m in the Springbok Sandstone, and 7</w:t>
      </w:r>
      <w:r w:rsidR="009430B5">
        <w:rPr>
          <w:lang w:val="en-GB"/>
        </w:rPr>
        <w:t> </w:t>
      </w:r>
      <w:r w:rsidRPr="00FA1C5B">
        <w:rPr>
          <w:lang w:val="en-GB"/>
        </w:rPr>
        <w:t>m to 8 m other sandstone aquifers. Cumulative impacts are anticipated to be greater, but have not been quantified.</w:t>
      </w:r>
    </w:p>
    <w:p w:rsidR="00FA1C5B" w:rsidRPr="00FA1C5B" w:rsidRDefault="00FA1C5B" w:rsidP="007702DF">
      <w:pPr>
        <w:pStyle w:val="BRdotpoints"/>
        <w:rPr>
          <w:lang w:val="en-GB"/>
        </w:rPr>
      </w:pPr>
      <w:r w:rsidRPr="00FA1C5B">
        <w:rPr>
          <w:lang w:val="en-GB"/>
        </w:rPr>
        <w:t>Matrix</w:t>
      </w:r>
      <w:r w:rsidR="006674E5">
        <w:rPr>
          <w:lang w:val="en-GB"/>
        </w:rPr>
        <w:t>P</w:t>
      </w:r>
      <w:r w:rsidRPr="00FA1C5B">
        <w:rPr>
          <w:lang w:val="en-GB"/>
        </w:rPr>
        <w:t xml:space="preserve">lus (2009) assessed drawdown differently </w:t>
      </w:r>
      <w:r w:rsidR="0041164D">
        <w:rPr>
          <w:lang w:val="en-GB"/>
        </w:rPr>
        <w:t>from</w:t>
      </w:r>
      <w:r w:rsidRPr="00FA1C5B">
        <w:rPr>
          <w:lang w:val="en-GB"/>
        </w:rPr>
        <w:t xml:space="preserve"> other studies, predominantly calculating amalgamated drawdown values rather than individual values for different aquifers. The study indicates that the Gladstone LNG </w:t>
      </w:r>
      <w:r w:rsidR="00AA6C59">
        <w:rPr>
          <w:lang w:val="en-GB"/>
        </w:rPr>
        <w:t>P</w:t>
      </w:r>
      <w:r w:rsidRPr="00FA1C5B">
        <w:rPr>
          <w:lang w:val="en-GB"/>
        </w:rPr>
        <w:t>roject will require a threshold operating pressure of about 500</w:t>
      </w:r>
      <w:r w:rsidR="009430B5">
        <w:rPr>
          <w:lang w:val="en-GB"/>
        </w:rPr>
        <w:t> </w:t>
      </w:r>
      <w:r w:rsidRPr="00FA1C5B">
        <w:rPr>
          <w:lang w:val="en-GB"/>
        </w:rPr>
        <w:t>kPa, requiring drawdown to about 70</w:t>
      </w:r>
      <w:r w:rsidR="009430B5">
        <w:rPr>
          <w:lang w:val="en-GB"/>
        </w:rPr>
        <w:t> </w:t>
      </w:r>
      <w:r w:rsidRPr="00FA1C5B">
        <w:rPr>
          <w:lang w:val="en-GB"/>
        </w:rPr>
        <w:t>m above the top of the Bandanna Formation (Walloon Coal Measures). The amalgamated drawdown cone is predicted to be up to 1000</w:t>
      </w:r>
      <w:r w:rsidR="009430B5">
        <w:rPr>
          <w:lang w:val="en-GB"/>
        </w:rPr>
        <w:t> </w:t>
      </w:r>
      <w:r w:rsidRPr="00FA1C5B">
        <w:rPr>
          <w:lang w:val="en-GB"/>
        </w:rPr>
        <w:t>m deep in isolated areas (in the east of the Fairview field), and generally up to 600</w:t>
      </w:r>
      <w:r w:rsidR="009430B5">
        <w:rPr>
          <w:lang w:val="en-GB"/>
        </w:rPr>
        <w:t> </w:t>
      </w:r>
      <w:r w:rsidRPr="00FA1C5B">
        <w:rPr>
          <w:lang w:val="en-GB"/>
        </w:rPr>
        <w:t>m deep. Drawdown in the Precipice Sandstone is anticipated to be a maximum of 65</w:t>
      </w:r>
      <w:r w:rsidR="009430B5">
        <w:rPr>
          <w:lang w:val="en-GB"/>
        </w:rPr>
        <w:t> </w:t>
      </w:r>
      <w:r w:rsidRPr="00FA1C5B">
        <w:rPr>
          <w:lang w:val="en-GB"/>
        </w:rPr>
        <w:t>m after 20</w:t>
      </w:r>
      <w:r w:rsidR="009430B5">
        <w:rPr>
          <w:lang w:val="en-GB"/>
        </w:rPr>
        <w:t> </w:t>
      </w:r>
      <w:r w:rsidRPr="00FA1C5B">
        <w:rPr>
          <w:lang w:val="en-GB"/>
        </w:rPr>
        <w:t>years. Recovery periods are dependent on aquifer properties, with some areas anticipated to recover relatively rapidly (e.g.</w:t>
      </w:r>
      <w:r w:rsidR="003E43E8">
        <w:rPr>
          <w:lang w:val="en-GB"/>
        </w:rPr>
        <w:t xml:space="preserve"> </w:t>
      </w:r>
      <w:r w:rsidRPr="00FA1C5B">
        <w:rPr>
          <w:lang w:val="en-GB"/>
        </w:rPr>
        <w:t>80</w:t>
      </w:r>
      <w:r w:rsidR="00652C64">
        <w:rPr>
          <w:lang w:val="en-GB"/>
        </w:rPr>
        <w:t> </w:t>
      </w:r>
      <w:r w:rsidR="00D33155">
        <w:rPr>
          <w:lang w:val="en-GB"/>
        </w:rPr>
        <w:t>per</w:t>
      </w:r>
      <w:r w:rsidR="00652C64">
        <w:rPr>
          <w:lang w:val="en-GB"/>
        </w:rPr>
        <w:t> </w:t>
      </w:r>
      <w:r w:rsidR="00D33155">
        <w:rPr>
          <w:lang w:val="en-GB"/>
        </w:rPr>
        <w:t>cent</w:t>
      </w:r>
      <w:r w:rsidRPr="00FA1C5B">
        <w:rPr>
          <w:lang w:val="en-GB"/>
        </w:rPr>
        <w:t xml:space="preserve"> of pre-production levels after twice the operating period), whereas drawdown in the Hutton Sandstone is predicted to continue for many hundreds of years.</w:t>
      </w:r>
    </w:p>
    <w:p w:rsidR="00FA1C5B" w:rsidRPr="00FA1C5B" w:rsidRDefault="00FA1C5B" w:rsidP="007702DF">
      <w:pPr>
        <w:pStyle w:val="BRdotpoints"/>
        <w:rPr>
          <w:lang w:val="en-GB"/>
        </w:rPr>
      </w:pPr>
      <w:r w:rsidRPr="00FA1C5B">
        <w:rPr>
          <w:lang w:val="en-GB"/>
        </w:rPr>
        <w:t>Golder Associates (2009b) indicate</w:t>
      </w:r>
      <w:r w:rsidR="00D33155">
        <w:rPr>
          <w:lang w:val="en-GB"/>
        </w:rPr>
        <w:t>d</w:t>
      </w:r>
      <w:r w:rsidRPr="00FA1C5B">
        <w:rPr>
          <w:lang w:val="en-GB"/>
        </w:rPr>
        <w:t xml:space="preserve"> that depressurisation prior to gas extraction for the Queensland Curtis LNG </w:t>
      </w:r>
      <w:r w:rsidR="00E248BA">
        <w:rPr>
          <w:lang w:val="en-GB"/>
        </w:rPr>
        <w:t>P</w:t>
      </w:r>
      <w:r w:rsidRPr="00FA1C5B">
        <w:rPr>
          <w:lang w:val="en-GB"/>
        </w:rPr>
        <w:t>roject will have a pressure head some 70 m above the top of the Walloon Coal Measures. The study predicts that drawdown will be greatest beneath the depressurisation area, and within the Springbok Sandstone, due to discontinuous contact with the Walloon Coal Measures (allowing inter-aquifer depressurisation). The project area was split into three different fields and modelled separately. Maximum drawdown was predicted for the Central Development Area, with up to 85 m drawdown near the centre of depressurisation in the Springbok Sandstone. These predictions were matched against QGC information that initially 1300 wells will be drilled, extracting over 30</w:t>
      </w:r>
      <w:r w:rsidR="000B6739">
        <w:rPr>
          <w:lang w:val="en-GB"/>
        </w:rPr>
        <w:t> </w:t>
      </w:r>
      <w:r w:rsidRPr="00FA1C5B">
        <w:rPr>
          <w:lang w:val="en-GB"/>
        </w:rPr>
        <w:t>000 ML of groundwater. Within 20 years, around 6000 wells will be drilled, extracting around 65</w:t>
      </w:r>
      <w:r w:rsidR="000B6739">
        <w:rPr>
          <w:lang w:val="en-GB"/>
        </w:rPr>
        <w:t> </w:t>
      </w:r>
      <w:r w:rsidRPr="00FA1C5B">
        <w:rPr>
          <w:lang w:val="en-GB"/>
        </w:rPr>
        <w:t>000 ML per year of groundwater at peak production (with non-</w:t>
      </w:r>
      <w:r w:rsidR="00C723CB">
        <w:rPr>
          <w:lang w:val="en-GB"/>
        </w:rPr>
        <w:t>coal seam gas</w:t>
      </w:r>
      <w:r w:rsidR="00C723CB" w:rsidRPr="00973D19">
        <w:rPr>
          <w:lang w:val="en-GB"/>
        </w:rPr>
        <w:t xml:space="preserve"> </w:t>
      </w:r>
      <w:r w:rsidRPr="00FA1C5B">
        <w:rPr>
          <w:lang w:val="en-GB"/>
        </w:rPr>
        <w:t>extraction estimated at an additional 11</w:t>
      </w:r>
      <w:r w:rsidR="000B6739">
        <w:rPr>
          <w:lang w:val="en-GB"/>
        </w:rPr>
        <w:t> </w:t>
      </w:r>
      <w:r w:rsidRPr="00FA1C5B">
        <w:rPr>
          <w:lang w:val="en-GB"/>
        </w:rPr>
        <w:t>000 ML per year).</w:t>
      </w:r>
    </w:p>
    <w:p w:rsidR="00FA1C5B" w:rsidRPr="00FA1C5B" w:rsidRDefault="00FA1C5B" w:rsidP="00FA1C5B">
      <w:pPr>
        <w:pStyle w:val="Post-listtext"/>
        <w:rPr>
          <w:lang w:val="en-GB"/>
        </w:rPr>
      </w:pPr>
      <w:r w:rsidRPr="00FA1C5B">
        <w:rPr>
          <w:lang w:val="en-GB"/>
        </w:rPr>
        <w:t xml:space="preserve">Public reports of drawdown predictions in the NSW </w:t>
      </w:r>
      <w:r w:rsidR="00C723CB">
        <w:rPr>
          <w:lang w:val="en-GB"/>
        </w:rPr>
        <w:t>coal seam gas</w:t>
      </w:r>
      <w:r w:rsidR="00C723CB" w:rsidRPr="00973D19">
        <w:rPr>
          <w:lang w:val="en-GB"/>
        </w:rPr>
        <w:t xml:space="preserve"> </w:t>
      </w:r>
      <w:r w:rsidRPr="00FA1C5B">
        <w:rPr>
          <w:lang w:val="en-GB"/>
        </w:rPr>
        <w:t>fields were not available at the time of writing.</w:t>
      </w:r>
    </w:p>
    <w:p w:rsidR="00FA1C5B" w:rsidRPr="00FA1C5B" w:rsidRDefault="00FA1C5B" w:rsidP="00FA1C5B">
      <w:pPr>
        <w:pStyle w:val="BRNormal11pt0"/>
        <w:rPr>
          <w:lang w:val="en-GB"/>
        </w:rPr>
      </w:pPr>
      <w:r w:rsidRPr="00FA1C5B">
        <w:rPr>
          <w:lang w:val="en-GB"/>
        </w:rPr>
        <w:t xml:space="preserve">Geoscience Australia and Habermehl (2010) reviewed numerous </w:t>
      </w:r>
      <w:r w:rsidR="00C723CB">
        <w:rPr>
          <w:lang w:val="en-GB"/>
        </w:rPr>
        <w:t>coal seam gas</w:t>
      </w:r>
      <w:r w:rsidR="00C723CB" w:rsidRPr="00973D19">
        <w:rPr>
          <w:lang w:val="en-GB"/>
        </w:rPr>
        <w:t xml:space="preserve"> </w:t>
      </w:r>
      <w:r w:rsidRPr="00FA1C5B">
        <w:rPr>
          <w:lang w:val="en-GB"/>
        </w:rPr>
        <w:t xml:space="preserve">groundwater modelling studies for the Surat and Bowen </w:t>
      </w:r>
      <w:r w:rsidR="00064128">
        <w:rPr>
          <w:lang w:val="en-GB"/>
        </w:rPr>
        <w:t>B</w:t>
      </w:r>
      <w:r w:rsidRPr="00FA1C5B">
        <w:rPr>
          <w:lang w:val="en-GB"/>
        </w:rPr>
        <w:t xml:space="preserve">asins. Their review indicated that all models have inherent uncertainty related to the capacity of the model to predict the system response to drawdowns in the Walloon Coal Measures of several hundred metres. This raises questions regarding the capability of such models to satisfactorily predict impacts of such large perturbations. Therefore, the recommendation </w:t>
      </w:r>
      <w:r w:rsidR="003E43E8">
        <w:rPr>
          <w:lang w:val="en-GB"/>
        </w:rPr>
        <w:t>was</w:t>
      </w:r>
      <w:r w:rsidRPr="00FA1C5B">
        <w:rPr>
          <w:lang w:val="en-GB"/>
        </w:rPr>
        <w:t xml:space="preserve"> made that audits of the model should be made at five year intervals, comparing monitoring results with model predictions. In addition, cumulative impact modelling is considered to be inadequate as a result of the inability of different proponents to exchange </w:t>
      </w:r>
      <w:r w:rsidR="003E43E8">
        <w:rPr>
          <w:lang w:val="en-GB"/>
        </w:rPr>
        <w:t xml:space="preserve">commercially </w:t>
      </w:r>
      <w:r w:rsidRPr="00FA1C5B">
        <w:rPr>
          <w:lang w:val="en-GB"/>
        </w:rPr>
        <w:t>confidential relevant data (such as groundwater pumping rates).</w:t>
      </w:r>
    </w:p>
    <w:p w:rsidR="00FA1C5B" w:rsidRPr="00FA1C5B" w:rsidRDefault="00FA1C5B" w:rsidP="00FA1C5B">
      <w:pPr>
        <w:pStyle w:val="Heading2"/>
      </w:pPr>
      <w:bookmarkStart w:id="510" w:name="_Toc402425316"/>
      <w:r w:rsidRPr="00FA1C5B">
        <w:t xml:space="preserve">Impact </w:t>
      </w:r>
      <w:r w:rsidR="00FD23B8">
        <w:t>a</w:t>
      </w:r>
      <w:r w:rsidRPr="00FA1C5B">
        <w:t xml:space="preserve">ssessment </w:t>
      </w:r>
      <w:r w:rsidR="00FD23B8">
        <w:t>p</w:t>
      </w:r>
      <w:r w:rsidRPr="00FA1C5B">
        <w:t xml:space="preserve">redictions of </w:t>
      </w:r>
      <w:r w:rsidR="00FD23B8">
        <w:t>s</w:t>
      </w:r>
      <w:r w:rsidRPr="00FA1C5B">
        <w:t>ubsidence</w:t>
      </w:r>
      <w:bookmarkEnd w:id="510"/>
    </w:p>
    <w:p w:rsidR="00FA1C5B" w:rsidRPr="00FA1C5B" w:rsidRDefault="00FA1C5B" w:rsidP="00064128">
      <w:pPr>
        <w:pStyle w:val="Listintrotext"/>
        <w:rPr>
          <w:lang w:val="en-GB"/>
        </w:rPr>
      </w:pPr>
      <w:r w:rsidRPr="00FA1C5B">
        <w:rPr>
          <w:lang w:val="en-GB"/>
        </w:rPr>
        <w:t xml:space="preserve">The potential for land subsidence impacts are mentioned in the majority of Australian </w:t>
      </w:r>
      <w:r w:rsidR="00C723CB">
        <w:rPr>
          <w:lang w:val="en-GB"/>
        </w:rPr>
        <w:t>coal seam gas</w:t>
      </w:r>
      <w:r w:rsidR="00C723CB" w:rsidRPr="00973D19">
        <w:rPr>
          <w:lang w:val="en-GB"/>
        </w:rPr>
        <w:t xml:space="preserve"> </w:t>
      </w:r>
      <w:r w:rsidR="00E14017">
        <w:rPr>
          <w:lang w:val="en-GB"/>
        </w:rPr>
        <w:t>EIS</w:t>
      </w:r>
      <w:r w:rsidRPr="00FA1C5B">
        <w:rPr>
          <w:lang w:val="en-GB"/>
        </w:rPr>
        <w:t xml:space="preserve"> groundwater studies</w:t>
      </w:r>
      <w:r w:rsidR="00064128">
        <w:rPr>
          <w:lang w:val="en-GB"/>
        </w:rPr>
        <w:t>;</w:t>
      </w:r>
      <w:r w:rsidRPr="00FA1C5B">
        <w:rPr>
          <w:lang w:val="en-GB"/>
        </w:rPr>
        <w:t xml:space="preserve"> </w:t>
      </w:r>
      <w:r w:rsidR="00064128">
        <w:rPr>
          <w:lang w:val="en-GB"/>
        </w:rPr>
        <w:t>h</w:t>
      </w:r>
      <w:r w:rsidRPr="00FA1C5B">
        <w:rPr>
          <w:lang w:val="en-GB"/>
        </w:rPr>
        <w:t xml:space="preserve">owever, detailed modelling of this </w:t>
      </w:r>
      <w:r w:rsidR="00611B2A" w:rsidRPr="00611B2A">
        <w:t>subsidence</w:t>
      </w:r>
      <w:r w:rsidRPr="00FA1C5B">
        <w:rPr>
          <w:lang w:val="en-GB"/>
        </w:rPr>
        <w:t xml:space="preserve"> is </w:t>
      </w:r>
      <w:r w:rsidR="00A419A1">
        <w:rPr>
          <w:lang w:val="en-GB"/>
        </w:rPr>
        <w:t xml:space="preserve">generally </w:t>
      </w:r>
      <w:r w:rsidRPr="00FA1C5B">
        <w:rPr>
          <w:lang w:val="en-GB"/>
        </w:rPr>
        <w:t xml:space="preserve">not reported. Subsidence impacts are addressed and discussed in the following variety of ways in Australian </w:t>
      </w:r>
      <w:r w:rsidR="00C723CB">
        <w:rPr>
          <w:lang w:val="en-GB"/>
        </w:rPr>
        <w:t>coal seam gas</w:t>
      </w:r>
      <w:r w:rsidR="00C723CB" w:rsidRPr="00973D19">
        <w:rPr>
          <w:lang w:val="en-GB"/>
        </w:rPr>
        <w:t xml:space="preserve"> </w:t>
      </w:r>
      <w:r w:rsidR="00E14017">
        <w:rPr>
          <w:lang w:val="en-GB"/>
        </w:rPr>
        <w:t>EIS reports</w:t>
      </w:r>
      <w:r w:rsidRPr="00FA1C5B">
        <w:rPr>
          <w:lang w:val="en-GB"/>
        </w:rPr>
        <w:t>:</w:t>
      </w:r>
    </w:p>
    <w:p w:rsidR="00FA1C5B" w:rsidRPr="00FA1C5B" w:rsidRDefault="00064128" w:rsidP="007702DF">
      <w:pPr>
        <w:pStyle w:val="BRdotpoints"/>
        <w:rPr>
          <w:lang w:val="en-GB"/>
        </w:rPr>
      </w:pPr>
      <w:r>
        <w:rPr>
          <w:lang w:val="en-GB"/>
        </w:rPr>
        <w:t>s</w:t>
      </w:r>
      <w:r w:rsidR="00FA1C5B" w:rsidRPr="00FA1C5B">
        <w:rPr>
          <w:lang w:val="en-GB"/>
        </w:rPr>
        <w:t>ubsidence is mentioned as a possible impact of depressurisation, but no further discussion is presented (</w:t>
      </w:r>
      <w:r>
        <w:rPr>
          <w:lang w:val="en-GB"/>
        </w:rPr>
        <w:t xml:space="preserve">e.g. </w:t>
      </w:r>
      <w:r w:rsidR="00FA1C5B" w:rsidRPr="00FA1C5B">
        <w:rPr>
          <w:lang w:val="en-GB"/>
        </w:rPr>
        <w:t>URS 2009)</w:t>
      </w:r>
    </w:p>
    <w:p w:rsidR="00FA1C5B" w:rsidRPr="00FA1C5B" w:rsidRDefault="00064128" w:rsidP="007702DF">
      <w:pPr>
        <w:pStyle w:val="BRdotpoints"/>
        <w:rPr>
          <w:lang w:val="en-GB"/>
        </w:rPr>
      </w:pPr>
      <w:proofErr w:type="gramStart"/>
      <w:r>
        <w:rPr>
          <w:lang w:val="en-GB"/>
        </w:rPr>
        <w:t>a</w:t>
      </w:r>
      <w:r w:rsidR="00FA1C5B" w:rsidRPr="00FA1C5B">
        <w:rPr>
          <w:lang w:val="en-GB"/>
        </w:rPr>
        <w:t>vailable</w:t>
      </w:r>
      <w:proofErr w:type="gramEnd"/>
      <w:r w:rsidR="00FA1C5B" w:rsidRPr="00FA1C5B">
        <w:rPr>
          <w:lang w:val="en-GB"/>
        </w:rPr>
        <w:t xml:space="preserve"> </w:t>
      </w:r>
      <w:r w:rsidR="00C723CB">
        <w:rPr>
          <w:lang w:val="en-GB"/>
        </w:rPr>
        <w:t>coal seam gas</w:t>
      </w:r>
      <w:r w:rsidR="00FA1C5B" w:rsidRPr="00FA1C5B">
        <w:rPr>
          <w:lang w:val="en-GB"/>
        </w:rPr>
        <w:t xml:space="preserve">-related subsidence literature </w:t>
      </w:r>
      <w:r>
        <w:rPr>
          <w:lang w:val="en-GB"/>
        </w:rPr>
        <w:t>is</w:t>
      </w:r>
      <w:r w:rsidR="00FA1C5B" w:rsidRPr="00FA1C5B">
        <w:rPr>
          <w:lang w:val="en-GB"/>
        </w:rPr>
        <w:t xml:space="preserve"> reviewed and the results used to assess the likely impacts within the relevant project areas (</w:t>
      </w:r>
      <w:r>
        <w:rPr>
          <w:lang w:val="en-GB"/>
        </w:rPr>
        <w:t xml:space="preserve">e.g. </w:t>
      </w:r>
      <w:r w:rsidR="00FA1C5B" w:rsidRPr="00FA1C5B">
        <w:rPr>
          <w:lang w:val="en-GB"/>
        </w:rPr>
        <w:t>MSEC 2007a; Matrix</w:t>
      </w:r>
      <w:r w:rsidR="006674E5">
        <w:rPr>
          <w:lang w:val="en-GB"/>
        </w:rPr>
        <w:t>P</w:t>
      </w:r>
      <w:r w:rsidR="00FA1C5B" w:rsidRPr="00FA1C5B">
        <w:rPr>
          <w:lang w:val="en-GB"/>
        </w:rPr>
        <w:t xml:space="preserve">lus Consulting 2009; Coffey Environments 2012). The most comprehensive literature review </w:t>
      </w:r>
      <w:r>
        <w:rPr>
          <w:lang w:val="en-GB"/>
        </w:rPr>
        <w:t>was</w:t>
      </w:r>
      <w:r w:rsidRPr="00FA1C5B">
        <w:rPr>
          <w:lang w:val="en-GB"/>
        </w:rPr>
        <w:t xml:space="preserve"> </w:t>
      </w:r>
      <w:r w:rsidR="00FA1C5B" w:rsidRPr="00FA1C5B">
        <w:rPr>
          <w:lang w:val="en-GB"/>
        </w:rPr>
        <w:t>presented in Coffey Environments (2012), but this review acknowledge</w:t>
      </w:r>
      <w:r>
        <w:rPr>
          <w:lang w:val="en-GB"/>
        </w:rPr>
        <w:t>d</w:t>
      </w:r>
      <w:r w:rsidR="00FA1C5B" w:rsidRPr="00FA1C5B">
        <w:rPr>
          <w:lang w:val="en-GB"/>
        </w:rPr>
        <w:t xml:space="preserve"> that there </w:t>
      </w:r>
      <w:r>
        <w:rPr>
          <w:lang w:val="en-GB"/>
        </w:rPr>
        <w:t>was</w:t>
      </w:r>
      <w:r w:rsidRPr="00FA1C5B">
        <w:rPr>
          <w:lang w:val="en-GB"/>
        </w:rPr>
        <w:t xml:space="preserve"> </w:t>
      </w:r>
      <w:r w:rsidR="00FA1C5B" w:rsidRPr="00FA1C5B">
        <w:rPr>
          <w:lang w:val="en-GB"/>
        </w:rPr>
        <w:t xml:space="preserve">limited to no quantitative or qualitative data or information </w:t>
      </w:r>
      <w:r>
        <w:rPr>
          <w:lang w:val="en-GB"/>
        </w:rPr>
        <w:t>reporting</w:t>
      </w:r>
      <w:r w:rsidR="00FA1C5B" w:rsidRPr="00FA1C5B">
        <w:rPr>
          <w:lang w:val="en-GB"/>
        </w:rPr>
        <w:t xml:space="preserve"> measured or predicted </w:t>
      </w:r>
      <w:r w:rsidR="00C723CB">
        <w:rPr>
          <w:lang w:val="en-GB"/>
        </w:rPr>
        <w:t>coal seam gas</w:t>
      </w:r>
      <w:r w:rsidR="00FA1C5B" w:rsidRPr="00FA1C5B">
        <w:rPr>
          <w:lang w:val="en-GB"/>
        </w:rPr>
        <w:t xml:space="preserve">-related subsidence. Available literature focuses on impacts to </w:t>
      </w:r>
      <w:r w:rsidR="00C723CB">
        <w:rPr>
          <w:lang w:val="en-GB"/>
        </w:rPr>
        <w:t>coal seam gas</w:t>
      </w:r>
      <w:r w:rsidR="00C723CB" w:rsidRPr="00973D19">
        <w:rPr>
          <w:lang w:val="en-GB"/>
        </w:rPr>
        <w:t xml:space="preserve"> </w:t>
      </w:r>
      <w:r w:rsidR="00FA1C5B" w:rsidRPr="00FA1C5B">
        <w:rPr>
          <w:lang w:val="en-GB"/>
        </w:rPr>
        <w:t>production rather than subsidence. The findings of the literature reviews indicate</w:t>
      </w:r>
      <w:r>
        <w:rPr>
          <w:lang w:val="en-GB"/>
        </w:rPr>
        <w:t>d</w:t>
      </w:r>
      <w:r w:rsidR="00FA1C5B" w:rsidRPr="00FA1C5B">
        <w:rPr>
          <w:lang w:val="en-GB"/>
        </w:rPr>
        <w:t xml:space="preserve"> that:</w:t>
      </w:r>
    </w:p>
    <w:p w:rsidR="00FA1C5B" w:rsidRPr="00FA1C5B" w:rsidRDefault="00064128" w:rsidP="00FA1C5B">
      <w:pPr>
        <w:pStyle w:val="BR2ndbullet"/>
        <w:rPr>
          <w:lang w:val="en-GB"/>
        </w:rPr>
      </w:pPr>
      <w:r>
        <w:rPr>
          <w:lang w:val="en-GB"/>
        </w:rPr>
        <w:t>s</w:t>
      </w:r>
      <w:r w:rsidR="00FA1C5B" w:rsidRPr="00FA1C5B">
        <w:rPr>
          <w:lang w:val="en-GB"/>
        </w:rPr>
        <w:t>ubsidence can occur almost instantaneously or over long time periods (Coffey Environments 2012), although the reasons for this difference is not explained in the study</w:t>
      </w:r>
    </w:p>
    <w:p w:rsidR="00FA1C5B" w:rsidRPr="00FA1C5B" w:rsidRDefault="00064128" w:rsidP="00FA1C5B">
      <w:pPr>
        <w:pStyle w:val="BR2ndbullet"/>
        <w:rPr>
          <w:lang w:val="en-GB"/>
        </w:rPr>
      </w:pPr>
      <w:proofErr w:type="gramStart"/>
      <w:r>
        <w:rPr>
          <w:lang w:val="en-GB"/>
        </w:rPr>
        <w:t>s</w:t>
      </w:r>
      <w:r w:rsidR="00FA1C5B" w:rsidRPr="00FA1C5B">
        <w:rPr>
          <w:lang w:val="en-GB"/>
        </w:rPr>
        <w:t>urface</w:t>
      </w:r>
      <w:proofErr w:type="gramEnd"/>
      <w:r w:rsidR="00FA1C5B" w:rsidRPr="00FA1C5B">
        <w:rPr>
          <w:lang w:val="en-GB"/>
        </w:rPr>
        <w:t xml:space="preserve"> subsidence is only likely in unconsolidated aquifer systems comprising compressible sedimentary sequences (Matrix</w:t>
      </w:r>
      <w:r w:rsidR="006674E5">
        <w:rPr>
          <w:lang w:val="en-GB"/>
        </w:rPr>
        <w:t>P</w:t>
      </w:r>
      <w:r w:rsidR="00FA1C5B" w:rsidRPr="00FA1C5B">
        <w:rPr>
          <w:lang w:val="en-GB"/>
        </w:rPr>
        <w:t>lus Consulting 2009; WorleyParsons 2010a). Aquifers in the Great Artesian Basin subject to historical drawdown of 100</w:t>
      </w:r>
      <w:r w:rsidR="00885DF5">
        <w:rPr>
          <w:lang w:val="en-GB"/>
        </w:rPr>
        <w:t> </w:t>
      </w:r>
      <w:r w:rsidR="00FA1C5B" w:rsidRPr="00FA1C5B">
        <w:rPr>
          <w:lang w:val="en-GB"/>
        </w:rPr>
        <w:t>m have thinned by less than 0.1</w:t>
      </w:r>
      <w:r>
        <w:rPr>
          <w:lang w:val="en-GB"/>
        </w:rPr>
        <w:t xml:space="preserve"> per cent</w:t>
      </w:r>
      <w:r w:rsidR="00FA1C5B" w:rsidRPr="00FA1C5B">
        <w:rPr>
          <w:lang w:val="en-GB"/>
        </w:rPr>
        <w:t xml:space="preserve"> (Hillier 2000, reviewed in WorleyParsons 2010a)</w:t>
      </w:r>
      <w:r>
        <w:rPr>
          <w:lang w:val="en-GB"/>
        </w:rPr>
        <w:t>;</w:t>
      </w:r>
      <w:r w:rsidR="00FA1C5B" w:rsidRPr="00FA1C5B">
        <w:rPr>
          <w:lang w:val="en-GB"/>
        </w:rPr>
        <w:t xml:space="preserve"> however</w:t>
      </w:r>
      <w:r>
        <w:rPr>
          <w:lang w:val="en-GB"/>
        </w:rPr>
        <w:t>,</w:t>
      </w:r>
      <w:r w:rsidR="00FA1C5B" w:rsidRPr="00FA1C5B">
        <w:rPr>
          <w:lang w:val="en-GB"/>
        </w:rPr>
        <w:t xml:space="preserve"> the total depressurised reservoir thickness is important in this case, but is not well known (subsidence of 0.1</w:t>
      </w:r>
      <w:r>
        <w:rPr>
          <w:lang w:val="en-GB"/>
        </w:rPr>
        <w:t xml:space="preserve"> per cent</w:t>
      </w:r>
      <w:r w:rsidR="00FA1C5B" w:rsidRPr="00FA1C5B">
        <w:rPr>
          <w:lang w:val="en-GB"/>
        </w:rPr>
        <w:t xml:space="preserve"> is consistent with a hydraulic head change of 100</w:t>
      </w:r>
      <w:r>
        <w:rPr>
          <w:lang w:val="en-GB"/>
        </w:rPr>
        <w:t> </w:t>
      </w:r>
      <w:r w:rsidR="00FA1C5B" w:rsidRPr="00FA1C5B">
        <w:rPr>
          <w:lang w:val="en-GB"/>
        </w:rPr>
        <w:t>m and an overburden with a modulus of 1</w:t>
      </w:r>
      <w:r>
        <w:rPr>
          <w:lang w:val="en-GB"/>
        </w:rPr>
        <w:t> </w:t>
      </w:r>
      <w:r w:rsidR="00FA1C5B" w:rsidRPr="00FA1C5B">
        <w:rPr>
          <w:lang w:val="en-GB"/>
        </w:rPr>
        <w:t xml:space="preserve">GPa). These aquifers are typically characterised by consolidated, porous sandstones, which are not prone to </w:t>
      </w:r>
      <w:r w:rsidR="0091309C">
        <w:rPr>
          <w:lang w:val="en-GB"/>
        </w:rPr>
        <w:t>compaction</w:t>
      </w:r>
      <w:r w:rsidR="00FA1C5B" w:rsidRPr="00FA1C5B">
        <w:rPr>
          <w:lang w:val="en-GB"/>
        </w:rPr>
        <w:t xml:space="preserve"> as a result of depressurisation</w:t>
      </w:r>
    </w:p>
    <w:p w:rsidR="00FA1C5B" w:rsidRPr="00FA1C5B" w:rsidRDefault="00064128" w:rsidP="00FA1C5B">
      <w:pPr>
        <w:pStyle w:val="BR2ndbullet"/>
        <w:rPr>
          <w:lang w:val="en-GB"/>
        </w:rPr>
      </w:pPr>
      <w:r>
        <w:rPr>
          <w:lang w:val="en-GB"/>
        </w:rPr>
        <w:t>s</w:t>
      </w:r>
      <w:r w:rsidR="00FA1C5B" w:rsidRPr="00FA1C5B">
        <w:rPr>
          <w:lang w:val="en-GB"/>
        </w:rPr>
        <w:t>train values in depressurised coal seams are typically low (MSEC 2007a, based on literature from NSW and Japan) and are not sufficient to cause large volume reductions</w:t>
      </w:r>
      <w:r>
        <w:rPr>
          <w:lang w:val="en-GB"/>
        </w:rPr>
        <w:t>;</w:t>
      </w:r>
      <w:r w:rsidR="00FA1C5B" w:rsidRPr="00FA1C5B">
        <w:rPr>
          <w:lang w:val="en-GB"/>
        </w:rPr>
        <w:t xml:space="preserve"> although Coffey </w:t>
      </w:r>
      <w:r w:rsidR="00A419A1">
        <w:rPr>
          <w:lang w:val="en-GB"/>
        </w:rPr>
        <w:t xml:space="preserve">Environments (2012) </w:t>
      </w:r>
      <w:r w:rsidR="00FA1C5B" w:rsidRPr="00FA1C5B">
        <w:rPr>
          <w:lang w:val="en-GB"/>
        </w:rPr>
        <w:t xml:space="preserve">notes that MSEC </w:t>
      </w:r>
      <w:r w:rsidR="00A419A1">
        <w:rPr>
          <w:lang w:val="en-GB"/>
        </w:rPr>
        <w:t xml:space="preserve">(2007a) </w:t>
      </w:r>
      <w:r w:rsidR="00FA1C5B" w:rsidRPr="00FA1C5B">
        <w:rPr>
          <w:lang w:val="en-GB"/>
        </w:rPr>
        <w:t>only appear to consider the effect of gas desorption on the coal seam thickness, and do not seem to include depressurisation due to dewatering or the potential effects of hydraulic fracturing on geological structure. From a literature review of historical tests, Robertson (2005) estimated sorption-induced strains in coal of about 1.0</w:t>
      </w:r>
      <w:r>
        <w:rPr>
          <w:lang w:val="en-GB"/>
        </w:rPr>
        <w:t xml:space="preserve"> per cent</w:t>
      </w:r>
      <w:r w:rsidR="00FA1C5B" w:rsidRPr="00FA1C5B">
        <w:rPr>
          <w:lang w:val="en-GB"/>
        </w:rPr>
        <w:t xml:space="preserve"> for carbon dioxide and about 0.3</w:t>
      </w:r>
      <w:r>
        <w:rPr>
          <w:lang w:val="en-GB"/>
        </w:rPr>
        <w:t xml:space="preserve"> per cent</w:t>
      </w:r>
      <w:r w:rsidR="00FA1C5B" w:rsidRPr="00FA1C5B">
        <w:rPr>
          <w:lang w:val="en-GB"/>
        </w:rPr>
        <w:t xml:space="preserve"> for methane. From experimental work, Robertson (2005) found that longitudinal strain is generally about</w:t>
      </w:r>
      <w:r>
        <w:rPr>
          <w:lang w:val="en-GB"/>
        </w:rPr>
        <w:t xml:space="preserve"> one-third </w:t>
      </w:r>
      <w:r w:rsidR="00FA1C5B" w:rsidRPr="00FA1C5B">
        <w:rPr>
          <w:lang w:val="en-GB"/>
        </w:rPr>
        <w:t>the value of volumetric strain</w:t>
      </w:r>
    </w:p>
    <w:p w:rsidR="00FA1C5B" w:rsidRPr="00FA1C5B" w:rsidRDefault="00064128" w:rsidP="00FA1C5B">
      <w:pPr>
        <w:pStyle w:val="BR2ndbullet"/>
        <w:rPr>
          <w:lang w:val="en-GB"/>
        </w:rPr>
      </w:pPr>
      <w:proofErr w:type="gramStart"/>
      <w:r>
        <w:rPr>
          <w:lang w:val="en-GB"/>
        </w:rPr>
        <w:t>d</w:t>
      </w:r>
      <w:r w:rsidR="00FA1C5B" w:rsidRPr="00FA1C5B">
        <w:rPr>
          <w:lang w:val="en-GB"/>
        </w:rPr>
        <w:t>amage</w:t>
      </w:r>
      <w:proofErr w:type="gramEnd"/>
      <w:r w:rsidR="00FA1C5B" w:rsidRPr="00FA1C5B">
        <w:rPr>
          <w:lang w:val="en-GB"/>
        </w:rPr>
        <w:t xml:space="preserve"> to surface structures is more likely if differential settlement occurs (WorleyParsons 2010a). However, anecdotal evidence by MSEC (2007a) indicate</w:t>
      </w:r>
      <w:r>
        <w:rPr>
          <w:lang w:val="en-GB"/>
        </w:rPr>
        <w:t>d</w:t>
      </w:r>
      <w:r w:rsidR="00FA1C5B" w:rsidRPr="00FA1C5B">
        <w:rPr>
          <w:lang w:val="en-GB"/>
        </w:rPr>
        <w:t xml:space="preserve"> that coal seam depressurisation has been carried out beneath urban areas with negligible surface impact.</w:t>
      </w:r>
    </w:p>
    <w:p w:rsidR="00FA1C5B" w:rsidRPr="00FA1C5B" w:rsidRDefault="00FA1C5B" w:rsidP="007702DF">
      <w:pPr>
        <w:pStyle w:val="BRdotpoints"/>
        <w:rPr>
          <w:lang w:val="en-GB"/>
        </w:rPr>
      </w:pPr>
      <w:r w:rsidRPr="00FA1C5B">
        <w:rPr>
          <w:lang w:val="en-GB"/>
        </w:rPr>
        <w:t>Matrix</w:t>
      </w:r>
      <w:r w:rsidR="006674E5">
        <w:rPr>
          <w:lang w:val="en-GB"/>
        </w:rPr>
        <w:t>P</w:t>
      </w:r>
      <w:r w:rsidRPr="00FA1C5B">
        <w:rPr>
          <w:lang w:val="en-GB"/>
        </w:rPr>
        <w:t xml:space="preserve">lus Consulting (2009) estimated subsidence based on decreases in porosity and coal seam thickness. The assessment assumed a coal porosity of </w:t>
      </w:r>
      <w:r w:rsidR="008278F1">
        <w:rPr>
          <w:lang w:val="en-GB"/>
        </w:rPr>
        <w:t>five</w:t>
      </w:r>
      <w:r w:rsidR="00064128">
        <w:rPr>
          <w:lang w:val="en-GB"/>
        </w:rPr>
        <w:t xml:space="preserve"> per cent</w:t>
      </w:r>
      <w:r w:rsidRPr="00FA1C5B">
        <w:rPr>
          <w:lang w:val="en-GB"/>
        </w:rPr>
        <w:t xml:space="preserve"> and a cumulative coal seam thickness of 10</w:t>
      </w:r>
      <w:r w:rsidR="00064128">
        <w:rPr>
          <w:lang w:val="en-GB"/>
        </w:rPr>
        <w:t> </w:t>
      </w:r>
      <w:r w:rsidRPr="00FA1C5B">
        <w:rPr>
          <w:lang w:val="en-GB"/>
        </w:rPr>
        <w:t>m. The assessment assumed that if the porosity reduced to nil, the maximum deformation would be 0.5 m. The assumption of reduction of porosity to zero is extreme and is not supported by test data. Resultant surface subsidence was considered unlikely (despite large depressurisation predictions) due to the competence of the overlying sandstones and shales</w:t>
      </w:r>
      <w:r w:rsidR="008278F1">
        <w:rPr>
          <w:lang w:val="en-GB"/>
        </w:rPr>
        <w:t>.</w:t>
      </w:r>
    </w:p>
    <w:p w:rsidR="00FA1C5B" w:rsidRPr="00FA1C5B" w:rsidRDefault="00FA1C5B" w:rsidP="007702DF">
      <w:pPr>
        <w:pStyle w:val="BRdotpoints"/>
        <w:rPr>
          <w:lang w:val="en-GB"/>
        </w:rPr>
      </w:pPr>
      <w:r w:rsidRPr="00FA1C5B">
        <w:rPr>
          <w:lang w:val="en-GB"/>
        </w:rPr>
        <w:t>WorleyParsons (2010a) estimated the decrease in storage capacity (i.e. the volume of water expelled from aquifer storage per unit area) due to decompression and the change in pressure head to calculate aquifer compaction. Compaction of the coal seams was conservatively estimated to be less than 0.5</w:t>
      </w:r>
      <w:r w:rsidR="00885DF5">
        <w:rPr>
          <w:lang w:val="en-GB"/>
        </w:rPr>
        <w:t> </w:t>
      </w:r>
      <w:r w:rsidRPr="00FA1C5B">
        <w:rPr>
          <w:lang w:val="en-GB"/>
        </w:rPr>
        <w:t>m. However, deformation of the overburden (and consequent surface subsidence) is not thought to be likely given the depth of the coal seam and competence of overlying rock</w:t>
      </w:r>
      <w:r w:rsidR="008278F1">
        <w:rPr>
          <w:lang w:val="en-GB"/>
        </w:rPr>
        <w:t>.</w:t>
      </w:r>
    </w:p>
    <w:p w:rsidR="00FA1C5B" w:rsidRPr="00FA1C5B" w:rsidRDefault="00FA1C5B" w:rsidP="007702DF">
      <w:pPr>
        <w:pStyle w:val="BRdotpoints"/>
        <w:rPr>
          <w:lang w:val="en-GB"/>
        </w:rPr>
      </w:pPr>
      <w:r w:rsidRPr="00FA1C5B">
        <w:rPr>
          <w:lang w:val="en-GB"/>
        </w:rPr>
        <w:t>Golder</w:t>
      </w:r>
      <w:r w:rsidR="006674E5">
        <w:rPr>
          <w:lang w:val="en-GB"/>
        </w:rPr>
        <w:t xml:space="preserve"> Associates</w:t>
      </w:r>
      <w:r w:rsidRPr="00FA1C5B">
        <w:rPr>
          <w:lang w:val="en-GB"/>
        </w:rPr>
        <w:t xml:space="preserve"> </w:t>
      </w:r>
      <w:r w:rsidR="00194E67">
        <w:rPr>
          <w:lang w:val="en-GB"/>
        </w:rPr>
        <w:t>(</w:t>
      </w:r>
      <w:r w:rsidRPr="00FA1C5B">
        <w:rPr>
          <w:lang w:val="en-GB"/>
        </w:rPr>
        <w:t>2009a, 2009b</w:t>
      </w:r>
      <w:r w:rsidR="00194E67">
        <w:rPr>
          <w:lang w:val="en-GB"/>
        </w:rPr>
        <w:t>,</w:t>
      </w:r>
      <w:r w:rsidRPr="00FA1C5B">
        <w:rPr>
          <w:lang w:val="en-GB"/>
        </w:rPr>
        <w:t xml:space="preserve"> 2009c) estimated the elastic response of depressurised coal seams assuming a coal modulus of 2</w:t>
      </w:r>
      <w:r w:rsidR="00885DF5">
        <w:rPr>
          <w:lang w:val="en-GB"/>
        </w:rPr>
        <w:t> </w:t>
      </w:r>
      <w:proofErr w:type="gramStart"/>
      <w:r w:rsidRPr="00FA1C5B">
        <w:rPr>
          <w:lang w:val="en-GB"/>
        </w:rPr>
        <w:t>GPa</w:t>
      </w:r>
      <w:proofErr w:type="gramEnd"/>
      <w:r w:rsidRPr="00FA1C5B">
        <w:rPr>
          <w:lang w:val="en-GB"/>
        </w:rPr>
        <w:t xml:space="preserve"> and taking the coal seam thickness and assumed/calculated depressurisation into consideration. Depressurised coal measures were considered to be the most susceptible to subsidence (Golder </w:t>
      </w:r>
      <w:r w:rsidR="006674E5">
        <w:rPr>
          <w:lang w:val="en-GB"/>
        </w:rPr>
        <w:t>Associates</w:t>
      </w:r>
      <w:r w:rsidR="006674E5" w:rsidRPr="00FA1C5B">
        <w:rPr>
          <w:lang w:val="en-GB"/>
        </w:rPr>
        <w:t xml:space="preserve"> </w:t>
      </w:r>
      <w:r w:rsidRPr="00FA1C5B">
        <w:rPr>
          <w:lang w:val="en-GB"/>
        </w:rPr>
        <w:t xml:space="preserve">2009a). Only the vertical contraction of the coal seam from mechanical (elastic) effects was considered, without desorption-induced contraction. Sorption-induced </w:t>
      </w:r>
      <w:r w:rsidR="0091309C">
        <w:rPr>
          <w:lang w:val="en-GB"/>
        </w:rPr>
        <w:t>compaction</w:t>
      </w:r>
      <w:r w:rsidRPr="00FA1C5B">
        <w:rPr>
          <w:lang w:val="en-GB"/>
        </w:rPr>
        <w:t xml:space="preserve"> can be greater than elastic comp</w:t>
      </w:r>
      <w:r w:rsidR="0091309C">
        <w:rPr>
          <w:lang w:val="en-GB"/>
        </w:rPr>
        <w:t>action</w:t>
      </w:r>
      <w:r w:rsidRPr="00FA1C5B">
        <w:rPr>
          <w:lang w:val="en-GB"/>
        </w:rPr>
        <w:t>. For a typical scenario comprising a coal seam with modulus of 2</w:t>
      </w:r>
      <w:r w:rsidR="00885DF5">
        <w:rPr>
          <w:lang w:val="en-GB"/>
        </w:rPr>
        <w:t> </w:t>
      </w:r>
      <w:r w:rsidRPr="00FA1C5B">
        <w:rPr>
          <w:lang w:val="en-GB"/>
        </w:rPr>
        <w:t>GPa at 700</w:t>
      </w:r>
      <w:r w:rsidR="00194E67">
        <w:rPr>
          <w:lang w:val="en-GB"/>
        </w:rPr>
        <w:t> </w:t>
      </w:r>
      <w:r w:rsidRPr="00FA1C5B">
        <w:rPr>
          <w:lang w:val="en-GB"/>
        </w:rPr>
        <w:t>m depth, with 650</w:t>
      </w:r>
      <w:r w:rsidR="00194E67">
        <w:rPr>
          <w:lang w:val="en-GB"/>
        </w:rPr>
        <w:t> </w:t>
      </w:r>
      <w:r w:rsidRPr="00FA1C5B">
        <w:rPr>
          <w:lang w:val="en-GB"/>
        </w:rPr>
        <w:t>m depressurisation, the elastic comp</w:t>
      </w:r>
      <w:r w:rsidR="0091309C">
        <w:rPr>
          <w:lang w:val="en-GB"/>
        </w:rPr>
        <w:t>action</w:t>
      </w:r>
      <w:r w:rsidRPr="00FA1C5B">
        <w:rPr>
          <w:lang w:val="en-GB"/>
        </w:rPr>
        <w:t xml:space="preserve"> is around 0.3</w:t>
      </w:r>
      <w:r w:rsidR="00194E67">
        <w:rPr>
          <w:lang w:val="en-GB"/>
        </w:rPr>
        <w:t xml:space="preserve"> per cent,</w:t>
      </w:r>
      <w:r w:rsidRPr="00FA1C5B">
        <w:rPr>
          <w:lang w:val="en-GB"/>
        </w:rPr>
        <w:t xml:space="preserve"> whereas the sorption-induced </w:t>
      </w:r>
      <w:r w:rsidR="0091309C">
        <w:rPr>
          <w:lang w:val="en-GB"/>
        </w:rPr>
        <w:t>compaction</w:t>
      </w:r>
      <w:r w:rsidRPr="00FA1C5B">
        <w:rPr>
          <w:lang w:val="en-GB"/>
        </w:rPr>
        <w:t xml:space="preserve"> has been measured in laboratory studies at around 1</w:t>
      </w:r>
      <w:r w:rsidR="00194E67">
        <w:rPr>
          <w:lang w:val="en-GB"/>
        </w:rPr>
        <w:t xml:space="preserve"> per cent</w:t>
      </w:r>
      <w:r w:rsidRPr="00FA1C5B">
        <w:rPr>
          <w:lang w:val="en-GB"/>
        </w:rPr>
        <w:t xml:space="preserve"> (for carbon dioxide and methane combined) (Robertson 2005).</w:t>
      </w:r>
    </w:p>
    <w:p w:rsidR="00FA1C5B" w:rsidRPr="00FA1C5B" w:rsidRDefault="00FA1C5B" w:rsidP="00FA1C5B">
      <w:pPr>
        <w:pStyle w:val="Heading2"/>
      </w:pPr>
      <w:bookmarkStart w:id="511" w:name="_Toc391554287"/>
      <w:bookmarkStart w:id="512" w:name="_Toc394649805"/>
      <w:bookmarkStart w:id="513" w:name="_Toc402425317"/>
      <w:bookmarkEnd w:id="511"/>
      <w:bookmarkEnd w:id="512"/>
      <w:r w:rsidRPr="00FA1C5B">
        <w:t xml:space="preserve">Impact </w:t>
      </w:r>
      <w:r w:rsidR="00FD23B8">
        <w:t>a</w:t>
      </w:r>
      <w:r w:rsidRPr="00FA1C5B">
        <w:t xml:space="preserve">ssessment </w:t>
      </w:r>
      <w:r w:rsidR="00FD23B8">
        <w:t>m</w:t>
      </w:r>
      <w:r w:rsidRPr="00FA1C5B">
        <w:t xml:space="preserve">onitoring </w:t>
      </w:r>
      <w:r w:rsidR="00FD23B8">
        <w:t>r</w:t>
      </w:r>
      <w:r w:rsidRPr="00FA1C5B">
        <w:t>ecommendations</w:t>
      </w:r>
      <w:bookmarkEnd w:id="513"/>
    </w:p>
    <w:p w:rsidR="00FA1C5B" w:rsidRPr="00FA1C5B" w:rsidRDefault="00FA1C5B" w:rsidP="00FA1C5B">
      <w:pPr>
        <w:pStyle w:val="BRNormal11pt0"/>
        <w:rPr>
          <w:lang w:val="en-GB"/>
        </w:rPr>
      </w:pPr>
      <w:r w:rsidRPr="00FA1C5B">
        <w:rPr>
          <w:lang w:val="en-GB"/>
        </w:rPr>
        <w:t xml:space="preserve">Direct monitoring of subsidence </w:t>
      </w:r>
      <w:r w:rsidR="00FD6ACD">
        <w:rPr>
          <w:lang w:val="en-GB"/>
        </w:rPr>
        <w:t>was</w:t>
      </w:r>
      <w:r w:rsidR="00FD6ACD" w:rsidRPr="00FA1C5B">
        <w:rPr>
          <w:lang w:val="en-GB"/>
        </w:rPr>
        <w:t xml:space="preserve"> </w:t>
      </w:r>
      <w:r w:rsidRPr="00FA1C5B">
        <w:rPr>
          <w:lang w:val="en-GB"/>
        </w:rPr>
        <w:t>recommended by Coffey Environments (2012) and Golder</w:t>
      </w:r>
      <w:r w:rsidR="006674E5">
        <w:rPr>
          <w:lang w:val="en-GB"/>
        </w:rPr>
        <w:t xml:space="preserve"> Associates</w:t>
      </w:r>
      <w:r w:rsidRPr="00FA1C5B">
        <w:rPr>
          <w:lang w:val="en-GB"/>
        </w:rPr>
        <w:t xml:space="preserve"> (2009a). Golder</w:t>
      </w:r>
      <w:r w:rsidR="006674E5">
        <w:rPr>
          <w:lang w:val="en-GB"/>
        </w:rPr>
        <w:t xml:space="preserve"> Associates</w:t>
      </w:r>
      <w:r w:rsidRPr="00FA1C5B">
        <w:rPr>
          <w:lang w:val="en-GB"/>
        </w:rPr>
        <w:t xml:space="preserve"> (2009a) indicate</w:t>
      </w:r>
      <w:r w:rsidR="00FD6ACD">
        <w:rPr>
          <w:lang w:val="en-GB"/>
        </w:rPr>
        <w:t>d</w:t>
      </w:r>
      <w:r w:rsidRPr="00FA1C5B">
        <w:rPr>
          <w:lang w:val="en-GB"/>
        </w:rPr>
        <w:t xml:space="preserve"> that ground surface surveying should be part of a monitoring programme. Coffey Environments (2012) indicate</w:t>
      </w:r>
      <w:r w:rsidR="00FD6ACD">
        <w:rPr>
          <w:lang w:val="en-GB"/>
        </w:rPr>
        <w:t>d</w:t>
      </w:r>
      <w:r w:rsidRPr="00FA1C5B">
        <w:rPr>
          <w:lang w:val="en-GB"/>
        </w:rPr>
        <w:t xml:space="preserve"> that satellite data (from the Advanced Land Observation Satellite) would be useful in establishing a baseline Digital Elevation Model (DEM), with continued satellite monitoring of ground levels during and following </w:t>
      </w:r>
      <w:r w:rsidR="00C723CB">
        <w:rPr>
          <w:lang w:val="en-GB"/>
        </w:rPr>
        <w:t>coal seam gas</w:t>
      </w:r>
      <w:r w:rsidRPr="00FA1C5B">
        <w:rPr>
          <w:lang w:val="en-GB"/>
        </w:rPr>
        <w:t>-extraction operations inferred but not directly recommended. That study also mentions that the major Surat Basin proponents (</w:t>
      </w:r>
      <w:r w:rsidR="00FD6ACD">
        <w:rPr>
          <w:lang w:val="en-GB"/>
        </w:rPr>
        <w:t xml:space="preserve">i.e. </w:t>
      </w:r>
      <w:r w:rsidRPr="00FA1C5B">
        <w:rPr>
          <w:lang w:val="en-GB"/>
        </w:rPr>
        <w:t>Arrow Energy, QGC, Santos and Origin Energy) are designing a framework for cumulative subsidence impacts, although details of this framework are not provided. Coffey</w:t>
      </w:r>
      <w:r w:rsidR="00FD6ACD">
        <w:rPr>
          <w:lang w:val="en-GB"/>
        </w:rPr>
        <w:t xml:space="preserve"> </w:t>
      </w:r>
      <w:r w:rsidR="00FD6ACD" w:rsidRPr="00FA1C5B">
        <w:rPr>
          <w:lang w:val="en-GB"/>
        </w:rPr>
        <w:t>Environments</w:t>
      </w:r>
      <w:r w:rsidRPr="00FA1C5B">
        <w:rPr>
          <w:lang w:val="en-GB"/>
        </w:rPr>
        <w:t xml:space="preserve"> understands that this framework is likely to be based on Differential Synthetic Aperture Radar (DifSAR) analysis, a satellite</w:t>
      </w:r>
      <w:r w:rsidR="00FD6ACD">
        <w:rPr>
          <w:lang w:val="en-GB"/>
        </w:rPr>
        <w:t>-</w:t>
      </w:r>
      <w:r w:rsidRPr="00FA1C5B">
        <w:rPr>
          <w:lang w:val="en-GB"/>
        </w:rPr>
        <w:t xml:space="preserve">based radar method. This is consistent with the recommendation of Geoscience Australia and Habermehl (2010), that subsidence monitoring should include baseline and ongoing geodetic monitoring in consultation with </w:t>
      </w:r>
      <w:r w:rsidR="00FD6ACD">
        <w:rPr>
          <w:lang w:val="en-GB"/>
        </w:rPr>
        <w:t>s</w:t>
      </w:r>
      <w:r w:rsidRPr="00FA1C5B">
        <w:rPr>
          <w:lang w:val="en-GB"/>
        </w:rPr>
        <w:t xml:space="preserve">tate </w:t>
      </w:r>
      <w:r w:rsidR="00FD6ACD">
        <w:rPr>
          <w:lang w:val="en-GB"/>
        </w:rPr>
        <w:t>g</w:t>
      </w:r>
      <w:r w:rsidRPr="00FA1C5B">
        <w:rPr>
          <w:lang w:val="en-GB"/>
        </w:rPr>
        <w:t>overnment agencies. This monitoring should be carried out from the mining tenement scale to the wider regions across which extraction is occurring.</w:t>
      </w:r>
    </w:p>
    <w:p w:rsidR="00FA1C5B" w:rsidRPr="00FA1C5B" w:rsidRDefault="00FA1C5B" w:rsidP="00FA1C5B">
      <w:pPr>
        <w:pStyle w:val="BRNormal11pt0"/>
        <w:rPr>
          <w:lang w:val="en-GB"/>
        </w:rPr>
      </w:pPr>
      <w:r w:rsidRPr="00FA1C5B">
        <w:rPr>
          <w:lang w:val="en-GB"/>
        </w:rPr>
        <w:t>The potential for subsidence can also be monitored indirectly, using groundwater level monitoring to infer depressurisation, particularly in areas deemed susceptible to subsidence (WorleyParsons 2010a).</w:t>
      </w:r>
    </w:p>
    <w:p w:rsidR="00FA1C5B" w:rsidRPr="00FA1C5B" w:rsidRDefault="00FA1C5B" w:rsidP="00FA1C5B">
      <w:pPr>
        <w:pStyle w:val="BRNormal11pt0"/>
        <w:rPr>
          <w:lang w:val="en-GB"/>
        </w:rPr>
      </w:pPr>
      <w:r w:rsidRPr="00FA1C5B">
        <w:rPr>
          <w:lang w:val="en-GB"/>
        </w:rPr>
        <w:t xml:space="preserve">Likewise, specific subsidence management measures </w:t>
      </w:r>
      <w:r w:rsidR="00FD6ACD">
        <w:rPr>
          <w:lang w:val="en-GB"/>
        </w:rPr>
        <w:t>were</w:t>
      </w:r>
      <w:r w:rsidR="00FD6ACD" w:rsidRPr="00FA1C5B">
        <w:rPr>
          <w:lang w:val="en-GB"/>
        </w:rPr>
        <w:t xml:space="preserve"> </w:t>
      </w:r>
      <w:r w:rsidRPr="00FA1C5B">
        <w:rPr>
          <w:lang w:val="en-GB"/>
        </w:rPr>
        <w:t xml:space="preserve">not proposed, other than re-injection of </w:t>
      </w:r>
      <w:r w:rsidR="00C723CB">
        <w:rPr>
          <w:lang w:val="en-GB"/>
        </w:rPr>
        <w:t>coal seam gas</w:t>
      </w:r>
      <w:r w:rsidR="00C723CB" w:rsidRPr="00973D19">
        <w:rPr>
          <w:lang w:val="en-GB"/>
        </w:rPr>
        <w:t xml:space="preserve"> </w:t>
      </w:r>
      <w:r w:rsidRPr="00FA1C5B">
        <w:rPr>
          <w:lang w:val="en-GB"/>
        </w:rPr>
        <w:t>water to reduce aquifer depressurisation (Golder Associates 2009a, 2009b; WorleyParsons 2010a).</w:t>
      </w:r>
    </w:p>
    <w:p w:rsidR="00FA1C5B" w:rsidRPr="00FA1C5B" w:rsidRDefault="00FA1C5B" w:rsidP="00FA1C5B">
      <w:pPr>
        <w:pStyle w:val="Heading2"/>
      </w:pPr>
      <w:bookmarkStart w:id="514" w:name="_Toc402425318"/>
      <w:r w:rsidRPr="00FA1C5B">
        <w:t xml:space="preserve">Summary of </w:t>
      </w:r>
      <w:r w:rsidR="00FD23B8">
        <w:t>p</w:t>
      </w:r>
      <w:r w:rsidRPr="00FA1C5B">
        <w:t xml:space="preserve">redicted </w:t>
      </w:r>
      <w:r w:rsidR="00FD23B8">
        <w:t>s</w:t>
      </w:r>
      <w:r w:rsidRPr="00FA1C5B">
        <w:t xml:space="preserve">ubsidence </w:t>
      </w:r>
      <w:r w:rsidR="00FD23B8">
        <w:t>i</w:t>
      </w:r>
      <w:r w:rsidRPr="00FA1C5B">
        <w:t>mpacts</w:t>
      </w:r>
      <w:bookmarkEnd w:id="514"/>
    </w:p>
    <w:p w:rsidR="003B56B7" w:rsidRDefault="00FA1C5B" w:rsidP="00FA1C5B">
      <w:pPr>
        <w:pStyle w:val="BRNormal11pt0"/>
        <w:rPr>
          <w:lang w:val="en-GB"/>
        </w:rPr>
      </w:pPr>
      <w:r w:rsidRPr="00FA1C5B">
        <w:rPr>
          <w:lang w:val="en-GB"/>
        </w:rPr>
        <w:t xml:space="preserve">Table </w:t>
      </w:r>
      <w:r w:rsidR="002C43B4">
        <w:rPr>
          <w:lang w:val="en-GB"/>
        </w:rPr>
        <w:t>3</w:t>
      </w:r>
      <w:r w:rsidR="002C43B4" w:rsidRPr="00FA1C5B">
        <w:rPr>
          <w:lang w:val="en-GB"/>
        </w:rPr>
        <w:t xml:space="preserve"> </w:t>
      </w:r>
      <w:r w:rsidRPr="00FA1C5B">
        <w:rPr>
          <w:lang w:val="en-GB"/>
        </w:rPr>
        <w:t>provides a summary of the predicted subsidence impacts from proposed Australia</w:t>
      </w:r>
      <w:r w:rsidR="000042E3">
        <w:rPr>
          <w:lang w:val="en-GB"/>
        </w:rPr>
        <w:t>n</w:t>
      </w:r>
      <w:r w:rsidRPr="00FA1C5B">
        <w:rPr>
          <w:lang w:val="en-GB"/>
        </w:rPr>
        <w:t xml:space="preserve"> </w:t>
      </w:r>
      <w:r w:rsidR="00C723CB">
        <w:rPr>
          <w:lang w:val="en-GB"/>
        </w:rPr>
        <w:t>coal seam gas</w:t>
      </w:r>
      <w:r w:rsidR="00C723CB" w:rsidRPr="00973D19">
        <w:rPr>
          <w:lang w:val="en-GB"/>
        </w:rPr>
        <w:t xml:space="preserve"> </w:t>
      </w:r>
      <w:r w:rsidRPr="00FA1C5B">
        <w:rPr>
          <w:lang w:val="en-GB"/>
        </w:rPr>
        <w:t>developments.</w:t>
      </w:r>
    </w:p>
    <w:p w:rsidR="003B56B7" w:rsidRDefault="003B56B7" w:rsidP="00FA1C5B">
      <w:pPr>
        <w:pStyle w:val="BRNormal11pt0"/>
        <w:rPr>
          <w:lang w:val="en-GB"/>
        </w:rPr>
        <w:sectPr w:rsidR="003B56B7" w:rsidSect="00BD53B9">
          <w:headerReference w:type="default" r:id="rId48"/>
          <w:footerReference w:type="default" r:id="rId49"/>
          <w:headerReference w:type="first" r:id="rId50"/>
          <w:footerReference w:type="first" r:id="rId51"/>
          <w:pgSz w:w="11900" w:h="16840" w:code="9"/>
          <w:pgMar w:top="2099" w:right="1418" w:bottom="1418" w:left="1418" w:header="142" w:footer="567" w:gutter="0"/>
          <w:cols w:space="284"/>
          <w:noEndnote/>
          <w:titlePg/>
          <w:docGrid w:linePitch="326"/>
        </w:sectPr>
      </w:pPr>
    </w:p>
    <w:p w:rsidR="00FA1C5B" w:rsidRDefault="000318D9" w:rsidP="00D90926">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3</w:t>
      </w:r>
      <w:r w:rsidR="00E252C4" w:rsidRPr="001E0FA8">
        <w:fldChar w:fldCharType="end"/>
      </w:r>
      <w:r>
        <w:t xml:space="preserve"> </w:t>
      </w:r>
      <w:r w:rsidR="00FA1C5B" w:rsidRPr="00FA1C5B">
        <w:t xml:space="preserve">Summary of </w:t>
      </w:r>
      <w:r w:rsidR="00530C72">
        <w:t>p</w:t>
      </w:r>
      <w:r w:rsidR="00FA1C5B" w:rsidRPr="00FA1C5B">
        <w:t xml:space="preserve">redicted </w:t>
      </w:r>
      <w:r w:rsidR="00530C72">
        <w:t>s</w:t>
      </w:r>
      <w:r w:rsidR="00FA1C5B" w:rsidRPr="00FA1C5B">
        <w:t xml:space="preserve">ubsidence </w:t>
      </w:r>
      <w:r w:rsidR="00530C72">
        <w:t>i</w:t>
      </w:r>
      <w:r w:rsidR="00FA1C5B" w:rsidRPr="00FA1C5B">
        <w:t xml:space="preserve">mpacts from Australian </w:t>
      </w:r>
      <w:r w:rsidR="00C723CB">
        <w:t>coal seam gas</w:t>
      </w:r>
      <w:r w:rsidR="00C723CB" w:rsidRPr="00973D19">
        <w:t xml:space="preserve"> </w:t>
      </w:r>
      <w:r w:rsidR="00530C72">
        <w:t>p</w:t>
      </w:r>
      <w:r w:rsidR="00FA1C5B" w:rsidRPr="00FA1C5B">
        <w:t>rojects</w:t>
      </w:r>
    </w:p>
    <w:tbl>
      <w:tblPr>
        <w:tblStyle w:val="TableGrid"/>
        <w:tblW w:w="0" w:type="auto"/>
        <w:tblInd w:w="-176" w:type="dxa"/>
        <w:tblLook w:val="04A0"/>
      </w:tblPr>
      <w:tblGrid>
        <w:gridCol w:w="1639"/>
        <w:gridCol w:w="5528"/>
        <w:gridCol w:w="2410"/>
        <w:gridCol w:w="2126"/>
        <w:gridCol w:w="2236"/>
      </w:tblGrid>
      <w:tr w:rsidR="00135E0B" w:rsidTr="00E35E34">
        <w:trPr>
          <w:tblHeader/>
        </w:trPr>
        <w:tc>
          <w:tcPr>
            <w:tcW w:w="1560" w:type="dxa"/>
            <w:shd w:val="clear" w:color="auto" w:fill="C6D9F1" w:themeFill="text2" w:themeFillTint="33"/>
          </w:tcPr>
          <w:p w:rsidR="00093D1C" w:rsidRDefault="00135E0B">
            <w:pPr>
              <w:pStyle w:val="Tableheading"/>
              <w:rPr>
                <w:b w:val="0"/>
                <w:bCs/>
              </w:rPr>
            </w:pPr>
            <w:r w:rsidRPr="00FA1C5B">
              <w:t xml:space="preserve">Development and </w:t>
            </w:r>
            <w:r>
              <w:t>p</w:t>
            </w:r>
            <w:r w:rsidRPr="00FA1C5B">
              <w:t>roponent</w:t>
            </w:r>
          </w:p>
        </w:tc>
        <w:tc>
          <w:tcPr>
            <w:tcW w:w="5528" w:type="dxa"/>
            <w:shd w:val="clear" w:color="auto" w:fill="C6D9F1" w:themeFill="text2" w:themeFillTint="33"/>
          </w:tcPr>
          <w:p w:rsidR="00093D1C" w:rsidRDefault="00135E0B">
            <w:pPr>
              <w:pStyle w:val="Tableheading"/>
              <w:rPr>
                <w:b w:val="0"/>
                <w:bCs/>
              </w:rPr>
            </w:pPr>
            <w:r w:rsidRPr="00FA1C5B">
              <w:t xml:space="preserve">Geological </w:t>
            </w:r>
            <w:r>
              <w:t>s</w:t>
            </w:r>
            <w:r w:rsidRPr="00FA1C5B">
              <w:t>etting</w:t>
            </w:r>
          </w:p>
        </w:tc>
        <w:tc>
          <w:tcPr>
            <w:tcW w:w="2410" w:type="dxa"/>
            <w:shd w:val="clear" w:color="auto" w:fill="C6D9F1" w:themeFill="text2" w:themeFillTint="33"/>
          </w:tcPr>
          <w:p w:rsidR="00093D1C" w:rsidRDefault="00135E0B">
            <w:pPr>
              <w:pStyle w:val="Tableheading"/>
              <w:rPr>
                <w:b w:val="0"/>
                <w:bCs/>
              </w:rPr>
            </w:pPr>
            <w:r w:rsidRPr="00FA1C5B">
              <w:t xml:space="preserve">Predicted </w:t>
            </w:r>
            <w:r>
              <w:t>s</w:t>
            </w:r>
            <w:r w:rsidRPr="00FA1C5B">
              <w:t>ubsidence</w:t>
            </w:r>
          </w:p>
        </w:tc>
        <w:tc>
          <w:tcPr>
            <w:tcW w:w="2126" w:type="dxa"/>
            <w:shd w:val="clear" w:color="auto" w:fill="C6D9F1" w:themeFill="text2" w:themeFillTint="33"/>
          </w:tcPr>
          <w:p w:rsidR="00093D1C" w:rsidRDefault="00135E0B">
            <w:pPr>
              <w:pStyle w:val="Tableheading"/>
              <w:rPr>
                <w:b w:val="0"/>
                <w:bCs/>
              </w:rPr>
            </w:pPr>
            <w:r w:rsidRPr="00FA1C5B">
              <w:t xml:space="preserve">Basis of </w:t>
            </w:r>
            <w:r>
              <w:t>p</w:t>
            </w:r>
            <w:r w:rsidRPr="00FA1C5B">
              <w:t>rediction</w:t>
            </w:r>
          </w:p>
        </w:tc>
        <w:tc>
          <w:tcPr>
            <w:tcW w:w="2236" w:type="dxa"/>
            <w:shd w:val="clear" w:color="auto" w:fill="C6D9F1" w:themeFill="text2" w:themeFillTint="33"/>
          </w:tcPr>
          <w:p w:rsidR="00093D1C" w:rsidRDefault="00135E0B">
            <w:pPr>
              <w:pStyle w:val="Tableheading"/>
              <w:rPr>
                <w:b w:val="0"/>
                <w:bCs/>
              </w:rPr>
            </w:pPr>
            <w:r w:rsidRPr="00FA1C5B">
              <w:t xml:space="preserve">Monitoring </w:t>
            </w:r>
            <w:r>
              <w:t>p</w:t>
            </w:r>
            <w:r w:rsidRPr="00FA1C5B">
              <w:t>lans</w:t>
            </w:r>
          </w:p>
        </w:tc>
      </w:tr>
      <w:tr w:rsidR="00135E0B" w:rsidTr="00E14017">
        <w:tc>
          <w:tcPr>
            <w:tcW w:w="1560" w:type="dxa"/>
          </w:tcPr>
          <w:p w:rsidR="00093D1C" w:rsidRDefault="00135E0B">
            <w:pPr>
              <w:pStyle w:val="Tabletext"/>
            </w:pPr>
            <w:r w:rsidRPr="00FA1C5B">
              <w:t>Surat Gas Project</w:t>
            </w:r>
            <w:r>
              <w:t>,</w:t>
            </w:r>
            <w:r w:rsidRPr="00FA1C5B">
              <w:br/>
              <w:t>Arrow Energy</w:t>
            </w:r>
            <w:r w:rsidR="000902C2">
              <w:t xml:space="preserve"> (Coffey </w:t>
            </w:r>
            <w:r w:rsidR="009D02EC">
              <w:t xml:space="preserve">Environments </w:t>
            </w:r>
            <w:r w:rsidR="000902C2">
              <w:t>2012)</w:t>
            </w:r>
          </w:p>
        </w:tc>
        <w:tc>
          <w:tcPr>
            <w:tcW w:w="5528" w:type="dxa"/>
          </w:tcPr>
          <w:p w:rsidR="00093D1C" w:rsidRDefault="00135E0B">
            <w:pPr>
              <w:pStyle w:val="Tabletext"/>
            </w:pPr>
            <w:r w:rsidRPr="00FA1C5B">
              <w:t>Shallowly dipping Jurassic sedimentary formations overlying Palaeozoic basement rock. Numerous thin gas</w:t>
            </w:r>
            <w:r w:rsidR="00E14017">
              <w:noBreakHyphen/>
            </w:r>
            <w:r w:rsidRPr="00FA1C5B">
              <w:t>bearing seams occur within the Walloon Coal Measures, the overall thickness of which varies from 100 m to 500 m. For modelling purposes, the two major coal</w:t>
            </w:r>
            <w:r w:rsidR="00E14017">
              <w:noBreakHyphen/>
            </w:r>
            <w:r w:rsidRPr="00FA1C5B">
              <w:t>bearing units (the Juandah Coal Measures and Taroom Coal Measures) have been estimated at a uniform 250 m and 75 m thick respectively. The Walloon Coal Measures outcrops in the north and northeast of the study area (at over 500 m AHD), dipping to around 250 m AHD in the west.</w:t>
            </w:r>
          </w:p>
        </w:tc>
        <w:tc>
          <w:tcPr>
            <w:tcW w:w="2410" w:type="dxa"/>
          </w:tcPr>
          <w:p w:rsidR="00093D1C" w:rsidRDefault="00135E0B">
            <w:pPr>
              <w:pStyle w:val="Tabletext"/>
            </w:pPr>
            <w:r w:rsidRPr="00FA1C5B">
              <w:t>Qualitatively predicted to be unlikely, due to the depth of the target seams and large spatial extent of depressurisation.</w:t>
            </w:r>
          </w:p>
        </w:tc>
        <w:tc>
          <w:tcPr>
            <w:tcW w:w="2126" w:type="dxa"/>
          </w:tcPr>
          <w:p w:rsidR="00093D1C" w:rsidRDefault="00135E0B">
            <w:pPr>
              <w:pStyle w:val="Tabletext"/>
            </w:pPr>
            <w:r w:rsidRPr="00FA1C5B">
              <w:t>Review of qualitative results in available appropriate literature.</w:t>
            </w:r>
          </w:p>
        </w:tc>
        <w:tc>
          <w:tcPr>
            <w:tcW w:w="2236" w:type="dxa"/>
          </w:tcPr>
          <w:p w:rsidR="00093D1C" w:rsidRDefault="00135E0B">
            <w:pPr>
              <w:pStyle w:val="Tabletext"/>
            </w:pPr>
            <w:r w:rsidRPr="00FA1C5B">
              <w:t>Satellite monitoring using ALOS ground</w:t>
            </w:r>
            <w:r w:rsidR="00E14017">
              <w:noBreakHyphen/>
            </w:r>
            <w:r w:rsidRPr="00FA1C5B">
              <w:t>level data is inferred, but a detailed monitoring programme is not specified.</w:t>
            </w:r>
          </w:p>
        </w:tc>
      </w:tr>
      <w:tr w:rsidR="00135E0B" w:rsidTr="00E14017">
        <w:tc>
          <w:tcPr>
            <w:tcW w:w="1560" w:type="dxa"/>
          </w:tcPr>
          <w:p w:rsidR="00093D1C" w:rsidRDefault="00135E0B">
            <w:pPr>
              <w:pStyle w:val="Tabletext"/>
            </w:pPr>
            <w:r w:rsidRPr="00FA1C5B">
              <w:t>APLNG Project</w:t>
            </w:r>
            <w:r w:rsidR="00E14017">
              <w:t>,</w:t>
            </w:r>
            <w:r w:rsidRPr="00FA1C5B">
              <w:br/>
              <w:t>A</w:t>
            </w:r>
            <w:r w:rsidR="00E14017">
              <w:t xml:space="preserve">ustralia </w:t>
            </w:r>
            <w:r w:rsidRPr="00FA1C5B">
              <w:t>P</w:t>
            </w:r>
            <w:r w:rsidR="00E14017">
              <w:t xml:space="preserve">acific </w:t>
            </w:r>
            <w:r w:rsidRPr="00FA1C5B">
              <w:t>LNG</w:t>
            </w:r>
            <w:r w:rsidR="000902C2">
              <w:t xml:space="preserve"> (</w:t>
            </w:r>
            <w:r w:rsidR="000902C2" w:rsidRPr="000902C2">
              <w:t>WorleyParsons 2010a)</w:t>
            </w:r>
          </w:p>
        </w:tc>
        <w:tc>
          <w:tcPr>
            <w:tcW w:w="5528" w:type="dxa"/>
          </w:tcPr>
          <w:p w:rsidR="00093D1C" w:rsidRDefault="00135E0B">
            <w:pPr>
              <w:pStyle w:val="Tabletext"/>
            </w:pPr>
            <w:r w:rsidRPr="00FA1C5B">
              <w:t>The Surat Basin is up to 2500 m deep, comprising four Jurassic sedimentary sequences (sandstone aquifers) overlain by Cretaceous transgressive marine sequences (fine-grained aquitards). The 500 m thick Walloon Coal Measures have two major coal layers: the Juandah Coal Measures comprising six seams, and the Taroom Coal Measures comprising three seams. The coal deposits are concentrated along the north-eastern margin of the basin</w:t>
            </w:r>
            <w:r w:rsidR="00E14017">
              <w:t>,</w:t>
            </w:r>
            <w:r w:rsidRPr="00FA1C5B">
              <w:t xml:space="preserve"> dip</w:t>
            </w:r>
            <w:r w:rsidR="00E14017">
              <w:t>ping</w:t>
            </w:r>
            <w:r w:rsidRPr="00FA1C5B">
              <w:t xml:space="preserve"> to the south and west</w:t>
            </w:r>
            <w:r w:rsidR="00E14017">
              <w:t xml:space="preserve"> and</w:t>
            </w:r>
            <w:r w:rsidRPr="00FA1C5B">
              <w:t xml:space="preserve"> cropping out along the north and southeast margins, but found at depths of up to 1600 m in the west.</w:t>
            </w:r>
          </w:p>
        </w:tc>
        <w:tc>
          <w:tcPr>
            <w:tcW w:w="2410" w:type="dxa"/>
          </w:tcPr>
          <w:p w:rsidR="00E81722" w:rsidRDefault="00135E0B" w:rsidP="00E81722">
            <w:pPr>
              <w:pStyle w:val="Tabletext"/>
            </w:pPr>
            <w:r w:rsidRPr="00FA1C5B">
              <w:t xml:space="preserve">Aquifer </w:t>
            </w:r>
            <w:r w:rsidR="0091309C">
              <w:t>compaction</w:t>
            </w:r>
            <w:r w:rsidRPr="00FA1C5B">
              <w:t xml:space="preserve"> calculated to be less</w:t>
            </w:r>
            <w:r w:rsidR="00E81722">
              <w:t xml:space="preserve"> than 0.5 m, and would not be expected to be expressed at the surface.</w:t>
            </w:r>
          </w:p>
        </w:tc>
        <w:tc>
          <w:tcPr>
            <w:tcW w:w="2126" w:type="dxa"/>
          </w:tcPr>
          <w:p w:rsidR="00093D1C" w:rsidRDefault="00135E0B">
            <w:pPr>
              <w:pStyle w:val="Tabletext"/>
            </w:pPr>
            <w:r w:rsidRPr="00FA1C5B">
              <w:t>Subsidence is inferred from aquifer compaction calculations</w:t>
            </w:r>
            <w:r w:rsidR="00E14017">
              <w:t>,</w:t>
            </w:r>
            <w:r w:rsidRPr="00FA1C5B">
              <w:t xml:space="preserve"> which use the product of the storage coefficient and change in pressure head.</w:t>
            </w:r>
          </w:p>
        </w:tc>
        <w:tc>
          <w:tcPr>
            <w:tcW w:w="2236" w:type="dxa"/>
          </w:tcPr>
          <w:p w:rsidR="00093D1C" w:rsidRDefault="00135E0B">
            <w:pPr>
              <w:pStyle w:val="Tabletext"/>
            </w:pPr>
            <w:r w:rsidRPr="00FA1C5B">
              <w:t>No direct monitoring of subsidence is recommended</w:t>
            </w:r>
            <w:r w:rsidR="00E14017">
              <w:t>. S</w:t>
            </w:r>
            <w:r w:rsidRPr="00FA1C5B">
              <w:t>ubsidence will be inferred from drawdown monitoring measurements in sensitive areas.</w:t>
            </w:r>
          </w:p>
        </w:tc>
      </w:tr>
      <w:tr w:rsidR="00135E0B" w:rsidTr="00E14017">
        <w:tc>
          <w:tcPr>
            <w:tcW w:w="1560" w:type="dxa"/>
          </w:tcPr>
          <w:p w:rsidR="00135E0B" w:rsidRPr="00FA1C5B" w:rsidRDefault="00135E0B" w:rsidP="00135E0B">
            <w:pPr>
              <w:pStyle w:val="Tabletext"/>
            </w:pPr>
            <w:r w:rsidRPr="00FA1C5B">
              <w:t>G</w:t>
            </w:r>
            <w:r w:rsidR="004623E8">
              <w:t xml:space="preserve">ladstone </w:t>
            </w:r>
            <w:r w:rsidRPr="00FA1C5B">
              <w:t>LNG Project</w:t>
            </w:r>
            <w:r w:rsidR="00E14017">
              <w:t>,</w:t>
            </w:r>
          </w:p>
          <w:p w:rsidR="00093D1C" w:rsidRDefault="00135E0B">
            <w:pPr>
              <w:pStyle w:val="Tabletext"/>
            </w:pPr>
            <w:r w:rsidRPr="00FA1C5B">
              <w:t>Santos Ltd</w:t>
            </w:r>
            <w:r w:rsidR="000902C2">
              <w:t xml:space="preserve"> (</w:t>
            </w:r>
            <w:r w:rsidR="000902C2" w:rsidRPr="000902C2">
              <w:t>MatrixPlus 2009)</w:t>
            </w:r>
          </w:p>
        </w:tc>
        <w:tc>
          <w:tcPr>
            <w:tcW w:w="5528" w:type="dxa"/>
          </w:tcPr>
          <w:p w:rsidR="00093D1C" w:rsidRDefault="00135E0B">
            <w:pPr>
              <w:pStyle w:val="Tabletext"/>
            </w:pPr>
            <w:r w:rsidRPr="00FA1C5B">
              <w:t xml:space="preserve">The Surat Basin is characterised by interbedded Jurassic sandstones and marine sediments. The 100 m to 460 m thick coal-bearing Birkhead Formation (the Surat Basin equivalent of the Clarence-Moreton Basin Walloon Coal Measures) is found at depths ranging from 170 m to 933 m deep. The coal seams are separated by silt and dense sand, which restricts vertical connectivity. Faulting and folding is present within the </w:t>
            </w:r>
            <w:r>
              <w:t>coal seam gas</w:t>
            </w:r>
            <w:r w:rsidRPr="00973D19">
              <w:t xml:space="preserve"> </w:t>
            </w:r>
            <w:r w:rsidRPr="00FA1C5B">
              <w:t>field areas.</w:t>
            </w:r>
          </w:p>
        </w:tc>
        <w:tc>
          <w:tcPr>
            <w:tcW w:w="2410" w:type="dxa"/>
          </w:tcPr>
          <w:p w:rsidR="00093D1C" w:rsidRDefault="00135E0B">
            <w:pPr>
              <w:pStyle w:val="Tabletext"/>
              <w:rPr>
                <w:b/>
                <w:bCs/>
              </w:rPr>
            </w:pPr>
            <w:r w:rsidRPr="00FA1C5B">
              <w:t>Subsidence is mentioned as a possible impact in the EIS. In the EIS, estimates of coal seam (i.e. subsurface) subsidence are calculated to be between 30 mm and 115 mm, depending on the depth and thickness of the seam.</w:t>
            </w:r>
          </w:p>
        </w:tc>
        <w:tc>
          <w:tcPr>
            <w:tcW w:w="2126" w:type="dxa"/>
          </w:tcPr>
          <w:p w:rsidR="00093D1C" w:rsidRDefault="00135E0B">
            <w:pPr>
              <w:pStyle w:val="Tabletext"/>
              <w:rPr>
                <w:b/>
                <w:bCs/>
              </w:rPr>
            </w:pPr>
            <w:r w:rsidRPr="00FA1C5B">
              <w:t>The EIS uses predictions based on depressurisation values, the rock mass modulus and known coal seam depths/thicknesses.</w:t>
            </w:r>
          </w:p>
        </w:tc>
        <w:tc>
          <w:tcPr>
            <w:tcW w:w="2236" w:type="dxa"/>
          </w:tcPr>
          <w:p w:rsidR="00093D1C" w:rsidRDefault="00135E0B" w:rsidP="00565387">
            <w:pPr>
              <w:pStyle w:val="Tabletext"/>
              <w:rPr>
                <w:b/>
                <w:bCs/>
              </w:rPr>
            </w:pPr>
            <w:r w:rsidRPr="00FA1C5B">
              <w:t>Monitoring is recommended in the EIS, but plans are not specified, other than inference from drawdown monitoring. Drawdown trigger levels are recommended.</w:t>
            </w:r>
          </w:p>
        </w:tc>
      </w:tr>
      <w:tr w:rsidR="00135E0B" w:rsidTr="00E14017">
        <w:tc>
          <w:tcPr>
            <w:tcW w:w="1560" w:type="dxa"/>
          </w:tcPr>
          <w:p w:rsidR="00093D1C" w:rsidRDefault="00135E0B">
            <w:pPr>
              <w:pStyle w:val="Tabletext"/>
            </w:pPr>
            <w:r w:rsidRPr="00FA1C5B">
              <w:t>Q</w:t>
            </w:r>
            <w:r w:rsidR="004623E8">
              <w:t xml:space="preserve">ueensland </w:t>
            </w:r>
            <w:r w:rsidRPr="00FA1C5B">
              <w:t>C</w:t>
            </w:r>
            <w:r w:rsidR="004623E8">
              <w:t xml:space="preserve">urtis </w:t>
            </w:r>
            <w:r w:rsidRPr="00FA1C5B">
              <w:t>LNG</w:t>
            </w:r>
            <w:r w:rsidR="00627FFE">
              <w:t>,</w:t>
            </w:r>
            <w:r w:rsidRPr="00FA1C5B">
              <w:br/>
              <w:t>QGC</w:t>
            </w:r>
            <w:r w:rsidR="00627FFE">
              <w:t xml:space="preserve"> Pty Ltd</w:t>
            </w:r>
            <w:r w:rsidR="000902C2">
              <w:t xml:space="preserve"> (</w:t>
            </w:r>
            <w:r w:rsidR="000902C2" w:rsidRPr="000902C2">
              <w:t>Golder Associates 2009b)</w:t>
            </w:r>
          </w:p>
        </w:tc>
        <w:tc>
          <w:tcPr>
            <w:tcW w:w="5528" w:type="dxa"/>
          </w:tcPr>
          <w:p w:rsidR="00093D1C" w:rsidRDefault="00135E0B">
            <w:pPr>
              <w:pStyle w:val="Tabletext"/>
            </w:pPr>
            <w:r w:rsidRPr="00FA1C5B">
              <w:t xml:space="preserve">The Surat Basin lies within the Great Artesian Basin. The Surat Basin primarily comprises faulted and folded Jurassic-Cretaceous-age fluvial quartzose sandstones. Within the </w:t>
            </w:r>
            <w:r w:rsidR="004623E8">
              <w:t>p</w:t>
            </w:r>
            <w:r w:rsidRPr="00FA1C5B">
              <w:t xml:space="preserve">roject </w:t>
            </w:r>
            <w:r w:rsidR="004623E8">
              <w:t>a</w:t>
            </w:r>
            <w:r w:rsidRPr="00FA1C5B">
              <w:t>rea, the Walloon Coal Measures range from 100 m to 460 m thick, at depths of 170 m to 933 m. An unconformable contact between the Springbok Sandstone and the Walloon Coal Measures may bring higher permeability layers into contact.</w:t>
            </w:r>
          </w:p>
        </w:tc>
        <w:tc>
          <w:tcPr>
            <w:tcW w:w="2410" w:type="dxa"/>
          </w:tcPr>
          <w:p w:rsidR="00093D1C" w:rsidRDefault="00135E0B" w:rsidP="00565387">
            <w:pPr>
              <w:pStyle w:val="Tabletext"/>
            </w:pPr>
            <w:r w:rsidRPr="00FA1C5B">
              <w:t>Estimates of coal seam subsidence are calculated to be between 30 mm to 100</w:t>
            </w:r>
            <w:r w:rsidR="004623E8">
              <w:t> </w:t>
            </w:r>
            <w:r w:rsidRPr="00FA1C5B">
              <w:t>mm where the seam is at average depths, and 200 mm to 300 mm where the seam is at its deepest.</w:t>
            </w:r>
            <w:r w:rsidR="00E81722">
              <w:t xml:space="preserve"> This may not be expressed at the surface.</w:t>
            </w:r>
          </w:p>
        </w:tc>
        <w:tc>
          <w:tcPr>
            <w:tcW w:w="2126" w:type="dxa"/>
          </w:tcPr>
          <w:p w:rsidR="00093D1C" w:rsidRDefault="00135E0B">
            <w:pPr>
              <w:pStyle w:val="Tabletext"/>
            </w:pPr>
            <w:r w:rsidRPr="00FA1C5B">
              <w:t>The EIS uses predictions based on depressurisation values, the rock mass modulus and known coal seam depths/thicknesses.</w:t>
            </w:r>
          </w:p>
        </w:tc>
        <w:tc>
          <w:tcPr>
            <w:tcW w:w="2236" w:type="dxa"/>
          </w:tcPr>
          <w:p w:rsidR="00093D1C" w:rsidRDefault="00135E0B" w:rsidP="00565387">
            <w:pPr>
              <w:pStyle w:val="Tabletext"/>
            </w:pPr>
            <w:r w:rsidRPr="00FA1C5B">
              <w:t>Monitoring is recommended in the EIS, but plans are not specified, other than inference from drawdown monitoring and surface surveys. Drawdown trigger levels are recommended.</w:t>
            </w:r>
          </w:p>
        </w:tc>
      </w:tr>
      <w:tr w:rsidR="00135E0B" w:rsidTr="00E14017">
        <w:tc>
          <w:tcPr>
            <w:tcW w:w="1560" w:type="dxa"/>
          </w:tcPr>
          <w:p w:rsidR="00093D1C" w:rsidRDefault="00135E0B">
            <w:pPr>
              <w:pStyle w:val="Tabletext"/>
            </w:pPr>
            <w:r w:rsidRPr="00FA1C5B">
              <w:t>Gloucester</w:t>
            </w:r>
            <w:r w:rsidRPr="00FA1C5B">
              <w:br/>
              <w:t>AGL</w:t>
            </w:r>
            <w:r w:rsidR="00FE0940" w:rsidRPr="00FE0940">
              <w:t>(Holmes &amp; Ross 2009)</w:t>
            </w:r>
          </w:p>
        </w:tc>
        <w:tc>
          <w:tcPr>
            <w:tcW w:w="5528" w:type="dxa"/>
          </w:tcPr>
          <w:p w:rsidR="00093D1C" w:rsidRDefault="00135E0B">
            <w:pPr>
              <w:pStyle w:val="Tabletext"/>
            </w:pPr>
            <w:r w:rsidRPr="00FA1C5B">
              <w:t>The Gloucester-Stroud Basin lies to the northeast of Newcastle</w:t>
            </w:r>
            <w:r w:rsidR="004623E8">
              <w:t xml:space="preserve"> in</w:t>
            </w:r>
            <w:r w:rsidRPr="00FA1C5B">
              <w:t xml:space="preserve"> NSW. Target coal seam depths are between 200 m and 1000 m deep.</w:t>
            </w:r>
          </w:p>
        </w:tc>
        <w:tc>
          <w:tcPr>
            <w:tcW w:w="2410" w:type="dxa"/>
          </w:tcPr>
          <w:p w:rsidR="00093D1C" w:rsidRDefault="00135E0B">
            <w:pPr>
              <w:pStyle w:val="Tabletext"/>
            </w:pPr>
            <w:r w:rsidRPr="00FA1C5B">
              <w:t>Project is not advanced enough to include subsidence predictions.</w:t>
            </w:r>
          </w:p>
        </w:tc>
        <w:tc>
          <w:tcPr>
            <w:tcW w:w="2126" w:type="dxa"/>
          </w:tcPr>
          <w:p w:rsidR="00093D1C" w:rsidRDefault="00135E0B">
            <w:pPr>
              <w:pStyle w:val="Tabletext"/>
            </w:pPr>
            <w:r w:rsidRPr="00FA1C5B">
              <w:t>N/A</w:t>
            </w:r>
          </w:p>
        </w:tc>
        <w:tc>
          <w:tcPr>
            <w:tcW w:w="2236" w:type="dxa"/>
          </w:tcPr>
          <w:p w:rsidR="00093D1C" w:rsidRDefault="00135E0B">
            <w:pPr>
              <w:pStyle w:val="Tabletext"/>
            </w:pPr>
            <w:r w:rsidRPr="00FA1C5B">
              <w:t>N/A</w:t>
            </w:r>
          </w:p>
        </w:tc>
      </w:tr>
      <w:tr w:rsidR="00135E0B" w:rsidTr="00E14017">
        <w:tc>
          <w:tcPr>
            <w:tcW w:w="1560" w:type="dxa"/>
          </w:tcPr>
          <w:p w:rsidR="00093D1C" w:rsidRDefault="00135E0B">
            <w:pPr>
              <w:pStyle w:val="Tabletext"/>
            </w:pPr>
            <w:r w:rsidRPr="00FA1C5B">
              <w:t>Camden</w:t>
            </w:r>
            <w:r w:rsidRPr="00FA1C5B">
              <w:br/>
              <w:t>AGL</w:t>
            </w:r>
            <w:r w:rsidR="00FE0940">
              <w:t xml:space="preserve"> (</w:t>
            </w:r>
            <w:r w:rsidR="00FE0940" w:rsidRPr="00FE0940">
              <w:t>AGL Energy Pty Ltd 2012</w:t>
            </w:r>
            <w:r w:rsidR="00FE0940">
              <w:t>)</w:t>
            </w:r>
          </w:p>
        </w:tc>
        <w:tc>
          <w:tcPr>
            <w:tcW w:w="5528" w:type="dxa"/>
          </w:tcPr>
          <w:p w:rsidR="00093D1C" w:rsidRDefault="00135E0B">
            <w:pPr>
              <w:pStyle w:val="Tabletext"/>
            </w:pPr>
            <w:r w:rsidRPr="00FA1C5B">
              <w:t>Camden lies within the Southern Coalfield, in the southern section of the Permo-Triassic Sydney Basin. Coal is contained within the Illawarra Coal Measures, which are overlain by up to 725 m of interbedded sandstones, shales and claystones.</w:t>
            </w:r>
          </w:p>
        </w:tc>
        <w:tc>
          <w:tcPr>
            <w:tcW w:w="2410" w:type="dxa"/>
          </w:tcPr>
          <w:p w:rsidR="00093D1C" w:rsidRDefault="00135E0B" w:rsidP="00E81722">
            <w:pPr>
              <w:pStyle w:val="Tabletext"/>
            </w:pPr>
            <w:r w:rsidRPr="00FA1C5B">
              <w:t>Compaction of the target coal seams is predicted to be on the scale of millimetres. Surface subsidence is predicted to be negligible, due to the competence of overlying rock.</w:t>
            </w:r>
          </w:p>
        </w:tc>
        <w:tc>
          <w:tcPr>
            <w:tcW w:w="2126" w:type="dxa"/>
          </w:tcPr>
          <w:p w:rsidR="00093D1C" w:rsidRDefault="00135E0B">
            <w:pPr>
              <w:pStyle w:val="Tabletext"/>
            </w:pPr>
            <w:r w:rsidRPr="00FA1C5B">
              <w:t>Predictions are qualitative, based on strain values following gas extraction at analogous sites.</w:t>
            </w:r>
          </w:p>
        </w:tc>
        <w:tc>
          <w:tcPr>
            <w:tcW w:w="2236" w:type="dxa"/>
          </w:tcPr>
          <w:p w:rsidR="00093D1C" w:rsidRDefault="00135E0B">
            <w:pPr>
              <w:pStyle w:val="Tabletext"/>
            </w:pPr>
            <w:r w:rsidRPr="00FA1C5B">
              <w:t>No monitoring is proposed.</w:t>
            </w:r>
          </w:p>
        </w:tc>
      </w:tr>
    </w:tbl>
    <w:p w:rsidR="003B56B7" w:rsidRPr="000D0AFC" w:rsidRDefault="003B56B7" w:rsidP="000D0AFC">
      <w:pPr>
        <w:pStyle w:val="BRNormal11pt0"/>
        <w:rPr>
          <w:lang w:val="en-GB"/>
        </w:rPr>
      </w:pPr>
    </w:p>
    <w:p w:rsidR="003B56B7" w:rsidRDefault="003B56B7" w:rsidP="00D90926">
      <w:pPr>
        <w:pStyle w:val="Caption-figure"/>
        <w:sectPr w:rsidR="003B56B7" w:rsidSect="00E35E34">
          <w:headerReference w:type="default" r:id="rId52"/>
          <w:footerReference w:type="default" r:id="rId53"/>
          <w:headerReference w:type="first" r:id="rId54"/>
          <w:footerReference w:type="first" r:id="rId55"/>
          <w:pgSz w:w="16840" w:h="11900" w:orient="landscape" w:code="9"/>
          <w:pgMar w:top="1973" w:right="1418" w:bottom="1418" w:left="1812" w:header="142" w:footer="567" w:gutter="0"/>
          <w:cols w:space="284"/>
          <w:noEndnote/>
          <w:titlePg/>
          <w:docGrid w:linePitch="326"/>
        </w:sectPr>
      </w:pPr>
    </w:p>
    <w:p w:rsidR="003B56B7" w:rsidRPr="00FA1C5B" w:rsidRDefault="003B56B7" w:rsidP="003B56B7">
      <w:pPr>
        <w:pStyle w:val="Heading1"/>
      </w:pPr>
      <w:bookmarkStart w:id="515" w:name="_Toc402425319"/>
      <w:r>
        <w:t>P</w:t>
      </w:r>
      <w:r w:rsidRPr="00C94AF5">
        <w:t>otential</w:t>
      </w:r>
      <w:r w:rsidRPr="00FA1C5B">
        <w:t xml:space="preserve"> </w:t>
      </w:r>
      <w:r>
        <w:t>i</w:t>
      </w:r>
      <w:r w:rsidRPr="00FA1C5B">
        <w:t xml:space="preserve">mpacts of </w:t>
      </w:r>
      <w:r>
        <w:t>s</w:t>
      </w:r>
      <w:r w:rsidRPr="00FA1C5B">
        <w:t>ubsidence</w:t>
      </w:r>
      <w:bookmarkEnd w:id="515"/>
    </w:p>
    <w:p w:rsidR="00FA1C5B" w:rsidRPr="00FA1C5B" w:rsidRDefault="00FA1C5B" w:rsidP="00FA1C5B">
      <w:pPr>
        <w:pStyle w:val="BRNormal11pt0"/>
        <w:rPr>
          <w:lang w:val="en-GB"/>
        </w:rPr>
      </w:pPr>
      <w:r w:rsidRPr="00FA1C5B">
        <w:rPr>
          <w:lang w:val="en-GB"/>
        </w:rPr>
        <w:t>No reference to adverse impacts arising from subsidence due to coal seam gas extraction has been identified in a review of literature. This may be due to the diffuse nature of the induced subsidence (</w:t>
      </w:r>
      <w:r w:rsidR="00B47ED5">
        <w:rPr>
          <w:lang w:val="en-GB"/>
        </w:rPr>
        <w:t xml:space="preserve">i.e. </w:t>
      </w:r>
      <w:r w:rsidRPr="00FA1C5B">
        <w:rPr>
          <w:lang w:val="en-GB"/>
        </w:rPr>
        <w:t>small amounts of subsidence over very large areas) or may be a function of the largely rural setting where coal seam gas extraction has been carried out. Identification of potential impacts of subsidence has drawn upon the experience of subsidence associated with coal mining and dewatering associated with irrigation and mining.</w:t>
      </w:r>
    </w:p>
    <w:p w:rsidR="00FA1C5B" w:rsidRPr="00FA1C5B" w:rsidRDefault="00FA1C5B" w:rsidP="00FA1C5B">
      <w:pPr>
        <w:pStyle w:val="BRNormal11pt0"/>
        <w:rPr>
          <w:lang w:val="en-GB"/>
        </w:rPr>
      </w:pPr>
      <w:r w:rsidRPr="00FA1C5B">
        <w:rPr>
          <w:lang w:val="en-GB"/>
        </w:rPr>
        <w:t>Land subsidence can impact a variety of assets, including infrastructure (such as buildings, roads, railways, pipelines, dams, water channels, levees and electrical infrastructure) and environmental assets (such as aquifers, streams, lakes, springs and other surface water resources). The following sections discuss potential impacts and, where data are available, provide criteria against which impacts might be expected to occur.</w:t>
      </w:r>
    </w:p>
    <w:p w:rsidR="00FA1C5B" w:rsidRPr="00FA1C5B" w:rsidRDefault="00FA1C5B" w:rsidP="00FA1C5B">
      <w:pPr>
        <w:pStyle w:val="Heading2"/>
      </w:pPr>
      <w:bookmarkStart w:id="516" w:name="_Toc387410244"/>
      <w:bookmarkStart w:id="517" w:name="_Toc402425320"/>
      <w:r w:rsidRPr="00FA1C5B">
        <w:t xml:space="preserve">Impacts on </w:t>
      </w:r>
      <w:r w:rsidR="00FD23B8">
        <w:t>w</w:t>
      </w:r>
      <w:r w:rsidRPr="00FA1C5B">
        <w:t xml:space="preserve">ater </w:t>
      </w:r>
      <w:r w:rsidR="00FD23B8">
        <w:t>r</w:t>
      </w:r>
      <w:r w:rsidRPr="00FA1C5B">
        <w:t>esources</w:t>
      </w:r>
      <w:bookmarkEnd w:id="516"/>
      <w:bookmarkEnd w:id="517"/>
    </w:p>
    <w:p w:rsidR="00FA1C5B" w:rsidRPr="00FA1C5B" w:rsidRDefault="00FA1C5B" w:rsidP="00FA1C5B">
      <w:pPr>
        <w:pStyle w:val="BRNormal11pt0"/>
        <w:rPr>
          <w:b/>
          <w:bCs/>
          <w:lang w:val="en-GB"/>
        </w:rPr>
      </w:pPr>
      <w:r w:rsidRPr="00FA1C5B">
        <w:rPr>
          <w:lang w:val="en-GB"/>
        </w:rPr>
        <w:t xml:space="preserve">Subsidence due to groundwater withdrawal can cause environmental impacts relating to surface land use (including crop production and grazing), and hydrological impacts to aquifers, streams, lakes, springs and other surface water resources. </w:t>
      </w:r>
    </w:p>
    <w:p w:rsidR="00FA1C5B" w:rsidRPr="00FA1C5B" w:rsidRDefault="00FA1C5B" w:rsidP="00A90F48">
      <w:pPr>
        <w:pStyle w:val="Listintrotext"/>
        <w:rPr>
          <w:lang w:val="en-GB"/>
        </w:rPr>
      </w:pPr>
      <w:r w:rsidRPr="00FA1C5B">
        <w:rPr>
          <w:lang w:val="en-GB"/>
        </w:rPr>
        <w:t xml:space="preserve">Land subsidence can </w:t>
      </w:r>
      <w:r w:rsidR="00580CA5">
        <w:rPr>
          <w:lang w:val="en-GB"/>
        </w:rPr>
        <w:t>affect</w:t>
      </w:r>
      <w:r w:rsidRPr="00FA1C5B">
        <w:rPr>
          <w:lang w:val="en-GB"/>
        </w:rPr>
        <w:t xml:space="preserve"> water </w:t>
      </w:r>
      <w:r w:rsidRPr="00FA1C5B">
        <w:t>resources</w:t>
      </w:r>
      <w:r w:rsidRPr="00FA1C5B">
        <w:rPr>
          <w:lang w:val="en-GB"/>
        </w:rPr>
        <w:t xml:space="preserve"> in the following ways:</w:t>
      </w:r>
    </w:p>
    <w:p w:rsidR="00FA1C5B" w:rsidRPr="00FA1C5B" w:rsidRDefault="00B47ED5" w:rsidP="007702DF">
      <w:pPr>
        <w:pStyle w:val="BRdotpoints"/>
        <w:rPr>
          <w:b/>
          <w:bCs/>
          <w:lang w:val="en-GB"/>
        </w:rPr>
      </w:pPr>
      <w:r>
        <w:rPr>
          <w:lang w:val="en-GB"/>
        </w:rPr>
        <w:t>c</w:t>
      </w:r>
      <w:r w:rsidR="00FA1C5B" w:rsidRPr="00FA1C5B">
        <w:rPr>
          <w:lang w:val="en-GB"/>
        </w:rPr>
        <w:t>ause the formation of ground fissures</w:t>
      </w:r>
      <w:r>
        <w:rPr>
          <w:lang w:val="en-GB"/>
        </w:rPr>
        <w:t>,</w:t>
      </w:r>
      <w:r w:rsidR="00FA1C5B" w:rsidRPr="00FA1C5B">
        <w:rPr>
          <w:lang w:val="en-GB"/>
        </w:rPr>
        <w:t xml:space="preserve"> which may connect either directly or indirectly to surface water (</w:t>
      </w:r>
      <w:r>
        <w:rPr>
          <w:lang w:val="en-GB"/>
        </w:rPr>
        <w:t>e</w:t>
      </w:r>
      <w:r w:rsidR="006674E5">
        <w:rPr>
          <w:lang w:val="en-GB"/>
        </w:rPr>
        <w:t>.</w:t>
      </w:r>
      <w:r>
        <w:rPr>
          <w:lang w:val="en-GB"/>
        </w:rPr>
        <w:t>g</w:t>
      </w:r>
      <w:r w:rsidR="006674E5">
        <w:rPr>
          <w:lang w:val="en-GB"/>
        </w:rPr>
        <w:t>.</w:t>
      </w:r>
      <w:r>
        <w:rPr>
          <w:lang w:val="en-GB"/>
        </w:rPr>
        <w:t xml:space="preserve"> </w:t>
      </w:r>
      <w:r w:rsidR="00FA1C5B" w:rsidRPr="00FA1C5B">
        <w:rPr>
          <w:lang w:val="en-GB"/>
        </w:rPr>
        <w:t>stream</w:t>
      </w:r>
      <w:r w:rsidR="00A37C95">
        <w:rPr>
          <w:lang w:val="en-GB"/>
        </w:rPr>
        <w:t>s</w:t>
      </w:r>
      <w:r w:rsidR="00FA1C5B" w:rsidRPr="00FA1C5B">
        <w:rPr>
          <w:lang w:val="en-GB"/>
        </w:rPr>
        <w:t>, lakes, ponds), potentially resulting in partial or complete loss of surface water by drainage to deeper strata</w:t>
      </w:r>
    </w:p>
    <w:p w:rsidR="00FA1C5B" w:rsidRPr="00FA1C5B" w:rsidRDefault="00B47ED5" w:rsidP="007702DF">
      <w:pPr>
        <w:pStyle w:val="BRdotpoints"/>
        <w:rPr>
          <w:lang w:val="en-GB"/>
        </w:rPr>
      </w:pPr>
      <w:r>
        <w:rPr>
          <w:lang w:val="en-GB"/>
        </w:rPr>
        <w:t>c</w:t>
      </w:r>
      <w:r w:rsidR="00FA1C5B" w:rsidRPr="00FA1C5B">
        <w:rPr>
          <w:lang w:val="en-GB"/>
        </w:rPr>
        <w:t xml:space="preserve">ause stream bed and bank erosion, </w:t>
      </w:r>
      <w:r w:rsidR="00CB5093">
        <w:rPr>
          <w:lang w:val="en-GB"/>
        </w:rPr>
        <w:t>substantially impacting the</w:t>
      </w:r>
      <w:r w:rsidR="00FA1C5B" w:rsidRPr="00FA1C5B">
        <w:rPr>
          <w:lang w:val="en-GB"/>
        </w:rPr>
        <w:t xml:space="preserve"> stability of streams</w:t>
      </w:r>
    </w:p>
    <w:p w:rsidR="00FA1C5B" w:rsidRPr="00FA1C5B" w:rsidRDefault="00B47ED5" w:rsidP="007702DF">
      <w:pPr>
        <w:pStyle w:val="BRdotpoints"/>
        <w:rPr>
          <w:lang w:val="en-GB"/>
        </w:rPr>
      </w:pPr>
      <w:proofErr w:type="gramStart"/>
      <w:r>
        <w:rPr>
          <w:lang w:val="en-GB"/>
        </w:rPr>
        <w:t>m</w:t>
      </w:r>
      <w:r w:rsidR="00FA1C5B" w:rsidRPr="00FA1C5B">
        <w:rPr>
          <w:lang w:val="en-GB"/>
        </w:rPr>
        <w:t>odify</w:t>
      </w:r>
      <w:proofErr w:type="gramEnd"/>
      <w:r w:rsidR="00FA1C5B" w:rsidRPr="00FA1C5B">
        <w:rPr>
          <w:lang w:val="en-GB"/>
        </w:rPr>
        <w:t xml:space="preserve"> the drainage patterns of streams, potentially causing water flow out of the original channel. This is likely to occur where subsidence troughs bisect stream channels and travel in directions other than those of the stream</w:t>
      </w:r>
    </w:p>
    <w:p w:rsidR="00FA1C5B" w:rsidRPr="00FA1C5B" w:rsidRDefault="00B47ED5" w:rsidP="007702DF">
      <w:pPr>
        <w:pStyle w:val="BRdotpoints"/>
        <w:rPr>
          <w:b/>
          <w:bCs/>
          <w:lang w:val="en-GB"/>
        </w:rPr>
      </w:pPr>
      <w:r>
        <w:rPr>
          <w:lang w:val="en-GB"/>
        </w:rPr>
        <w:t>r</w:t>
      </w:r>
      <w:r w:rsidR="00FA1C5B" w:rsidRPr="00FA1C5B">
        <w:rPr>
          <w:lang w:val="en-GB"/>
        </w:rPr>
        <w:t>esult in ponding of water within subsidence troughs, or deepening and widening of pools in streams, can lead to alteration of riparian ecosystems and geomorphological stability</w:t>
      </w:r>
    </w:p>
    <w:p w:rsidR="00FA1C5B" w:rsidRPr="00FA1C5B" w:rsidRDefault="00B47ED5" w:rsidP="007702DF">
      <w:pPr>
        <w:pStyle w:val="BRdotpoints"/>
        <w:rPr>
          <w:lang w:val="en-GB"/>
        </w:rPr>
      </w:pPr>
      <w:proofErr w:type="gramStart"/>
      <w:r>
        <w:rPr>
          <w:lang w:val="en-GB"/>
        </w:rPr>
        <w:t>m</w:t>
      </w:r>
      <w:r w:rsidR="00FA1C5B" w:rsidRPr="00FA1C5B">
        <w:rPr>
          <w:lang w:val="en-GB"/>
        </w:rPr>
        <w:t>odify</w:t>
      </w:r>
      <w:proofErr w:type="gramEnd"/>
      <w:r w:rsidR="00FA1C5B" w:rsidRPr="00FA1C5B">
        <w:rPr>
          <w:lang w:val="en-GB"/>
        </w:rPr>
        <w:t xml:space="preserve"> the location and flow rate of hillside groundwater springs (Dawkins 2003). This is likely to occur where springs overl</w:t>
      </w:r>
      <w:r w:rsidR="00A37C95">
        <w:rPr>
          <w:lang w:val="en-GB"/>
        </w:rPr>
        <w:t>ie</w:t>
      </w:r>
      <w:r w:rsidR="00FA1C5B" w:rsidRPr="00FA1C5B">
        <w:rPr>
          <w:lang w:val="en-GB"/>
        </w:rPr>
        <w:t xml:space="preserve"> aquitards that limit vertical (downward) migration of rainfall recharge. If the aquitard is disturbed due to subsidence, rainfall recharge may migrate deeper into the ground profile, reducing the spring discharge rate</w:t>
      </w:r>
    </w:p>
    <w:p w:rsidR="00FA1C5B" w:rsidRPr="00FA1C5B" w:rsidRDefault="00B47ED5" w:rsidP="007702DF">
      <w:pPr>
        <w:pStyle w:val="BRdotpoints"/>
        <w:rPr>
          <w:b/>
          <w:bCs/>
          <w:lang w:val="en-GB"/>
        </w:rPr>
      </w:pPr>
      <w:r>
        <w:rPr>
          <w:lang w:val="en-GB"/>
        </w:rPr>
        <w:t>c</w:t>
      </w:r>
      <w:r w:rsidR="00FA1C5B" w:rsidRPr="00FA1C5B">
        <w:rPr>
          <w:lang w:val="en-GB"/>
        </w:rPr>
        <w:t>hange groundwater baseflow to streams, as well as delay groundwater response to recharge and/or discharge</w:t>
      </w:r>
    </w:p>
    <w:p w:rsidR="00FA1C5B" w:rsidRPr="00FA1C5B" w:rsidRDefault="00B47ED5" w:rsidP="007702DF">
      <w:pPr>
        <w:pStyle w:val="BRdotpoints"/>
        <w:rPr>
          <w:lang w:val="en-GB"/>
        </w:rPr>
      </w:pPr>
      <w:proofErr w:type="gramStart"/>
      <w:r>
        <w:rPr>
          <w:lang w:val="en-GB"/>
        </w:rPr>
        <w:t>r</w:t>
      </w:r>
      <w:r w:rsidR="00FA1C5B" w:rsidRPr="00FA1C5B">
        <w:rPr>
          <w:lang w:val="en-GB"/>
        </w:rPr>
        <w:t>educe</w:t>
      </w:r>
      <w:proofErr w:type="gramEnd"/>
      <w:r w:rsidR="00FA1C5B" w:rsidRPr="00FA1C5B">
        <w:rPr>
          <w:lang w:val="en-GB"/>
        </w:rPr>
        <w:t xml:space="preserve"> water availability in sensitive wetlands or swamps by compromising underlying horizons upon which the water perches.</w:t>
      </w:r>
    </w:p>
    <w:p w:rsidR="00FA1C5B" w:rsidRPr="00FA1C5B" w:rsidRDefault="00B47ED5" w:rsidP="007702DF">
      <w:pPr>
        <w:pStyle w:val="BRdotpoints"/>
        <w:rPr>
          <w:lang w:val="en-GB"/>
        </w:rPr>
      </w:pPr>
      <w:proofErr w:type="gramStart"/>
      <w:r>
        <w:rPr>
          <w:lang w:val="en-GB"/>
        </w:rPr>
        <w:t>d</w:t>
      </w:r>
      <w:r w:rsidR="00FA1C5B" w:rsidRPr="00FA1C5B">
        <w:rPr>
          <w:lang w:val="en-GB"/>
        </w:rPr>
        <w:t>epressure</w:t>
      </w:r>
      <w:proofErr w:type="gramEnd"/>
      <w:r w:rsidR="00FA1C5B" w:rsidRPr="00FA1C5B">
        <w:rPr>
          <w:lang w:val="en-GB"/>
        </w:rPr>
        <w:t xml:space="preserve"> and dewater aquifers undermined by high extraction mining such as longwall mining together with the potential shearing of groundwater supply wells affected by severe mining-induced subsidence.</w:t>
      </w:r>
    </w:p>
    <w:p w:rsidR="00FA1C5B" w:rsidRPr="00FA1C5B" w:rsidRDefault="00FA1C5B" w:rsidP="00FA1C5B">
      <w:pPr>
        <w:pStyle w:val="Heading2"/>
      </w:pPr>
      <w:bookmarkStart w:id="518" w:name="_Toc387410245"/>
      <w:bookmarkStart w:id="519" w:name="_Toc402425321"/>
      <w:r w:rsidRPr="00FA1C5B">
        <w:t xml:space="preserve">Impacts on </w:t>
      </w:r>
      <w:r w:rsidR="00FD23B8">
        <w:t>r</w:t>
      </w:r>
      <w:r w:rsidRPr="00FA1C5B">
        <w:t xml:space="preserve">ivers and </w:t>
      </w:r>
      <w:r w:rsidR="00FD23B8">
        <w:t>f</w:t>
      </w:r>
      <w:r w:rsidRPr="00FA1C5B">
        <w:t>looding</w:t>
      </w:r>
      <w:bookmarkEnd w:id="518"/>
      <w:bookmarkEnd w:id="519"/>
    </w:p>
    <w:p w:rsidR="00FA1C5B" w:rsidRPr="00FA1C5B" w:rsidRDefault="00FA1C5B" w:rsidP="0033334C">
      <w:pPr>
        <w:pStyle w:val="BRNormal11pt0"/>
        <w:rPr>
          <w:lang w:val="en-GB"/>
        </w:rPr>
      </w:pPr>
      <w:r w:rsidRPr="00FA1C5B">
        <w:rPr>
          <w:lang w:val="en-GB"/>
        </w:rPr>
        <w:t xml:space="preserve">Subsidence causes a reduction in elevation of an area. This may lead to increased exposure to flooding or storm </w:t>
      </w:r>
      <w:r w:rsidR="00611B2A" w:rsidRPr="00611B2A">
        <w:t>surges</w:t>
      </w:r>
      <w:r w:rsidRPr="00FA1C5B">
        <w:rPr>
          <w:lang w:val="en-GB"/>
        </w:rPr>
        <w:t xml:space="preserve"> in areas near the coast. Lowering of the ground level may lead to levees overflowing, especially in low lying coastal regions. In the Houston area, more than 80</w:t>
      </w:r>
      <w:r w:rsidR="00B47ED5">
        <w:rPr>
          <w:lang w:val="en-GB"/>
        </w:rPr>
        <w:t> </w:t>
      </w:r>
      <w:r w:rsidRPr="00FA1C5B">
        <w:rPr>
          <w:lang w:val="en-GB"/>
        </w:rPr>
        <w:t>km</w:t>
      </w:r>
      <w:r w:rsidRPr="00FA1C5B">
        <w:rPr>
          <w:vertAlign w:val="superscript"/>
          <w:lang w:val="en-GB"/>
        </w:rPr>
        <w:t>2</w:t>
      </w:r>
      <w:r w:rsidRPr="00FA1C5B">
        <w:rPr>
          <w:lang w:val="en-GB"/>
        </w:rPr>
        <w:t xml:space="preserve"> of low lying coastal land has been permanently inundated due to subsidence, forcing houses to be abandoned. In addition, low</w:t>
      </w:r>
      <w:r w:rsidR="00B47ED5">
        <w:rPr>
          <w:lang w:val="en-GB"/>
        </w:rPr>
        <w:t>-</w:t>
      </w:r>
      <w:r w:rsidRPr="00FA1C5B">
        <w:rPr>
          <w:lang w:val="en-GB"/>
        </w:rPr>
        <w:t xml:space="preserve">lying parts of the coast are now subject to more frequent and severe flooding during high tides and storm surges associated with tropical cyclones. Contributions of subsidence to inland flooding are suspected but poorly documented. However, flooding caused by subsidence has been documented near the shores of Koehn Lake, California (Holzer </w:t>
      </w:r>
      <w:r w:rsidR="00B47ED5">
        <w:rPr>
          <w:lang w:val="en-GB"/>
        </w:rPr>
        <w:t>&amp;</w:t>
      </w:r>
      <w:r w:rsidR="00B47ED5" w:rsidRPr="00FA1C5B">
        <w:rPr>
          <w:lang w:val="en-GB"/>
        </w:rPr>
        <w:t xml:space="preserve"> </w:t>
      </w:r>
      <w:r w:rsidRPr="00FA1C5B">
        <w:rPr>
          <w:lang w:val="en-GB"/>
        </w:rPr>
        <w:t xml:space="preserve">Galloway 2005), and at the Terminal Island Naval Shipyard in Long Island, California (Gilluly </w:t>
      </w:r>
      <w:r w:rsidR="00B47ED5">
        <w:rPr>
          <w:lang w:val="en-GB"/>
        </w:rPr>
        <w:t>&amp;</w:t>
      </w:r>
      <w:r w:rsidR="00B47ED5" w:rsidRPr="00FA1C5B">
        <w:rPr>
          <w:lang w:val="en-GB"/>
        </w:rPr>
        <w:t xml:space="preserve"> </w:t>
      </w:r>
      <w:r w:rsidRPr="00FA1C5B">
        <w:rPr>
          <w:lang w:val="en-GB"/>
        </w:rPr>
        <w:t>Grant 1949). Extreme subsidence at the Ekofisk Norwegian North Sea oilfield (Agarwal et al</w:t>
      </w:r>
      <w:r w:rsidR="00B47ED5">
        <w:rPr>
          <w:lang w:val="en-GB"/>
        </w:rPr>
        <w:t>.</w:t>
      </w:r>
      <w:r w:rsidRPr="00FA1C5B">
        <w:rPr>
          <w:lang w:val="en-GB"/>
        </w:rPr>
        <w:t xml:space="preserve"> 2000) required drilling platforms to be raised.</w:t>
      </w:r>
    </w:p>
    <w:p w:rsidR="00FA1C5B" w:rsidRPr="00FA1C5B" w:rsidRDefault="00FA1C5B" w:rsidP="00FA1C5B">
      <w:pPr>
        <w:pStyle w:val="BRNormal11pt0"/>
        <w:rPr>
          <w:lang w:val="en-GB"/>
        </w:rPr>
      </w:pPr>
      <w:r w:rsidRPr="00FA1C5B">
        <w:rPr>
          <w:lang w:val="en-GB"/>
        </w:rPr>
        <w:t xml:space="preserve">Subsidence may also cause fissures or cracking of the ground surface. Fissures may intercept surface water flows and lead to the creation of new, steep gullies. Fissures may also lead to erosion at or near the fissure (Holzer </w:t>
      </w:r>
      <w:r w:rsidR="00B47ED5">
        <w:rPr>
          <w:lang w:val="en-GB"/>
        </w:rPr>
        <w:t>&amp;</w:t>
      </w:r>
      <w:r w:rsidR="00B47ED5" w:rsidRPr="00FA1C5B">
        <w:rPr>
          <w:lang w:val="en-GB"/>
        </w:rPr>
        <w:t xml:space="preserve"> </w:t>
      </w:r>
      <w:r w:rsidRPr="00FA1C5B">
        <w:rPr>
          <w:lang w:val="en-GB"/>
        </w:rPr>
        <w:t xml:space="preserve">Galloway 2005). Cracking of the ground may modify the location and flow of groundwater springs. This may occur where springs overlie low permeability hydrogeological units (aquitards) </w:t>
      </w:r>
      <w:r w:rsidR="00B47ED5">
        <w:rPr>
          <w:lang w:val="en-GB"/>
        </w:rPr>
        <w:t>that</w:t>
      </w:r>
      <w:r w:rsidR="00B47ED5" w:rsidRPr="00FA1C5B">
        <w:rPr>
          <w:lang w:val="en-GB"/>
        </w:rPr>
        <w:t xml:space="preserve"> </w:t>
      </w:r>
      <w:r w:rsidRPr="00FA1C5B">
        <w:rPr>
          <w:lang w:val="en-GB"/>
        </w:rPr>
        <w:t xml:space="preserve">limit the vertical movement of rainfall recharge. If the low permeability hydrogeological units </w:t>
      </w:r>
      <w:r w:rsidR="00B47ED5">
        <w:rPr>
          <w:lang w:val="en-GB"/>
        </w:rPr>
        <w:t>are</w:t>
      </w:r>
      <w:r w:rsidR="00B47ED5" w:rsidRPr="00FA1C5B">
        <w:rPr>
          <w:lang w:val="en-GB"/>
        </w:rPr>
        <w:t xml:space="preserve"> </w:t>
      </w:r>
      <w:r w:rsidRPr="00FA1C5B">
        <w:rPr>
          <w:lang w:val="en-GB"/>
        </w:rPr>
        <w:t>disturbed due to subsidence, rainfall recharge may infiltrate deeper into the ground profile through cracks (rather than emerging at the spring), leading to a reduction in the spring discharge rate (Dawkins 2003).</w:t>
      </w:r>
    </w:p>
    <w:p w:rsidR="00FA1C5B" w:rsidRPr="00FA1C5B" w:rsidRDefault="00FA1C5B" w:rsidP="00FA1C5B">
      <w:pPr>
        <w:pStyle w:val="BRNormal11pt0"/>
        <w:rPr>
          <w:lang w:val="en-GB"/>
        </w:rPr>
      </w:pPr>
      <w:r w:rsidRPr="00FA1C5B">
        <w:rPr>
          <w:lang w:val="en-GB"/>
        </w:rPr>
        <w:t>A decline in the groundwater table may also lead to the loss of water from lakes, ponds and swamps, as these features often represent the intersection of the groundwater table with ground surface.</w:t>
      </w:r>
    </w:p>
    <w:p w:rsidR="00FA1C5B" w:rsidRPr="00FA1C5B" w:rsidRDefault="00FA1C5B" w:rsidP="00FA1C5B">
      <w:pPr>
        <w:pStyle w:val="Heading2"/>
      </w:pPr>
      <w:bookmarkStart w:id="520" w:name="_Toc338078450"/>
      <w:bookmarkStart w:id="521" w:name="_Toc387410246"/>
      <w:bookmarkStart w:id="522" w:name="_Toc402425322"/>
      <w:r w:rsidRPr="00FA1C5B">
        <w:t xml:space="preserve">Impacts on </w:t>
      </w:r>
      <w:r w:rsidR="00FD23B8">
        <w:t>b</w:t>
      </w:r>
      <w:r w:rsidRPr="00FA1C5B">
        <w:t xml:space="preserve">uildings and </w:t>
      </w:r>
      <w:r w:rsidR="00FD23B8">
        <w:t>s</w:t>
      </w:r>
      <w:r w:rsidRPr="00FA1C5B">
        <w:t xml:space="preserve">imilar </w:t>
      </w:r>
      <w:r w:rsidR="00FD23B8">
        <w:t>s</w:t>
      </w:r>
      <w:r w:rsidRPr="00FA1C5B">
        <w:t>tructures</w:t>
      </w:r>
      <w:bookmarkEnd w:id="520"/>
      <w:bookmarkEnd w:id="521"/>
      <w:bookmarkEnd w:id="522"/>
    </w:p>
    <w:p w:rsidR="00FA1C5B" w:rsidRPr="00FA1C5B" w:rsidRDefault="00FA1C5B" w:rsidP="00FA1C5B">
      <w:pPr>
        <w:pStyle w:val="BRNormal11pt0"/>
        <w:rPr>
          <w:lang w:val="en-GB"/>
        </w:rPr>
      </w:pPr>
      <w:r w:rsidRPr="00FA1C5B">
        <w:rPr>
          <w:lang w:val="en-AU"/>
        </w:rPr>
        <w:t xml:space="preserve">Guidelines for </w:t>
      </w:r>
      <w:r w:rsidRPr="00FA1C5B">
        <w:rPr>
          <w:lang w:val="en-GB"/>
        </w:rPr>
        <w:t>assessment of settlement impacts upon buildings have been developed to provide a means for assessment of the significance of settlement for tunnelling and other construction activities. These provide a useful basis for assessment of potential impacts due to subsidence.</w:t>
      </w:r>
    </w:p>
    <w:p w:rsidR="00FA1C5B" w:rsidRPr="00FA1C5B" w:rsidRDefault="00FA1C5B" w:rsidP="00FA1C5B">
      <w:pPr>
        <w:pStyle w:val="BRNormal11pt0"/>
        <w:rPr>
          <w:lang w:val="en-GB"/>
        </w:rPr>
      </w:pPr>
      <w:r w:rsidRPr="00FA1C5B">
        <w:rPr>
          <w:lang w:val="en-GB"/>
        </w:rPr>
        <w:t>If the foundation of a building changes its slope uniformly by a small amount over its length, then the building will not distort and there will be no impact on the structure. If the changes in the slope vary</w:t>
      </w:r>
      <w:r w:rsidR="00B47ED5">
        <w:rPr>
          <w:lang w:val="en-GB"/>
        </w:rPr>
        <w:t>,</w:t>
      </w:r>
      <w:r w:rsidRPr="00FA1C5B">
        <w:rPr>
          <w:lang w:val="en-GB"/>
        </w:rPr>
        <w:t xml:space="preserve"> then the structure will flex and the fabric of the structure will be affected. Convex ground curvature, or hogging, caused by subsidence is one of the major causes of damage to structures related to subsidence (MSEC 2007b). Relative deflection (</w:t>
      </w:r>
      <w:r w:rsidRPr="00FA1C5B">
        <w:rPr>
          <w:i/>
          <w:lang w:val="en-GB"/>
        </w:rPr>
        <w:t>∆</w:t>
      </w:r>
      <w:r w:rsidRPr="00FA1C5B">
        <w:rPr>
          <w:lang w:val="en-GB"/>
        </w:rPr>
        <w:t>), as shown in Figure </w:t>
      </w:r>
      <w:r w:rsidR="00987036">
        <w:rPr>
          <w:lang w:val="en-GB"/>
        </w:rPr>
        <w:t>20</w:t>
      </w:r>
      <w:r w:rsidRPr="00FA1C5B">
        <w:rPr>
          <w:lang w:val="en-GB"/>
        </w:rPr>
        <w:t>, is the displacement of a point relative to the line connecting two reference points on either side (Burland 2012). The deflection ratio, defined as (</w:t>
      </w:r>
      <w:r w:rsidRPr="00FA1C5B">
        <w:rPr>
          <w:i/>
          <w:lang w:val="en-GB"/>
        </w:rPr>
        <w:t>∆</w:t>
      </w:r>
      <w:r w:rsidRPr="00FA1C5B">
        <w:rPr>
          <w:lang w:val="en-GB"/>
        </w:rPr>
        <w:t xml:space="preserve"> / </w:t>
      </w:r>
      <w:r w:rsidRPr="00FA1C5B">
        <w:rPr>
          <w:i/>
          <w:lang w:val="en-GB"/>
        </w:rPr>
        <w:t>L</w:t>
      </w:r>
      <w:r w:rsidRPr="00FA1C5B">
        <w:rPr>
          <w:lang w:val="en-GB"/>
        </w:rPr>
        <w:t xml:space="preserve">), is a measure of differential settlement and can be used to measure the effect of differential settlement on building structures. </w:t>
      </w:r>
    </w:p>
    <w:p w:rsidR="000318D9" w:rsidRDefault="00FA1C5B" w:rsidP="00A90F48">
      <w:pPr>
        <w:pStyle w:val="Listintrotext"/>
        <w:rPr>
          <w:lang w:val="en-GB"/>
        </w:rPr>
      </w:pPr>
      <w:r w:rsidRPr="00FA1C5B">
        <w:rPr>
          <w:noProof/>
          <w:lang w:val="en-AU" w:eastAsia="en-AU"/>
        </w:rPr>
        <w:drawing>
          <wp:inline distT="0" distB="0" distL="0" distR="0">
            <wp:extent cx="3855763" cy="161504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858775" cy="16163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1C5B" w:rsidRPr="00FA1C5B"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20</w:t>
      </w:r>
      <w:r w:rsidR="00E252C4" w:rsidRPr="005A4936">
        <w:fldChar w:fldCharType="end"/>
      </w:r>
      <w:r>
        <w:t xml:space="preserve"> </w:t>
      </w:r>
      <w:r w:rsidR="00FA1C5B" w:rsidRPr="00FA1C5B">
        <w:t xml:space="preserve">Deflection </w:t>
      </w:r>
      <w:r w:rsidR="00FA5BB4">
        <w:t>r</w:t>
      </w:r>
      <w:r w:rsidR="00FA1C5B" w:rsidRPr="00FA1C5B">
        <w:t>atio</w:t>
      </w:r>
      <w:r w:rsidR="00154A6A">
        <w:t xml:space="preserve"> (</w:t>
      </w:r>
      <w:r w:rsidR="00154A6A" w:rsidRPr="00FA1C5B">
        <w:rPr>
          <w:i/>
        </w:rPr>
        <w:t>∆</w:t>
      </w:r>
      <w:r w:rsidR="00154A6A" w:rsidRPr="00FA1C5B">
        <w:t xml:space="preserve"> / </w:t>
      </w:r>
      <w:r w:rsidR="00154A6A" w:rsidRPr="00FA1C5B">
        <w:rPr>
          <w:i/>
        </w:rPr>
        <w:t>L</w:t>
      </w:r>
      <w:r w:rsidR="00611B2A" w:rsidRPr="00611B2A">
        <w:t>)</w:t>
      </w:r>
      <w:r w:rsidR="000318D9">
        <w:t xml:space="preserve"> </w:t>
      </w:r>
      <w:r w:rsidR="00FA1C5B" w:rsidRPr="00FA1C5B">
        <w:t>(</w:t>
      </w:r>
      <w:r w:rsidR="00FA5BB4">
        <w:rPr>
          <w:rFonts w:cs="Arial"/>
        </w:rPr>
        <w:t>©</w:t>
      </w:r>
      <w:r w:rsidR="00FA5BB4">
        <w:t xml:space="preserve"> Copyright, </w:t>
      </w:r>
      <w:r w:rsidR="00FA1C5B" w:rsidRPr="00FA1C5B">
        <w:t>Burland 2012)</w:t>
      </w:r>
    </w:p>
    <w:p w:rsidR="00FA1C5B" w:rsidRPr="00FA1C5B" w:rsidRDefault="00FA1C5B" w:rsidP="00FA1C5B">
      <w:pPr>
        <w:pStyle w:val="BRNormal11pt0"/>
        <w:rPr>
          <w:lang w:val="en-GB"/>
        </w:rPr>
      </w:pPr>
      <w:r w:rsidRPr="00FA1C5B">
        <w:rPr>
          <w:lang w:val="en-GB"/>
        </w:rPr>
        <w:t>If the ground surface is following a radius of curvature, R, it can be shown that the deflection ratio is given by</w:t>
      </w:r>
      <w:r w:rsidR="00987036">
        <w:rPr>
          <w:lang w:val="en-GB"/>
        </w:rPr>
        <w:t xml:space="preserve"> </w:t>
      </w:r>
      <w:r w:rsidR="00594850">
        <w:rPr>
          <w:i/>
          <w:lang w:val="en-GB"/>
        </w:rPr>
        <w:t>L</w:t>
      </w:r>
      <w:r w:rsidR="00594850" w:rsidRPr="00FA1C5B">
        <w:rPr>
          <w:lang w:val="en-GB"/>
        </w:rPr>
        <w:t xml:space="preserve"> / </w:t>
      </w:r>
      <w:r w:rsidR="00594850">
        <w:rPr>
          <w:i/>
          <w:lang w:val="en-GB"/>
        </w:rPr>
        <w:t>8R</w:t>
      </w:r>
      <w:r w:rsidR="00594850">
        <w:rPr>
          <w:lang w:val="en-GB"/>
        </w:rPr>
        <w:t>, as depicted in F</w:t>
      </w:r>
      <w:r w:rsidR="00987036">
        <w:rPr>
          <w:lang w:val="en-GB"/>
        </w:rPr>
        <w:t>igure 21</w:t>
      </w:r>
      <w:r w:rsidR="00154A6A">
        <w:rPr>
          <w:lang w:val="en-GB"/>
        </w:rPr>
        <w:t>.</w:t>
      </w:r>
    </w:p>
    <w:p w:rsidR="00FA1C5B" w:rsidRPr="00FA1C5B" w:rsidRDefault="00FA1C5B" w:rsidP="00A90F48">
      <w:pPr>
        <w:pStyle w:val="Listintrotext"/>
        <w:rPr>
          <w:lang w:val="en-GB"/>
        </w:rPr>
      </w:pPr>
      <w:r w:rsidRPr="00FA1C5B">
        <w:rPr>
          <w:noProof/>
          <w:lang w:val="en-AU" w:eastAsia="en-AU"/>
        </w:rPr>
        <w:drawing>
          <wp:inline distT="0" distB="0" distL="0" distR="0">
            <wp:extent cx="3676650" cy="1967674"/>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9149" cy="1969011"/>
                    </a:xfrm>
                    <a:prstGeom prst="rect">
                      <a:avLst/>
                    </a:prstGeom>
                    <a:noFill/>
                    <a:ln>
                      <a:noFill/>
                    </a:ln>
                  </pic:spPr>
                </pic:pic>
              </a:graphicData>
            </a:graphic>
          </wp:inline>
        </w:drawing>
      </w:r>
    </w:p>
    <w:p w:rsidR="00FA1C5B" w:rsidRPr="00154A6A"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21</w:t>
      </w:r>
      <w:r w:rsidR="00E252C4" w:rsidRPr="005A4936">
        <w:fldChar w:fldCharType="end"/>
      </w:r>
      <w:r>
        <w:t xml:space="preserve"> </w:t>
      </w:r>
      <w:r w:rsidR="00FA1C5B" w:rsidRPr="00FA1C5B">
        <w:t xml:space="preserve">Deflection </w:t>
      </w:r>
      <w:r w:rsidR="0033334C">
        <w:t>r</w:t>
      </w:r>
      <w:r w:rsidR="00FA1C5B" w:rsidRPr="00FA1C5B">
        <w:t xml:space="preserve">atio and </w:t>
      </w:r>
      <w:r w:rsidR="0033334C">
        <w:t>r</w:t>
      </w:r>
      <w:r w:rsidR="00FA1C5B" w:rsidRPr="00FA1C5B">
        <w:t xml:space="preserve">adius of </w:t>
      </w:r>
      <w:r w:rsidR="0033334C">
        <w:t>c</w:t>
      </w:r>
      <w:r w:rsidR="00FA1C5B" w:rsidRPr="00FA1C5B">
        <w:t>urvature</w:t>
      </w:r>
      <w:r w:rsidR="0033334C">
        <w:t xml:space="preserve"> (</w:t>
      </w:r>
      <w:r w:rsidR="0033334C">
        <w:rPr>
          <w:rFonts w:cs="Arial"/>
        </w:rPr>
        <w:t>©</w:t>
      </w:r>
      <w:r w:rsidR="0033334C">
        <w:t xml:space="preserve"> Copyright, </w:t>
      </w:r>
      <w:r w:rsidR="00580CA5" w:rsidRPr="00FA1C5B">
        <w:t>Burland 2012</w:t>
      </w:r>
      <w:r w:rsidR="00D147DC">
        <w:t>)</w:t>
      </w:r>
    </w:p>
    <w:p w:rsidR="00FA1C5B" w:rsidRPr="00FA1C5B" w:rsidRDefault="00FA1C5B" w:rsidP="00FA1C5B">
      <w:pPr>
        <w:pStyle w:val="BRNormal11pt0"/>
        <w:rPr>
          <w:lang w:val="en-GB"/>
        </w:rPr>
      </w:pPr>
      <w:r w:rsidRPr="00FA1C5B">
        <w:rPr>
          <w:lang w:val="en-GB"/>
        </w:rPr>
        <w:t>Assessment of the degree of building damage can be highly subjective and may be conditioned by several factors</w:t>
      </w:r>
      <w:r w:rsidR="0033334C">
        <w:rPr>
          <w:lang w:val="en-GB"/>
        </w:rPr>
        <w:t>,</w:t>
      </w:r>
      <w:r w:rsidRPr="00FA1C5B">
        <w:rPr>
          <w:lang w:val="en-GB"/>
        </w:rPr>
        <w:t xml:space="preserve"> including local experience, the attitude of building owners/insurers, market value and other factors. Most buildings experience a certain degree of cracking, often unrelated to ground movement, which may be dealt with during routine maintenance.</w:t>
      </w:r>
    </w:p>
    <w:p w:rsidR="00FA1C5B" w:rsidRPr="00FA1C5B" w:rsidRDefault="00FA1C5B" w:rsidP="00FA1C5B">
      <w:pPr>
        <w:pStyle w:val="BRNormal11pt0"/>
        <w:rPr>
          <w:lang w:val="en-GB"/>
        </w:rPr>
      </w:pPr>
      <w:r w:rsidRPr="00FA1C5B">
        <w:rPr>
          <w:lang w:val="en-GB"/>
        </w:rPr>
        <w:t>Published guidelines, such as those collated by Burland (2012) in Chapter 26 of the Institution of Civil Engineers (ICE</w:t>
      </w:r>
      <w:r w:rsidR="0033334C">
        <w:rPr>
          <w:lang w:val="en-GB"/>
        </w:rPr>
        <w:t xml:space="preserve"> 2012</w:t>
      </w:r>
      <w:r w:rsidRPr="00FA1C5B">
        <w:rPr>
          <w:lang w:val="en-GB"/>
        </w:rPr>
        <w:t xml:space="preserve">) </w:t>
      </w:r>
      <w:r w:rsidR="00611B2A" w:rsidRPr="00611B2A">
        <w:rPr>
          <w:i/>
          <w:lang w:val="en-GB"/>
        </w:rPr>
        <w:t>Manual of geotechnical engineering</w:t>
      </w:r>
      <w:r w:rsidRPr="00FA1C5B">
        <w:rPr>
          <w:lang w:val="en-GB"/>
        </w:rPr>
        <w:t>, provide maximum building slope or settlement to assess risk of damage. While these guidelines are useful, the ability of a structure to tolerate total and differential movements is heavily dependent on the nature of the building (i.e. age, type, façade, support type, length, etc</w:t>
      </w:r>
      <w:r w:rsidR="0033334C">
        <w:rPr>
          <w:lang w:val="en-GB"/>
        </w:rPr>
        <w:t>.</w:t>
      </w:r>
      <w:r w:rsidRPr="00FA1C5B">
        <w:rPr>
          <w:lang w:val="en-GB"/>
        </w:rPr>
        <w:t>). The impacts of movements on any building that is considered to be particularly vulnerable to damage (</w:t>
      </w:r>
      <w:r w:rsidR="00D87BDF">
        <w:rPr>
          <w:lang w:val="en-GB"/>
        </w:rPr>
        <w:t>e.g</w:t>
      </w:r>
      <w:r w:rsidRPr="00FA1C5B">
        <w:rPr>
          <w:lang w:val="en-GB"/>
        </w:rPr>
        <w:t xml:space="preserve">. heritage buildings or buildings that include glass façades) should receive further detailed consideration as the general published guidelines may not </w:t>
      </w:r>
      <w:r w:rsidR="00174F9B">
        <w:rPr>
          <w:lang w:val="en-GB"/>
        </w:rPr>
        <w:t>be applicable</w:t>
      </w:r>
      <w:r w:rsidRPr="00FA1C5B">
        <w:rPr>
          <w:lang w:val="en-GB"/>
        </w:rPr>
        <w:t xml:space="preserve">. Figure </w:t>
      </w:r>
      <w:r w:rsidR="00987036">
        <w:rPr>
          <w:lang w:val="en-GB"/>
        </w:rPr>
        <w:t>22</w:t>
      </w:r>
      <w:r w:rsidRPr="00FA1C5B">
        <w:rPr>
          <w:lang w:val="en-GB"/>
        </w:rPr>
        <w:t>, sourced from Burland (2012), provides a guide for assessment of building damage under the influence of horizontal strain and deflection ratio. It applies to buildings with the ratio Length/Height = 1.</w:t>
      </w:r>
    </w:p>
    <w:p w:rsidR="00FA1C5B" w:rsidRPr="00FA1C5B" w:rsidRDefault="00FA1C5B" w:rsidP="00A90F48">
      <w:pPr>
        <w:pStyle w:val="Listintrotext"/>
        <w:rPr>
          <w:lang w:val="en-GB"/>
        </w:rPr>
      </w:pPr>
      <w:r w:rsidRPr="00FA1C5B">
        <w:rPr>
          <w:noProof/>
          <w:lang w:val="en-AU" w:eastAsia="en-AU"/>
        </w:rPr>
        <w:drawing>
          <wp:inline distT="0" distB="0" distL="0" distR="0">
            <wp:extent cx="3009900" cy="2458382"/>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192" cy="2464338"/>
                    </a:xfrm>
                    <a:prstGeom prst="rect">
                      <a:avLst/>
                    </a:prstGeom>
                    <a:noFill/>
                    <a:ln w="9525">
                      <a:noFill/>
                      <a:miter lim="800000"/>
                      <a:headEnd/>
                      <a:tailEnd/>
                    </a:ln>
                  </pic:spPr>
                </pic:pic>
              </a:graphicData>
            </a:graphic>
          </wp:inline>
        </w:drawing>
      </w:r>
    </w:p>
    <w:p w:rsidR="00093D1C" w:rsidRDefault="0098703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22</w:t>
      </w:r>
      <w:r w:rsidR="00E252C4" w:rsidRPr="005A4936">
        <w:fldChar w:fldCharType="end"/>
      </w:r>
      <w:r>
        <w:t xml:space="preserve"> </w:t>
      </w:r>
      <w:r w:rsidR="00FA1C5B" w:rsidRPr="00FA1C5B">
        <w:t xml:space="preserve">Relationship of </w:t>
      </w:r>
      <w:r w:rsidR="00D87BDF">
        <w:t>d</w:t>
      </w:r>
      <w:r w:rsidR="00FA1C5B" w:rsidRPr="00FA1C5B">
        <w:t xml:space="preserve">amage </w:t>
      </w:r>
      <w:r w:rsidR="00D87BDF">
        <w:t>c</w:t>
      </w:r>
      <w:r w:rsidR="00FA1C5B" w:rsidRPr="00FA1C5B">
        <w:t xml:space="preserve">ategory to </w:t>
      </w:r>
      <w:r w:rsidR="00D87BDF">
        <w:t>d</w:t>
      </w:r>
      <w:r w:rsidR="00FA1C5B" w:rsidRPr="00FA1C5B">
        <w:t xml:space="preserve">eflection </w:t>
      </w:r>
      <w:r w:rsidR="00D87BDF">
        <w:t>r</w:t>
      </w:r>
      <w:r w:rsidR="00FA1C5B" w:rsidRPr="00FA1C5B">
        <w:t xml:space="preserve">atio and </w:t>
      </w:r>
      <w:r w:rsidR="00D87BDF">
        <w:t>h</w:t>
      </w:r>
      <w:r w:rsidR="00FA1C5B" w:rsidRPr="00FA1C5B">
        <w:t xml:space="preserve">orizontal </w:t>
      </w:r>
      <w:r w:rsidR="00D87BDF">
        <w:t>s</w:t>
      </w:r>
      <w:r w:rsidR="00FA1C5B" w:rsidRPr="00FA1C5B">
        <w:t xml:space="preserve">train for </w:t>
      </w:r>
      <w:r w:rsidR="00D87BDF">
        <w:t>h</w:t>
      </w:r>
      <w:r w:rsidR="00FA1C5B" w:rsidRPr="00FA1C5B">
        <w:t>ogging (</w:t>
      </w:r>
      <w:r w:rsidR="00D87BDF">
        <w:rPr>
          <w:rFonts w:cs="Arial"/>
        </w:rPr>
        <w:t>©</w:t>
      </w:r>
      <w:r w:rsidR="00D87BDF">
        <w:t xml:space="preserve"> Copyright, </w:t>
      </w:r>
      <w:r w:rsidR="00FA1C5B" w:rsidRPr="00FA1C5B">
        <w:t>Burland 2012)</w:t>
      </w:r>
    </w:p>
    <w:p w:rsidR="00FA1C5B" w:rsidRPr="00FA1C5B" w:rsidRDefault="00FA1C5B" w:rsidP="00FA1C5B">
      <w:pPr>
        <w:pStyle w:val="BRNormal11pt0"/>
        <w:rPr>
          <w:lang w:val="en-GB"/>
        </w:rPr>
      </w:pPr>
      <w:r w:rsidRPr="00FA1C5B">
        <w:rPr>
          <w:lang w:val="en-GB"/>
        </w:rPr>
        <w:t xml:space="preserve">The damage categories referred to in Figure </w:t>
      </w:r>
      <w:r w:rsidR="00987036">
        <w:rPr>
          <w:lang w:val="en-GB"/>
        </w:rPr>
        <w:t>22</w:t>
      </w:r>
      <w:r w:rsidR="00987036" w:rsidRPr="00FA1C5B">
        <w:rPr>
          <w:lang w:val="en-GB"/>
        </w:rPr>
        <w:t xml:space="preserve"> </w:t>
      </w:r>
      <w:r w:rsidR="009A1188">
        <w:rPr>
          <w:lang w:val="en-GB"/>
        </w:rPr>
        <w:t xml:space="preserve">are described in Table </w:t>
      </w:r>
      <w:r w:rsidR="002C43B4">
        <w:rPr>
          <w:lang w:val="en-GB"/>
        </w:rPr>
        <w:t>4</w:t>
      </w:r>
      <w:r w:rsidRPr="00FA1C5B">
        <w:rPr>
          <w:lang w:val="en-GB"/>
        </w:rPr>
        <w:t>, following the classification system presented by Burland et al</w:t>
      </w:r>
      <w:r w:rsidR="00D87BDF">
        <w:rPr>
          <w:lang w:val="en-GB"/>
        </w:rPr>
        <w:t>.</w:t>
      </w:r>
      <w:r w:rsidRPr="00FA1C5B">
        <w:rPr>
          <w:lang w:val="en-GB"/>
        </w:rPr>
        <w:t xml:space="preserve"> (2004).</w:t>
      </w:r>
    </w:p>
    <w:p w:rsidR="00FA1C5B" w:rsidRPr="00FA1C5B" w:rsidRDefault="000318D9" w:rsidP="00D90926">
      <w:pPr>
        <w:pStyle w:val="Caption-table"/>
      </w:pPr>
      <w:bookmarkStart w:id="523" w:name="_Toc329278595"/>
      <w:r w:rsidRPr="00154A6A">
        <w:t>Table</w:t>
      </w:r>
      <w:r w:rsidRPr="001E0FA8">
        <w:t xml:space="preserve"> </w:t>
      </w:r>
      <w:r w:rsidR="00E252C4" w:rsidRPr="001E0FA8">
        <w:fldChar w:fldCharType="begin"/>
      </w:r>
      <w:r w:rsidRPr="001E0FA8">
        <w:instrText xml:space="preserve"> SEQ Table \* ARABIC </w:instrText>
      </w:r>
      <w:r w:rsidR="00E252C4" w:rsidRPr="001E0FA8">
        <w:fldChar w:fldCharType="separate"/>
      </w:r>
      <w:r w:rsidR="00906141">
        <w:rPr>
          <w:noProof/>
        </w:rPr>
        <w:t>4</w:t>
      </w:r>
      <w:r w:rsidR="00E252C4" w:rsidRPr="001E0FA8">
        <w:fldChar w:fldCharType="end"/>
      </w:r>
      <w:r w:rsidRPr="001E0FA8">
        <w:t xml:space="preserve"> </w:t>
      </w:r>
      <w:r w:rsidR="00FA1C5B" w:rsidRPr="00FA1C5B">
        <w:t xml:space="preserve">Classification of </w:t>
      </w:r>
      <w:r w:rsidR="00D87BDF">
        <w:t>v</w:t>
      </w:r>
      <w:r w:rsidR="00FA1C5B" w:rsidRPr="00FA1C5B">
        <w:t xml:space="preserve">isible </w:t>
      </w:r>
      <w:r w:rsidR="00D87BDF">
        <w:t>d</w:t>
      </w:r>
      <w:r w:rsidR="00FA1C5B" w:rsidRPr="00FA1C5B">
        <w:t xml:space="preserve">amage to </w:t>
      </w:r>
      <w:r w:rsidR="00D87BDF">
        <w:t>w</w:t>
      </w:r>
      <w:r w:rsidR="00FA1C5B" w:rsidRPr="00FA1C5B">
        <w:t>alls</w:t>
      </w:r>
      <w:bookmarkEnd w:id="523"/>
      <w:r w:rsidR="00D87BDF">
        <w:t xml:space="preserve">, </w:t>
      </w:r>
      <w:r w:rsidR="00FA1C5B" w:rsidRPr="00FA1C5B">
        <w:t>with particular reference to ease of repair of plaster, brickwork or masonry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1535"/>
        <w:gridCol w:w="6520"/>
      </w:tblGrid>
      <w:tr w:rsidR="00FA1C5B" w:rsidRPr="00FA1C5B" w:rsidTr="00D147DC">
        <w:trPr>
          <w:tblHeader/>
        </w:trPr>
        <w:tc>
          <w:tcPr>
            <w:tcW w:w="1117" w:type="dxa"/>
            <w:shd w:val="clear" w:color="auto" w:fill="C6D9F1" w:themeFill="text2" w:themeFillTint="33"/>
          </w:tcPr>
          <w:p w:rsidR="00FA1C5B" w:rsidRPr="00FA1C5B" w:rsidRDefault="00FA1C5B" w:rsidP="00FA1C5B">
            <w:pPr>
              <w:pStyle w:val="Tableheading"/>
              <w:rPr>
                <w:lang w:val="en-GB"/>
              </w:rPr>
            </w:pPr>
            <w:r w:rsidRPr="00FA1C5B">
              <w:rPr>
                <w:lang w:val="en-GB"/>
              </w:rPr>
              <w:t xml:space="preserve">Category of </w:t>
            </w:r>
            <w:r w:rsidR="00D87BDF">
              <w:rPr>
                <w:lang w:val="en-GB"/>
              </w:rPr>
              <w:t>d</w:t>
            </w:r>
            <w:r w:rsidRPr="00FA1C5B">
              <w:rPr>
                <w:lang w:val="en-GB"/>
              </w:rPr>
              <w:t>amage</w:t>
            </w:r>
          </w:p>
        </w:tc>
        <w:tc>
          <w:tcPr>
            <w:tcW w:w="1535" w:type="dxa"/>
            <w:shd w:val="clear" w:color="auto" w:fill="C6D9F1" w:themeFill="text2" w:themeFillTint="33"/>
          </w:tcPr>
          <w:p w:rsidR="00FA1C5B" w:rsidRPr="00FA1C5B" w:rsidRDefault="00FA1C5B" w:rsidP="00FA1C5B">
            <w:pPr>
              <w:pStyle w:val="Tableheading"/>
              <w:rPr>
                <w:lang w:val="en-GB"/>
              </w:rPr>
            </w:pPr>
            <w:r w:rsidRPr="00FA1C5B">
              <w:rPr>
                <w:lang w:val="en-GB"/>
              </w:rPr>
              <w:t xml:space="preserve">Normal </w:t>
            </w:r>
            <w:r w:rsidR="00D87BDF">
              <w:rPr>
                <w:lang w:val="en-GB"/>
              </w:rPr>
              <w:t>d</w:t>
            </w:r>
            <w:r w:rsidRPr="00FA1C5B">
              <w:rPr>
                <w:lang w:val="en-GB"/>
              </w:rPr>
              <w:t xml:space="preserve">egree of </w:t>
            </w:r>
            <w:r w:rsidR="00D87BDF">
              <w:rPr>
                <w:lang w:val="en-GB"/>
              </w:rPr>
              <w:t>s</w:t>
            </w:r>
            <w:r w:rsidRPr="00FA1C5B">
              <w:rPr>
                <w:lang w:val="en-GB"/>
              </w:rPr>
              <w:t>everity</w:t>
            </w:r>
          </w:p>
        </w:tc>
        <w:tc>
          <w:tcPr>
            <w:tcW w:w="6520" w:type="dxa"/>
            <w:shd w:val="clear" w:color="auto" w:fill="C6D9F1" w:themeFill="text2" w:themeFillTint="33"/>
          </w:tcPr>
          <w:p w:rsidR="00FA1C5B" w:rsidRPr="00FA1C5B" w:rsidRDefault="00FA1C5B" w:rsidP="00FA1C5B">
            <w:pPr>
              <w:pStyle w:val="Tableheading"/>
              <w:rPr>
                <w:vertAlign w:val="superscript"/>
                <w:lang w:val="en-GB"/>
              </w:rPr>
            </w:pPr>
            <w:r w:rsidRPr="00FA1C5B">
              <w:rPr>
                <w:lang w:val="en-GB"/>
              </w:rPr>
              <w:t xml:space="preserve">Description of </w:t>
            </w:r>
            <w:r w:rsidR="00D87BDF">
              <w:rPr>
                <w:lang w:val="en-GB"/>
              </w:rPr>
              <w:t>t</w:t>
            </w:r>
            <w:r w:rsidRPr="00FA1C5B">
              <w:rPr>
                <w:lang w:val="en-GB"/>
              </w:rPr>
              <w:t xml:space="preserve">ypical </w:t>
            </w:r>
            <w:r w:rsidR="00D87BDF">
              <w:rPr>
                <w:lang w:val="en-GB"/>
              </w:rPr>
              <w:t>d</w:t>
            </w:r>
            <w:r w:rsidRPr="00FA1C5B">
              <w:rPr>
                <w:lang w:val="en-GB"/>
              </w:rPr>
              <w:t>amage</w:t>
            </w:r>
            <w:r w:rsidR="00684C52">
              <w:rPr>
                <w:rStyle w:val="FootnoteReference"/>
                <w:lang w:val="en-GB"/>
              </w:rPr>
              <w:footnoteReference w:id="1"/>
            </w:r>
          </w:p>
          <w:p w:rsidR="00FA1C5B" w:rsidRPr="00FA1C5B" w:rsidRDefault="00FA1C5B" w:rsidP="00FA1C5B">
            <w:pPr>
              <w:pStyle w:val="Tableheading"/>
              <w:rPr>
                <w:lang w:val="en-GB"/>
              </w:rPr>
            </w:pPr>
            <w:r w:rsidRPr="00FA1C5B">
              <w:rPr>
                <w:lang w:val="en-GB"/>
              </w:rPr>
              <w:t>(</w:t>
            </w:r>
            <w:r w:rsidR="00D87BDF">
              <w:rPr>
                <w:lang w:val="en-GB"/>
              </w:rPr>
              <w:t>e</w:t>
            </w:r>
            <w:r w:rsidRPr="00FA1C5B">
              <w:rPr>
                <w:lang w:val="en-GB"/>
              </w:rPr>
              <w:t xml:space="preserve">ase of </w:t>
            </w:r>
            <w:r w:rsidR="00D87BDF">
              <w:rPr>
                <w:lang w:val="en-GB"/>
              </w:rPr>
              <w:t>r</w:t>
            </w:r>
            <w:r w:rsidRPr="00FA1C5B">
              <w:rPr>
                <w:lang w:val="en-GB"/>
              </w:rPr>
              <w:t xml:space="preserve">epair is </w:t>
            </w:r>
            <w:r w:rsidR="00D87BDF">
              <w:rPr>
                <w:lang w:val="en-GB"/>
              </w:rPr>
              <w:t>u</w:t>
            </w:r>
            <w:r w:rsidRPr="00FA1C5B">
              <w:rPr>
                <w:lang w:val="en-GB"/>
              </w:rPr>
              <w:t>nderlined)</w:t>
            </w:r>
          </w:p>
        </w:tc>
      </w:tr>
      <w:tr w:rsidR="00FA1C5B" w:rsidRPr="00FA1C5B" w:rsidTr="001F27A3">
        <w:tc>
          <w:tcPr>
            <w:tcW w:w="1117" w:type="dxa"/>
            <w:shd w:val="clear" w:color="auto" w:fill="auto"/>
          </w:tcPr>
          <w:p w:rsidR="00FA1C5B" w:rsidRPr="00FA1C5B" w:rsidRDefault="00FA1C5B" w:rsidP="00FA1C5B">
            <w:pPr>
              <w:pStyle w:val="Tabletext"/>
              <w:rPr>
                <w:lang w:val="en-GB"/>
              </w:rPr>
            </w:pPr>
            <w:r w:rsidRPr="00FA1C5B">
              <w:rPr>
                <w:lang w:val="en-GB"/>
              </w:rPr>
              <w:t>0</w:t>
            </w:r>
          </w:p>
        </w:tc>
        <w:tc>
          <w:tcPr>
            <w:tcW w:w="1535" w:type="dxa"/>
          </w:tcPr>
          <w:p w:rsidR="00FA1C5B" w:rsidRPr="00FA1C5B" w:rsidRDefault="00FA1C5B" w:rsidP="00FA1C5B">
            <w:pPr>
              <w:pStyle w:val="Tabletext"/>
              <w:rPr>
                <w:lang w:val="en-GB"/>
              </w:rPr>
            </w:pPr>
            <w:r w:rsidRPr="00FA1C5B">
              <w:rPr>
                <w:lang w:val="en-GB"/>
              </w:rPr>
              <w:t>Negligible</w:t>
            </w:r>
          </w:p>
        </w:tc>
        <w:tc>
          <w:tcPr>
            <w:tcW w:w="6520" w:type="dxa"/>
          </w:tcPr>
          <w:p w:rsidR="00FA1C5B" w:rsidRPr="00FA1C5B" w:rsidRDefault="00FA1C5B" w:rsidP="00FA1C5B">
            <w:pPr>
              <w:pStyle w:val="Tabletext"/>
              <w:rPr>
                <w:lang w:val="en-GB"/>
              </w:rPr>
            </w:pPr>
            <w:r w:rsidRPr="00FA1C5B">
              <w:rPr>
                <w:lang w:val="en-GB"/>
              </w:rPr>
              <w:t>Hairline cracks less than 0.1 mm</w:t>
            </w:r>
            <w:r w:rsidR="00D87BDF">
              <w:rPr>
                <w:lang w:val="en-GB"/>
              </w:rPr>
              <w:t>.</w:t>
            </w:r>
          </w:p>
        </w:tc>
      </w:tr>
      <w:tr w:rsidR="00FA1C5B" w:rsidRPr="00FA1C5B" w:rsidTr="001F27A3">
        <w:tc>
          <w:tcPr>
            <w:tcW w:w="1117" w:type="dxa"/>
            <w:shd w:val="clear" w:color="auto" w:fill="auto"/>
          </w:tcPr>
          <w:p w:rsidR="00FA1C5B" w:rsidRPr="00FA1C5B" w:rsidRDefault="00FA1C5B" w:rsidP="00FA1C5B">
            <w:pPr>
              <w:pStyle w:val="Tabletext"/>
              <w:rPr>
                <w:lang w:val="en-GB"/>
              </w:rPr>
            </w:pPr>
            <w:r w:rsidRPr="00FA1C5B">
              <w:rPr>
                <w:lang w:val="en-GB"/>
              </w:rPr>
              <w:t>1</w:t>
            </w:r>
          </w:p>
        </w:tc>
        <w:tc>
          <w:tcPr>
            <w:tcW w:w="1535" w:type="dxa"/>
          </w:tcPr>
          <w:p w:rsidR="00FA1C5B" w:rsidRPr="00FA1C5B" w:rsidRDefault="00FA1C5B" w:rsidP="00FA1C5B">
            <w:pPr>
              <w:pStyle w:val="Tabletext"/>
              <w:rPr>
                <w:lang w:val="en-GB"/>
              </w:rPr>
            </w:pPr>
            <w:r w:rsidRPr="00FA1C5B">
              <w:rPr>
                <w:lang w:val="en-GB"/>
              </w:rPr>
              <w:t xml:space="preserve">Very </w:t>
            </w:r>
            <w:r w:rsidR="00D87BDF">
              <w:rPr>
                <w:lang w:val="en-GB"/>
              </w:rPr>
              <w:t>s</w:t>
            </w:r>
            <w:r w:rsidRPr="00FA1C5B">
              <w:rPr>
                <w:lang w:val="en-GB"/>
              </w:rPr>
              <w:t>light</w:t>
            </w:r>
          </w:p>
        </w:tc>
        <w:tc>
          <w:tcPr>
            <w:tcW w:w="6520" w:type="dxa"/>
          </w:tcPr>
          <w:p w:rsidR="00FA1C5B" w:rsidRPr="00FA1C5B" w:rsidRDefault="00FA1C5B" w:rsidP="00565387">
            <w:pPr>
              <w:pStyle w:val="Tabletext"/>
              <w:rPr>
                <w:lang w:val="en-GB"/>
              </w:rPr>
            </w:pPr>
            <w:r w:rsidRPr="0091309C">
              <w:rPr>
                <w:i/>
                <w:lang w:val="en-GB"/>
              </w:rPr>
              <w:t xml:space="preserve">Fine cracks </w:t>
            </w:r>
            <w:r w:rsidR="00D87BDF" w:rsidRPr="0091309C">
              <w:rPr>
                <w:i/>
                <w:lang w:val="en-GB"/>
              </w:rPr>
              <w:t xml:space="preserve">that </w:t>
            </w:r>
            <w:r w:rsidRPr="0091309C">
              <w:rPr>
                <w:i/>
                <w:lang w:val="en-GB"/>
              </w:rPr>
              <w:t>are easily treated during normal decoration.</w:t>
            </w:r>
            <w:r w:rsidRPr="00FA1C5B">
              <w:rPr>
                <w:lang w:val="en-GB"/>
              </w:rPr>
              <w:t xml:space="preserve"> Damage generally restricted to internal wall finishes. Close inspection may reveal some cracks in external brickwork or masonry. Typical crack widths up to 1 mm.</w:t>
            </w:r>
          </w:p>
        </w:tc>
      </w:tr>
      <w:tr w:rsidR="00FA1C5B" w:rsidRPr="00FA1C5B" w:rsidTr="001F27A3">
        <w:tc>
          <w:tcPr>
            <w:tcW w:w="1117" w:type="dxa"/>
          </w:tcPr>
          <w:p w:rsidR="00FA1C5B" w:rsidRPr="00FA1C5B" w:rsidRDefault="00FA1C5B" w:rsidP="00FA1C5B">
            <w:pPr>
              <w:pStyle w:val="Tabletext"/>
              <w:rPr>
                <w:lang w:val="en-GB"/>
              </w:rPr>
            </w:pPr>
            <w:r w:rsidRPr="00FA1C5B">
              <w:rPr>
                <w:lang w:val="en-GB"/>
              </w:rPr>
              <w:t>2</w:t>
            </w:r>
          </w:p>
        </w:tc>
        <w:tc>
          <w:tcPr>
            <w:tcW w:w="1535" w:type="dxa"/>
          </w:tcPr>
          <w:p w:rsidR="00FA1C5B" w:rsidRPr="00FA1C5B" w:rsidRDefault="00FA1C5B" w:rsidP="00FA1C5B">
            <w:pPr>
              <w:pStyle w:val="Tabletext"/>
              <w:rPr>
                <w:lang w:val="en-GB"/>
              </w:rPr>
            </w:pPr>
            <w:r w:rsidRPr="00FA1C5B">
              <w:rPr>
                <w:lang w:val="en-GB"/>
              </w:rPr>
              <w:t>Slight</w:t>
            </w:r>
          </w:p>
        </w:tc>
        <w:tc>
          <w:tcPr>
            <w:tcW w:w="6520" w:type="dxa"/>
          </w:tcPr>
          <w:p w:rsidR="00FA1C5B" w:rsidRPr="00FA1C5B" w:rsidRDefault="00FA1C5B" w:rsidP="00FA1C5B">
            <w:pPr>
              <w:pStyle w:val="Tabletext"/>
              <w:rPr>
                <w:lang w:val="en-GB"/>
              </w:rPr>
            </w:pPr>
            <w:r w:rsidRPr="0091309C">
              <w:rPr>
                <w:i/>
                <w:lang w:val="en-GB"/>
              </w:rPr>
              <w:t>Cracks easily filled. Re-decoration probably required. Recurrent cracks can be masked by suitable linings.</w:t>
            </w:r>
            <w:r w:rsidRPr="00FA1C5B">
              <w:rPr>
                <w:lang w:val="en-GB"/>
              </w:rPr>
              <w:t xml:space="preserve"> Cracks may be visible externally and </w:t>
            </w:r>
            <w:r w:rsidRPr="0091309C">
              <w:rPr>
                <w:i/>
                <w:lang w:val="en-GB"/>
              </w:rPr>
              <w:t>some repointing may be required to ensure weather</w:t>
            </w:r>
            <w:r w:rsidR="00D87BDF" w:rsidRPr="0091309C">
              <w:rPr>
                <w:i/>
                <w:lang w:val="en-GB"/>
              </w:rPr>
              <w:t>-</w:t>
            </w:r>
            <w:r w:rsidRPr="0091309C">
              <w:rPr>
                <w:i/>
                <w:lang w:val="en-GB"/>
              </w:rPr>
              <w:t>tightness</w:t>
            </w:r>
            <w:r w:rsidRPr="00FA1C5B">
              <w:rPr>
                <w:lang w:val="en-GB"/>
              </w:rPr>
              <w:t>. Doors and windows may stick slightly. Typical crack widths up to 5 mm.</w:t>
            </w:r>
          </w:p>
        </w:tc>
      </w:tr>
      <w:tr w:rsidR="00FA1C5B" w:rsidRPr="00FA1C5B" w:rsidTr="001F27A3">
        <w:tc>
          <w:tcPr>
            <w:tcW w:w="1117" w:type="dxa"/>
          </w:tcPr>
          <w:p w:rsidR="00FA1C5B" w:rsidRPr="00FA1C5B" w:rsidRDefault="00FA1C5B" w:rsidP="00FA1C5B">
            <w:pPr>
              <w:pStyle w:val="Tabletext"/>
              <w:rPr>
                <w:lang w:val="en-GB"/>
              </w:rPr>
            </w:pPr>
            <w:r w:rsidRPr="00FA1C5B">
              <w:rPr>
                <w:lang w:val="en-GB"/>
              </w:rPr>
              <w:t>3</w:t>
            </w:r>
          </w:p>
        </w:tc>
        <w:tc>
          <w:tcPr>
            <w:tcW w:w="1535" w:type="dxa"/>
          </w:tcPr>
          <w:p w:rsidR="00FA1C5B" w:rsidRPr="00FA1C5B" w:rsidRDefault="00FA1C5B" w:rsidP="00FA1C5B">
            <w:pPr>
              <w:pStyle w:val="Tabletext"/>
              <w:rPr>
                <w:lang w:val="en-GB"/>
              </w:rPr>
            </w:pPr>
            <w:r w:rsidRPr="00FA1C5B">
              <w:rPr>
                <w:lang w:val="en-GB"/>
              </w:rPr>
              <w:t>Moderate</w:t>
            </w:r>
          </w:p>
        </w:tc>
        <w:tc>
          <w:tcPr>
            <w:tcW w:w="6520" w:type="dxa"/>
          </w:tcPr>
          <w:p w:rsidR="00FA1C5B" w:rsidRPr="00FA1C5B" w:rsidRDefault="00FA1C5B" w:rsidP="00FA1C5B">
            <w:pPr>
              <w:pStyle w:val="Tabletext"/>
              <w:rPr>
                <w:lang w:val="en-GB"/>
              </w:rPr>
            </w:pPr>
            <w:r w:rsidRPr="0091309C">
              <w:rPr>
                <w:i/>
                <w:lang w:val="en-GB"/>
              </w:rPr>
              <w:t>The cracks require some opening up and can be patched by a mason. Repointing of external brickwork and possibly a small amount of brickwork to be replaced.</w:t>
            </w:r>
            <w:r w:rsidRPr="00FA1C5B">
              <w:rPr>
                <w:lang w:val="en-GB"/>
              </w:rPr>
              <w:t xml:space="preserve"> Doors and windows sticking. Service pipes may fracture.</w:t>
            </w:r>
          </w:p>
          <w:p w:rsidR="00FA1C5B" w:rsidRPr="00FA1C5B" w:rsidRDefault="00FA1C5B" w:rsidP="00FA1C5B">
            <w:pPr>
              <w:pStyle w:val="Tabletext"/>
              <w:rPr>
                <w:lang w:val="en-GB"/>
              </w:rPr>
            </w:pPr>
            <w:r w:rsidRPr="00FA1C5B">
              <w:rPr>
                <w:lang w:val="en-GB"/>
              </w:rPr>
              <w:t>Weather</w:t>
            </w:r>
            <w:r w:rsidR="00D87BDF">
              <w:rPr>
                <w:lang w:val="en-GB"/>
              </w:rPr>
              <w:t>-</w:t>
            </w:r>
            <w:r w:rsidRPr="00FA1C5B">
              <w:rPr>
                <w:lang w:val="en-GB"/>
              </w:rPr>
              <w:t>tightness often impaired. Typical crack widths are 5 mm to 15 mm or several &gt;3 mm.</w:t>
            </w:r>
          </w:p>
        </w:tc>
      </w:tr>
      <w:tr w:rsidR="00FA1C5B" w:rsidRPr="00FA1C5B" w:rsidTr="001F27A3">
        <w:tc>
          <w:tcPr>
            <w:tcW w:w="1117" w:type="dxa"/>
          </w:tcPr>
          <w:p w:rsidR="00FA1C5B" w:rsidRPr="00FA1C5B" w:rsidRDefault="00FA1C5B" w:rsidP="00FA1C5B">
            <w:pPr>
              <w:pStyle w:val="Tabletext"/>
              <w:rPr>
                <w:lang w:val="en-GB"/>
              </w:rPr>
            </w:pPr>
            <w:r w:rsidRPr="00FA1C5B">
              <w:rPr>
                <w:lang w:val="en-GB"/>
              </w:rPr>
              <w:t>4</w:t>
            </w:r>
          </w:p>
        </w:tc>
        <w:tc>
          <w:tcPr>
            <w:tcW w:w="1535" w:type="dxa"/>
          </w:tcPr>
          <w:p w:rsidR="00FA1C5B" w:rsidRPr="00FA1C5B" w:rsidRDefault="00FA1C5B" w:rsidP="00FA1C5B">
            <w:pPr>
              <w:pStyle w:val="Tabletext"/>
              <w:rPr>
                <w:lang w:val="en-GB"/>
              </w:rPr>
            </w:pPr>
            <w:r w:rsidRPr="00FA1C5B">
              <w:rPr>
                <w:lang w:val="en-GB"/>
              </w:rPr>
              <w:t>Severe</w:t>
            </w:r>
          </w:p>
        </w:tc>
        <w:tc>
          <w:tcPr>
            <w:tcW w:w="6520" w:type="dxa"/>
          </w:tcPr>
          <w:p w:rsidR="00FA1C5B" w:rsidRPr="0091309C" w:rsidRDefault="00FA1C5B" w:rsidP="00FA1C5B">
            <w:pPr>
              <w:pStyle w:val="Tabletext"/>
              <w:rPr>
                <w:i/>
                <w:lang w:val="en-GB"/>
              </w:rPr>
            </w:pPr>
            <w:r w:rsidRPr="0091309C">
              <w:rPr>
                <w:i/>
                <w:lang w:val="en-GB"/>
              </w:rPr>
              <w:t>Extensive repair work involving breaking-out and replacing sections of walls, especially over doors and windows</w:t>
            </w:r>
            <w:r w:rsidR="0091309C">
              <w:rPr>
                <w:i/>
                <w:lang w:val="en-GB"/>
              </w:rPr>
              <w:t>.</w:t>
            </w:r>
          </w:p>
          <w:p w:rsidR="00FA1C5B" w:rsidRPr="00FA1C5B" w:rsidRDefault="00FA1C5B" w:rsidP="00565387">
            <w:pPr>
              <w:pStyle w:val="Tabletext"/>
              <w:rPr>
                <w:lang w:val="en-GB"/>
              </w:rPr>
            </w:pPr>
            <w:r w:rsidRPr="00FA1C5B">
              <w:rPr>
                <w:lang w:val="en-GB"/>
              </w:rPr>
              <w:t>Windows and door frames distorted, floor sloping noticeably. Walls leaning</w:t>
            </w:r>
            <w:r w:rsidR="00744FF1">
              <w:rPr>
                <w:rStyle w:val="FootnoteReference"/>
                <w:lang w:val="en-GB"/>
              </w:rPr>
              <w:footnoteReference w:id="2"/>
            </w:r>
            <w:r w:rsidRPr="00FA1C5B">
              <w:rPr>
                <w:lang w:val="en-GB"/>
              </w:rPr>
              <w:t xml:space="preserve"> or bulging noticeably, some loss of bearing in beams. Service piped disrupted. Typical crack widths are 15 mm to 25 mm, but also depends on the number of cracks</w:t>
            </w:r>
          </w:p>
        </w:tc>
      </w:tr>
      <w:tr w:rsidR="00FA1C5B" w:rsidRPr="00FA1C5B" w:rsidTr="001F27A3">
        <w:tc>
          <w:tcPr>
            <w:tcW w:w="1117" w:type="dxa"/>
          </w:tcPr>
          <w:p w:rsidR="00FA1C5B" w:rsidRPr="00FA1C5B" w:rsidRDefault="00FA1C5B" w:rsidP="00FA1C5B">
            <w:pPr>
              <w:pStyle w:val="Tabletext"/>
              <w:rPr>
                <w:lang w:val="en-GB"/>
              </w:rPr>
            </w:pPr>
            <w:r w:rsidRPr="00FA1C5B">
              <w:rPr>
                <w:lang w:val="en-GB"/>
              </w:rPr>
              <w:t>5</w:t>
            </w:r>
          </w:p>
        </w:tc>
        <w:tc>
          <w:tcPr>
            <w:tcW w:w="1535" w:type="dxa"/>
          </w:tcPr>
          <w:p w:rsidR="00FA1C5B" w:rsidRPr="00FA1C5B" w:rsidRDefault="00FA1C5B" w:rsidP="00FA1C5B">
            <w:pPr>
              <w:pStyle w:val="Tabletext"/>
              <w:rPr>
                <w:lang w:val="en-GB"/>
              </w:rPr>
            </w:pPr>
            <w:r w:rsidRPr="00FA1C5B">
              <w:rPr>
                <w:lang w:val="en-GB"/>
              </w:rPr>
              <w:t xml:space="preserve">Very </w:t>
            </w:r>
            <w:r w:rsidR="00684C52">
              <w:rPr>
                <w:lang w:val="en-GB"/>
              </w:rPr>
              <w:t>s</w:t>
            </w:r>
            <w:r w:rsidRPr="00FA1C5B">
              <w:rPr>
                <w:lang w:val="en-GB"/>
              </w:rPr>
              <w:t>evere</w:t>
            </w:r>
          </w:p>
        </w:tc>
        <w:tc>
          <w:tcPr>
            <w:tcW w:w="6520" w:type="dxa"/>
          </w:tcPr>
          <w:p w:rsidR="00FA1C5B" w:rsidRPr="00FA1C5B" w:rsidRDefault="00FA1C5B" w:rsidP="00FA1C5B">
            <w:pPr>
              <w:pStyle w:val="Tabletext"/>
              <w:rPr>
                <w:lang w:val="en-GB"/>
              </w:rPr>
            </w:pPr>
            <w:r w:rsidRPr="006B5C6A">
              <w:rPr>
                <w:i/>
                <w:lang w:val="en-GB"/>
              </w:rPr>
              <w:t>This requires major repair work involving partial or complete rebuilding</w:t>
            </w:r>
            <w:r w:rsidRPr="00FA1C5B">
              <w:rPr>
                <w:lang w:val="en-GB"/>
              </w:rPr>
              <w:t xml:space="preserve">. Beams lose </w:t>
            </w:r>
            <w:proofErr w:type="gramStart"/>
            <w:r w:rsidRPr="00FA1C5B">
              <w:rPr>
                <w:lang w:val="en-GB"/>
              </w:rPr>
              <w:t>bearing,</w:t>
            </w:r>
            <w:proofErr w:type="gramEnd"/>
            <w:r w:rsidRPr="00FA1C5B">
              <w:rPr>
                <w:lang w:val="en-GB"/>
              </w:rPr>
              <w:t xml:space="preserve"> walls lean badly and require shoring. Windows broken with distortion. Danger of instability. </w:t>
            </w:r>
            <w:proofErr w:type="gramStart"/>
            <w:r w:rsidRPr="00FA1C5B">
              <w:rPr>
                <w:lang w:val="en-GB"/>
              </w:rPr>
              <w:t>Typical crack widths are greater than 25 mm, but depends</w:t>
            </w:r>
            <w:proofErr w:type="gramEnd"/>
            <w:r w:rsidRPr="00FA1C5B">
              <w:rPr>
                <w:lang w:val="en-GB"/>
              </w:rPr>
              <w:t xml:space="preserve"> on the number of cracks.</w:t>
            </w:r>
          </w:p>
        </w:tc>
      </w:tr>
    </w:tbl>
    <w:p w:rsidR="00093D1C" w:rsidRDefault="00093D1C">
      <w:pPr>
        <w:rPr>
          <w:lang w:val="en-AU"/>
        </w:rPr>
      </w:pPr>
    </w:p>
    <w:p w:rsidR="00FA1C5B" w:rsidRPr="00FA1C5B" w:rsidRDefault="00FA1C5B" w:rsidP="00FA1C5B">
      <w:pPr>
        <w:pStyle w:val="Heading2"/>
      </w:pPr>
      <w:bookmarkStart w:id="524" w:name="_Toc338078451"/>
      <w:bookmarkStart w:id="525" w:name="_Toc387410247"/>
      <w:bookmarkStart w:id="526" w:name="_Toc402425323"/>
      <w:r w:rsidRPr="00FA1C5B">
        <w:t xml:space="preserve">Impact on </w:t>
      </w:r>
      <w:r w:rsidR="00FD23B8">
        <w:t>p</w:t>
      </w:r>
      <w:r w:rsidRPr="00FA1C5B">
        <w:t xml:space="preserve">ipelines and </w:t>
      </w:r>
      <w:r w:rsidR="00FD23B8">
        <w:t>u</w:t>
      </w:r>
      <w:r w:rsidRPr="00FA1C5B">
        <w:t>tilities</w:t>
      </w:r>
      <w:bookmarkEnd w:id="524"/>
      <w:bookmarkEnd w:id="525"/>
      <w:bookmarkEnd w:id="526"/>
    </w:p>
    <w:p w:rsidR="00FA1C5B" w:rsidRPr="00FA1C5B" w:rsidRDefault="00FA1C5B" w:rsidP="00FA1C5B">
      <w:pPr>
        <w:pStyle w:val="BRNormal11pt0"/>
        <w:rPr>
          <w:lang w:val="en-AU"/>
        </w:rPr>
      </w:pPr>
      <w:r w:rsidRPr="00FA1C5B">
        <w:rPr>
          <w:lang w:val="en-AU"/>
        </w:rPr>
        <w:t>Buried pipes and well casings may be subjected to large bending and tensile loads due to ground movements. Soil movement can be taken as the upper bound of pipe displacement. Subsidence leads to displacements that are typically monotonic and do not influence the fatigue life. Thus, a strain or deformation criterion is considered, accounting for inelastic pipe behaviour.</w:t>
      </w:r>
    </w:p>
    <w:p w:rsidR="00FA1C5B" w:rsidRPr="00FA1C5B" w:rsidRDefault="00FA1C5B" w:rsidP="00C82AAB">
      <w:pPr>
        <w:pStyle w:val="BRNormal11pt0"/>
        <w:rPr>
          <w:lang w:val="en-AU"/>
        </w:rPr>
      </w:pPr>
      <w:r w:rsidRPr="00FA1C5B">
        <w:rPr>
          <w:lang w:val="en-AU"/>
        </w:rPr>
        <w:t xml:space="preserve">Strain limits are typically used to guard against localised wrinkling or tensile fracture at girth welds while allowing for some controlled level of pipe steel yield. Appropriate deformation limits such as strain or curvature limits can be established based on testing and detailed analysis. American Lifelines Alliance (2001) proposed the acceptance criteria for steel pipes as shown in Table </w:t>
      </w:r>
      <w:r w:rsidR="002C43B4">
        <w:rPr>
          <w:lang w:val="en-AU"/>
        </w:rPr>
        <w:t>5</w:t>
      </w:r>
      <w:r w:rsidRPr="00FA1C5B">
        <w:rPr>
          <w:lang w:val="en-AU"/>
        </w:rPr>
        <w:t>.</w:t>
      </w:r>
    </w:p>
    <w:p w:rsidR="00FA1C5B" w:rsidRPr="00FA1C5B" w:rsidRDefault="000318D9" w:rsidP="00D90926">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5</w:t>
      </w:r>
      <w:r w:rsidR="00E252C4" w:rsidRPr="001E0FA8">
        <w:fldChar w:fldCharType="end"/>
      </w:r>
      <w:r w:rsidRPr="001E0FA8">
        <w:t xml:space="preserve"> </w:t>
      </w:r>
      <w:r w:rsidR="00FA1C5B" w:rsidRPr="00FA1C5B">
        <w:t xml:space="preserve">Acceptance </w:t>
      </w:r>
      <w:r w:rsidR="00154A6A">
        <w:t>c</w:t>
      </w:r>
      <w:r w:rsidR="00FA1C5B" w:rsidRPr="00FA1C5B">
        <w:t xml:space="preserve">riteria for </w:t>
      </w:r>
      <w:r w:rsidR="00154A6A">
        <w:t>d</w:t>
      </w:r>
      <w:r w:rsidR="00FA1C5B" w:rsidRPr="00FA1C5B">
        <w:t xml:space="preserve">eformation due to </w:t>
      </w:r>
      <w:r w:rsidR="00154A6A">
        <w:t>g</w:t>
      </w:r>
      <w:r w:rsidR="00FA1C5B" w:rsidRPr="00FA1C5B">
        <w:t xml:space="preserve">round </w:t>
      </w:r>
      <w:r w:rsidR="00154A6A">
        <w:t>s</w:t>
      </w:r>
      <w:r w:rsidR="00FA1C5B" w:rsidRPr="00FA1C5B">
        <w:t xml:space="preserve">ubsidence in </w:t>
      </w:r>
      <w:r w:rsidR="00154A6A">
        <w:t>s</w:t>
      </w:r>
      <w:r w:rsidR="00FA1C5B" w:rsidRPr="00FA1C5B">
        <w:t xml:space="preserve">teel </w:t>
      </w:r>
      <w:r w:rsidR="00154A6A">
        <w:t>p</w:t>
      </w:r>
      <w:r w:rsidR="00FA1C5B" w:rsidRPr="00FA1C5B">
        <w:t>ipes</w:t>
      </w:r>
      <w:r w:rsidR="00154A6A">
        <w:t xml:space="preserve"> (</w:t>
      </w:r>
      <w:r w:rsidR="00154A6A">
        <w:rPr>
          <w:rFonts w:cs="Arial"/>
        </w:rPr>
        <w:t>©</w:t>
      </w:r>
      <w:r w:rsidR="00154A6A">
        <w:t xml:space="preserve"> Copyright, </w:t>
      </w:r>
      <w:r w:rsidR="00FA1C5B" w:rsidRPr="00FA1C5B">
        <w:t>American Lifelines Alliance 2001)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11"/>
        <w:gridCol w:w="2324"/>
        <w:gridCol w:w="2496"/>
      </w:tblGrid>
      <w:tr w:rsidR="00FA1C5B" w:rsidRPr="00FA1C5B" w:rsidTr="003D13B0">
        <w:trPr>
          <w:tblHeader/>
        </w:trPr>
        <w:tc>
          <w:tcPr>
            <w:tcW w:w="4111" w:type="dxa"/>
            <w:tcBorders>
              <w:bottom w:val="single" w:sz="4" w:space="0" w:color="auto"/>
            </w:tcBorders>
            <w:shd w:val="clear" w:color="auto" w:fill="C6D9F1" w:themeFill="text2" w:themeFillTint="33"/>
          </w:tcPr>
          <w:p w:rsidR="00FA1C5B" w:rsidRPr="00FA1C5B" w:rsidRDefault="00FA1C5B" w:rsidP="00C82AAB">
            <w:pPr>
              <w:pStyle w:val="Tableheading"/>
              <w:rPr>
                <w:lang w:val="en-AU"/>
              </w:rPr>
            </w:pPr>
            <w:r w:rsidRPr="00FA1C5B">
              <w:rPr>
                <w:lang w:val="en-AU"/>
              </w:rPr>
              <w:t xml:space="preserve">Loading </w:t>
            </w:r>
            <w:r w:rsidR="00154A6A">
              <w:rPr>
                <w:lang w:val="en-AU"/>
              </w:rPr>
              <w:t>c</w:t>
            </w:r>
            <w:r w:rsidRPr="00FA1C5B">
              <w:rPr>
                <w:lang w:val="en-AU"/>
              </w:rPr>
              <w:t>ondition</w:t>
            </w:r>
          </w:p>
        </w:tc>
        <w:tc>
          <w:tcPr>
            <w:tcW w:w="4820" w:type="dxa"/>
            <w:gridSpan w:val="2"/>
            <w:shd w:val="clear" w:color="auto" w:fill="C6D9F1" w:themeFill="text2" w:themeFillTint="33"/>
          </w:tcPr>
          <w:p w:rsidR="00FA1C5B" w:rsidRPr="00FA1C5B" w:rsidRDefault="00FA1C5B" w:rsidP="00C82AAB">
            <w:pPr>
              <w:pStyle w:val="Tableheading"/>
              <w:rPr>
                <w:lang w:val="en-AU"/>
              </w:rPr>
            </w:pPr>
            <w:r w:rsidRPr="00FA1C5B">
              <w:rPr>
                <w:lang w:val="en-AU"/>
              </w:rPr>
              <w:t xml:space="preserve">Allowable </w:t>
            </w:r>
            <w:r w:rsidR="00154A6A">
              <w:rPr>
                <w:lang w:val="en-AU"/>
              </w:rPr>
              <w:t>d</w:t>
            </w:r>
            <w:r w:rsidRPr="00FA1C5B">
              <w:rPr>
                <w:lang w:val="en-AU"/>
              </w:rPr>
              <w:t>eformation or strain</w:t>
            </w:r>
          </w:p>
        </w:tc>
      </w:tr>
      <w:tr w:rsidR="003D13B0" w:rsidRPr="00FA1C5B" w:rsidTr="003D13B0">
        <w:trPr>
          <w:trHeight w:val="302"/>
        </w:trPr>
        <w:tc>
          <w:tcPr>
            <w:tcW w:w="4111" w:type="dxa"/>
            <w:tcBorders>
              <w:bottom w:val="nil"/>
            </w:tcBorders>
          </w:tcPr>
          <w:p w:rsidR="003D13B0" w:rsidRPr="00FA1C5B" w:rsidRDefault="003D13B0" w:rsidP="00C82AAB">
            <w:pPr>
              <w:pStyle w:val="Tabletext"/>
              <w:rPr>
                <w:lang w:val="en-AU"/>
              </w:rPr>
            </w:pPr>
            <w:r w:rsidRPr="00FA1C5B">
              <w:rPr>
                <w:lang w:val="en-AU"/>
              </w:rPr>
              <w:t>Longitudinal strain from ground movement</w:t>
            </w:r>
          </w:p>
        </w:tc>
        <w:tc>
          <w:tcPr>
            <w:tcW w:w="2324" w:type="dxa"/>
          </w:tcPr>
          <w:p w:rsidR="003D13B0" w:rsidRPr="00FA1C5B" w:rsidRDefault="003D13B0" w:rsidP="003D13B0">
            <w:pPr>
              <w:pStyle w:val="Tabletext"/>
              <w:rPr>
                <w:lang w:val="en-AU"/>
              </w:rPr>
            </w:pPr>
            <w:r w:rsidRPr="00FA1C5B">
              <w:rPr>
                <w:lang w:val="en-AU"/>
              </w:rPr>
              <w:t>Operable limits</w:t>
            </w:r>
          </w:p>
        </w:tc>
        <w:tc>
          <w:tcPr>
            <w:tcW w:w="2496" w:type="dxa"/>
          </w:tcPr>
          <w:p w:rsidR="003D13B0" w:rsidRPr="00FA1C5B" w:rsidRDefault="003D13B0" w:rsidP="003D13B0">
            <w:pPr>
              <w:pStyle w:val="Tabletext"/>
              <w:rPr>
                <w:lang w:val="en-AU"/>
              </w:rPr>
            </w:pPr>
            <w:r w:rsidRPr="00FA1C5B">
              <w:rPr>
                <w:lang w:val="en-AU"/>
              </w:rPr>
              <w:t>Pressure integrity limits</w:t>
            </w:r>
          </w:p>
        </w:tc>
      </w:tr>
      <w:tr w:rsidR="003D13B0" w:rsidRPr="00FA1C5B" w:rsidTr="003D13B0">
        <w:trPr>
          <w:trHeight w:val="302"/>
        </w:trPr>
        <w:tc>
          <w:tcPr>
            <w:tcW w:w="4111" w:type="dxa"/>
            <w:tcBorders>
              <w:top w:val="nil"/>
            </w:tcBorders>
          </w:tcPr>
          <w:p w:rsidR="003D13B0" w:rsidRPr="00FA1C5B" w:rsidRDefault="003D13B0" w:rsidP="00C82AAB">
            <w:pPr>
              <w:pStyle w:val="Tabletext"/>
              <w:rPr>
                <w:lang w:val="en-AU"/>
              </w:rPr>
            </w:pPr>
          </w:p>
        </w:tc>
        <w:tc>
          <w:tcPr>
            <w:tcW w:w="2324" w:type="dxa"/>
          </w:tcPr>
          <w:p w:rsidR="003D13B0" w:rsidRPr="00FA1C5B" w:rsidRDefault="003D13B0" w:rsidP="003D13B0">
            <w:pPr>
              <w:pStyle w:val="Tabletext"/>
              <w:rPr>
                <w:lang w:val="en-AU"/>
              </w:rPr>
            </w:pPr>
            <w:r w:rsidRPr="00FA1C5B">
              <w:rPr>
                <w:lang w:val="en-AU"/>
              </w:rPr>
              <w:t>Tension strain limit 2%</w:t>
            </w:r>
          </w:p>
        </w:tc>
        <w:tc>
          <w:tcPr>
            <w:tcW w:w="2496" w:type="dxa"/>
          </w:tcPr>
          <w:p w:rsidR="003D13B0" w:rsidRPr="00FA1C5B" w:rsidRDefault="003D13B0" w:rsidP="003D13B0">
            <w:pPr>
              <w:pStyle w:val="Tabletext"/>
              <w:rPr>
                <w:lang w:val="en-AU"/>
              </w:rPr>
            </w:pPr>
            <w:r w:rsidRPr="00FA1C5B">
              <w:rPr>
                <w:lang w:val="en-AU"/>
              </w:rPr>
              <w:t>Tension strain limit 4%</w:t>
            </w:r>
          </w:p>
        </w:tc>
      </w:tr>
    </w:tbl>
    <w:p w:rsidR="00FA1C5B" w:rsidRPr="00FA1C5B" w:rsidRDefault="00FA1C5B" w:rsidP="005D239A">
      <w:pPr>
        <w:pStyle w:val="BRNormal11pt0"/>
        <w:rPr>
          <w:lang w:val="en-AU"/>
        </w:rPr>
      </w:pPr>
      <w:r w:rsidRPr="00FA1C5B">
        <w:rPr>
          <w:lang w:val="en-AU"/>
        </w:rPr>
        <w:t>Bracegirdle et al</w:t>
      </w:r>
      <w:r w:rsidR="00154A6A">
        <w:rPr>
          <w:lang w:val="en-AU"/>
        </w:rPr>
        <w:t>.</w:t>
      </w:r>
      <w:r w:rsidRPr="00FA1C5B">
        <w:rPr>
          <w:lang w:val="en-AU"/>
        </w:rPr>
        <w:t xml:space="preserve"> (1996) g</w:t>
      </w:r>
      <w:r w:rsidR="00154A6A">
        <w:rPr>
          <w:lang w:val="en-AU"/>
        </w:rPr>
        <w:t>a</w:t>
      </w:r>
      <w:r w:rsidRPr="00FA1C5B">
        <w:rPr>
          <w:lang w:val="en-AU"/>
        </w:rPr>
        <w:t xml:space="preserve">ve </w:t>
      </w:r>
      <w:r w:rsidRPr="00FA1C5B">
        <w:rPr>
          <w:lang w:val="en-GB"/>
        </w:rPr>
        <w:t>empirical criteria for limiting slopes of utilities at which damage would occur. These are shown in Table</w:t>
      </w:r>
      <w:r w:rsidRPr="00FA1C5B">
        <w:rPr>
          <w:lang w:val="en-AU"/>
        </w:rPr>
        <w:t xml:space="preserve"> </w:t>
      </w:r>
      <w:r w:rsidR="002C43B4">
        <w:rPr>
          <w:lang w:val="en-AU"/>
        </w:rPr>
        <w:t>6</w:t>
      </w:r>
      <w:r w:rsidRPr="00FA1C5B">
        <w:rPr>
          <w:lang w:val="en-AU"/>
        </w:rPr>
        <w:t>.</w:t>
      </w:r>
    </w:p>
    <w:p w:rsidR="00FA1C5B" w:rsidRPr="00FA1C5B" w:rsidRDefault="00C1546D" w:rsidP="00D90926">
      <w:pPr>
        <w:pStyle w:val="Caption-table"/>
        <w:rPr>
          <w:lang w:val="en-AU"/>
        </w:rPr>
      </w:pPr>
      <w:bookmarkStart w:id="527" w:name="_Toc329278596"/>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6</w:t>
      </w:r>
      <w:r w:rsidR="00E252C4" w:rsidRPr="001E0FA8">
        <w:fldChar w:fldCharType="end"/>
      </w:r>
      <w:r w:rsidR="00FA1C5B" w:rsidRPr="00FA1C5B">
        <w:t xml:space="preserve"> Empirical </w:t>
      </w:r>
      <w:r w:rsidR="00154A6A">
        <w:t>c</w:t>
      </w:r>
      <w:r w:rsidR="00FA1C5B" w:rsidRPr="00FA1C5B">
        <w:t xml:space="preserve">riteria for </w:t>
      </w:r>
      <w:r w:rsidR="00154A6A">
        <w:t>l</w:t>
      </w:r>
      <w:r w:rsidR="00FA1C5B" w:rsidRPr="00FA1C5B">
        <w:t xml:space="preserve">imiting </w:t>
      </w:r>
      <w:r w:rsidR="00154A6A">
        <w:t>s</w:t>
      </w:r>
      <w:r w:rsidR="00FA1C5B" w:rsidRPr="00FA1C5B">
        <w:t xml:space="preserve">lope of </w:t>
      </w:r>
      <w:r w:rsidR="00154A6A">
        <w:t>u</w:t>
      </w:r>
      <w:r w:rsidR="00FA1C5B" w:rsidRPr="00FA1C5B">
        <w:t xml:space="preserve">tilities for </w:t>
      </w:r>
      <w:r w:rsidR="00154A6A">
        <w:t>d</w:t>
      </w:r>
      <w:r w:rsidR="00FA1C5B" w:rsidRPr="00FA1C5B">
        <w:t xml:space="preserve">amage to </w:t>
      </w:r>
      <w:r w:rsidR="00154A6A">
        <w:t>o</w:t>
      </w:r>
      <w:r w:rsidR="00FA1C5B" w:rsidRPr="00FA1C5B">
        <w:t>ccur</w:t>
      </w:r>
      <w:bookmarkEnd w:id="527"/>
      <w:r w:rsidR="00154A6A">
        <w:t xml:space="preserve"> (</w:t>
      </w:r>
      <w:r w:rsidR="00154A6A">
        <w:rPr>
          <w:rFonts w:cs="Arial"/>
        </w:rPr>
        <w:t>©</w:t>
      </w:r>
      <w:r w:rsidR="00154A6A">
        <w:t xml:space="preserve"> Copyright, </w:t>
      </w:r>
      <w:r w:rsidR="00154A6A" w:rsidRPr="00FA1C5B">
        <w:rPr>
          <w:lang w:val="en-AU"/>
        </w:rPr>
        <w:t>Bracegirdle</w:t>
      </w:r>
      <w:r w:rsidR="00154A6A">
        <w:rPr>
          <w:lang w:val="en-AU"/>
        </w:rPr>
        <w:t> </w:t>
      </w:r>
      <w:r w:rsidR="00154A6A" w:rsidRPr="00FA1C5B">
        <w:rPr>
          <w:lang w:val="en-AU"/>
        </w:rPr>
        <w:t>et</w:t>
      </w:r>
      <w:r w:rsidR="00154A6A">
        <w:rPr>
          <w:lang w:val="en-AU"/>
        </w:rPr>
        <w:t> </w:t>
      </w:r>
      <w:r w:rsidR="00154A6A" w:rsidRPr="00FA1C5B">
        <w:rPr>
          <w:lang w:val="en-AU"/>
        </w:rPr>
        <w:t>al</w:t>
      </w:r>
      <w:r w:rsidR="00154A6A">
        <w:rPr>
          <w:lang w:val="en-AU"/>
        </w:rPr>
        <w:t xml:space="preserve">. </w:t>
      </w:r>
      <w:r w:rsidR="00154A6A" w:rsidRPr="00FA1C5B">
        <w:rPr>
          <w:lang w:val="en-AU"/>
        </w:rPr>
        <w:t>1996)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7"/>
        <w:gridCol w:w="3544"/>
      </w:tblGrid>
      <w:tr w:rsidR="00FA1C5B" w:rsidRPr="00FA1C5B" w:rsidTr="00D147DC">
        <w:trPr>
          <w:tblHeader/>
        </w:trPr>
        <w:tc>
          <w:tcPr>
            <w:tcW w:w="5387" w:type="dxa"/>
            <w:shd w:val="clear" w:color="auto" w:fill="C6D9F1" w:themeFill="text2" w:themeFillTint="33"/>
          </w:tcPr>
          <w:p w:rsidR="00FA1C5B" w:rsidRPr="00FA1C5B" w:rsidRDefault="00FA1C5B" w:rsidP="005D239A">
            <w:pPr>
              <w:pStyle w:val="Tableheading"/>
              <w:rPr>
                <w:lang w:val="en-GB"/>
              </w:rPr>
            </w:pPr>
            <w:r w:rsidRPr="00FA1C5B">
              <w:rPr>
                <w:lang w:val="en-GB"/>
              </w:rPr>
              <w:t xml:space="preserve">Description of </w:t>
            </w:r>
            <w:r w:rsidR="00154A6A">
              <w:rPr>
                <w:lang w:val="en-GB"/>
              </w:rPr>
              <w:t>u</w:t>
            </w:r>
            <w:r w:rsidRPr="00FA1C5B">
              <w:rPr>
                <w:lang w:val="en-GB"/>
              </w:rPr>
              <w:t xml:space="preserve">tility </w:t>
            </w:r>
            <w:r w:rsidR="00154A6A">
              <w:rPr>
                <w:lang w:val="en-GB"/>
              </w:rPr>
              <w:t>t</w:t>
            </w:r>
            <w:r w:rsidRPr="00FA1C5B">
              <w:rPr>
                <w:lang w:val="en-GB"/>
              </w:rPr>
              <w:t>ype</w:t>
            </w:r>
          </w:p>
        </w:tc>
        <w:tc>
          <w:tcPr>
            <w:tcW w:w="3544" w:type="dxa"/>
            <w:shd w:val="clear" w:color="auto" w:fill="C6D9F1" w:themeFill="text2" w:themeFillTint="33"/>
          </w:tcPr>
          <w:p w:rsidR="00FA1C5B" w:rsidRPr="00FA1C5B" w:rsidRDefault="00FA1C5B" w:rsidP="005D239A">
            <w:pPr>
              <w:pStyle w:val="Tableheading"/>
              <w:rPr>
                <w:lang w:val="en-GB"/>
              </w:rPr>
            </w:pPr>
            <w:r w:rsidRPr="00FA1C5B">
              <w:rPr>
                <w:lang w:val="en-GB"/>
              </w:rPr>
              <w:t xml:space="preserve">Induced </w:t>
            </w:r>
            <w:r w:rsidR="00154A6A">
              <w:rPr>
                <w:lang w:val="en-GB"/>
              </w:rPr>
              <w:t>s</w:t>
            </w:r>
            <w:r w:rsidRPr="00FA1C5B">
              <w:rPr>
                <w:lang w:val="en-GB"/>
              </w:rPr>
              <w:t xml:space="preserve">lope </w:t>
            </w:r>
            <w:r w:rsidR="00154A6A">
              <w:rPr>
                <w:lang w:val="en-GB"/>
              </w:rPr>
              <w:t>l</w:t>
            </w:r>
            <w:r w:rsidRPr="00FA1C5B">
              <w:rPr>
                <w:lang w:val="en-GB"/>
              </w:rPr>
              <w:t>imitation</w:t>
            </w:r>
          </w:p>
        </w:tc>
      </w:tr>
      <w:tr w:rsidR="00FA1C5B" w:rsidRPr="00FA1C5B" w:rsidTr="001F27A3">
        <w:tc>
          <w:tcPr>
            <w:tcW w:w="5387" w:type="dxa"/>
          </w:tcPr>
          <w:p w:rsidR="00FA1C5B" w:rsidRPr="00FA1C5B" w:rsidRDefault="00FA1C5B" w:rsidP="005D239A">
            <w:pPr>
              <w:pStyle w:val="Tabletext"/>
              <w:rPr>
                <w:lang w:val="en-GB"/>
              </w:rPr>
            </w:pPr>
            <w:r w:rsidRPr="00FA1C5B">
              <w:rPr>
                <w:lang w:val="en-GB"/>
              </w:rPr>
              <w:t>Relatively rigid pipes, more than 200 mm diameter</w:t>
            </w:r>
          </w:p>
        </w:tc>
        <w:tc>
          <w:tcPr>
            <w:tcW w:w="3544" w:type="dxa"/>
          </w:tcPr>
          <w:p w:rsidR="00FA1C5B" w:rsidRPr="00FA1C5B" w:rsidRDefault="00FA1C5B" w:rsidP="005D239A">
            <w:pPr>
              <w:pStyle w:val="Tabletext"/>
              <w:rPr>
                <w:lang w:val="en-GB"/>
              </w:rPr>
            </w:pPr>
            <w:r w:rsidRPr="00FA1C5B">
              <w:rPr>
                <w:lang w:val="en-GB"/>
              </w:rPr>
              <w:t>Less than 1/140</w:t>
            </w:r>
          </w:p>
        </w:tc>
      </w:tr>
      <w:tr w:rsidR="00FA1C5B" w:rsidRPr="00FA1C5B" w:rsidTr="001F27A3">
        <w:tc>
          <w:tcPr>
            <w:tcW w:w="5387" w:type="dxa"/>
          </w:tcPr>
          <w:p w:rsidR="00FA1C5B" w:rsidRPr="00FA1C5B" w:rsidRDefault="00FA1C5B" w:rsidP="005D239A">
            <w:pPr>
              <w:pStyle w:val="Tabletext"/>
              <w:rPr>
                <w:lang w:val="en-GB"/>
              </w:rPr>
            </w:pPr>
            <w:r w:rsidRPr="00FA1C5B">
              <w:rPr>
                <w:lang w:val="en-GB"/>
              </w:rPr>
              <w:t>Relatively flexible pipes less than 200 mm</w:t>
            </w:r>
          </w:p>
        </w:tc>
        <w:tc>
          <w:tcPr>
            <w:tcW w:w="3544" w:type="dxa"/>
          </w:tcPr>
          <w:p w:rsidR="00FA1C5B" w:rsidRPr="00FA1C5B" w:rsidRDefault="00FA1C5B" w:rsidP="005D239A">
            <w:pPr>
              <w:pStyle w:val="Tabletext"/>
              <w:rPr>
                <w:lang w:val="en-GB"/>
              </w:rPr>
            </w:pPr>
            <w:r w:rsidRPr="00FA1C5B">
              <w:rPr>
                <w:lang w:val="en-GB"/>
              </w:rPr>
              <w:t>1/140 to 1/40</w:t>
            </w:r>
          </w:p>
        </w:tc>
      </w:tr>
    </w:tbl>
    <w:p w:rsidR="00FA1C5B" w:rsidRPr="00FA1C5B" w:rsidRDefault="00FA1C5B" w:rsidP="005D239A">
      <w:pPr>
        <w:pStyle w:val="BRNormal11pt0"/>
        <w:rPr>
          <w:lang w:val="en-GB"/>
        </w:rPr>
      </w:pPr>
      <w:r w:rsidRPr="00FA1C5B">
        <w:rPr>
          <w:lang w:val="en-GB"/>
        </w:rPr>
        <w:t>The categorisation developed by Bracegirdle et al</w:t>
      </w:r>
      <w:r w:rsidR="00154A6A">
        <w:rPr>
          <w:lang w:val="en-GB"/>
        </w:rPr>
        <w:t>.</w:t>
      </w:r>
      <w:r w:rsidRPr="00FA1C5B">
        <w:rPr>
          <w:lang w:val="en-GB"/>
        </w:rPr>
        <w:t xml:space="preserve"> (1996) is specifically for cast iron pipes but provides a useful preliminary method of distinguishing utility types which are more at risk than others.</w:t>
      </w:r>
    </w:p>
    <w:p w:rsidR="00FA1C5B" w:rsidRPr="00FA1C5B" w:rsidRDefault="00FA1C5B" w:rsidP="005D239A">
      <w:pPr>
        <w:pStyle w:val="Heading2"/>
      </w:pPr>
      <w:bookmarkStart w:id="528" w:name="_Toc387410248"/>
      <w:bookmarkStart w:id="529" w:name="_Toc402425324"/>
      <w:r w:rsidRPr="00FA1C5B">
        <w:t xml:space="preserve">Impact on </w:t>
      </w:r>
      <w:r w:rsidR="00FD23B8">
        <w:t>s</w:t>
      </w:r>
      <w:r w:rsidRPr="00FA1C5B">
        <w:t xml:space="preserve">ewer </w:t>
      </w:r>
      <w:r w:rsidR="00FD23B8">
        <w:t>p</w:t>
      </w:r>
      <w:r w:rsidRPr="00FA1C5B">
        <w:t>ipelines</w:t>
      </w:r>
      <w:bookmarkEnd w:id="528"/>
      <w:bookmarkEnd w:id="529"/>
    </w:p>
    <w:p w:rsidR="00FA1C5B" w:rsidRPr="00FA1C5B" w:rsidRDefault="00FA1C5B" w:rsidP="005D239A">
      <w:pPr>
        <w:pStyle w:val="BRNormal11pt0"/>
        <w:rPr>
          <w:lang w:val="en-GB"/>
        </w:rPr>
      </w:pPr>
      <w:r w:rsidRPr="00FA1C5B">
        <w:rPr>
          <w:lang w:val="en-GB"/>
        </w:rPr>
        <w:t>Tilt, induced by subsidence, may lead to a reduction in gradient in sewer pipelines so that pipe self-cleansing does not occur. However, observations of longwall mining-induced subsidence in Tahmoor NSW found that changes in grade of 0.4</w:t>
      </w:r>
      <w:r w:rsidR="00154A6A">
        <w:rPr>
          <w:lang w:val="en-GB"/>
        </w:rPr>
        <w:t xml:space="preserve"> per cent</w:t>
      </w:r>
      <w:r w:rsidRPr="00FA1C5B">
        <w:rPr>
          <w:lang w:val="en-GB"/>
        </w:rPr>
        <w:t xml:space="preserve"> did not cause any observable effects to sewer pipelines (MSEC 2008b). </w:t>
      </w:r>
    </w:p>
    <w:p w:rsidR="00FA1C5B" w:rsidRPr="00FA1C5B" w:rsidRDefault="00FA1C5B" w:rsidP="005D239A">
      <w:pPr>
        <w:pStyle w:val="Heading2"/>
      </w:pPr>
      <w:bookmarkStart w:id="530" w:name="_Toc338078452"/>
      <w:bookmarkStart w:id="531" w:name="_Toc387410249"/>
      <w:bookmarkStart w:id="532" w:name="_Toc402425325"/>
      <w:r w:rsidRPr="00FA1C5B">
        <w:t xml:space="preserve">Impact on </w:t>
      </w:r>
      <w:r w:rsidR="00FD23B8">
        <w:t>r</w:t>
      </w:r>
      <w:r w:rsidRPr="00FA1C5B">
        <w:t xml:space="preserve">oads and </w:t>
      </w:r>
      <w:r w:rsidR="00FD23B8">
        <w:t>h</w:t>
      </w:r>
      <w:r w:rsidRPr="00FA1C5B">
        <w:t>ighways</w:t>
      </w:r>
      <w:bookmarkEnd w:id="530"/>
      <w:bookmarkEnd w:id="531"/>
      <w:bookmarkEnd w:id="532"/>
    </w:p>
    <w:p w:rsidR="00FA1C5B" w:rsidRPr="00FA1C5B" w:rsidRDefault="00FA1C5B" w:rsidP="005D239A">
      <w:pPr>
        <w:pStyle w:val="BRNormal11pt0"/>
        <w:rPr>
          <w:lang w:val="en-AU"/>
        </w:rPr>
      </w:pPr>
      <w:r w:rsidRPr="00FA1C5B">
        <w:rPr>
          <w:lang w:val="en-AU"/>
        </w:rPr>
        <w:t xml:space="preserve">The effects of subsidence may have an impact on the serviceability of roads. Vertical </w:t>
      </w:r>
      <w:proofErr w:type="gramStart"/>
      <w:r w:rsidRPr="00FA1C5B">
        <w:rPr>
          <w:lang w:val="en-AU"/>
        </w:rPr>
        <w:t xml:space="preserve">settlement, horizontal strain, horizontal </w:t>
      </w:r>
      <w:r w:rsidR="00F37D74">
        <w:rPr>
          <w:lang w:val="en-AU"/>
        </w:rPr>
        <w:t>compaction</w:t>
      </w:r>
      <w:r w:rsidRPr="00FA1C5B">
        <w:rPr>
          <w:lang w:val="en-AU"/>
        </w:rPr>
        <w:t>, tilt</w:t>
      </w:r>
      <w:proofErr w:type="gramEnd"/>
      <w:r w:rsidRPr="00FA1C5B">
        <w:rPr>
          <w:lang w:val="en-AU"/>
        </w:rPr>
        <w:t xml:space="preserve"> and ground curvature may all cause damage to roads. Damage may be in the form of compression humps, tension cracks, </w:t>
      </w:r>
      <w:proofErr w:type="gramStart"/>
      <w:r w:rsidRPr="00FA1C5B">
        <w:rPr>
          <w:lang w:val="en-AU"/>
        </w:rPr>
        <w:t>distortion</w:t>
      </w:r>
      <w:proofErr w:type="gramEnd"/>
      <w:r w:rsidRPr="00FA1C5B">
        <w:rPr>
          <w:lang w:val="en-AU"/>
        </w:rPr>
        <w:t xml:space="preserve"> of the road surface and ponding of water on the road surface.</w:t>
      </w:r>
    </w:p>
    <w:p w:rsidR="00FA1C5B" w:rsidRPr="00FA1C5B" w:rsidRDefault="00FA1C5B" w:rsidP="00A90F48">
      <w:pPr>
        <w:pStyle w:val="Listintrotext"/>
        <w:rPr>
          <w:lang w:val="en-GB"/>
        </w:rPr>
      </w:pPr>
      <w:r w:rsidRPr="00FA1C5B">
        <w:rPr>
          <w:lang w:val="en-GB"/>
        </w:rPr>
        <w:t>Recently, Wong and Summerell (2012) discussed guidelines for settlement criteria for design of highways. Project specifications for limits on allowable change in grade of road pavements are typically 0.3</w:t>
      </w:r>
      <w:r w:rsidR="00154A6A">
        <w:rPr>
          <w:lang w:val="en-GB"/>
        </w:rPr>
        <w:t xml:space="preserve"> per cent</w:t>
      </w:r>
      <w:r w:rsidRPr="00FA1C5B">
        <w:rPr>
          <w:lang w:val="en-GB"/>
        </w:rPr>
        <w:t xml:space="preserve"> in 40 years for concrete pavements and 0.5</w:t>
      </w:r>
      <w:r w:rsidR="00154A6A">
        <w:rPr>
          <w:lang w:val="en-GB"/>
        </w:rPr>
        <w:t xml:space="preserve"> per cent</w:t>
      </w:r>
      <w:r w:rsidRPr="00FA1C5B">
        <w:rPr>
          <w:lang w:val="en-GB"/>
        </w:rPr>
        <w:t xml:space="preserve"> in 20 years for flexible pavements. The results of experience on a number of projects quoted by Wong and Summerell (2012) are summarised below:</w:t>
      </w:r>
    </w:p>
    <w:p w:rsidR="00FA1C5B" w:rsidRPr="00FA1C5B" w:rsidRDefault="00FA1C5B" w:rsidP="007702DF">
      <w:pPr>
        <w:pStyle w:val="BRdotpoints"/>
        <w:rPr>
          <w:lang w:val="en-GB"/>
        </w:rPr>
      </w:pPr>
      <w:r w:rsidRPr="00FA1C5B">
        <w:rPr>
          <w:lang w:val="en-GB"/>
        </w:rPr>
        <w:t xml:space="preserve">Mittagong Bypass - </w:t>
      </w:r>
      <w:r w:rsidR="00154A6A">
        <w:rPr>
          <w:lang w:val="en-GB"/>
        </w:rPr>
        <w:t>l</w:t>
      </w:r>
      <w:r w:rsidRPr="00FA1C5B">
        <w:rPr>
          <w:lang w:val="en-GB"/>
        </w:rPr>
        <w:t>ocalised settlement of 20 mm over a 15 m wave length occurred before cracking became evident</w:t>
      </w:r>
    </w:p>
    <w:p w:rsidR="00FA1C5B" w:rsidRPr="00FA1C5B" w:rsidRDefault="001F27A3" w:rsidP="007702DF">
      <w:pPr>
        <w:pStyle w:val="FinalDotPoint"/>
        <w:rPr>
          <w:lang w:val="en-GB"/>
        </w:rPr>
      </w:pPr>
      <w:proofErr w:type="gramStart"/>
      <w:r>
        <w:rPr>
          <w:lang w:val="en-GB"/>
        </w:rPr>
        <w:t>r</w:t>
      </w:r>
      <w:r w:rsidR="00FA1C5B" w:rsidRPr="00FA1C5B">
        <w:rPr>
          <w:lang w:val="en-GB"/>
        </w:rPr>
        <w:t>ecords</w:t>
      </w:r>
      <w:proofErr w:type="gramEnd"/>
      <w:r w:rsidR="00FA1C5B" w:rsidRPr="00FA1C5B">
        <w:rPr>
          <w:lang w:val="en-GB"/>
        </w:rPr>
        <w:t xml:space="preserve"> of settlement and intervention by Roads and Maritime Service (NSW) indicated that settlement in excess of 200 mm on bridge approaches were repaired using asphaltic cement correction layers.</w:t>
      </w:r>
    </w:p>
    <w:p w:rsidR="00FA1C5B" w:rsidRPr="00FA1C5B" w:rsidRDefault="00FA1C5B" w:rsidP="00A90F48">
      <w:pPr>
        <w:pStyle w:val="Listintrotext"/>
        <w:rPr>
          <w:lang w:val="en-GB"/>
        </w:rPr>
      </w:pPr>
      <w:r w:rsidRPr="00FA1C5B">
        <w:rPr>
          <w:lang w:val="en-GB"/>
        </w:rPr>
        <w:t xml:space="preserve">The following criteria were suggested as </w:t>
      </w:r>
      <w:r w:rsidRPr="005D239A">
        <w:t>reasonable</w:t>
      </w:r>
      <w:r w:rsidRPr="00FA1C5B">
        <w:rPr>
          <w:lang w:val="en-GB"/>
        </w:rPr>
        <w:t xml:space="preserve"> specifications for acceptable settlement:</w:t>
      </w:r>
    </w:p>
    <w:p w:rsidR="00FA1C5B" w:rsidRPr="00FA1C5B" w:rsidRDefault="00FA1C5B" w:rsidP="007702DF">
      <w:pPr>
        <w:pStyle w:val="BRdotpoints"/>
        <w:rPr>
          <w:lang w:val="en-GB"/>
        </w:rPr>
      </w:pPr>
      <w:r w:rsidRPr="00FA1C5B">
        <w:rPr>
          <w:lang w:val="en-GB"/>
        </w:rPr>
        <w:t>0.3</w:t>
      </w:r>
      <w:r w:rsidR="001F27A3">
        <w:rPr>
          <w:lang w:val="en-GB"/>
        </w:rPr>
        <w:t xml:space="preserve"> per cent</w:t>
      </w:r>
      <w:r w:rsidRPr="00FA1C5B">
        <w:rPr>
          <w:lang w:val="en-GB"/>
        </w:rPr>
        <w:t xml:space="preserve"> in 40 years for concrete pavements measured over 10 m half cord length</w:t>
      </w:r>
    </w:p>
    <w:p w:rsidR="00FA1C5B" w:rsidRPr="00FA1C5B" w:rsidRDefault="00FA1C5B" w:rsidP="007702DF">
      <w:pPr>
        <w:pStyle w:val="FinalDotPoint"/>
        <w:rPr>
          <w:lang w:val="en-AU"/>
        </w:rPr>
      </w:pPr>
      <w:r w:rsidRPr="00FA1C5B">
        <w:rPr>
          <w:lang w:val="en-GB"/>
        </w:rPr>
        <w:t>0.5</w:t>
      </w:r>
      <w:r w:rsidR="001F27A3">
        <w:rPr>
          <w:lang w:val="en-GB"/>
        </w:rPr>
        <w:t xml:space="preserve"> per cent</w:t>
      </w:r>
      <w:r w:rsidRPr="00FA1C5B">
        <w:rPr>
          <w:lang w:val="en-GB"/>
        </w:rPr>
        <w:t xml:space="preserve"> in 20 years for flexible pavements measured over 10 m</w:t>
      </w:r>
      <w:r w:rsidRPr="00FA1C5B">
        <w:rPr>
          <w:lang w:val="en-AU"/>
        </w:rPr>
        <w:t xml:space="preserve"> half cord length.</w:t>
      </w:r>
    </w:p>
    <w:p w:rsidR="00FA1C5B" w:rsidRPr="00FA1C5B" w:rsidRDefault="00FA1C5B" w:rsidP="00A90F48">
      <w:pPr>
        <w:pStyle w:val="Listintrotext"/>
        <w:rPr>
          <w:lang w:val="en-AU"/>
        </w:rPr>
      </w:pPr>
      <w:r w:rsidRPr="00FA1C5B">
        <w:rPr>
          <w:lang w:val="en-AU"/>
        </w:rPr>
        <w:t xml:space="preserve">A review of the literature has not found any guidelines for maximum horizontal strains or </w:t>
      </w:r>
      <w:r w:rsidR="00F37D74">
        <w:rPr>
          <w:lang w:val="en-AU"/>
        </w:rPr>
        <w:t>compaction</w:t>
      </w:r>
      <w:r w:rsidRPr="00FA1C5B">
        <w:rPr>
          <w:lang w:val="en-AU"/>
        </w:rPr>
        <w:t xml:space="preserve"> </w:t>
      </w:r>
      <w:r w:rsidRPr="005D239A">
        <w:t>before</w:t>
      </w:r>
      <w:r w:rsidRPr="00FA1C5B">
        <w:rPr>
          <w:lang w:val="en-AU"/>
        </w:rPr>
        <w:t xml:space="preserve"> a road will need repair. The following cases from MSB (1997a) illustrate damage that has occurred along with measured horizontal strain, horizontal </w:t>
      </w:r>
      <w:r w:rsidR="00F37D74">
        <w:rPr>
          <w:lang w:val="en-AU"/>
        </w:rPr>
        <w:t>compaction</w:t>
      </w:r>
      <w:r w:rsidRPr="00FA1C5B">
        <w:rPr>
          <w:lang w:val="en-AU"/>
        </w:rPr>
        <w:t xml:space="preserve"> and subsidence</w:t>
      </w:r>
      <w:r w:rsidR="001F27A3">
        <w:rPr>
          <w:lang w:val="en-AU"/>
        </w:rPr>
        <w:t>:</w:t>
      </w:r>
    </w:p>
    <w:p w:rsidR="00FA1C5B" w:rsidRPr="00FA1C5B" w:rsidRDefault="00FA1C5B" w:rsidP="007702DF">
      <w:pPr>
        <w:pStyle w:val="BRdotpoints"/>
        <w:rPr>
          <w:lang w:val="en-AU"/>
        </w:rPr>
      </w:pPr>
      <w:r w:rsidRPr="00FA1C5B">
        <w:rPr>
          <w:lang w:val="en-AU"/>
        </w:rPr>
        <w:t>Freemans Drive, Cooranbong NSW</w:t>
      </w:r>
      <w:r w:rsidR="001F27A3">
        <w:rPr>
          <w:lang w:val="en-AU"/>
        </w:rPr>
        <w:t xml:space="preserve"> -</w:t>
      </w:r>
      <w:r w:rsidRPr="00FA1C5B">
        <w:rPr>
          <w:lang w:val="en-AU"/>
        </w:rPr>
        <w:t xml:space="preserve"> </w:t>
      </w:r>
      <w:r w:rsidR="001F27A3">
        <w:rPr>
          <w:lang w:val="en-AU"/>
        </w:rPr>
        <w:t>t</w:t>
      </w:r>
      <w:r w:rsidRPr="00FA1C5B">
        <w:rPr>
          <w:lang w:val="en-AU"/>
        </w:rPr>
        <w:t xml:space="preserve">ension cracks and compression humps on road surface, </w:t>
      </w:r>
      <w:r w:rsidR="001F27A3">
        <w:rPr>
          <w:lang w:val="en-AU"/>
        </w:rPr>
        <w:t xml:space="preserve">and </w:t>
      </w:r>
      <w:r w:rsidRPr="00FA1C5B">
        <w:rPr>
          <w:lang w:val="en-AU"/>
        </w:rPr>
        <w:t>some ponding of water on road surface</w:t>
      </w:r>
      <w:r w:rsidR="001F27A3">
        <w:rPr>
          <w:lang w:val="en-AU"/>
        </w:rPr>
        <w:t xml:space="preserve"> (h</w:t>
      </w:r>
      <w:r w:rsidRPr="00FA1C5B">
        <w:rPr>
          <w:lang w:val="en-AU"/>
        </w:rPr>
        <w:t xml:space="preserve">orizontal strain – 14 mm/m, horizontal </w:t>
      </w:r>
      <w:r w:rsidR="00F37D74">
        <w:rPr>
          <w:lang w:val="en-AU"/>
        </w:rPr>
        <w:t>compaction</w:t>
      </w:r>
      <w:r w:rsidRPr="00FA1C5B">
        <w:rPr>
          <w:lang w:val="en-AU"/>
        </w:rPr>
        <w:t xml:space="preserve"> – 20 mm/m, subsidence – 1200 mm</w:t>
      </w:r>
      <w:r w:rsidR="001F27A3">
        <w:rPr>
          <w:lang w:val="en-AU"/>
        </w:rPr>
        <w:t>)</w:t>
      </w:r>
    </w:p>
    <w:p w:rsidR="00FA1C5B" w:rsidRPr="00FA1C5B" w:rsidRDefault="00FA1C5B" w:rsidP="007702DF">
      <w:pPr>
        <w:pStyle w:val="BRdotpoints"/>
        <w:rPr>
          <w:lang w:val="en-AU"/>
        </w:rPr>
      </w:pPr>
      <w:r w:rsidRPr="00FA1C5B">
        <w:rPr>
          <w:lang w:val="en-AU"/>
        </w:rPr>
        <w:t>Pacific Highway, Catherine Hill Bay NSW</w:t>
      </w:r>
      <w:r w:rsidR="001F27A3">
        <w:rPr>
          <w:lang w:val="en-AU"/>
        </w:rPr>
        <w:t xml:space="preserve"> -</w:t>
      </w:r>
      <w:r w:rsidRPr="00FA1C5B">
        <w:rPr>
          <w:lang w:val="en-AU"/>
        </w:rPr>
        <w:t xml:space="preserve"> </w:t>
      </w:r>
      <w:r w:rsidR="001F27A3">
        <w:rPr>
          <w:lang w:val="en-AU"/>
        </w:rPr>
        <w:t>t</w:t>
      </w:r>
      <w:r w:rsidRPr="00FA1C5B">
        <w:rPr>
          <w:lang w:val="en-AU"/>
        </w:rPr>
        <w:t>ension cracks and compression humps on road surface</w:t>
      </w:r>
      <w:r w:rsidR="001F27A3">
        <w:rPr>
          <w:lang w:val="en-AU"/>
        </w:rPr>
        <w:t>, and r</w:t>
      </w:r>
      <w:r w:rsidRPr="00FA1C5B">
        <w:rPr>
          <w:lang w:val="en-AU"/>
        </w:rPr>
        <w:t>oad surface considered very rough</w:t>
      </w:r>
      <w:r w:rsidR="001F27A3">
        <w:rPr>
          <w:lang w:val="en-AU"/>
        </w:rPr>
        <w:t xml:space="preserve"> (h</w:t>
      </w:r>
      <w:r w:rsidRPr="00FA1C5B">
        <w:rPr>
          <w:lang w:val="en-AU"/>
        </w:rPr>
        <w:t xml:space="preserve">orizontal strain – 12.3 mm/m, horizontal </w:t>
      </w:r>
      <w:r w:rsidR="00F37D74">
        <w:rPr>
          <w:lang w:val="en-AU"/>
        </w:rPr>
        <w:t>compaction</w:t>
      </w:r>
      <w:r w:rsidRPr="00FA1C5B">
        <w:rPr>
          <w:lang w:val="en-AU"/>
        </w:rPr>
        <w:t xml:space="preserve"> – 6.3 mm/m, subsidence – 1300 mm</w:t>
      </w:r>
      <w:r w:rsidR="001F27A3">
        <w:rPr>
          <w:lang w:val="en-AU"/>
        </w:rPr>
        <w:t>)</w:t>
      </w:r>
      <w:r w:rsidRPr="00FA1C5B">
        <w:rPr>
          <w:lang w:val="en-AU"/>
        </w:rPr>
        <w:t>.</w:t>
      </w:r>
    </w:p>
    <w:p w:rsidR="00FA1C5B" w:rsidRPr="00E13F31" w:rsidRDefault="00FA1C5B" w:rsidP="005D239A">
      <w:pPr>
        <w:pStyle w:val="Heading2"/>
      </w:pPr>
      <w:bookmarkStart w:id="533" w:name="_Toc387410250"/>
      <w:bookmarkStart w:id="534" w:name="_Toc402425326"/>
      <w:r w:rsidRPr="00E13F31">
        <w:t xml:space="preserve">Impact on </w:t>
      </w:r>
      <w:r w:rsidR="00FD23B8" w:rsidRPr="00E13F31">
        <w:t>r</w:t>
      </w:r>
      <w:r w:rsidRPr="00E13F31">
        <w:t>ailways</w:t>
      </w:r>
      <w:bookmarkEnd w:id="533"/>
      <w:bookmarkEnd w:id="534"/>
    </w:p>
    <w:p w:rsidR="00B24DD8" w:rsidRPr="00E13F31" w:rsidRDefault="00C11647" w:rsidP="00B24DD8">
      <w:pPr>
        <w:pStyle w:val="BodyText"/>
        <w:rPr>
          <w:rFonts w:ascii="Arial" w:eastAsiaTheme="minorEastAsia" w:hAnsi="Arial" w:cs="Arial"/>
          <w:szCs w:val="22"/>
          <w:lang w:val="en-AU"/>
        </w:rPr>
      </w:pPr>
      <w:r w:rsidRPr="00E13F31">
        <w:rPr>
          <w:rFonts w:ascii="Arial" w:eastAsiaTheme="minorEastAsia" w:hAnsi="Arial" w:cs="Arial"/>
          <w:szCs w:val="22"/>
          <w:lang w:val="en-AU"/>
        </w:rPr>
        <w:t>Predicting the impact of</w:t>
      </w:r>
      <w:r w:rsidR="0040460F" w:rsidRPr="00E13F31">
        <w:rPr>
          <w:rFonts w:ascii="Arial" w:eastAsiaTheme="minorEastAsia" w:hAnsi="Arial" w:cs="Arial"/>
          <w:szCs w:val="22"/>
          <w:lang w:val="en-AU"/>
        </w:rPr>
        <w:t xml:space="preserve"> subsidence </w:t>
      </w:r>
      <w:r w:rsidRPr="00E13F31">
        <w:rPr>
          <w:rFonts w:ascii="Arial" w:eastAsiaTheme="minorEastAsia" w:hAnsi="Arial" w:cs="Arial"/>
          <w:szCs w:val="22"/>
          <w:lang w:val="en-AU"/>
        </w:rPr>
        <w:t xml:space="preserve">on railway infrastructure is an emerging field of research in the Australian context, although a </w:t>
      </w:r>
      <w:r w:rsidR="0040460F" w:rsidRPr="00E13F31">
        <w:rPr>
          <w:rFonts w:ascii="Arial" w:eastAsiaTheme="minorEastAsia" w:hAnsi="Arial" w:cs="Arial"/>
          <w:szCs w:val="22"/>
          <w:lang w:val="en-AU"/>
        </w:rPr>
        <w:t xml:space="preserve">number of groups </w:t>
      </w:r>
      <w:r w:rsidR="00E6350F" w:rsidRPr="00E13F31">
        <w:rPr>
          <w:rFonts w:ascii="Arial" w:eastAsiaTheme="minorEastAsia" w:hAnsi="Arial" w:cs="Arial"/>
          <w:szCs w:val="22"/>
          <w:lang w:val="en-AU"/>
        </w:rPr>
        <w:t xml:space="preserve">are </w:t>
      </w:r>
      <w:r w:rsidRPr="00E13F31">
        <w:rPr>
          <w:rFonts w:ascii="Arial" w:eastAsiaTheme="minorEastAsia" w:hAnsi="Arial" w:cs="Arial"/>
          <w:szCs w:val="22"/>
          <w:lang w:val="en-AU"/>
        </w:rPr>
        <w:t>now investigat</w:t>
      </w:r>
      <w:r w:rsidR="00E6350F" w:rsidRPr="00E13F31">
        <w:rPr>
          <w:rFonts w:ascii="Arial" w:eastAsiaTheme="minorEastAsia" w:hAnsi="Arial" w:cs="Arial"/>
          <w:szCs w:val="22"/>
          <w:lang w:val="en-AU"/>
        </w:rPr>
        <w:t>ing</w:t>
      </w:r>
      <w:r w:rsidRPr="00E13F31">
        <w:rPr>
          <w:rFonts w:ascii="Arial" w:eastAsiaTheme="minorEastAsia" w:hAnsi="Arial" w:cs="Arial"/>
          <w:szCs w:val="22"/>
          <w:lang w:val="en-AU"/>
        </w:rPr>
        <w:t xml:space="preserve"> </w:t>
      </w:r>
      <w:r w:rsidR="00C62C42" w:rsidRPr="00E13F31">
        <w:rPr>
          <w:rFonts w:ascii="Arial" w:eastAsiaTheme="minorEastAsia" w:hAnsi="Arial" w:cs="Arial"/>
          <w:szCs w:val="22"/>
          <w:lang w:val="en-AU"/>
        </w:rPr>
        <w:t>this</w:t>
      </w:r>
      <w:r w:rsidRPr="00E13F31">
        <w:rPr>
          <w:rFonts w:ascii="Arial" w:eastAsiaTheme="minorEastAsia" w:hAnsi="Arial" w:cs="Arial"/>
          <w:szCs w:val="22"/>
          <w:lang w:val="en-AU"/>
        </w:rPr>
        <w:t xml:space="preserve"> issue. </w:t>
      </w:r>
      <w:r w:rsidR="00BB617F" w:rsidRPr="00E13F31">
        <w:rPr>
          <w:rFonts w:ascii="Arial" w:eastAsiaTheme="minorEastAsia" w:hAnsi="Arial" w:cs="Arial"/>
          <w:szCs w:val="22"/>
          <w:lang w:val="en-AU"/>
        </w:rPr>
        <w:t xml:space="preserve">Australian experience to date is limited to underground coal mining </w:t>
      </w:r>
      <w:r w:rsidR="00E13F31" w:rsidRPr="00E13F31">
        <w:rPr>
          <w:rFonts w:ascii="Arial" w:eastAsiaTheme="minorEastAsia" w:hAnsi="Arial" w:cs="Arial"/>
          <w:szCs w:val="22"/>
          <w:lang w:val="en-AU"/>
        </w:rPr>
        <w:t>but the issue may apply to any measured subsidence caused coal seam gas extraction if it is found to be significant.</w:t>
      </w:r>
    </w:p>
    <w:p w:rsidR="00311541" w:rsidRPr="00E13F31" w:rsidRDefault="00311541" w:rsidP="00311541">
      <w:pPr>
        <w:pStyle w:val="BodyText"/>
        <w:rPr>
          <w:rFonts w:ascii="Arial" w:eastAsiaTheme="minorEastAsia" w:hAnsi="Arial" w:cs="Arial"/>
          <w:szCs w:val="22"/>
          <w:lang w:val="en-AU"/>
        </w:rPr>
      </w:pPr>
      <w:r w:rsidRPr="00E13F31">
        <w:rPr>
          <w:rFonts w:ascii="Arial" w:eastAsiaTheme="minorEastAsia" w:hAnsi="Arial" w:cs="Arial"/>
          <w:szCs w:val="22"/>
          <w:lang w:val="en-AU"/>
        </w:rPr>
        <w:t xml:space="preserve">Holt et al. (1984) attempted to quantify subsidence under the Great Western Railway near Bell, NSW (Western Coalfield). They reported a subsidence to seam height ratio of about 0.11 for mining under in </w:t>
      </w:r>
      <w:r w:rsidR="002534E1" w:rsidRPr="00E13F31">
        <w:rPr>
          <w:rFonts w:ascii="Arial" w:eastAsiaTheme="minorEastAsia" w:hAnsi="Arial" w:cs="Arial"/>
          <w:szCs w:val="22"/>
          <w:lang w:val="en-AU"/>
        </w:rPr>
        <w:t>the</w:t>
      </w:r>
      <w:r w:rsidRPr="00E13F31">
        <w:rPr>
          <w:rFonts w:ascii="Arial" w:eastAsiaTheme="minorEastAsia" w:hAnsi="Arial" w:cs="Arial"/>
          <w:szCs w:val="22"/>
          <w:lang w:val="en-AU"/>
        </w:rPr>
        <w:t xml:space="preserve"> railway line, demonstrating the stability of 24 m square pillars with 6 m wide roadways until extraction. Maximum strain values recorded were 0.2 per cent.</w:t>
      </w:r>
    </w:p>
    <w:p w:rsidR="00311541" w:rsidRPr="00E13F31" w:rsidRDefault="00E6477D" w:rsidP="00311541">
      <w:pPr>
        <w:pStyle w:val="BRNormal11pt0"/>
        <w:rPr>
          <w:lang w:val="en-AU"/>
        </w:rPr>
      </w:pPr>
      <w:r w:rsidRPr="00E13F31">
        <w:rPr>
          <w:lang w:val="en-AU"/>
        </w:rPr>
        <w:t xml:space="preserve">Under the Main Southern Railway at the Tahmoor Colliery in the southern coalfield of NSW </w:t>
      </w:r>
      <w:r w:rsidR="00311541" w:rsidRPr="00E13F31">
        <w:rPr>
          <w:lang w:val="en-AU"/>
        </w:rPr>
        <w:t>MSEC (2008b) reported maximum total observed surface subsidences (after each longwall) of 12 mm, 52 mm, and 89 mm for longwalls LW22, LW23A/B, and LW24B, respectively,(after 1100 m of coal mining). These observed values exceeded that predicted MSEC (2009) also undertook predictive subsidence research in this area, estimating that the Main Southern Railway in Area 9 of the BHP Bulli Seam Operations in the Southern Coalfield would experience a maximum total subsidence of 1600 mm, based on the specific orientation of longwalls present.</w:t>
      </w:r>
    </w:p>
    <w:p w:rsidR="00C35EF6" w:rsidRPr="00E13F31" w:rsidRDefault="00CB7ED8" w:rsidP="00B24DD8">
      <w:pPr>
        <w:pStyle w:val="BodyText"/>
        <w:rPr>
          <w:rFonts w:ascii="Arial" w:eastAsiaTheme="minorEastAsia" w:hAnsi="Arial" w:cs="Arial"/>
          <w:szCs w:val="22"/>
          <w:lang w:val="en-AU"/>
        </w:rPr>
      </w:pPr>
      <w:proofErr w:type="gramStart"/>
      <w:r w:rsidRPr="00E13F31">
        <w:rPr>
          <w:rFonts w:ascii="Arial" w:eastAsiaTheme="minorEastAsia" w:hAnsi="Arial" w:cs="Arial"/>
          <w:szCs w:val="22"/>
          <w:lang w:val="en-AU"/>
        </w:rPr>
        <w:t>Gao</w:t>
      </w:r>
      <w:proofErr w:type="gramEnd"/>
      <w:r w:rsidRPr="00E13F31">
        <w:rPr>
          <w:rFonts w:ascii="Arial" w:eastAsiaTheme="minorEastAsia" w:hAnsi="Arial" w:cs="Arial"/>
          <w:szCs w:val="22"/>
          <w:lang w:val="en-AU"/>
        </w:rPr>
        <w:t xml:space="preserve"> and Gong (2012) </w:t>
      </w:r>
      <w:r w:rsidR="00C11647" w:rsidRPr="00E13F31">
        <w:rPr>
          <w:rFonts w:ascii="Arial" w:eastAsiaTheme="minorEastAsia" w:hAnsi="Arial" w:cs="Arial"/>
          <w:szCs w:val="22"/>
          <w:lang w:val="en-AU"/>
        </w:rPr>
        <w:t>highlight</w:t>
      </w:r>
      <w:r w:rsidRPr="00E13F31">
        <w:rPr>
          <w:rFonts w:ascii="Arial" w:eastAsiaTheme="minorEastAsia" w:hAnsi="Arial" w:cs="Arial"/>
          <w:szCs w:val="22"/>
          <w:lang w:val="en-AU"/>
        </w:rPr>
        <w:t xml:space="preserve"> the importance of reliably estimating subsidence underneath ballastless tracks for high speed railways. The issue of subsidence under high speed railways is a significant one as these trains can reach speeds in excess of 350 km per hour and rail line design tolerances are small. Geab et al</w:t>
      </w:r>
      <w:r w:rsidR="00683DC6" w:rsidRPr="00E13F31">
        <w:rPr>
          <w:rFonts w:ascii="Arial" w:eastAsiaTheme="minorEastAsia" w:hAnsi="Arial" w:cs="Arial"/>
          <w:szCs w:val="22"/>
          <w:lang w:val="en-AU"/>
        </w:rPr>
        <w:t>.</w:t>
      </w:r>
      <w:r w:rsidRPr="00E13F31">
        <w:rPr>
          <w:rFonts w:ascii="Arial" w:eastAsiaTheme="minorEastAsia" w:hAnsi="Arial" w:cs="Arial"/>
          <w:szCs w:val="22"/>
          <w:lang w:val="en-AU"/>
        </w:rPr>
        <w:t xml:space="preserve"> (2010) monitored subsidence under the Beijing–Tianjin high-speed railway line using differential radar interferometry (PSInSAR and differential InSAR techniques using SAR data collected by ENVISAT ASAR and ALOS PALSAR sensors). </w:t>
      </w:r>
      <w:r w:rsidR="00C35EF6" w:rsidRPr="00E13F31">
        <w:rPr>
          <w:rFonts w:ascii="Arial" w:eastAsiaTheme="minorEastAsia" w:hAnsi="Arial" w:cs="Arial"/>
          <w:szCs w:val="22"/>
          <w:lang w:val="en-AU"/>
        </w:rPr>
        <w:t>The</w:t>
      </w:r>
      <w:r w:rsidR="008644C3" w:rsidRPr="00E13F31">
        <w:rPr>
          <w:rFonts w:ascii="Arial" w:eastAsiaTheme="minorEastAsia" w:hAnsi="Arial" w:cs="Arial"/>
          <w:szCs w:val="22"/>
          <w:lang w:val="en-AU"/>
        </w:rPr>
        <w:t>y</w:t>
      </w:r>
      <w:r w:rsidR="00C35EF6" w:rsidRPr="00E13F31">
        <w:rPr>
          <w:rFonts w:ascii="Arial" w:eastAsiaTheme="minorEastAsia" w:hAnsi="Arial" w:cs="Arial"/>
          <w:szCs w:val="22"/>
          <w:lang w:val="en-AU"/>
        </w:rPr>
        <w:t xml:space="preserve"> found that over-extraction of groundwater resulted in a maximum subsidence</w:t>
      </w:r>
      <w:r w:rsidR="005C1C6F" w:rsidRPr="00E13F31">
        <w:rPr>
          <w:rFonts w:ascii="Arial" w:eastAsiaTheme="minorEastAsia" w:hAnsi="Arial" w:cs="Arial"/>
          <w:szCs w:val="22"/>
          <w:lang w:val="en-AU"/>
        </w:rPr>
        <w:t xml:space="preserve"> under the railway line</w:t>
      </w:r>
      <w:r w:rsidR="00C35EF6" w:rsidRPr="00E13F31">
        <w:rPr>
          <w:rFonts w:ascii="Arial" w:eastAsiaTheme="minorEastAsia" w:hAnsi="Arial" w:cs="Arial"/>
          <w:szCs w:val="22"/>
          <w:lang w:val="en-AU"/>
        </w:rPr>
        <w:t xml:space="preserve"> of 100 mm per year</w:t>
      </w:r>
      <w:r w:rsidR="005C1C6F" w:rsidRPr="00E13F31">
        <w:rPr>
          <w:rFonts w:ascii="Arial" w:eastAsiaTheme="minorEastAsia" w:hAnsi="Arial" w:cs="Arial"/>
          <w:szCs w:val="22"/>
          <w:lang w:val="en-AU"/>
        </w:rPr>
        <w:t>, which was</w:t>
      </w:r>
      <w:r w:rsidR="00447AA5" w:rsidRPr="00E13F31">
        <w:rPr>
          <w:rFonts w:ascii="Arial" w:eastAsiaTheme="minorEastAsia" w:hAnsi="Arial" w:cs="Arial"/>
          <w:szCs w:val="22"/>
          <w:lang w:val="en-AU"/>
        </w:rPr>
        <w:t xml:space="preserve"> </w:t>
      </w:r>
      <w:r w:rsidR="005C1C6F" w:rsidRPr="00E13F31">
        <w:rPr>
          <w:rFonts w:ascii="Arial" w:eastAsiaTheme="minorEastAsia" w:hAnsi="Arial" w:cs="Arial"/>
          <w:szCs w:val="22"/>
          <w:lang w:val="en-AU"/>
        </w:rPr>
        <w:t>strong</w:t>
      </w:r>
      <w:r w:rsidR="00447AA5" w:rsidRPr="00E13F31">
        <w:rPr>
          <w:rFonts w:ascii="Arial" w:eastAsiaTheme="minorEastAsia" w:hAnsi="Arial" w:cs="Arial"/>
          <w:szCs w:val="22"/>
          <w:lang w:val="en-AU"/>
        </w:rPr>
        <w:t>ly</w:t>
      </w:r>
      <w:r w:rsidR="005C1C6F" w:rsidRPr="00E13F31">
        <w:rPr>
          <w:rFonts w:ascii="Arial" w:eastAsiaTheme="minorEastAsia" w:hAnsi="Arial" w:cs="Arial"/>
          <w:szCs w:val="22"/>
          <w:lang w:val="en-AU"/>
        </w:rPr>
        <w:t xml:space="preserve"> correlat</w:t>
      </w:r>
      <w:r w:rsidR="00447AA5" w:rsidRPr="00E13F31">
        <w:rPr>
          <w:rFonts w:ascii="Arial" w:eastAsiaTheme="minorEastAsia" w:hAnsi="Arial" w:cs="Arial"/>
          <w:szCs w:val="22"/>
          <w:lang w:val="en-AU"/>
        </w:rPr>
        <w:t>ed</w:t>
      </w:r>
      <w:r w:rsidR="005C1C6F" w:rsidRPr="00E13F31">
        <w:rPr>
          <w:rFonts w:ascii="Arial" w:eastAsiaTheme="minorEastAsia" w:hAnsi="Arial" w:cs="Arial"/>
          <w:szCs w:val="22"/>
          <w:lang w:val="en-AU"/>
        </w:rPr>
        <w:t xml:space="preserve"> between their investigative techniques.</w:t>
      </w:r>
    </w:p>
    <w:p w:rsidR="00FA1C5B" w:rsidRPr="00E13F31" w:rsidRDefault="00FA1C5B" w:rsidP="005D239A">
      <w:pPr>
        <w:pStyle w:val="Heading2"/>
      </w:pPr>
      <w:bookmarkStart w:id="535" w:name="_Toc394649816"/>
      <w:bookmarkStart w:id="536" w:name="_Toc338078453"/>
      <w:bookmarkStart w:id="537" w:name="_Toc387410251"/>
      <w:bookmarkStart w:id="538" w:name="_Toc402425327"/>
      <w:bookmarkEnd w:id="535"/>
      <w:r w:rsidRPr="00E13F31">
        <w:t xml:space="preserve">Impact on </w:t>
      </w:r>
      <w:r w:rsidR="00FD23B8" w:rsidRPr="00E13F31">
        <w:t>d</w:t>
      </w:r>
      <w:r w:rsidRPr="00E13F31">
        <w:t>ams</w:t>
      </w:r>
      <w:bookmarkEnd w:id="536"/>
      <w:bookmarkEnd w:id="537"/>
      <w:bookmarkEnd w:id="538"/>
    </w:p>
    <w:p w:rsidR="00FA1C5B" w:rsidRPr="00FA1C5B" w:rsidRDefault="00FA1C5B" w:rsidP="005D239A">
      <w:pPr>
        <w:pStyle w:val="BRNormal11pt0"/>
        <w:rPr>
          <w:lang w:val="en-GB"/>
        </w:rPr>
      </w:pPr>
      <w:r w:rsidRPr="00FA1C5B">
        <w:rPr>
          <w:lang w:val="en-AU"/>
        </w:rPr>
        <w:t xml:space="preserve">General criteria for assessment </w:t>
      </w:r>
      <w:r w:rsidRPr="00FA1C5B">
        <w:rPr>
          <w:lang w:val="en-GB"/>
        </w:rPr>
        <w:t>of the effect of subsidence on the performance of dams are not available.</w:t>
      </w:r>
    </w:p>
    <w:p w:rsidR="00FA1C5B" w:rsidRPr="00FA1C5B" w:rsidRDefault="00FA1C5B" w:rsidP="005D239A">
      <w:pPr>
        <w:pStyle w:val="BRNormal11pt0"/>
        <w:rPr>
          <w:lang w:val="en-GB"/>
        </w:rPr>
      </w:pPr>
      <w:r w:rsidRPr="00FA1C5B">
        <w:rPr>
          <w:lang w:val="en-GB"/>
        </w:rPr>
        <w:t>McNally and Evans (2007) noted that undermining of a small coal washery storage dam (Brennans Creek Dam) by longwall panels of the Westcliff Colliery resulted in uplift of 35</w:t>
      </w:r>
      <w:r w:rsidR="00E13F31">
        <w:rPr>
          <w:lang w:val="en-GB"/>
        </w:rPr>
        <w:t> </w:t>
      </w:r>
      <w:r w:rsidRPr="00FA1C5B">
        <w:rPr>
          <w:lang w:val="en-GB"/>
        </w:rPr>
        <w:t>mm, and 80</w:t>
      </w:r>
      <w:r w:rsidR="00E13F31">
        <w:rPr>
          <w:lang w:val="en-GB"/>
        </w:rPr>
        <w:t> </w:t>
      </w:r>
      <w:r w:rsidRPr="00FA1C5B">
        <w:rPr>
          <w:lang w:val="en-GB"/>
        </w:rPr>
        <w:t>mm of abutment closure, without affecting the performance of the structure.</w:t>
      </w:r>
    </w:p>
    <w:p w:rsidR="00FA1C5B" w:rsidRPr="00FA1C5B" w:rsidRDefault="00FA1C5B" w:rsidP="005D239A">
      <w:pPr>
        <w:pStyle w:val="BRNormal11pt0"/>
        <w:rPr>
          <w:lang w:val="en-AU"/>
        </w:rPr>
      </w:pPr>
      <w:r w:rsidRPr="00FA1C5B">
        <w:rPr>
          <w:lang w:val="en-GB"/>
        </w:rPr>
        <w:t>Straubaar et al</w:t>
      </w:r>
      <w:r w:rsidR="00C85E6F">
        <w:rPr>
          <w:lang w:val="en-GB"/>
        </w:rPr>
        <w:t>.</w:t>
      </w:r>
      <w:r w:rsidRPr="00FA1C5B">
        <w:rPr>
          <w:lang w:val="en-GB"/>
        </w:rPr>
        <w:t xml:space="preserve"> (2009) provide</w:t>
      </w:r>
      <w:r w:rsidR="00C85E6F">
        <w:rPr>
          <w:lang w:val="en-GB"/>
        </w:rPr>
        <w:t>d</w:t>
      </w:r>
      <w:r w:rsidRPr="00FA1C5B">
        <w:rPr>
          <w:lang w:val="en-GB"/>
        </w:rPr>
        <w:t xml:space="preserve"> observed settlements for rockfill dams, indicating that the settlement generally varies between </w:t>
      </w:r>
      <w:r w:rsidR="00D227A9">
        <w:rPr>
          <w:lang w:val="en-GB"/>
        </w:rPr>
        <w:t>one</w:t>
      </w:r>
      <w:r w:rsidRPr="00FA1C5B">
        <w:rPr>
          <w:lang w:val="en-GB"/>
        </w:rPr>
        <w:t xml:space="preserve"> and </w:t>
      </w:r>
      <w:r w:rsidR="00D227A9">
        <w:rPr>
          <w:lang w:val="en-GB"/>
        </w:rPr>
        <w:t>three</w:t>
      </w:r>
      <w:r w:rsidR="00CA4372">
        <w:rPr>
          <w:lang w:val="en-GB"/>
        </w:rPr>
        <w:t xml:space="preserve"> per cent</w:t>
      </w:r>
      <w:r w:rsidRPr="00FA1C5B">
        <w:rPr>
          <w:lang w:val="en-GB"/>
        </w:rPr>
        <w:t xml:space="preserve"> of the dam wall height, for dam wall heights varying between 30</w:t>
      </w:r>
      <w:r w:rsidR="00CA4372">
        <w:rPr>
          <w:lang w:val="en-GB"/>
        </w:rPr>
        <w:t> </w:t>
      </w:r>
      <w:r w:rsidRPr="00FA1C5B">
        <w:rPr>
          <w:lang w:val="en-GB"/>
        </w:rPr>
        <w:t>m and 300</w:t>
      </w:r>
      <w:r w:rsidR="00CA4372">
        <w:rPr>
          <w:lang w:val="en-GB"/>
        </w:rPr>
        <w:t> </w:t>
      </w:r>
      <w:r w:rsidRPr="00FA1C5B">
        <w:rPr>
          <w:lang w:val="en-GB"/>
        </w:rPr>
        <w:t>m, with settlement typically greater than 0.1</w:t>
      </w:r>
      <w:r w:rsidR="00E13F31">
        <w:rPr>
          <w:lang w:val="en-GB"/>
        </w:rPr>
        <w:t> </w:t>
      </w:r>
      <w:r w:rsidR="00CA4372">
        <w:rPr>
          <w:lang w:val="en-GB"/>
        </w:rPr>
        <w:t>per cent</w:t>
      </w:r>
      <w:r w:rsidRPr="00FA1C5B">
        <w:rPr>
          <w:lang w:val="en-GB"/>
        </w:rPr>
        <w:t>. Based on this result it would seem unlikely that subsidence of less than 0.1</w:t>
      </w:r>
      <w:r w:rsidR="00E13F31">
        <w:rPr>
          <w:lang w:val="en-GB"/>
        </w:rPr>
        <w:t> </w:t>
      </w:r>
      <w:r w:rsidR="00CA4372">
        <w:rPr>
          <w:lang w:val="en-GB"/>
        </w:rPr>
        <w:t>per cent</w:t>
      </w:r>
      <w:r w:rsidRPr="00FA1C5B">
        <w:rPr>
          <w:lang w:val="en-GB"/>
        </w:rPr>
        <w:t xml:space="preserve"> of the height of a rockfill dam wall, induced in strata below the dam wall, would be problematic to the dam wall. Nevertheless, major dams within areas affected by subsidence should be assessed independently to ascertain their sensitivity to subsidence</w:t>
      </w:r>
      <w:r w:rsidRPr="00FA1C5B">
        <w:rPr>
          <w:lang w:val="en-AU"/>
        </w:rPr>
        <w:t>.</w:t>
      </w:r>
    </w:p>
    <w:p w:rsidR="00FA1C5B" w:rsidRPr="00FA1C5B" w:rsidRDefault="00FA1C5B" w:rsidP="005D239A">
      <w:pPr>
        <w:pStyle w:val="BRNormal11pt0"/>
        <w:rPr>
          <w:lang w:val="en-AU"/>
        </w:rPr>
      </w:pPr>
      <w:r w:rsidRPr="00FA1C5B">
        <w:rPr>
          <w:lang w:val="en-AU"/>
        </w:rPr>
        <w:t>Large tilts in ground surface, induced by subsidence, may potentially affect the storage capacity of dams, causing them to overflow, or may affect the stability of the dam wall (MSEC 2008a). For example, a tilt of 1</w:t>
      </w:r>
      <w:r w:rsidR="00E13F31">
        <w:rPr>
          <w:lang w:val="en-AU"/>
        </w:rPr>
        <w:t> </w:t>
      </w:r>
      <w:r w:rsidRPr="00FA1C5B">
        <w:rPr>
          <w:lang w:val="en-AU"/>
        </w:rPr>
        <w:t>mm/m may result in a loss of freeboard of up to 1 m for a dam with a 1</w:t>
      </w:r>
      <w:r w:rsidR="00E13F31">
        <w:rPr>
          <w:lang w:val="en-AU"/>
        </w:rPr>
        <w:t> </w:t>
      </w:r>
      <w:r w:rsidRPr="00FA1C5B">
        <w:rPr>
          <w:lang w:val="en-AU"/>
        </w:rPr>
        <w:t>km lateral extent perpendicular to the dam wall.</w:t>
      </w:r>
    </w:p>
    <w:p w:rsidR="00FA1C5B" w:rsidRDefault="00FA1C5B" w:rsidP="005D239A">
      <w:pPr>
        <w:pStyle w:val="BRNormal11pt0"/>
        <w:rPr>
          <w:lang w:val="en-AU"/>
        </w:rPr>
      </w:pPr>
      <w:r w:rsidRPr="00FA1C5B">
        <w:rPr>
          <w:lang w:val="en-AU"/>
        </w:rPr>
        <w:t>Horizontal strains may potentially cause cracking to dam walls, leading to loss of water (MSEC 2008a).</w:t>
      </w:r>
    </w:p>
    <w:p w:rsidR="00FA1C5B" w:rsidRPr="00FA1C5B" w:rsidRDefault="00FA1C5B" w:rsidP="005D239A">
      <w:pPr>
        <w:pStyle w:val="Heading2"/>
      </w:pPr>
      <w:bookmarkStart w:id="539" w:name="_Toc387410252"/>
      <w:bookmarkStart w:id="540" w:name="_Toc402425328"/>
      <w:r w:rsidRPr="00FA1C5B">
        <w:t xml:space="preserve">Impact on </w:t>
      </w:r>
      <w:r w:rsidR="00FD23B8">
        <w:t>l</w:t>
      </w:r>
      <w:r w:rsidRPr="00FA1C5B">
        <w:t>evees</w:t>
      </w:r>
      <w:bookmarkEnd w:id="539"/>
      <w:bookmarkEnd w:id="540"/>
    </w:p>
    <w:p w:rsidR="00FA1C5B" w:rsidRPr="00FA1C5B" w:rsidRDefault="00FA1C5B" w:rsidP="005D239A">
      <w:pPr>
        <w:pStyle w:val="BRNormal11pt0"/>
        <w:rPr>
          <w:lang w:val="en-AU"/>
        </w:rPr>
      </w:pPr>
      <w:r w:rsidRPr="00FA1C5B">
        <w:rPr>
          <w:lang w:val="en-AU"/>
        </w:rPr>
        <w:t xml:space="preserve">Levee integrity can be adversely affected by levee subsidence, or the subsidence of land immediately adjacent to the levee. Areas previously unexposed to flooding may be exposed to flood events after subsidence of a levee. Levees subjected to ground curvature or differential settlement may suffer cracking and lose strength. For example, some of the areas of New Orleans levee failure due to </w:t>
      </w:r>
      <w:r w:rsidR="00174F9B">
        <w:rPr>
          <w:lang w:val="en-AU"/>
        </w:rPr>
        <w:t>H</w:t>
      </w:r>
      <w:r w:rsidRPr="00FA1C5B">
        <w:rPr>
          <w:lang w:val="en-AU"/>
        </w:rPr>
        <w:t xml:space="preserve">urricane Katrina were </w:t>
      </w:r>
      <w:r w:rsidR="00174F9B">
        <w:rPr>
          <w:lang w:val="en-AU"/>
        </w:rPr>
        <w:t>those</w:t>
      </w:r>
      <w:r w:rsidRPr="00FA1C5B">
        <w:rPr>
          <w:lang w:val="en-AU"/>
        </w:rPr>
        <w:t xml:space="preserve"> areas where subsidence due to groundwater withdrawal was highest (Science Daily 2006). </w:t>
      </w:r>
    </w:p>
    <w:p w:rsidR="00FA1C5B" w:rsidRPr="00FA1C5B" w:rsidRDefault="00FA1C5B" w:rsidP="005D239A">
      <w:pPr>
        <w:pStyle w:val="BRNormal11pt0"/>
        <w:rPr>
          <w:lang w:val="en-AU"/>
        </w:rPr>
      </w:pPr>
      <w:r w:rsidRPr="00FA1C5B">
        <w:rPr>
          <w:lang w:val="en-AU"/>
        </w:rPr>
        <w:t xml:space="preserve">Monitoring will provide important information that can be used to develop efficient and timely design solutions for levee rehabilitation and maintenance. </w:t>
      </w:r>
    </w:p>
    <w:p w:rsidR="00FA1C5B" w:rsidRPr="00FA1C5B" w:rsidRDefault="00FA1C5B" w:rsidP="005D239A">
      <w:pPr>
        <w:pStyle w:val="Heading2"/>
      </w:pPr>
      <w:bookmarkStart w:id="541" w:name="_Toc387410253"/>
      <w:bookmarkStart w:id="542" w:name="_Toc402425329"/>
      <w:r w:rsidRPr="00FA1C5B">
        <w:t xml:space="preserve">Impact on </w:t>
      </w:r>
      <w:r w:rsidR="00FD23B8">
        <w:t>d</w:t>
      </w:r>
      <w:r w:rsidRPr="00FA1C5B">
        <w:t xml:space="preserve">rainage </w:t>
      </w:r>
      <w:r w:rsidR="00FD23B8">
        <w:t>c</w:t>
      </w:r>
      <w:r w:rsidRPr="00FA1C5B">
        <w:t>hannels</w:t>
      </w:r>
      <w:bookmarkEnd w:id="541"/>
      <w:bookmarkEnd w:id="542"/>
    </w:p>
    <w:p w:rsidR="00FA1C5B" w:rsidRPr="00FA1C5B" w:rsidRDefault="00FA1C5B" w:rsidP="005D239A">
      <w:pPr>
        <w:pStyle w:val="BRNormal11pt0"/>
        <w:rPr>
          <w:lang w:val="en-AU"/>
        </w:rPr>
      </w:pPr>
      <w:r w:rsidRPr="00FA1C5B">
        <w:rPr>
          <w:lang w:val="en-AU"/>
        </w:rPr>
        <w:t>A change in ground surface tilt may reduce the gradient on a drainage channel. If tilt is large enough, it may be possible that drainage gradients are reduced in some areas to below minimum levels. Urban stormwater systems may require inspection on a case by case basis, especially where tilt is above 4 mm/m (1 in 250).</w:t>
      </w:r>
    </w:p>
    <w:p w:rsidR="00FA1C5B" w:rsidRPr="00FA1C5B" w:rsidRDefault="00FA1C5B" w:rsidP="005D239A">
      <w:pPr>
        <w:pStyle w:val="Heading2"/>
      </w:pPr>
      <w:bookmarkStart w:id="543" w:name="_Toc338078454"/>
      <w:bookmarkStart w:id="544" w:name="_Toc387410254"/>
      <w:bookmarkStart w:id="545" w:name="_Toc402425330"/>
      <w:r w:rsidRPr="00FA1C5B">
        <w:t xml:space="preserve">Impact on </w:t>
      </w:r>
      <w:r w:rsidR="00FD23B8">
        <w:t>g</w:t>
      </w:r>
      <w:r w:rsidRPr="00FA1C5B">
        <w:t xml:space="preserve">round </w:t>
      </w:r>
      <w:r w:rsidR="00FD23B8">
        <w:t>p</w:t>
      </w:r>
      <w:r w:rsidRPr="00FA1C5B">
        <w:t>ermeability</w:t>
      </w:r>
      <w:bookmarkEnd w:id="543"/>
      <w:r w:rsidRPr="00FA1C5B">
        <w:t xml:space="preserve"> and </w:t>
      </w:r>
      <w:r w:rsidR="00FD23B8">
        <w:t>c</w:t>
      </w:r>
      <w:r w:rsidRPr="00FA1C5B">
        <w:t xml:space="preserve">racking of the </w:t>
      </w:r>
      <w:r w:rsidR="00FD23B8">
        <w:t>g</w:t>
      </w:r>
      <w:r w:rsidRPr="00FA1C5B">
        <w:t>round</w:t>
      </w:r>
      <w:bookmarkEnd w:id="544"/>
      <w:bookmarkEnd w:id="545"/>
    </w:p>
    <w:p w:rsidR="00FA1C5B" w:rsidRPr="00FA1C5B" w:rsidRDefault="00FA1C5B" w:rsidP="005D239A">
      <w:pPr>
        <w:pStyle w:val="BRNormal11pt0"/>
        <w:rPr>
          <w:lang w:val="en-GB"/>
        </w:rPr>
      </w:pPr>
      <w:r w:rsidRPr="00FA1C5B">
        <w:rPr>
          <w:lang w:val="en-AU"/>
        </w:rPr>
        <w:t xml:space="preserve">Subsidence over longwall coal mines is well known </w:t>
      </w:r>
      <w:r w:rsidRPr="00FA1C5B">
        <w:rPr>
          <w:lang w:val="en-GB"/>
        </w:rPr>
        <w:t>to result in cracking of strata overlying the coal deposit</w:t>
      </w:r>
      <w:r w:rsidR="006D192D">
        <w:rPr>
          <w:lang w:val="en-GB"/>
        </w:rPr>
        <w:t>,</w:t>
      </w:r>
      <w:r w:rsidRPr="00FA1C5B">
        <w:rPr>
          <w:lang w:val="en-GB"/>
        </w:rPr>
        <w:t xml:space="preserve"> leading to drainage and de-saturation of the ground above the void formed by coal extraction. The impacts of the overlying strata reduce with increasing height above the mined coal seam. If the mine is sufficiently deep, the impacts upon the water carrying capacity of shallow strata are minimal. </w:t>
      </w:r>
    </w:p>
    <w:p w:rsidR="00FA1C5B" w:rsidRPr="00FA1C5B" w:rsidRDefault="00FA1C5B" w:rsidP="005D239A">
      <w:pPr>
        <w:pStyle w:val="BRNormal11pt0"/>
        <w:rPr>
          <w:lang w:val="en-GB"/>
        </w:rPr>
      </w:pPr>
      <w:r w:rsidRPr="00FA1C5B">
        <w:rPr>
          <w:lang w:val="en-GB"/>
        </w:rPr>
        <w:t xml:space="preserve">British practice for longwall mining beneath aquifers is summarised by Farmer (1985), as quoted by McNally and Evans (2007): </w:t>
      </w:r>
      <w:r w:rsidR="00873E11">
        <w:rPr>
          <w:lang w:val="en-GB"/>
        </w:rPr>
        <w:t>“</w:t>
      </w:r>
      <w:r w:rsidRPr="00FA1C5B">
        <w:rPr>
          <w:lang w:val="en-GB"/>
        </w:rPr>
        <w:t>subsidence-induced tensile strains should not be more than 6 mm/m at the base of the lowest major aquifer above the workings, and the workings should be more than 45 m below the aquifer</w:t>
      </w:r>
      <w:r w:rsidR="00873E11">
        <w:rPr>
          <w:lang w:val="en-GB"/>
        </w:rPr>
        <w:t>”</w:t>
      </w:r>
      <w:r w:rsidRPr="00FA1C5B">
        <w:rPr>
          <w:lang w:val="en-GB"/>
        </w:rPr>
        <w:t xml:space="preserve">. There is no known </w:t>
      </w:r>
      <w:r w:rsidR="006D192D">
        <w:rPr>
          <w:lang w:val="en-GB"/>
        </w:rPr>
        <w:t>(</w:t>
      </w:r>
      <w:r w:rsidRPr="00FA1C5B">
        <w:rPr>
          <w:lang w:val="en-GB"/>
        </w:rPr>
        <w:t>agreed</w:t>
      </w:r>
      <w:r w:rsidR="00873E11">
        <w:rPr>
          <w:lang w:val="en-GB"/>
        </w:rPr>
        <w:t xml:space="preserve"> upon</w:t>
      </w:r>
      <w:r w:rsidR="006D192D">
        <w:rPr>
          <w:lang w:val="en-GB"/>
        </w:rPr>
        <w:t>)</w:t>
      </w:r>
      <w:r w:rsidRPr="00FA1C5B">
        <w:rPr>
          <w:lang w:val="en-GB"/>
        </w:rPr>
        <w:t xml:space="preserve"> strain threshold, or similar type of benchmark, for mining in Australia.</w:t>
      </w:r>
    </w:p>
    <w:p w:rsidR="00FA1C5B" w:rsidRPr="00FA1C5B" w:rsidRDefault="00FA1C5B" w:rsidP="005D239A">
      <w:pPr>
        <w:pStyle w:val="BRNormal11pt0"/>
        <w:rPr>
          <w:lang w:val="en-AU"/>
        </w:rPr>
      </w:pPr>
      <w:r w:rsidRPr="00FA1C5B">
        <w:rPr>
          <w:lang w:val="en-GB"/>
        </w:rPr>
        <w:t xml:space="preserve">An approach for assessment of the drainage of strata above coal mines developed for conditions in the United Kingdom by Whittaker and Reddish (1989) was discussed in relation to Australian conditions by Strata Engineering (2003). Whittaker and Reddish (1989) developed the relationship illustrated in Figure </w:t>
      </w:r>
      <w:r w:rsidR="00987036">
        <w:rPr>
          <w:lang w:val="en-GB"/>
        </w:rPr>
        <w:t>23</w:t>
      </w:r>
      <w:r w:rsidRPr="00FA1C5B">
        <w:rPr>
          <w:lang w:val="en-GB"/>
        </w:rPr>
        <w:t>, which shows the extent to which strata above longwall mines were cracked to the degree that allowed full drainage of groundwater to the coal mine. This relationship can be interpreted to indicate that for horizontal strain less than 30 mm/m, development of a network of interconnected cracks would not occur. Based on a review of Australian experience, Strata Engineering (2003) concluded that the relationship developed by Whittaker and Reddish (1989) was not conservative for Australian conditions</w:t>
      </w:r>
      <w:r w:rsidRPr="00FA1C5B">
        <w:rPr>
          <w:lang w:val="en-AU"/>
        </w:rPr>
        <w:t xml:space="preserve">. </w:t>
      </w:r>
    </w:p>
    <w:p w:rsidR="006D192D" w:rsidRPr="00FA1C5B" w:rsidRDefault="006D192D" w:rsidP="006D192D">
      <w:pPr>
        <w:pStyle w:val="BRNormal11pt0"/>
        <w:rPr>
          <w:lang w:val="en-GB"/>
        </w:rPr>
      </w:pPr>
      <w:r w:rsidRPr="00FA1C5B">
        <w:rPr>
          <w:lang w:val="en-GB"/>
        </w:rPr>
        <w:t>Strata Engineering (2003) developed a more elaborate relationship, taking into account th</w:t>
      </w:r>
      <w:r>
        <w:rPr>
          <w:lang w:val="en-GB"/>
        </w:rPr>
        <w:t xml:space="preserve">e width of the longwall panel. </w:t>
      </w:r>
      <w:r w:rsidRPr="00FA1C5B">
        <w:rPr>
          <w:lang w:val="en-GB"/>
        </w:rPr>
        <w:t>This relationship indicated a 95</w:t>
      </w:r>
      <w:r>
        <w:rPr>
          <w:lang w:val="en-GB"/>
        </w:rPr>
        <w:t xml:space="preserve"> per cent</w:t>
      </w:r>
      <w:r w:rsidRPr="00FA1C5B">
        <w:rPr>
          <w:lang w:val="en-GB"/>
        </w:rPr>
        <w:t xml:space="preserve"> confidence that horizontal strain of less than 3 mm/m at the surface would not result in development of interconnected fracture</w:t>
      </w:r>
      <w:r>
        <w:rPr>
          <w:lang w:val="en-GB"/>
        </w:rPr>
        <w:t xml:space="preserve">s leading to the coal horizon. </w:t>
      </w:r>
      <w:r w:rsidRPr="00FA1C5B">
        <w:rPr>
          <w:lang w:val="en-GB"/>
        </w:rPr>
        <w:t xml:space="preserve">Strata Engineering warned that further calibration work needs to be carried out to test the results </w:t>
      </w:r>
      <w:r>
        <w:rPr>
          <w:lang w:val="en-GB"/>
        </w:rPr>
        <w:t xml:space="preserve">of the relationship developed. </w:t>
      </w:r>
      <w:r w:rsidRPr="00FA1C5B">
        <w:rPr>
          <w:lang w:val="en-GB"/>
        </w:rPr>
        <w:t xml:space="preserve">This assessment does not readily translate to impacts from subsidence due to </w:t>
      </w:r>
      <w:r>
        <w:rPr>
          <w:lang w:val="en-GB"/>
        </w:rPr>
        <w:t>coal seam gas</w:t>
      </w:r>
      <w:r w:rsidRPr="00973D19">
        <w:rPr>
          <w:lang w:val="en-GB"/>
        </w:rPr>
        <w:t xml:space="preserve"> </w:t>
      </w:r>
      <w:r w:rsidRPr="00FA1C5B">
        <w:rPr>
          <w:lang w:val="en-GB"/>
        </w:rPr>
        <w:t>extraction, but it does provide an indication of the magnitude of surface horizontal strain where interconnected cracking propagates from the coal</w:t>
      </w:r>
      <w:r>
        <w:rPr>
          <w:lang w:val="en-GB"/>
        </w:rPr>
        <w:t xml:space="preserve"> horizon to the ground surface.</w:t>
      </w:r>
      <w:r w:rsidRPr="00FA1C5B">
        <w:rPr>
          <w:lang w:val="en-GB"/>
        </w:rPr>
        <w:t xml:space="preserve"> It is this magnitude that is the main issue between the different types of mining industries.</w:t>
      </w:r>
    </w:p>
    <w:p w:rsidR="00FA1C5B" w:rsidRPr="00FA1C5B" w:rsidRDefault="00FA1C5B" w:rsidP="00A90F48">
      <w:pPr>
        <w:pStyle w:val="Listintrotext"/>
        <w:rPr>
          <w:lang w:val="en-GB"/>
        </w:rPr>
      </w:pPr>
      <w:r w:rsidRPr="00FA1C5B">
        <w:rPr>
          <w:noProof/>
          <w:lang w:val="en-AU" w:eastAsia="en-AU"/>
        </w:rPr>
        <w:drawing>
          <wp:inline distT="0" distB="0" distL="0" distR="0">
            <wp:extent cx="5165766" cy="4385228"/>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5766" cy="4385228"/>
                    </a:xfrm>
                    <a:prstGeom prst="rect">
                      <a:avLst/>
                    </a:prstGeom>
                    <a:noFill/>
                    <a:ln w="9525">
                      <a:noFill/>
                      <a:miter lim="800000"/>
                      <a:headEnd/>
                      <a:tailEnd/>
                    </a:ln>
                  </pic:spPr>
                </pic:pic>
              </a:graphicData>
            </a:graphic>
          </wp:inline>
        </w:drawing>
      </w:r>
    </w:p>
    <w:p w:rsidR="00FA1C5B" w:rsidRPr="006D192D"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23</w:t>
      </w:r>
      <w:r w:rsidR="00E252C4" w:rsidRPr="005A4936">
        <w:fldChar w:fldCharType="end"/>
      </w:r>
      <w:r>
        <w:t xml:space="preserve"> </w:t>
      </w:r>
      <w:r w:rsidR="00FA1C5B" w:rsidRPr="00FA1C5B">
        <w:t xml:space="preserve">Development of </w:t>
      </w:r>
      <w:r w:rsidR="006D192D">
        <w:t>f</w:t>
      </w:r>
      <w:r w:rsidR="00FA1C5B" w:rsidRPr="00FA1C5B">
        <w:t xml:space="preserve">ractures in </w:t>
      </w:r>
      <w:r w:rsidR="006D192D">
        <w:t>s</w:t>
      </w:r>
      <w:r w:rsidR="00FA1C5B" w:rsidRPr="00FA1C5B">
        <w:t xml:space="preserve">ubsided </w:t>
      </w:r>
      <w:r w:rsidR="006D192D">
        <w:t>g</w:t>
      </w:r>
      <w:r w:rsidR="00FA1C5B" w:rsidRPr="00FA1C5B">
        <w:t>round (</w:t>
      </w:r>
      <w:r w:rsidR="006D192D">
        <w:rPr>
          <w:rFonts w:cs="Arial"/>
        </w:rPr>
        <w:t>©</w:t>
      </w:r>
      <w:r w:rsidR="006D192D">
        <w:t xml:space="preserve"> Copyright, </w:t>
      </w:r>
      <w:r w:rsidR="00FA1C5B" w:rsidRPr="00FA1C5B">
        <w:t xml:space="preserve">Whittaker </w:t>
      </w:r>
      <w:r w:rsidR="006D192D">
        <w:t>&amp;</w:t>
      </w:r>
      <w:r w:rsidR="006D192D" w:rsidRPr="00FA1C5B">
        <w:t xml:space="preserve"> </w:t>
      </w:r>
      <w:r w:rsidR="00FA1C5B" w:rsidRPr="00FA1C5B">
        <w:t>Reddish 1989)</w:t>
      </w:r>
    </w:p>
    <w:p w:rsidR="00FA1C5B" w:rsidRPr="00FA1C5B" w:rsidRDefault="00FA1C5B" w:rsidP="005D239A">
      <w:pPr>
        <w:pStyle w:val="BRNormal11pt0"/>
        <w:rPr>
          <w:lang w:val="en-GB"/>
        </w:rPr>
      </w:pPr>
      <w:r w:rsidRPr="00FA1C5B">
        <w:rPr>
          <w:lang w:val="en-GB"/>
        </w:rPr>
        <w:t>McNally and Evans (2007) report</w:t>
      </w:r>
      <w:r w:rsidR="006D192D">
        <w:rPr>
          <w:lang w:val="en-GB"/>
        </w:rPr>
        <w:t>ed</w:t>
      </w:r>
      <w:r w:rsidRPr="00FA1C5B">
        <w:rPr>
          <w:lang w:val="en-GB"/>
        </w:rPr>
        <w:t xml:space="preserve"> that studies carried out by the Dam Safety Committee involv</w:t>
      </w:r>
      <w:r w:rsidR="00D90926">
        <w:rPr>
          <w:lang w:val="en-GB"/>
        </w:rPr>
        <w:t>ed</w:t>
      </w:r>
      <w:r w:rsidRPr="00FA1C5B">
        <w:rPr>
          <w:lang w:val="en-GB"/>
        </w:rPr>
        <w:t xml:space="preserve"> extensive monitoring of relatively shallow partial coal extraction (panel and pillar workings) with cover depths of 230 m to 320 m in Bulli Colliery. The coal extraction resulted in surface subsidence of 114 mm, with surface tensile strains generally less than 1 mm/m not having a noticeable effect on shallow piezometers in Hawkesbury Sandstone located 300 m above the seam (though standing water in deeper piezometers only 150 m above the seam experienced falls of 40 m in groundwater level during pillar extraction).</w:t>
      </w:r>
    </w:p>
    <w:p w:rsidR="00FA1C5B" w:rsidRPr="00FA1C5B" w:rsidRDefault="00FA1C5B" w:rsidP="005D239A">
      <w:pPr>
        <w:pStyle w:val="BRNormal11pt0"/>
        <w:rPr>
          <w:lang w:val="en-GB"/>
        </w:rPr>
      </w:pPr>
      <w:r w:rsidRPr="00FA1C5B">
        <w:rPr>
          <w:lang w:val="en-GB"/>
        </w:rPr>
        <w:t>McNally and Evans (2007) report</w:t>
      </w:r>
      <w:r w:rsidR="00D90926">
        <w:rPr>
          <w:lang w:val="en-GB"/>
        </w:rPr>
        <w:t>ed</w:t>
      </w:r>
      <w:r w:rsidRPr="00FA1C5B">
        <w:rPr>
          <w:lang w:val="en-GB"/>
        </w:rPr>
        <w:t xml:space="preserve"> that a similar trial by the Dam Safety Committee at the Wongawilli Colliery, at the head of the Avon Reservoir, was carried out where cover rock was between 80 m and 100 m thick and was disturbed by igneous dykes and a sill. Water inflows during the first working were not excessive but during pillar extraction groundwater inflows increased to a rate which led to abandonment of the mine.</w:t>
      </w:r>
    </w:p>
    <w:p w:rsidR="00D90926" w:rsidRPr="00FA1C5B" w:rsidRDefault="00FA1C5B" w:rsidP="005D239A">
      <w:pPr>
        <w:pStyle w:val="BRNormal11pt0"/>
        <w:rPr>
          <w:lang w:val="en-GB"/>
        </w:rPr>
      </w:pPr>
      <w:r w:rsidRPr="00FA1C5B">
        <w:rPr>
          <w:lang w:val="en-GB"/>
        </w:rPr>
        <w:t>Elsworth and Liu (1995) undertook non-linear ground deformation modelling and concluded that topography also influences the zonation of ground deformation above mined longwall panels.</w:t>
      </w:r>
    </w:p>
    <w:p w:rsidR="000F4F67" w:rsidRDefault="000F4F67">
      <w:pPr>
        <w:autoSpaceDE/>
        <w:autoSpaceDN/>
        <w:rPr>
          <w:rFonts w:cs="Arial"/>
          <w:b/>
          <w:bCs/>
          <w:color w:val="1F497D" w:themeColor="text2"/>
          <w:sz w:val="30"/>
          <w:szCs w:val="30"/>
          <w:lang w:val="en-GB"/>
        </w:rPr>
      </w:pPr>
      <w:bookmarkStart w:id="546" w:name="_Toc387410255"/>
      <w:r>
        <w:br w:type="page"/>
      </w:r>
    </w:p>
    <w:p w:rsidR="00FA1C5B" w:rsidRPr="00FA1C5B" w:rsidRDefault="00FA1C5B" w:rsidP="005D239A">
      <w:pPr>
        <w:pStyle w:val="Heading2"/>
      </w:pPr>
      <w:bookmarkStart w:id="547" w:name="_Toc402425331"/>
      <w:r w:rsidRPr="00FA1C5B">
        <w:t xml:space="preserve">Impact on </w:t>
      </w:r>
      <w:r w:rsidR="00FD23B8">
        <w:t>e</w:t>
      </w:r>
      <w:r w:rsidRPr="00FA1C5B">
        <w:t xml:space="preserve">lectrical </w:t>
      </w:r>
      <w:r w:rsidR="00FD23B8">
        <w:t>i</w:t>
      </w:r>
      <w:r w:rsidRPr="00FA1C5B">
        <w:t>nfrastructure</w:t>
      </w:r>
      <w:bookmarkEnd w:id="546"/>
      <w:bookmarkEnd w:id="547"/>
    </w:p>
    <w:p w:rsidR="00FA1C5B" w:rsidRPr="00FA1C5B" w:rsidRDefault="00FA1C5B" w:rsidP="005D239A">
      <w:pPr>
        <w:pStyle w:val="BRNormal11pt0"/>
        <w:rPr>
          <w:lang w:val="en-AU"/>
        </w:rPr>
      </w:pPr>
      <w:r w:rsidRPr="00FA1C5B">
        <w:rPr>
          <w:lang w:val="en-AU"/>
        </w:rPr>
        <w:t>Horizontal displacements and tilt induced by subsidence may affect the alignment and tension of transmission lines and lead to a reduction in clearance of the transmission line to neighbouring structures or the ground (MSB 1997b). Large tilt at the base of power poles may lead to</w:t>
      </w:r>
      <w:r w:rsidRPr="00FA1C5B">
        <w:rPr>
          <w:lang w:val="en-GB"/>
        </w:rPr>
        <w:t xml:space="preserve"> </w:t>
      </w:r>
      <w:r w:rsidRPr="00FA1C5B">
        <w:rPr>
          <w:lang w:val="en-AU"/>
        </w:rPr>
        <w:t>a reduction in stability of the poles. In the past, problems have been observed where tilting occurs to poles connected to residential dwellings, due to a reduction in bay length. It is generally accepted that tilts of below 20 mm/m in the areas of the poles will not pose significant problems to the powerlines or poles (MSEC 2008b).</w:t>
      </w:r>
    </w:p>
    <w:p w:rsidR="003B38AB" w:rsidRPr="003B38AB" w:rsidRDefault="003B38AB" w:rsidP="001E6DBD">
      <w:pPr>
        <w:pStyle w:val="Heading1"/>
      </w:pPr>
      <w:bookmarkStart w:id="548" w:name="_Toc338078418"/>
      <w:bookmarkStart w:id="549" w:name="_Toc387410256"/>
      <w:bookmarkStart w:id="550" w:name="_Toc402425332"/>
      <w:r w:rsidRPr="003B38AB">
        <w:t xml:space="preserve">Subsidence </w:t>
      </w:r>
      <w:r w:rsidR="00FD23B8">
        <w:t>a</w:t>
      </w:r>
      <w:r w:rsidRPr="003B38AB">
        <w:t xml:space="preserve">ssessment </w:t>
      </w:r>
      <w:r w:rsidR="00FD23B8">
        <w:t>a</w:t>
      </w:r>
      <w:bookmarkEnd w:id="548"/>
      <w:r w:rsidRPr="003B38AB">
        <w:t>pproaches</w:t>
      </w:r>
      <w:bookmarkEnd w:id="549"/>
      <w:bookmarkEnd w:id="550"/>
    </w:p>
    <w:p w:rsidR="003B38AB" w:rsidRPr="003B38AB" w:rsidRDefault="003B38AB" w:rsidP="00A90F48">
      <w:pPr>
        <w:pStyle w:val="Listintrotext"/>
        <w:rPr>
          <w:lang w:val="en-AU"/>
        </w:rPr>
      </w:pPr>
      <w:r w:rsidRPr="003B38AB">
        <w:rPr>
          <w:lang w:val="en-AU"/>
        </w:rPr>
        <w:t xml:space="preserve">Modelling approaches for </w:t>
      </w:r>
      <w:r w:rsidRPr="003B38AB">
        <w:t>assessment</w:t>
      </w:r>
      <w:r w:rsidRPr="003B38AB">
        <w:rPr>
          <w:lang w:val="en-AU"/>
        </w:rPr>
        <w:t xml:space="preserve"> of the magnitude and significance of subsidence arising from extraction of </w:t>
      </w:r>
      <w:r w:rsidR="00C723CB">
        <w:rPr>
          <w:lang w:val="en-GB"/>
        </w:rPr>
        <w:t>coal seam gas</w:t>
      </w:r>
      <w:r w:rsidR="00C723CB" w:rsidRPr="00973D19">
        <w:rPr>
          <w:lang w:val="en-GB"/>
        </w:rPr>
        <w:t xml:space="preserve"> </w:t>
      </w:r>
      <w:r w:rsidRPr="003B38AB">
        <w:rPr>
          <w:lang w:val="en-AU"/>
        </w:rPr>
        <w:t>can be divided into the following</w:t>
      </w:r>
      <w:r w:rsidR="004470CB">
        <w:rPr>
          <w:lang w:val="en-AU"/>
        </w:rPr>
        <w:t xml:space="preserve"> two</w:t>
      </w:r>
      <w:r w:rsidRPr="003B38AB">
        <w:rPr>
          <w:lang w:val="en-AU"/>
        </w:rPr>
        <w:t xml:space="preserve"> categories</w:t>
      </w:r>
      <w:r w:rsidR="004470CB">
        <w:rPr>
          <w:lang w:val="en-AU"/>
        </w:rPr>
        <w:t>.</w:t>
      </w:r>
    </w:p>
    <w:p w:rsidR="003B38AB" w:rsidRPr="003B38AB" w:rsidRDefault="00DC076F" w:rsidP="007702DF">
      <w:pPr>
        <w:pStyle w:val="BRdotpoints"/>
        <w:rPr>
          <w:lang w:val="en-AU"/>
        </w:rPr>
      </w:pPr>
      <w:proofErr w:type="gramStart"/>
      <w:r>
        <w:rPr>
          <w:lang w:val="en-AU"/>
        </w:rPr>
        <w:t>e</w:t>
      </w:r>
      <w:r w:rsidR="003B38AB" w:rsidRPr="003B38AB">
        <w:rPr>
          <w:lang w:val="en-AU"/>
        </w:rPr>
        <w:t>xtrapolation</w:t>
      </w:r>
      <w:proofErr w:type="gramEnd"/>
      <w:r w:rsidR="003B38AB" w:rsidRPr="003B38AB">
        <w:rPr>
          <w:lang w:val="en-AU"/>
        </w:rPr>
        <w:t xml:space="preserve"> of the results of experience – this is the approach which has been successfully employed in relation to the assessment of the magnitude, distribution and impacts of subsidence associated with underground coal</w:t>
      </w:r>
      <w:r w:rsidR="00F00A26">
        <w:rPr>
          <w:lang w:val="en-AU"/>
        </w:rPr>
        <w:t xml:space="preserve"> mining</w:t>
      </w:r>
      <w:r w:rsidR="003B38AB" w:rsidRPr="003B38AB">
        <w:rPr>
          <w:lang w:val="en-AU"/>
        </w:rPr>
        <w:t xml:space="preserve">. Well established databases of responses to a range of mining configuration and geological settings exist and these are used to predict subsidence response to </w:t>
      </w:r>
      <w:r w:rsidR="00F00A26">
        <w:rPr>
          <w:lang w:val="en-AU"/>
        </w:rPr>
        <w:t xml:space="preserve">coal </w:t>
      </w:r>
      <w:r w:rsidR="003B38AB" w:rsidRPr="003B38AB">
        <w:rPr>
          <w:lang w:val="en-AU"/>
        </w:rPr>
        <w:t xml:space="preserve">mining. Emphasis in these assessments has been on the assessment of potential damage to buildings and roads. In the case of predictions for </w:t>
      </w:r>
      <w:r w:rsidR="00C723CB">
        <w:rPr>
          <w:lang w:val="en-GB"/>
        </w:rPr>
        <w:t>coal seam gas</w:t>
      </w:r>
      <w:r w:rsidR="00C723CB" w:rsidRPr="00973D19">
        <w:rPr>
          <w:lang w:val="en-GB"/>
        </w:rPr>
        <w:t xml:space="preserve"> </w:t>
      </w:r>
      <w:r w:rsidR="003B38AB" w:rsidRPr="003B38AB">
        <w:rPr>
          <w:lang w:val="en-AU"/>
        </w:rPr>
        <w:t xml:space="preserve">operations, this approach will not be effective until a sufficient database of experience is developed. At present there </w:t>
      </w:r>
      <w:r w:rsidR="00E4316E">
        <w:rPr>
          <w:lang w:val="en-AU"/>
        </w:rPr>
        <w:t>is</w:t>
      </w:r>
      <w:r w:rsidR="003B38AB" w:rsidRPr="003B38AB">
        <w:rPr>
          <w:lang w:val="en-AU"/>
        </w:rPr>
        <w:t xml:space="preserve"> a paucity of monitoring records of subsidence arising from </w:t>
      </w:r>
      <w:r w:rsidR="00C723CB">
        <w:rPr>
          <w:lang w:val="en-GB"/>
        </w:rPr>
        <w:t>coal seam gas</w:t>
      </w:r>
      <w:r w:rsidR="00C723CB" w:rsidRPr="00973D19">
        <w:rPr>
          <w:lang w:val="en-GB"/>
        </w:rPr>
        <w:t xml:space="preserve"> </w:t>
      </w:r>
      <w:r w:rsidR="003B38AB" w:rsidRPr="003B38AB">
        <w:rPr>
          <w:lang w:val="en-AU"/>
        </w:rPr>
        <w:t>extraction.</w:t>
      </w:r>
    </w:p>
    <w:p w:rsidR="003B38AB" w:rsidRPr="003B38AB" w:rsidRDefault="00DC076F" w:rsidP="007702DF">
      <w:pPr>
        <w:pStyle w:val="FinalDotPoint"/>
        <w:rPr>
          <w:lang w:val="en-AU"/>
        </w:rPr>
      </w:pPr>
      <w:proofErr w:type="gramStart"/>
      <w:r>
        <w:rPr>
          <w:lang w:val="en-AU"/>
        </w:rPr>
        <w:t>a</w:t>
      </w:r>
      <w:r w:rsidR="003B38AB" w:rsidRPr="003B38AB">
        <w:rPr>
          <w:lang w:val="en-AU"/>
        </w:rPr>
        <w:t>nalysis</w:t>
      </w:r>
      <w:proofErr w:type="gramEnd"/>
      <w:r w:rsidR="003B38AB" w:rsidRPr="003B38AB">
        <w:rPr>
          <w:lang w:val="en-AU"/>
        </w:rPr>
        <w:t xml:space="preserve"> of compression </w:t>
      </w:r>
      <w:r w:rsidR="00F37D74">
        <w:rPr>
          <w:lang w:val="en-AU"/>
        </w:rPr>
        <w:t xml:space="preserve">and resulting compaction </w:t>
      </w:r>
      <w:r w:rsidR="003B38AB" w:rsidRPr="003B38AB">
        <w:rPr>
          <w:lang w:val="en-AU"/>
        </w:rPr>
        <w:t xml:space="preserve">in the </w:t>
      </w:r>
      <w:r w:rsidR="00E4316E">
        <w:rPr>
          <w:lang w:val="en-AU"/>
        </w:rPr>
        <w:t>vertical</w:t>
      </w:r>
      <w:r w:rsidR="003B38AB" w:rsidRPr="003B38AB">
        <w:rPr>
          <w:lang w:val="en-AU"/>
        </w:rPr>
        <w:t xml:space="preserve"> profile due to changes in groundwater and gas pressure arising from </w:t>
      </w:r>
      <w:r w:rsidR="00C723CB">
        <w:rPr>
          <w:lang w:val="en-GB"/>
        </w:rPr>
        <w:t>coal seam gas</w:t>
      </w:r>
      <w:r w:rsidR="00C723CB" w:rsidRPr="00973D19">
        <w:rPr>
          <w:lang w:val="en-GB"/>
        </w:rPr>
        <w:t xml:space="preserve"> </w:t>
      </w:r>
      <w:r w:rsidR="003B38AB" w:rsidRPr="003B38AB">
        <w:rPr>
          <w:lang w:val="en-AU"/>
        </w:rPr>
        <w:t>extraction. In the absence of a database of measurements of subsidence, it is nece</w:t>
      </w:r>
      <w:r>
        <w:rPr>
          <w:lang w:val="en-AU"/>
        </w:rPr>
        <w:t>ssary to follow this approach.</w:t>
      </w:r>
    </w:p>
    <w:p w:rsidR="003B38AB" w:rsidRPr="003B38AB" w:rsidRDefault="003B38AB" w:rsidP="00A90F48">
      <w:pPr>
        <w:pStyle w:val="Listintrotext"/>
        <w:rPr>
          <w:lang w:val="en-AU"/>
        </w:rPr>
      </w:pPr>
      <w:r w:rsidRPr="003B38AB">
        <w:rPr>
          <w:lang w:val="en-AU"/>
        </w:rPr>
        <w:t xml:space="preserve">Due to the paucity of subsidence data for </w:t>
      </w:r>
      <w:r w:rsidR="00C723CB">
        <w:rPr>
          <w:lang w:val="en-GB"/>
        </w:rPr>
        <w:t>coal seam gas</w:t>
      </w:r>
      <w:r w:rsidR="00C723CB" w:rsidRPr="00973D19">
        <w:rPr>
          <w:lang w:val="en-GB"/>
        </w:rPr>
        <w:t xml:space="preserve"> </w:t>
      </w:r>
      <w:r w:rsidRPr="003B38AB">
        <w:rPr>
          <w:lang w:val="en-AU"/>
        </w:rPr>
        <w:t>projects in Australia, assessment of potential subsidence is u</w:t>
      </w:r>
      <w:r w:rsidR="00F37D74">
        <w:rPr>
          <w:lang w:val="en-AU"/>
        </w:rPr>
        <w:t>ndertaken by predictive modelling</w:t>
      </w:r>
      <w:r w:rsidRPr="003B38AB">
        <w:rPr>
          <w:lang w:val="en-AU"/>
        </w:rPr>
        <w:t>.</w:t>
      </w:r>
    </w:p>
    <w:p w:rsidR="003B38AB" w:rsidRPr="003B38AB" w:rsidRDefault="003B38AB" w:rsidP="00A90F48">
      <w:pPr>
        <w:pStyle w:val="Listintrotext"/>
        <w:rPr>
          <w:lang w:val="en-AU"/>
        </w:rPr>
      </w:pPr>
      <w:r w:rsidRPr="003B38AB">
        <w:rPr>
          <w:lang w:val="en-AU"/>
        </w:rPr>
        <w:t>Predictive subsidence modelling approaches provide:</w:t>
      </w:r>
    </w:p>
    <w:p w:rsidR="003B38AB" w:rsidRPr="003B38AB" w:rsidRDefault="004470CB" w:rsidP="007702DF">
      <w:pPr>
        <w:pStyle w:val="BRdotpoints"/>
        <w:rPr>
          <w:lang w:val="en-AU"/>
        </w:rPr>
      </w:pPr>
      <w:r>
        <w:rPr>
          <w:lang w:val="en-AU"/>
        </w:rPr>
        <w:t>e</w:t>
      </w:r>
      <w:r w:rsidR="003B38AB" w:rsidRPr="003B38AB">
        <w:rPr>
          <w:lang w:val="en-AU"/>
        </w:rPr>
        <w:t xml:space="preserve">stimates of </w:t>
      </w:r>
      <w:r w:rsidR="00F37D74">
        <w:rPr>
          <w:lang w:val="en-AU"/>
        </w:rPr>
        <w:t>compaction</w:t>
      </w:r>
      <w:r w:rsidR="003B38AB" w:rsidRPr="003B38AB">
        <w:rPr>
          <w:lang w:val="en-AU"/>
        </w:rPr>
        <w:t xml:space="preserve"> of hydrogeological units due to changes in groundwater pressure</w:t>
      </w:r>
    </w:p>
    <w:p w:rsidR="003B38AB" w:rsidRPr="003B38AB" w:rsidRDefault="004470CB" w:rsidP="007702DF">
      <w:pPr>
        <w:pStyle w:val="BRdotpoints"/>
        <w:rPr>
          <w:lang w:val="en-AU"/>
        </w:rPr>
      </w:pPr>
      <w:proofErr w:type="gramStart"/>
      <w:r>
        <w:rPr>
          <w:lang w:val="en-AU"/>
        </w:rPr>
        <w:t>e</w:t>
      </w:r>
      <w:r w:rsidR="003B38AB" w:rsidRPr="003B38AB">
        <w:rPr>
          <w:lang w:val="en-AU"/>
        </w:rPr>
        <w:t>stimates</w:t>
      </w:r>
      <w:proofErr w:type="gramEnd"/>
      <w:r w:rsidR="003B38AB" w:rsidRPr="003B38AB">
        <w:rPr>
          <w:lang w:val="en-AU"/>
        </w:rPr>
        <w:t xml:space="preserve"> of </w:t>
      </w:r>
      <w:r w:rsidR="00F37D74">
        <w:rPr>
          <w:lang w:val="en-AU"/>
        </w:rPr>
        <w:t>compaction</w:t>
      </w:r>
      <w:r w:rsidR="003B38AB" w:rsidRPr="003B38AB">
        <w:rPr>
          <w:lang w:val="en-AU"/>
        </w:rPr>
        <w:t xml:space="preserve"> of the coal seam due to degassing.</w:t>
      </w:r>
    </w:p>
    <w:p w:rsidR="003B38AB" w:rsidRPr="003B38AB" w:rsidRDefault="003B38AB" w:rsidP="003B38AB">
      <w:pPr>
        <w:pStyle w:val="BRNormal11pt0"/>
        <w:rPr>
          <w:lang w:val="en-AU"/>
        </w:rPr>
      </w:pPr>
      <w:r w:rsidRPr="003B38AB">
        <w:rPr>
          <w:lang w:val="en-AU"/>
        </w:rPr>
        <w:t xml:space="preserve">These two components together with their distributions are </w:t>
      </w:r>
      <w:r w:rsidR="00867439">
        <w:rPr>
          <w:lang w:val="en-AU"/>
        </w:rPr>
        <w:t>combined</w:t>
      </w:r>
      <w:r w:rsidRPr="003B38AB">
        <w:rPr>
          <w:lang w:val="en-AU"/>
        </w:rPr>
        <w:t xml:space="preserve"> to provide an estimate of the total ground subsidence.</w:t>
      </w:r>
      <w:r w:rsidR="00D90926">
        <w:rPr>
          <w:lang w:val="en-AU"/>
        </w:rPr>
        <w:t xml:space="preserve"> </w:t>
      </w:r>
      <w:r w:rsidR="00867439">
        <w:t xml:space="preserve">Adding the components together will give a conservative estimate of the maximum possible subsidence, but the observed subsidence at the surface will depend on the geotechnical properties of the various layers throughout the depth profile. </w:t>
      </w:r>
      <w:r w:rsidRPr="003B38AB">
        <w:rPr>
          <w:lang w:val="en-AU"/>
        </w:rPr>
        <w:t>The two components will be discussed separately in the following sections of this report.</w:t>
      </w:r>
    </w:p>
    <w:p w:rsidR="003B38AB" w:rsidRPr="003B38AB" w:rsidRDefault="00E4316E" w:rsidP="003B38AB">
      <w:pPr>
        <w:pStyle w:val="BRNormal11pt0"/>
        <w:rPr>
          <w:lang w:val="en-AU"/>
        </w:rPr>
      </w:pPr>
      <w:r>
        <w:rPr>
          <w:lang w:val="en-AU"/>
        </w:rPr>
        <w:t xml:space="preserve">Coal </w:t>
      </w:r>
      <w:r w:rsidR="00C723CB">
        <w:rPr>
          <w:lang w:val="en-GB"/>
        </w:rPr>
        <w:t>seam gas</w:t>
      </w:r>
      <w:r w:rsidR="003B38AB" w:rsidRPr="003B38AB">
        <w:rPr>
          <w:lang w:val="en-AU"/>
        </w:rPr>
        <w:t xml:space="preserve">-related subsidence is induced by compression due to groundwater and gas extraction, </w:t>
      </w:r>
      <w:r w:rsidR="009C0190">
        <w:rPr>
          <w:lang w:val="en-AU"/>
        </w:rPr>
        <w:t xml:space="preserve">and resulting </w:t>
      </w:r>
      <w:r w:rsidR="003B38AB" w:rsidRPr="003B38AB">
        <w:rPr>
          <w:lang w:val="en-AU"/>
        </w:rPr>
        <w:t>comp</w:t>
      </w:r>
      <w:r w:rsidR="009C0190">
        <w:rPr>
          <w:lang w:val="en-AU"/>
        </w:rPr>
        <w:t>action</w:t>
      </w:r>
      <w:r w:rsidR="003B38AB" w:rsidRPr="003B38AB">
        <w:rPr>
          <w:lang w:val="en-AU"/>
        </w:rPr>
        <w:t xml:space="preserve"> is potentially greater at locations of greater reduction in groundwater pressures (depressurisation). Subsidence is therefore greatest in the vicinity of a </w:t>
      </w:r>
      <w:r w:rsidR="00C723CB">
        <w:rPr>
          <w:lang w:val="en-GB"/>
        </w:rPr>
        <w:t>coal seam gas</w:t>
      </w:r>
      <w:r w:rsidR="00C723CB" w:rsidRPr="00973D19">
        <w:rPr>
          <w:lang w:val="en-GB"/>
        </w:rPr>
        <w:t xml:space="preserve"> </w:t>
      </w:r>
      <w:r w:rsidR="003B38AB" w:rsidRPr="003B38AB">
        <w:rPr>
          <w:lang w:val="en-AU"/>
        </w:rPr>
        <w:t xml:space="preserve">extraction well, and reduces gradually at increasing distance from the well, similar to the profile shown in Figure </w:t>
      </w:r>
      <w:r w:rsidR="004470CB">
        <w:rPr>
          <w:lang w:val="en-AU"/>
        </w:rPr>
        <w:t>24</w:t>
      </w:r>
      <w:r w:rsidR="003B38AB" w:rsidRPr="003B38AB">
        <w:rPr>
          <w:lang w:val="en-AU"/>
        </w:rPr>
        <w:t xml:space="preserve">. The exact shape of the subsidence profile </w:t>
      </w:r>
      <w:r w:rsidR="00DA5EEA">
        <w:rPr>
          <w:lang w:val="en-AU"/>
        </w:rPr>
        <w:t xml:space="preserve">at the surface </w:t>
      </w:r>
      <w:r w:rsidR="003B38AB" w:rsidRPr="003B38AB">
        <w:rPr>
          <w:lang w:val="en-AU"/>
        </w:rPr>
        <w:t xml:space="preserve">may not be smooth or regular due to heterogeneous </w:t>
      </w:r>
      <w:r w:rsidR="00DA5EEA">
        <w:rPr>
          <w:lang w:val="en-AU"/>
        </w:rPr>
        <w:t>under</w:t>
      </w:r>
      <w:r w:rsidR="003B38AB" w:rsidRPr="003B38AB">
        <w:rPr>
          <w:lang w:val="en-AU"/>
        </w:rPr>
        <w:t xml:space="preserve">ground conditions. By accounting for decreasing depressurisation with distance from </w:t>
      </w:r>
      <w:r w:rsidR="00C723CB">
        <w:rPr>
          <w:lang w:val="en-GB"/>
        </w:rPr>
        <w:t>coal seam gas</w:t>
      </w:r>
      <w:r w:rsidR="00C723CB" w:rsidRPr="00973D19">
        <w:rPr>
          <w:lang w:val="en-GB"/>
        </w:rPr>
        <w:t xml:space="preserve"> </w:t>
      </w:r>
      <w:r w:rsidR="003B38AB" w:rsidRPr="003B38AB">
        <w:rPr>
          <w:lang w:val="en-AU"/>
        </w:rPr>
        <w:t xml:space="preserve">wells, and possibly accounting for variable </w:t>
      </w:r>
      <w:r w:rsidR="00DA5EEA">
        <w:rPr>
          <w:lang w:val="en-AU"/>
        </w:rPr>
        <w:t>under</w:t>
      </w:r>
      <w:r w:rsidR="003B38AB" w:rsidRPr="003B38AB">
        <w:rPr>
          <w:lang w:val="en-AU"/>
        </w:rPr>
        <w:t>ground conditions, subsidence modelling can predict the shape of potential subsidence as well as the magnitude.</w:t>
      </w:r>
    </w:p>
    <w:p w:rsidR="003B38AB" w:rsidRPr="003B38AB" w:rsidRDefault="003B38AB" w:rsidP="003B38AB">
      <w:pPr>
        <w:pStyle w:val="BRNormal11pt0"/>
        <w:rPr>
          <w:lang w:val="en-AU"/>
        </w:rPr>
      </w:pPr>
      <w:r w:rsidRPr="003B38AB">
        <w:rPr>
          <w:lang w:val="en-AU"/>
        </w:rPr>
        <w:t xml:space="preserve">By considering the potential </w:t>
      </w:r>
      <w:r w:rsidR="00DA5EEA">
        <w:rPr>
          <w:lang w:val="en-AU"/>
        </w:rPr>
        <w:t>compaction</w:t>
      </w:r>
      <w:r w:rsidRPr="003B38AB">
        <w:rPr>
          <w:lang w:val="en-AU"/>
        </w:rPr>
        <w:t xml:space="preserve"> of all depressurised </w:t>
      </w:r>
      <w:r w:rsidR="00DA5EEA">
        <w:rPr>
          <w:lang w:val="en-AU"/>
        </w:rPr>
        <w:t>geologic units</w:t>
      </w:r>
      <w:r w:rsidRPr="003B38AB">
        <w:rPr>
          <w:lang w:val="en-AU"/>
        </w:rPr>
        <w:t xml:space="preserve">, including the target coal seam as well as geological strata overlying and underlying the target coal seam, modelling can capture subsidence throughout the </w:t>
      </w:r>
      <w:r w:rsidR="00F37D74">
        <w:rPr>
          <w:lang w:val="en-AU"/>
        </w:rPr>
        <w:t>vertical</w:t>
      </w:r>
      <w:r w:rsidRPr="003B38AB">
        <w:rPr>
          <w:lang w:val="en-AU"/>
        </w:rPr>
        <w:t xml:space="preserve"> profile.</w:t>
      </w:r>
    </w:p>
    <w:p w:rsidR="003B38AB" w:rsidRPr="003B38AB" w:rsidRDefault="00093D1C" w:rsidP="00A90F48">
      <w:pPr>
        <w:pStyle w:val="Listintrotext"/>
        <w:rPr>
          <w:lang w:val="en-GB"/>
        </w:rPr>
      </w:pPr>
      <w:r>
        <w:rPr>
          <w:noProof/>
          <w:lang w:val="en-AU" w:eastAsia="en-AU"/>
        </w:rPr>
        <w:drawing>
          <wp:inline distT="0" distB="0" distL="0" distR="0">
            <wp:extent cx="5542295" cy="154379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4.jpg"/>
                    <pic:cNvPicPr/>
                  </pic:nvPicPr>
                  <pic:blipFill>
                    <a:blip r:embed="rId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1772" cy="1546433"/>
                    </a:xfrm>
                    <a:prstGeom prst="rect">
                      <a:avLst/>
                    </a:prstGeom>
                  </pic:spPr>
                </pic:pic>
              </a:graphicData>
            </a:graphic>
          </wp:inline>
        </w:drawing>
      </w:r>
    </w:p>
    <w:p w:rsidR="003B38AB" w:rsidRPr="003B38AB" w:rsidRDefault="004470CB"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24</w:t>
      </w:r>
      <w:r w:rsidR="00E252C4" w:rsidRPr="005A4936">
        <w:fldChar w:fldCharType="end"/>
      </w:r>
      <w:r>
        <w:t xml:space="preserve"> </w:t>
      </w:r>
      <w:r w:rsidR="003B38AB" w:rsidRPr="003B38AB">
        <w:t>Cross-</w:t>
      </w:r>
      <w:r>
        <w:t>s</w:t>
      </w:r>
      <w:r w:rsidR="003B38AB" w:rsidRPr="003B38AB">
        <w:t>ection of</w:t>
      </w:r>
      <w:r w:rsidR="00DA5EEA">
        <w:t xml:space="preserve"> a</w:t>
      </w:r>
      <w:r w:rsidR="003B38AB" w:rsidRPr="003B38AB">
        <w:t xml:space="preserve"> </w:t>
      </w:r>
      <w:r>
        <w:t>t</w:t>
      </w:r>
      <w:r w:rsidR="003B38AB" w:rsidRPr="003B38AB">
        <w:t xml:space="preserve">ypical </w:t>
      </w:r>
      <w:r w:rsidRPr="00D90926">
        <w:t>s</w:t>
      </w:r>
      <w:r w:rsidR="003B38AB" w:rsidRPr="00D90926">
        <w:t>ubsidence</w:t>
      </w:r>
      <w:r w:rsidR="003B38AB" w:rsidRPr="003B38AB">
        <w:t xml:space="preserve"> </w:t>
      </w:r>
      <w:r>
        <w:t>p</w:t>
      </w:r>
      <w:r w:rsidR="003B38AB" w:rsidRPr="003B38AB">
        <w:t>rofile</w:t>
      </w:r>
    </w:p>
    <w:p w:rsidR="003B38AB" w:rsidRPr="003B38AB" w:rsidRDefault="003B38AB" w:rsidP="003B38AB">
      <w:pPr>
        <w:pStyle w:val="Heading2"/>
      </w:pPr>
      <w:bookmarkStart w:id="551" w:name="_Toc391554304"/>
      <w:bookmarkStart w:id="552" w:name="_Toc394649823"/>
      <w:bookmarkStart w:id="553" w:name="_Toc387410257"/>
      <w:bookmarkStart w:id="554" w:name="_Toc402425333"/>
      <w:bookmarkEnd w:id="551"/>
      <w:bookmarkEnd w:id="552"/>
      <w:r w:rsidRPr="003B38AB">
        <w:t xml:space="preserve">Subsidence </w:t>
      </w:r>
      <w:r w:rsidR="00FD23B8">
        <w:t>d</w:t>
      </w:r>
      <w:r w:rsidRPr="003B38AB">
        <w:t xml:space="preserve">ue to </w:t>
      </w:r>
      <w:r w:rsidR="00FD23B8">
        <w:t>c</w:t>
      </w:r>
      <w:r w:rsidRPr="003B38AB">
        <w:t xml:space="preserve">oal </w:t>
      </w:r>
      <w:r w:rsidR="00FD23B8">
        <w:t>s</w:t>
      </w:r>
      <w:r w:rsidRPr="003B38AB">
        <w:t xml:space="preserve">eam </w:t>
      </w:r>
      <w:r w:rsidR="00FD23B8">
        <w:t>d</w:t>
      </w:r>
      <w:r w:rsidRPr="003B38AB">
        <w:t>egassing</w:t>
      </w:r>
      <w:bookmarkEnd w:id="553"/>
      <w:bookmarkEnd w:id="554"/>
    </w:p>
    <w:p w:rsidR="003B38AB" w:rsidRPr="003B38AB" w:rsidRDefault="003B38AB" w:rsidP="003B38AB">
      <w:pPr>
        <w:pStyle w:val="BRNormal11pt0"/>
        <w:rPr>
          <w:lang w:val="en-AU"/>
        </w:rPr>
      </w:pPr>
      <w:r w:rsidRPr="003B38AB">
        <w:rPr>
          <w:lang w:val="en-AU"/>
        </w:rPr>
        <w:t xml:space="preserve">This section discusses modelling approaches to predict the </w:t>
      </w:r>
      <w:r w:rsidR="00F37D74">
        <w:rPr>
          <w:lang w:val="en-AU"/>
        </w:rPr>
        <w:t>compaction</w:t>
      </w:r>
      <w:r w:rsidRPr="003B38AB">
        <w:rPr>
          <w:lang w:val="en-AU"/>
        </w:rPr>
        <w:t xml:space="preserve"> of hydrogeological units due to degassing of coal seams.</w:t>
      </w:r>
    </w:p>
    <w:p w:rsidR="003B38AB" w:rsidRPr="003B38AB" w:rsidRDefault="003B38AB" w:rsidP="003B38AB">
      <w:pPr>
        <w:pStyle w:val="BRNormal11pt0"/>
        <w:rPr>
          <w:lang w:val="en-GB"/>
        </w:rPr>
      </w:pPr>
      <w:r w:rsidRPr="003B38AB">
        <w:rPr>
          <w:lang w:val="en-GB"/>
        </w:rPr>
        <w:t xml:space="preserve">Coal seams undergo </w:t>
      </w:r>
      <w:r w:rsidR="00F37D74">
        <w:rPr>
          <w:lang w:val="en-GB"/>
        </w:rPr>
        <w:t>compaction</w:t>
      </w:r>
      <w:r w:rsidRPr="003B38AB">
        <w:rPr>
          <w:lang w:val="en-GB"/>
        </w:rPr>
        <w:t xml:space="preserve"> due to changes in groundwater pressure, as governed by geomechanical compressibility, and similar to any other geological unit. Unlike other geological units, however, the desorption (removal) of </w:t>
      </w:r>
      <w:r w:rsidR="00C723CB">
        <w:rPr>
          <w:lang w:val="en-GB"/>
        </w:rPr>
        <w:t>gas</w:t>
      </w:r>
      <w:r w:rsidR="00C723CB" w:rsidRPr="00973D19">
        <w:rPr>
          <w:lang w:val="en-GB"/>
        </w:rPr>
        <w:t xml:space="preserve"> </w:t>
      </w:r>
      <w:r w:rsidRPr="003B38AB">
        <w:rPr>
          <w:lang w:val="en-GB"/>
        </w:rPr>
        <w:t xml:space="preserve">from coal seams causes additional </w:t>
      </w:r>
      <w:r w:rsidR="00F37D74">
        <w:rPr>
          <w:lang w:val="en-GB"/>
        </w:rPr>
        <w:t>compaction</w:t>
      </w:r>
      <w:r w:rsidRPr="003B38AB">
        <w:rPr>
          <w:lang w:val="en-GB"/>
        </w:rPr>
        <w:t>.</w:t>
      </w:r>
    </w:p>
    <w:p w:rsidR="003B38AB" w:rsidRPr="003B38AB" w:rsidRDefault="003B38AB" w:rsidP="003B38AB">
      <w:pPr>
        <w:pStyle w:val="BRNormal11pt0"/>
        <w:rPr>
          <w:lang w:val="en-GB"/>
        </w:rPr>
      </w:pPr>
      <w:r w:rsidRPr="003B38AB">
        <w:rPr>
          <w:lang w:val="en-GB"/>
        </w:rPr>
        <w:t xml:space="preserve">Coal beds can adsorb increasing volumes of gas (primarily methane, carbon dioxide and nitrogen) with increasing pore pressure. The adsorption or desorption of gas molecules causes the length of the matrix block to either increase or decrease, respectively. Degassing (desorption) therefore leads to a decrease in the length of the matrix blocks resulting in </w:t>
      </w:r>
      <w:r w:rsidR="00F37D74">
        <w:rPr>
          <w:lang w:val="en-GB"/>
        </w:rPr>
        <w:t>compaction</w:t>
      </w:r>
      <w:r w:rsidRPr="003B38AB">
        <w:rPr>
          <w:lang w:val="en-GB"/>
        </w:rPr>
        <w:t xml:space="preserve"> of the coal. Th</w:t>
      </w:r>
      <w:r w:rsidR="00F37D74">
        <w:rPr>
          <w:lang w:val="en-GB"/>
        </w:rPr>
        <w:t>is</w:t>
      </w:r>
      <w:r w:rsidRPr="003B38AB">
        <w:rPr>
          <w:lang w:val="en-GB"/>
        </w:rPr>
        <w:t xml:space="preserve"> component of comp</w:t>
      </w:r>
      <w:r w:rsidR="00F37D74">
        <w:rPr>
          <w:lang w:val="en-GB"/>
        </w:rPr>
        <w:t>action</w:t>
      </w:r>
      <w:r w:rsidRPr="003B38AB">
        <w:rPr>
          <w:lang w:val="en-GB"/>
        </w:rPr>
        <w:t xml:space="preserve"> is solely a function of the method of reduction in the coal and is not dependent on changes in overburden pressure (Robertson </w:t>
      </w:r>
      <w:r w:rsidR="004470CB">
        <w:rPr>
          <w:lang w:val="en-GB"/>
        </w:rPr>
        <w:t>&amp;</w:t>
      </w:r>
      <w:r w:rsidR="004470CB" w:rsidRPr="003B38AB">
        <w:rPr>
          <w:lang w:val="en-GB"/>
        </w:rPr>
        <w:t xml:space="preserve"> </w:t>
      </w:r>
      <w:r w:rsidRPr="003B38AB">
        <w:rPr>
          <w:lang w:val="en-GB"/>
        </w:rPr>
        <w:t>Christiansen 2006). However, this process may not hold where in situ stresses change due to rotation of the principal stresses from, say, a non-uniform distribution of depressurisation.</w:t>
      </w:r>
    </w:p>
    <w:p w:rsidR="003B38AB" w:rsidRPr="003B38AB" w:rsidRDefault="003B38AB" w:rsidP="003B38AB">
      <w:pPr>
        <w:pStyle w:val="BRNormal11pt0"/>
        <w:rPr>
          <w:lang w:val="en-GB"/>
        </w:rPr>
      </w:pPr>
      <w:r w:rsidRPr="003B38AB">
        <w:rPr>
          <w:lang w:val="en-GB"/>
        </w:rPr>
        <w:t xml:space="preserve">The sorption behaviour of </w:t>
      </w:r>
      <w:r w:rsidR="00C723CB">
        <w:rPr>
          <w:lang w:val="en-GB"/>
        </w:rPr>
        <w:t>coal seam gas</w:t>
      </w:r>
      <w:r w:rsidR="00C723CB" w:rsidRPr="00973D19">
        <w:rPr>
          <w:lang w:val="en-GB"/>
        </w:rPr>
        <w:t xml:space="preserve"> </w:t>
      </w:r>
      <w:r w:rsidRPr="003B38AB">
        <w:rPr>
          <w:lang w:val="en-GB"/>
        </w:rPr>
        <w:t xml:space="preserve">conforms to a Langmuir isotherm (Robertson </w:t>
      </w:r>
      <w:r w:rsidR="004470CB">
        <w:rPr>
          <w:lang w:val="en-GB"/>
        </w:rPr>
        <w:t>&amp;</w:t>
      </w:r>
      <w:r w:rsidR="004470CB" w:rsidRPr="003B38AB">
        <w:rPr>
          <w:lang w:val="en-GB"/>
        </w:rPr>
        <w:t xml:space="preserve"> </w:t>
      </w:r>
      <w:r w:rsidRPr="003B38AB">
        <w:rPr>
          <w:lang w:val="en-GB"/>
        </w:rPr>
        <w:t>Christiansen 2005</w:t>
      </w:r>
      <w:r w:rsidR="004470CB">
        <w:rPr>
          <w:lang w:val="en-GB"/>
        </w:rPr>
        <w:t>,</w:t>
      </w:r>
      <w:r w:rsidRPr="003B38AB">
        <w:rPr>
          <w:lang w:val="en-GB"/>
        </w:rPr>
        <w:t xml:space="preserve"> 2006) and a Langmuir relationship describes the </w:t>
      </w:r>
      <w:r w:rsidR="00F37D74">
        <w:rPr>
          <w:lang w:val="en-GB"/>
        </w:rPr>
        <w:t xml:space="preserve">behaviour of the coal under </w:t>
      </w:r>
      <w:r w:rsidRPr="003B38AB">
        <w:rPr>
          <w:lang w:val="en-GB"/>
        </w:rPr>
        <w:t>compression or expansion.</w:t>
      </w:r>
      <w:r w:rsidRPr="003B38AB">
        <w:rPr>
          <w:lang w:val="en-AU"/>
        </w:rPr>
        <w:t xml:space="preserve"> Assuming that geological materials are significantly constrained in the horizontal direction, </w:t>
      </w:r>
      <w:r w:rsidR="00F37D74">
        <w:rPr>
          <w:lang w:val="en-AU"/>
        </w:rPr>
        <w:t>compaction</w:t>
      </w:r>
      <w:r w:rsidRPr="003B38AB">
        <w:rPr>
          <w:lang w:val="en-AU"/>
        </w:rPr>
        <w:t xml:space="preserve"> may be estimated considering the vertical compression of the coal. </w:t>
      </w:r>
      <w:r w:rsidRPr="003B38AB">
        <w:rPr>
          <w:lang w:val="en-GB"/>
        </w:rPr>
        <w:t>The linear vertical strain (</w:t>
      </w:r>
      <w:r w:rsidR="004470CB">
        <w:rPr>
          <w:lang w:val="en-GB"/>
        </w:rPr>
        <w:t xml:space="preserve">i.e. </w:t>
      </w:r>
      <w:r w:rsidRPr="003B38AB">
        <w:rPr>
          <w:lang w:val="en-GB"/>
        </w:rPr>
        <w:t xml:space="preserve">change in height of a coal block) due to desorption of </w:t>
      </w:r>
      <w:r w:rsidR="00C723CB">
        <w:rPr>
          <w:lang w:val="en-GB"/>
        </w:rPr>
        <w:t>coal seam gas</w:t>
      </w:r>
      <w:r w:rsidR="00C723CB" w:rsidRPr="00973D19">
        <w:rPr>
          <w:lang w:val="en-GB"/>
        </w:rPr>
        <w:t xml:space="preserve"> </w:t>
      </w:r>
      <w:r w:rsidRPr="003B38AB">
        <w:rPr>
          <w:lang w:val="en-GB"/>
        </w:rPr>
        <w:t>(degassing) is defined as:</w:t>
      </w:r>
    </w:p>
    <w:p w:rsidR="003B38AB" w:rsidRPr="0033334C" w:rsidRDefault="00E252C4" w:rsidP="00A90F48">
      <w:pPr>
        <w:pStyle w:val="Listintrotext"/>
        <w:rPr>
          <w:lang w:val="en-GB"/>
        </w:rPr>
      </w:pPr>
      <m:oMathPara>
        <m:oMathParaPr>
          <m:jc m:val="left"/>
        </m:oMathParaPr>
        <m:oMath>
          <m:sSub>
            <m:sSubPr>
              <m:ctrlPr>
                <w:rPr>
                  <w:rFonts w:ascii="Cambria Math" w:hAnsi="Cambria Math"/>
                  <w:lang w:val="en-GB"/>
                </w:rPr>
              </m:ctrlPr>
            </m:sSubPr>
            <m:e>
              <m:r>
                <w:rPr>
                  <w:rFonts w:ascii="Cambria Math" w:hAnsi="Cambria Math"/>
                  <w:lang w:val="en-GB"/>
                </w:rPr>
                <m:t>ε</m:t>
              </m:r>
            </m:e>
            <m:sub>
              <m:r>
                <w:rPr>
                  <w:rFonts w:ascii="Cambria Math" w:hAnsi="Cambria Math"/>
                  <w:lang w:val="en-GB"/>
                </w:rPr>
                <m:t>sh</m:t>
              </m:r>
            </m:sub>
          </m:sSub>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max</m:t>
                  </m:r>
                </m:sub>
              </m:sSub>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num>
            <m:den>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den>
          </m:f>
        </m:oMath>
      </m:oMathPara>
    </w:p>
    <w:p w:rsidR="004470CB" w:rsidRDefault="003B38AB" w:rsidP="00EE274E">
      <w:pPr>
        <w:pStyle w:val="BRNormal11pt0"/>
        <w:rPr>
          <w:lang w:val="en-GB"/>
        </w:rPr>
      </w:pPr>
      <w:r w:rsidRPr="003B38AB">
        <w:rPr>
          <w:lang w:val="en-GB"/>
        </w:rPr>
        <w:t xml:space="preserve">where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sh</m:t>
            </m:r>
          </m:sub>
        </m:sSub>
      </m:oMath>
      <w:r w:rsidRPr="003B38AB">
        <w:rPr>
          <w:lang w:val="en-GB"/>
        </w:rPr>
        <w:t xml:space="preserve"> is desorption-induced strain, </w:t>
      </w:r>
      <w:r w:rsidRPr="003B38AB">
        <w:rPr>
          <w:i/>
          <w:lang w:val="en-GB"/>
        </w:rPr>
        <w:t>S</w:t>
      </w:r>
      <w:r w:rsidRPr="003B38AB">
        <w:rPr>
          <w:i/>
          <w:vertAlign w:val="subscript"/>
          <w:lang w:val="en-GB"/>
        </w:rPr>
        <w:t>max</w:t>
      </w:r>
      <w:r w:rsidRPr="003B38AB">
        <w:rPr>
          <w:lang w:val="en-GB"/>
        </w:rPr>
        <w:t xml:space="preserve"> is the strain at infinite pore pressure,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p</m:t>
            </m:r>
          </m:sub>
        </m:sSub>
      </m:oMath>
      <w:r w:rsidRPr="003B38AB">
        <w:rPr>
          <w:lang w:val="en-GB"/>
        </w:rPr>
        <w:t xml:space="preserve">is the current pore pressure, and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L</m:t>
            </m:r>
          </m:sub>
        </m:sSub>
      </m:oMath>
      <w:r w:rsidRPr="003B38AB">
        <w:rPr>
          <w:lang w:val="en-GB"/>
        </w:rPr>
        <w:t xml:space="preserve">is the pore pressure at which the strain is equal to one-half the value of </w:t>
      </w: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max</m:t>
            </m:r>
          </m:sub>
        </m:sSub>
      </m:oMath>
      <w:r w:rsidR="00DC076F">
        <w:rPr>
          <w:lang w:val="en-GB"/>
        </w:rPr>
        <w:t>.</w:t>
      </w:r>
    </w:p>
    <w:p w:rsidR="003B38AB" w:rsidRPr="003B38AB" w:rsidRDefault="003B38AB" w:rsidP="003B38AB">
      <w:pPr>
        <w:pStyle w:val="BRNormal11pt0"/>
        <w:rPr>
          <w:lang w:val="en-GB"/>
        </w:rPr>
      </w:pPr>
      <w:r w:rsidRPr="003B38AB">
        <w:rPr>
          <w:lang w:val="en-GB"/>
        </w:rPr>
        <w:t xml:space="preserve">These parameter values are measured by conducting laboratory tests on coal samples. The parameter values can vary widely for different coal quality (coal rank) and coal seam depth. Parameter data for Australian </w:t>
      </w:r>
      <w:r w:rsidR="00C723CB">
        <w:rPr>
          <w:lang w:val="en-GB"/>
        </w:rPr>
        <w:t>coal seam gas</w:t>
      </w:r>
      <w:r w:rsidR="00C723CB" w:rsidRPr="00973D19">
        <w:rPr>
          <w:lang w:val="en-GB"/>
        </w:rPr>
        <w:t xml:space="preserve"> </w:t>
      </w:r>
      <w:r w:rsidRPr="003B38AB">
        <w:rPr>
          <w:lang w:val="en-GB"/>
        </w:rPr>
        <w:t>developments are not available in the public domain. However, some data from coal bed methane developments in the US are available. For example, Robertson and Christiansen (2005) reported the laboratory results (Figure</w:t>
      </w:r>
      <w:r w:rsidR="009D02EC">
        <w:rPr>
          <w:lang w:val="en-GB"/>
        </w:rPr>
        <w:t> </w:t>
      </w:r>
      <w:r w:rsidR="00B47ED5">
        <w:rPr>
          <w:lang w:val="en-GB"/>
        </w:rPr>
        <w:t>25</w:t>
      </w:r>
      <w:r w:rsidR="00B47ED5" w:rsidRPr="003B38AB">
        <w:rPr>
          <w:lang w:val="en-GB"/>
        </w:rPr>
        <w:t xml:space="preserve"> </w:t>
      </w:r>
      <w:r w:rsidRPr="003B38AB">
        <w:rPr>
          <w:lang w:val="en-GB"/>
        </w:rPr>
        <w:t>and Table</w:t>
      </w:r>
      <w:r w:rsidR="009D02EC">
        <w:rPr>
          <w:lang w:val="en-GB"/>
        </w:rPr>
        <w:t> </w:t>
      </w:r>
      <w:r w:rsidR="002C43B4">
        <w:rPr>
          <w:lang w:val="en-GB"/>
        </w:rPr>
        <w:t>7</w:t>
      </w:r>
      <w:r w:rsidRPr="003B38AB">
        <w:rPr>
          <w:lang w:val="en-GB"/>
        </w:rPr>
        <w:t>) for three different pure gases (N</w:t>
      </w:r>
      <w:r w:rsidRPr="003B38AB">
        <w:rPr>
          <w:vertAlign w:val="subscript"/>
          <w:lang w:val="en-GB"/>
        </w:rPr>
        <w:t>2</w:t>
      </w:r>
      <w:r w:rsidRPr="003B38AB">
        <w:rPr>
          <w:lang w:val="en-GB"/>
        </w:rPr>
        <w:t>, CH</w:t>
      </w:r>
      <w:r w:rsidRPr="003B38AB">
        <w:rPr>
          <w:vertAlign w:val="subscript"/>
          <w:lang w:val="en-GB"/>
        </w:rPr>
        <w:t>4</w:t>
      </w:r>
      <w:r w:rsidRPr="003B38AB">
        <w:rPr>
          <w:lang w:val="en-GB"/>
        </w:rPr>
        <w:t xml:space="preserve">, </w:t>
      </w:r>
      <w:proofErr w:type="gramStart"/>
      <w:r w:rsidRPr="003B38AB">
        <w:rPr>
          <w:lang w:val="en-GB"/>
        </w:rPr>
        <w:t>CO</w:t>
      </w:r>
      <w:r w:rsidRPr="003B38AB">
        <w:rPr>
          <w:vertAlign w:val="subscript"/>
          <w:lang w:val="en-GB"/>
        </w:rPr>
        <w:t>2</w:t>
      </w:r>
      <w:proofErr w:type="gramEnd"/>
      <w:r w:rsidRPr="003B38AB">
        <w:rPr>
          <w:lang w:val="en-GB"/>
        </w:rPr>
        <w:t xml:space="preserve">) and two types of coal from the Powder River Basin, Wyoming (Gilson-bituminous and </w:t>
      </w:r>
      <w:r w:rsidRPr="003B38AB">
        <w:t>Anderson</w:t>
      </w:r>
      <w:r w:rsidRPr="003B38AB">
        <w:rPr>
          <w:lang w:val="en-GB"/>
        </w:rPr>
        <w:t>-subbituminous coal). Wang (2012) provide</w:t>
      </w:r>
      <w:r w:rsidR="003475AC">
        <w:rPr>
          <w:lang w:val="en-GB"/>
        </w:rPr>
        <w:t>d</w:t>
      </w:r>
      <w:r w:rsidRPr="003B38AB">
        <w:rPr>
          <w:lang w:val="en-GB"/>
        </w:rPr>
        <w:t xml:space="preserve"> published measured strains for a range of coal ranks under conditions of varying pressure, mostly for CH</w:t>
      </w:r>
      <w:r w:rsidRPr="003B38AB">
        <w:rPr>
          <w:vertAlign w:val="subscript"/>
          <w:lang w:val="en-GB"/>
        </w:rPr>
        <w:t>4</w:t>
      </w:r>
      <w:r w:rsidRPr="003B38AB">
        <w:rPr>
          <w:lang w:val="en-GB"/>
        </w:rPr>
        <w:t xml:space="preserve"> and CO</w:t>
      </w:r>
      <w:r w:rsidRPr="003B38AB">
        <w:rPr>
          <w:vertAlign w:val="subscript"/>
          <w:lang w:val="en-GB"/>
        </w:rPr>
        <w:t>2</w:t>
      </w:r>
      <w:r w:rsidRPr="003B38AB">
        <w:rPr>
          <w:lang w:val="en-GB"/>
        </w:rPr>
        <w:t>.</w:t>
      </w:r>
    </w:p>
    <w:p w:rsidR="003B38AB" w:rsidRPr="003B38AB" w:rsidRDefault="003B38AB" w:rsidP="003B38AB">
      <w:pPr>
        <w:pStyle w:val="BRNormal11pt0"/>
        <w:rPr>
          <w:lang w:val="en-GB"/>
        </w:rPr>
      </w:pPr>
      <w:r w:rsidRPr="003B38AB">
        <w:rPr>
          <w:lang w:val="en-GB"/>
        </w:rPr>
        <w:t>For a change in pore pressure over an elapsed time period (</w:t>
      </w:r>
      <w:r w:rsidR="00D90926">
        <w:rPr>
          <w:lang w:val="en-GB"/>
        </w:rPr>
        <w:t xml:space="preserve">e.g. </w:t>
      </w:r>
      <w:r w:rsidRPr="003B38AB">
        <w:rPr>
          <w:lang w:val="en-GB"/>
        </w:rPr>
        <w:t xml:space="preserve">after a period of </w:t>
      </w:r>
      <w:r w:rsidR="00C723CB">
        <w:rPr>
          <w:lang w:val="en-GB"/>
        </w:rPr>
        <w:t>coal seam gas</w:t>
      </w:r>
      <w:r w:rsidR="00C723CB" w:rsidRPr="00973D19">
        <w:rPr>
          <w:lang w:val="en-GB"/>
        </w:rPr>
        <w:t xml:space="preserve"> </w:t>
      </w:r>
      <w:r w:rsidRPr="003B38AB">
        <w:rPr>
          <w:lang w:val="en-GB"/>
        </w:rPr>
        <w:t>production), the linear strain caused by desorption of gases</w:t>
      </w:r>
      <w:proofErr w:type="gramStart"/>
      <w:r w:rsidRPr="003B38AB">
        <w:rPr>
          <w:lang w:val="en-GB"/>
        </w:rPr>
        <w:t xml:space="preserve">, </w:t>
      </w:r>
      <m:oMath>
        <w:proofErr w:type="gramEnd"/>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ls</m:t>
            </m:r>
          </m:sub>
        </m:sSub>
      </m:oMath>
      <w:r w:rsidRPr="003B38AB">
        <w:rPr>
          <w:lang w:val="en-GB"/>
        </w:rPr>
        <w:t>, can be estimated based on the relationship:</w:t>
      </w:r>
    </w:p>
    <w:p w:rsidR="003B38AB" w:rsidRPr="003B38AB" w:rsidRDefault="00E252C4" w:rsidP="00A90F48">
      <w:pPr>
        <w:pStyle w:val="Listintrotext"/>
        <w:rPr>
          <w:lang w:val="en-GB"/>
        </w:rPr>
      </w:pPr>
      <m:oMathPara>
        <m:oMath>
          <m:sSub>
            <m:sSubPr>
              <m:ctrlPr>
                <w:rPr>
                  <w:rFonts w:ascii="Cambria Math" w:hAnsi="Cambria Math"/>
                  <w:lang w:val="en-GB"/>
                </w:rPr>
              </m:ctrlPr>
            </m:sSubPr>
            <m:e>
              <m:r>
                <w:rPr>
                  <w:rFonts w:ascii="Cambria Math" w:hAnsi="Cambria Math"/>
                  <w:lang w:val="en-GB"/>
                </w:rPr>
                <m:t>ε</m:t>
              </m:r>
            </m:e>
            <m:sub>
              <m:r>
                <w:rPr>
                  <w:rFonts w:ascii="Cambria Math" w:hAnsi="Cambria Math"/>
                  <w:lang w:val="en-GB"/>
                </w:rPr>
                <m:t>sh</m:t>
              </m:r>
              <m:r>
                <m:rPr>
                  <m:sty m:val="p"/>
                </m:rPr>
                <w:rPr>
                  <w:rFonts w:ascii="Cambria Math" w:hAnsi="Cambria Math"/>
                  <w:lang w:val="en-GB"/>
                </w:rPr>
                <m:t>,</m:t>
              </m:r>
              <m:r>
                <w:rPr>
                  <w:rFonts w:ascii="Cambria Math" w:hAnsi="Cambria Math"/>
                  <w:lang w:val="en-GB"/>
                </w:rPr>
                <m:t>t</m:t>
              </m:r>
            </m:sub>
          </m:sSub>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max</m:t>
                  </m:r>
                </m:sub>
              </m:sSub>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num>
            <m:den>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den>
          </m:f>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max</m:t>
                  </m:r>
                </m:sub>
              </m:sSub>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r>
                    <m:rPr>
                      <m:sty m:val="p"/>
                    </m:rPr>
                    <w:rPr>
                      <w:rFonts w:ascii="Cambria Math" w:hAnsi="Cambria Math"/>
                      <w:lang w:val="en-GB"/>
                    </w:rPr>
                    <m:t>0</m:t>
                  </m:r>
                </m:sub>
              </m:sSub>
            </m:num>
            <m:den>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r>
                    <m:rPr>
                      <m:sty m:val="p"/>
                    </m:rPr>
                    <w:rPr>
                      <w:rFonts w:ascii="Cambria Math" w:hAnsi="Cambria Math"/>
                      <w:lang w:val="en-GB"/>
                    </w:rPr>
                    <m:t>0</m:t>
                  </m:r>
                </m:sub>
              </m:sSub>
            </m:den>
          </m:f>
        </m:oMath>
      </m:oMathPara>
    </w:p>
    <w:p w:rsidR="003B38AB" w:rsidRPr="003B38AB" w:rsidRDefault="00E252C4" w:rsidP="00A90F48">
      <w:pPr>
        <w:pStyle w:val="Listintrotext"/>
        <w:rPr>
          <w:lang w:val="en-GB"/>
        </w:rPr>
      </w:pPr>
      <m:oMathPara>
        <m:oMath>
          <m:sSub>
            <m:sSubPr>
              <m:ctrlPr>
                <w:rPr>
                  <w:rFonts w:ascii="Cambria Math" w:hAnsi="Cambria Math"/>
                  <w:lang w:val="en-GB"/>
                </w:rPr>
              </m:ctrlPr>
            </m:sSubPr>
            <m:e>
              <m:r>
                <w:rPr>
                  <w:rFonts w:ascii="Cambria Math" w:hAnsi="Cambria Math"/>
                  <w:lang w:val="en-GB"/>
                </w:rPr>
                <m:t>ε</m:t>
              </m:r>
            </m:e>
            <m:sub>
              <m:r>
                <w:rPr>
                  <w:rFonts w:ascii="Cambria Math" w:hAnsi="Cambria Math"/>
                  <w:lang w:val="en-GB"/>
                </w:rPr>
                <m:t>sh</m:t>
              </m:r>
              <m:r>
                <m:rPr>
                  <m:sty m:val="p"/>
                </m:rPr>
                <w:rPr>
                  <w:rFonts w:ascii="Cambria Math" w:hAnsi="Cambria Math"/>
                  <w:lang w:val="en-GB"/>
                </w:rPr>
                <m:t>,</m:t>
              </m:r>
              <m:r>
                <w:rPr>
                  <w:rFonts w:ascii="Cambria Math" w:hAnsi="Cambria Math"/>
                  <w:lang w:val="en-GB"/>
                </w:rPr>
                <m:t>t</m:t>
              </m:r>
            </m:sub>
          </m:sSub>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max</m:t>
                  </m:r>
                </m:sub>
              </m:sSub>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num>
            <m:den>
              <m:sSub>
                <m:sSubPr>
                  <m:ctrlPr>
                    <w:rPr>
                      <w:rFonts w:ascii="Cambria Math" w:hAnsi="Cambria Math"/>
                      <w:lang w:val="en-GB"/>
                    </w:rPr>
                  </m:ctrlPr>
                </m:sSubPr>
                <m:e>
                  <m:r>
                    <m:rPr>
                      <m:sty m:val="p"/>
                    </m:rPr>
                    <w:rPr>
                      <w:rFonts w:ascii="Cambria Math" w:hAnsi="Cambria Math"/>
                      <w:lang w:val="en-GB"/>
                    </w:rPr>
                    <m:t>(</m:t>
                  </m:r>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r>
                    <m:rPr>
                      <m:sty m:val="p"/>
                    </m:rPr>
                    <w:rPr>
                      <w:rFonts w:ascii="Cambria Math" w:hAnsi="Cambria Math"/>
                      <w:lang w:val="en-GB"/>
                    </w:rPr>
                    <m:t>0</m:t>
                  </m:r>
                </m:sub>
              </m:sSub>
              <m:r>
                <m:rPr>
                  <m:sty m:val="p"/>
                </m:rPr>
                <w:rPr>
                  <w:rFonts w:ascii="Cambria Math" w:hAnsi="Cambria Math"/>
                  <w:lang w:val="en-GB"/>
                </w:rPr>
                <m:t>)</m:t>
              </m:r>
            </m:den>
          </m:f>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p</m:t>
              </m:r>
              <m:r>
                <m:rPr>
                  <m:sty m:val="p"/>
                </m:rPr>
                <w:rPr>
                  <w:rFonts w:ascii="Cambria Math" w:hAnsi="Cambria Math"/>
                  <w:lang w:val="en-GB"/>
                </w:rPr>
                <m:t>0</m:t>
              </m:r>
            </m:sub>
          </m:sSub>
          <m:r>
            <m:rPr>
              <m:sty m:val="p"/>
            </m:rPr>
            <w:rPr>
              <w:rFonts w:ascii="Cambria Math" w:hAnsi="Cambria Math"/>
              <w:lang w:val="en-GB"/>
            </w:rPr>
            <m:t>)</m:t>
          </m:r>
        </m:oMath>
      </m:oMathPara>
    </w:p>
    <w:p w:rsidR="003B38AB" w:rsidRPr="003B38AB" w:rsidRDefault="003B38AB" w:rsidP="003B38AB">
      <w:pPr>
        <w:pStyle w:val="BRNormal11pt0"/>
        <w:rPr>
          <w:lang w:val="en-GB"/>
        </w:rPr>
      </w:pPr>
      <w:r w:rsidRPr="003B38AB">
        <w:rPr>
          <w:lang w:val="en-GB"/>
        </w:rPr>
        <w:t xml:space="preserve">Where </w:t>
      </w:r>
      <w:r w:rsidRPr="003B38AB">
        <w:rPr>
          <w:i/>
          <w:lang w:val="en-GB"/>
        </w:rPr>
        <w:t>ε</w:t>
      </w:r>
      <w:r w:rsidRPr="003B38AB">
        <w:rPr>
          <w:i/>
          <w:vertAlign w:val="subscript"/>
          <w:lang w:val="en-GB"/>
        </w:rPr>
        <w:t>sh</w:t>
      </w:r>
      <w:proofErr w:type="gramStart"/>
      <w:r w:rsidRPr="003B38AB">
        <w:rPr>
          <w:i/>
          <w:vertAlign w:val="subscript"/>
          <w:lang w:val="en-GB"/>
        </w:rPr>
        <w:t>,t</w:t>
      </w:r>
      <w:proofErr w:type="gramEnd"/>
      <w:r w:rsidRPr="003B38AB">
        <w:rPr>
          <w:lang w:val="en-GB"/>
        </w:rPr>
        <w:t xml:space="preserve"> is the linear strain after a given time, </w:t>
      </w:r>
      <w:r w:rsidRPr="003B38AB">
        <w:rPr>
          <w:i/>
          <w:lang w:val="en-GB"/>
        </w:rPr>
        <w:t>t</w:t>
      </w:r>
      <w:r w:rsidRPr="003B38AB">
        <w:rPr>
          <w:lang w:val="en-GB"/>
        </w:rPr>
        <w:t xml:space="preserve">, and </w:t>
      </w:r>
      <w:r w:rsidRPr="003B38AB">
        <w:rPr>
          <w:i/>
          <w:lang w:val="en-GB"/>
        </w:rPr>
        <w:t>P</w:t>
      </w:r>
      <w:r w:rsidRPr="003B38AB">
        <w:rPr>
          <w:i/>
          <w:vertAlign w:val="subscript"/>
          <w:lang w:val="en-GB"/>
        </w:rPr>
        <w:t>p0</w:t>
      </w:r>
      <w:r w:rsidRPr="003B38AB">
        <w:rPr>
          <w:lang w:val="en-GB"/>
        </w:rPr>
        <w:t xml:space="preserve"> is the initial pore pressure in the coal. Since the pressure change is controlled by the removal of groundwater from the coal, the pressure change (</w:t>
      </w:r>
      <w:r w:rsidRPr="003B38AB">
        <w:rPr>
          <w:i/>
          <w:lang w:val="en-GB"/>
        </w:rPr>
        <w:t>P</w:t>
      </w:r>
      <w:r w:rsidRPr="003B38AB">
        <w:rPr>
          <w:i/>
          <w:vertAlign w:val="subscript"/>
          <w:lang w:val="en-GB"/>
        </w:rPr>
        <w:t>p0</w:t>
      </w:r>
      <w:r w:rsidRPr="003B38AB">
        <w:rPr>
          <w:lang w:val="en-GB"/>
        </w:rPr>
        <w:t xml:space="preserve"> - </w:t>
      </w:r>
      <w:r w:rsidRPr="003B38AB">
        <w:rPr>
          <w:i/>
          <w:lang w:val="en-GB"/>
        </w:rPr>
        <w:t>P</w:t>
      </w:r>
      <w:r w:rsidRPr="003B38AB">
        <w:rPr>
          <w:i/>
          <w:vertAlign w:val="subscript"/>
          <w:lang w:val="en-GB"/>
        </w:rPr>
        <w:t>p</w:t>
      </w:r>
      <w:r w:rsidRPr="003B38AB">
        <w:rPr>
          <w:lang w:val="en-GB"/>
        </w:rPr>
        <w:t>) is equal to the change in pore water pressure in the coal (</w:t>
      </w:r>
      <w:r w:rsidRPr="003B38AB">
        <w:rPr>
          <w:lang w:val="en-GB"/>
        </w:rPr>
        <w:sym w:font="Symbol" w:char="F067"/>
      </w:r>
      <w:r w:rsidRPr="003B38AB">
        <w:rPr>
          <w:vertAlign w:val="subscript"/>
          <w:lang w:val="en-GB"/>
        </w:rPr>
        <w:t>w</w:t>
      </w:r>
      <w:r w:rsidRPr="003B38AB">
        <w:rPr>
          <w:i/>
          <w:lang w:val="en-GB"/>
        </w:rPr>
        <w:sym w:font="Symbol" w:char="F044"/>
      </w:r>
      <w:r w:rsidRPr="003B38AB">
        <w:rPr>
          <w:i/>
          <w:lang w:val="en-GB"/>
        </w:rPr>
        <w:t>h</w:t>
      </w:r>
      <w:r w:rsidRPr="003B38AB">
        <w:rPr>
          <w:i/>
          <w:vertAlign w:val="subscript"/>
          <w:lang w:val="en-GB"/>
        </w:rPr>
        <w:t>t</w:t>
      </w:r>
      <w:r w:rsidRPr="003B38AB">
        <w:rPr>
          <w:lang w:val="en-GB"/>
        </w:rPr>
        <w:t>):</w:t>
      </w:r>
    </w:p>
    <w:p w:rsidR="003B38AB" w:rsidRPr="003B38AB" w:rsidRDefault="003B38AB" w:rsidP="003B38AB">
      <w:pPr>
        <w:pStyle w:val="BRNormal11pt0"/>
        <w:rPr>
          <w:lang w:val="en-GB"/>
        </w:rPr>
      </w:pPr>
      <w:r w:rsidRPr="003B38AB">
        <w:rPr>
          <w:i/>
          <w:lang w:val="en-GB"/>
        </w:rPr>
        <w:t>P</w:t>
      </w:r>
      <w:r w:rsidRPr="003B38AB">
        <w:rPr>
          <w:i/>
          <w:vertAlign w:val="subscript"/>
          <w:lang w:val="en-GB"/>
        </w:rPr>
        <w:t>p0</w:t>
      </w:r>
      <w:r w:rsidRPr="003B38AB">
        <w:rPr>
          <w:lang w:val="en-GB"/>
        </w:rPr>
        <w:t xml:space="preserve"> - </w:t>
      </w:r>
      <w:r w:rsidRPr="003B38AB">
        <w:rPr>
          <w:i/>
          <w:lang w:val="en-GB"/>
        </w:rPr>
        <w:t>P</w:t>
      </w:r>
      <w:r w:rsidRPr="003B38AB">
        <w:rPr>
          <w:i/>
          <w:vertAlign w:val="subscript"/>
          <w:lang w:val="en-GB"/>
        </w:rPr>
        <w:t>p</w:t>
      </w:r>
      <w:r w:rsidRPr="003B38AB">
        <w:rPr>
          <w:lang w:val="en-GB"/>
        </w:rPr>
        <w:t xml:space="preserve"> = </w:t>
      </w:r>
      <w:r w:rsidRPr="003B38AB">
        <w:rPr>
          <w:lang w:val="en-GB"/>
        </w:rPr>
        <w:sym w:font="Symbol" w:char="F067"/>
      </w:r>
      <w:proofErr w:type="gramStart"/>
      <w:r w:rsidRPr="003B38AB">
        <w:rPr>
          <w:vertAlign w:val="subscript"/>
          <w:lang w:val="en-GB"/>
        </w:rPr>
        <w:t>w</w:t>
      </w:r>
      <w:r w:rsidRPr="009D02EC">
        <w:rPr>
          <w:lang w:val="en-GB"/>
        </w:rPr>
        <w:t>(</w:t>
      </w:r>
      <w:proofErr w:type="gramEnd"/>
      <w:r w:rsidRPr="003B38AB">
        <w:rPr>
          <w:i/>
          <w:lang w:val="en-GB"/>
        </w:rPr>
        <w:t>h</w:t>
      </w:r>
      <w:r w:rsidRPr="003B38AB">
        <w:rPr>
          <w:i/>
          <w:vertAlign w:val="subscript"/>
          <w:lang w:val="en-GB"/>
        </w:rPr>
        <w:t>0</w:t>
      </w:r>
      <w:r w:rsidRPr="003B38AB">
        <w:rPr>
          <w:lang w:val="en-GB"/>
        </w:rPr>
        <w:t xml:space="preserve"> – </w:t>
      </w:r>
      <w:r w:rsidRPr="003B38AB">
        <w:rPr>
          <w:i/>
          <w:lang w:val="en-GB"/>
        </w:rPr>
        <w:t>h</w:t>
      </w:r>
      <w:r w:rsidRPr="003B38AB">
        <w:rPr>
          <w:i/>
          <w:vertAlign w:val="subscript"/>
          <w:lang w:val="en-GB"/>
        </w:rPr>
        <w:t>t</w:t>
      </w:r>
      <w:r w:rsidRPr="003B38AB">
        <w:rPr>
          <w:lang w:val="en-GB"/>
        </w:rPr>
        <w:t xml:space="preserve">) = </w:t>
      </w:r>
      <w:r w:rsidRPr="003B38AB">
        <w:rPr>
          <w:lang w:val="en-GB"/>
        </w:rPr>
        <w:sym w:font="Symbol" w:char="F067"/>
      </w:r>
      <w:r w:rsidRPr="003B38AB">
        <w:rPr>
          <w:vertAlign w:val="subscript"/>
          <w:lang w:val="en-GB"/>
        </w:rPr>
        <w:t>w</w:t>
      </w:r>
      <w:r w:rsidRPr="003B38AB">
        <w:rPr>
          <w:i/>
          <w:lang w:val="en-GB"/>
        </w:rPr>
        <w:sym w:font="Symbol" w:char="F044"/>
      </w:r>
      <w:r w:rsidRPr="003B38AB">
        <w:rPr>
          <w:i/>
          <w:lang w:val="en-GB"/>
        </w:rPr>
        <w:t>h</w:t>
      </w:r>
      <w:r w:rsidRPr="003B38AB">
        <w:rPr>
          <w:i/>
          <w:vertAlign w:val="subscript"/>
          <w:lang w:val="en-GB"/>
        </w:rPr>
        <w:t>t</w:t>
      </w:r>
    </w:p>
    <w:p w:rsidR="003B38AB" w:rsidRPr="003B38AB" w:rsidRDefault="003B38AB" w:rsidP="003B38AB">
      <w:pPr>
        <w:pStyle w:val="BRNormal11pt0"/>
        <w:rPr>
          <w:lang w:val="en-GB"/>
        </w:rPr>
      </w:pPr>
      <w:r w:rsidRPr="003B38AB">
        <w:rPr>
          <w:lang w:val="en-GB"/>
        </w:rPr>
        <w:t xml:space="preserve">Where </w:t>
      </w:r>
      <w:r w:rsidRPr="003B38AB">
        <w:rPr>
          <w:lang w:val="en-GB"/>
        </w:rPr>
        <w:sym w:font="Symbol" w:char="F067"/>
      </w:r>
      <w:r w:rsidRPr="003B38AB">
        <w:rPr>
          <w:vertAlign w:val="subscript"/>
          <w:lang w:val="en-GB"/>
        </w:rPr>
        <w:t>w</w:t>
      </w:r>
      <w:r w:rsidRPr="003B38AB">
        <w:rPr>
          <w:lang w:val="en-GB"/>
        </w:rPr>
        <w:t xml:space="preserve"> is the unit weight of water, </w:t>
      </w:r>
      <w:r w:rsidRPr="003B38AB">
        <w:rPr>
          <w:i/>
          <w:lang w:val="en-GB"/>
        </w:rPr>
        <w:t>h</w:t>
      </w:r>
      <w:r w:rsidRPr="003B38AB">
        <w:rPr>
          <w:i/>
          <w:vertAlign w:val="subscript"/>
          <w:lang w:val="en-GB"/>
        </w:rPr>
        <w:t>0</w:t>
      </w:r>
      <w:r w:rsidRPr="003B38AB">
        <w:rPr>
          <w:lang w:val="en-GB"/>
        </w:rPr>
        <w:t xml:space="preserve"> is the initial groundwater head, and </w:t>
      </w:r>
      <w:r w:rsidRPr="003B38AB">
        <w:rPr>
          <w:i/>
          <w:lang w:val="en-GB"/>
        </w:rPr>
        <w:t>h</w:t>
      </w:r>
      <w:r w:rsidRPr="003B38AB">
        <w:rPr>
          <w:i/>
          <w:vertAlign w:val="subscript"/>
          <w:lang w:val="en-GB"/>
        </w:rPr>
        <w:t>t</w:t>
      </w:r>
      <w:r w:rsidRPr="003B38AB">
        <w:rPr>
          <w:lang w:val="en-GB"/>
        </w:rPr>
        <w:t xml:space="preserve"> is the groundwater head at time </w:t>
      </w:r>
      <w:r w:rsidRPr="003B38AB">
        <w:rPr>
          <w:i/>
          <w:lang w:val="en-GB"/>
        </w:rPr>
        <w:t>t</w:t>
      </w:r>
      <w:r w:rsidRPr="003B38AB">
        <w:rPr>
          <w:lang w:val="en-GB"/>
        </w:rPr>
        <w:t>. Thus:</w:t>
      </w:r>
    </w:p>
    <w:p w:rsidR="003B38AB" w:rsidRPr="003B38AB" w:rsidRDefault="00E252C4" w:rsidP="00A90F48">
      <w:pPr>
        <w:pStyle w:val="Listintrotext"/>
        <w:rPr>
          <w:lang w:val="en-GB"/>
        </w:rPr>
      </w:pPr>
      <m:oMathPara>
        <m:oMath>
          <w:bookmarkStart w:id="555" w:name="OLE_LINK1"/>
          <w:bookmarkStart w:id="556" w:name="OLE_LINK2"/>
          <w:bookmarkStart w:id="557" w:name="OLE_LINK3"/>
          <m:sSub>
            <m:sSubPr>
              <m:ctrlPr>
                <w:rPr>
                  <w:rFonts w:ascii="Cambria Math" w:hAnsi="Cambria Math"/>
                  <w:lang w:val="en-GB"/>
                </w:rPr>
              </m:ctrlPr>
            </m:sSubPr>
            <m:e>
              <m:r>
                <w:rPr>
                  <w:rFonts w:ascii="Cambria Math" w:hAnsi="Cambria Math"/>
                  <w:lang w:val="en-GB"/>
                </w:rPr>
                <m:t>ε</m:t>
              </m:r>
            </m:e>
            <m:sub>
              <m:r>
                <w:rPr>
                  <w:rFonts w:ascii="Cambria Math" w:hAnsi="Cambria Math"/>
                  <w:lang w:val="en-GB"/>
                </w:rPr>
                <m:t>sh</m:t>
              </m:r>
              <m:r>
                <m:rPr>
                  <m:sty m:val="p"/>
                </m:rPr>
                <w:rPr>
                  <w:rFonts w:ascii="Cambria Math" w:hAnsi="Cambria Math"/>
                  <w:lang w:val="en-GB"/>
                </w:rPr>
                <m:t>,</m:t>
              </m:r>
              <m:r>
                <w:rPr>
                  <w:rFonts w:ascii="Cambria Math" w:hAnsi="Cambria Math"/>
                  <w:lang w:val="en-GB"/>
                </w:rPr>
                <m:t>t</m:t>
              </m:r>
            </m:sub>
          </m:sSub>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max</m:t>
                  </m:r>
                </m:sub>
              </m:sSub>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num>
            <m:den>
              <m:sSub>
                <m:sSubPr>
                  <m:ctrlPr>
                    <w:rPr>
                      <w:rFonts w:ascii="Cambria Math" w:hAnsi="Cambria Math"/>
                      <w:lang w:val="en-GB"/>
                    </w:rPr>
                  </m:ctrlPr>
                </m:sSubPr>
                <m:e>
                  <m:r>
                    <m:rPr>
                      <m:sty m:val="p"/>
                    </m:rPr>
                    <w:rPr>
                      <w:rFonts w:ascii="Cambria Math" w:hAnsi="Cambria Math"/>
                      <w:lang w:val="en-GB"/>
                    </w:rPr>
                    <m:t>(</m:t>
                  </m:r>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sSub>
                    <m:sSubPr>
                      <m:ctrlPr>
                        <w:rPr>
                          <w:rFonts w:ascii="Cambria Math" w:hAnsi="Cambria Math"/>
                          <w:lang w:val="en-GB"/>
                        </w:rPr>
                      </m:ctrlPr>
                    </m:sSubPr>
                    <m:e>
                      <m:r>
                        <w:rPr>
                          <w:rFonts w:ascii="Cambria Math" w:hAnsi="Cambria Math"/>
                          <w:lang w:val="en-GB"/>
                        </w:rPr>
                        <m:t>γ</m:t>
                      </m:r>
                    </m:e>
                    <m:sub>
                      <m:r>
                        <w:rPr>
                          <w:rFonts w:ascii="Cambria Math" w:hAnsi="Cambria Math"/>
                          <w:lang w:val="en-GB"/>
                        </w:rPr>
                        <m:t>w</m:t>
                      </m:r>
                    </m:sub>
                  </m:sSub>
                  <m:r>
                    <w:rPr>
                      <w:rFonts w:ascii="Cambria Math" w:hAnsi="Cambria Math"/>
                      <w:lang w:val="en-GB"/>
                    </w:rPr>
                    <m:t>h</m:t>
                  </m:r>
                </m:e>
                <m:sub>
                  <m:r>
                    <w:rPr>
                      <w:rFonts w:ascii="Cambria Math" w:hAnsi="Cambria Math"/>
                      <w:lang w:val="en-GB"/>
                    </w:rPr>
                    <m:t>t</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m:t>
                  </m:r>
                </m:sub>
              </m:sSub>
              <m:r>
                <m:rPr>
                  <m:sty m:val="p"/>
                </m:rPr>
                <w:rPr>
                  <w:rFonts w:ascii="Cambria Math" w:hAnsi="Cambria Math"/>
                  <w:lang w:val="en-GB"/>
                </w:rPr>
                <m:t>+</m:t>
              </m:r>
              <m:sSub>
                <m:sSubPr>
                  <m:ctrlPr>
                    <w:rPr>
                      <w:rFonts w:ascii="Cambria Math" w:hAnsi="Cambria Math"/>
                      <w:lang w:val="en-GB"/>
                    </w:rPr>
                  </m:ctrlPr>
                </m:sSubPr>
                <m:e>
                  <m:sSub>
                    <m:sSubPr>
                      <m:ctrlPr>
                        <w:rPr>
                          <w:rFonts w:ascii="Cambria Math" w:hAnsi="Cambria Math"/>
                          <w:lang w:val="en-GB"/>
                        </w:rPr>
                      </m:ctrlPr>
                    </m:sSubPr>
                    <m:e>
                      <m:r>
                        <w:rPr>
                          <w:rFonts w:ascii="Cambria Math" w:hAnsi="Cambria Math"/>
                          <w:lang w:val="en-GB"/>
                        </w:rPr>
                        <m:t>γ</m:t>
                      </m:r>
                    </m:e>
                    <m:sub>
                      <m:r>
                        <w:rPr>
                          <w:rFonts w:ascii="Cambria Math" w:hAnsi="Cambria Math"/>
                          <w:lang w:val="en-GB"/>
                        </w:rPr>
                        <m:t>w</m:t>
                      </m:r>
                    </m:sub>
                  </m:sSub>
                  <m:r>
                    <w:rPr>
                      <w:rFonts w:ascii="Cambria Math" w:hAnsi="Cambria Math"/>
                      <w:lang w:val="en-GB"/>
                    </w:rPr>
                    <m:t>h</m:t>
                  </m:r>
                </m:e>
                <m:sub>
                  <m:r>
                    <m:rPr>
                      <m:sty m:val="p"/>
                    </m:rPr>
                    <w:rPr>
                      <w:rFonts w:ascii="Cambria Math" w:hAnsi="Cambria Math"/>
                      <w:lang w:val="en-GB"/>
                    </w:rPr>
                    <m:t>0</m:t>
                  </m:r>
                </m:sub>
              </m:sSub>
              <m:r>
                <m:rPr>
                  <m:sty m:val="p"/>
                </m:rPr>
                <w:rPr>
                  <w:rFonts w:ascii="Cambria Math" w:hAnsi="Cambria Math"/>
                  <w:lang w:val="en-GB"/>
                </w:rPr>
                <m:t>)</m:t>
              </m:r>
            </m:den>
          </m:f>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γ</m:t>
              </m:r>
            </m:e>
            <m:sub>
              <m:r>
                <w:rPr>
                  <w:rFonts w:ascii="Cambria Math" w:hAnsi="Cambria Math"/>
                  <w:lang w:val="en-GB"/>
                </w:rPr>
                <m:t>w</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t</m:t>
              </m:r>
            </m:sub>
          </m:sSub>
          <m:r>
            <m:rPr>
              <m:sty m:val="p"/>
            </m:rPr>
            <w:rPr>
              <w:rFonts w:ascii="Cambria Math" w:hAnsi="Cambria Math"/>
              <w:lang w:val="en-GB"/>
            </w:rPr>
            <m:t>)</m:t>
          </m:r>
        </m:oMath>
      </m:oMathPara>
    </w:p>
    <w:bookmarkEnd w:id="555"/>
    <w:bookmarkEnd w:id="556"/>
    <w:bookmarkEnd w:id="557"/>
    <w:p w:rsidR="003B38AB" w:rsidRPr="003B38AB" w:rsidRDefault="003B38AB" w:rsidP="00A90F48">
      <w:pPr>
        <w:pStyle w:val="Listintrotext"/>
        <w:rPr>
          <w:lang w:val="en-GB"/>
        </w:rPr>
      </w:pPr>
    </w:p>
    <w:p w:rsidR="003B38AB" w:rsidRPr="00D90926" w:rsidRDefault="00987036"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25</w:t>
      </w:r>
      <w:r w:rsidR="00E252C4" w:rsidRPr="005A4936">
        <w:fldChar w:fldCharType="end"/>
      </w:r>
      <w:r w:rsidR="003B38AB" w:rsidRPr="003B38AB">
        <w:rPr>
          <w:noProof/>
          <w:lang w:val="en-AU" w:eastAsia="en-AU"/>
        </w:rPr>
        <w:drawing>
          <wp:anchor distT="0" distB="0" distL="114300" distR="114300" simplePos="0" relativeHeight="251694080" behindDoc="0" locked="1" layoutInCell="1" allowOverlap="1">
            <wp:simplePos x="0" y="0"/>
            <wp:positionH relativeFrom="column">
              <wp:posOffset>4445</wp:posOffset>
            </wp:positionH>
            <wp:positionV relativeFrom="paragraph">
              <wp:posOffset>144780</wp:posOffset>
            </wp:positionV>
            <wp:extent cx="4210050" cy="3196590"/>
            <wp:effectExtent l="0" t="0" r="0" b="0"/>
            <wp:wrapTopAndBottom/>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210050" cy="31965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76C51">
        <w:t>:</w:t>
      </w:r>
      <w:r>
        <w:t xml:space="preserve"> </w:t>
      </w:r>
      <w:r w:rsidR="003B38AB" w:rsidRPr="003B38AB">
        <w:t xml:space="preserve">Coal </w:t>
      </w:r>
      <w:r w:rsidR="00D90926">
        <w:t>s</w:t>
      </w:r>
      <w:r w:rsidR="003B38AB" w:rsidRPr="003B38AB">
        <w:t xml:space="preserve">train </w:t>
      </w:r>
      <w:r w:rsidR="00D90926">
        <w:t>c</w:t>
      </w:r>
      <w:r w:rsidR="003B38AB" w:rsidRPr="003B38AB">
        <w:t xml:space="preserve">urves for </w:t>
      </w:r>
      <w:r w:rsidR="00D90926">
        <w:t>t</w:t>
      </w:r>
      <w:r w:rsidR="003B38AB" w:rsidRPr="003B38AB">
        <w:t xml:space="preserve">wo </w:t>
      </w:r>
      <w:r w:rsidR="00D90926">
        <w:t>d</w:t>
      </w:r>
      <w:r w:rsidR="003B38AB" w:rsidRPr="003B38AB">
        <w:t xml:space="preserve">ifferent </w:t>
      </w:r>
      <w:r w:rsidR="00D90926">
        <w:t>c</w:t>
      </w:r>
      <w:r w:rsidR="003B38AB" w:rsidRPr="003B38AB">
        <w:t xml:space="preserve">oals </w:t>
      </w:r>
      <w:r w:rsidR="00D90926">
        <w:t>s</w:t>
      </w:r>
      <w:r w:rsidR="003B38AB" w:rsidRPr="003B38AB">
        <w:t xml:space="preserve">ubjected to </w:t>
      </w:r>
      <w:r w:rsidR="00D90926">
        <w:t>t</w:t>
      </w:r>
      <w:r w:rsidR="003B38AB" w:rsidRPr="003B38AB">
        <w:t xml:space="preserve">hree </w:t>
      </w:r>
      <w:r w:rsidR="00D90926">
        <w:t>d</w:t>
      </w:r>
      <w:r w:rsidR="003B38AB" w:rsidRPr="003B38AB">
        <w:t xml:space="preserve">ifferent </w:t>
      </w:r>
      <w:r w:rsidR="00D90926">
        <w:t>p</w:t>
      </w:r>
      <w:r w:rsidR="003B38AB" w:rsidRPr="003B38AB">
        <w:t xml:space="preserve">ure </w:t>
      </w:r>
      <w:r w:rsidR="00D90926">
        <w:t>g</w:t>
      </w:r>
      <w:r w:rsidR="003B38AB" w:rsidRPr="003B38AB">
        <w:t xml:space="preserve">ases at </w:t>
      </w:r>
      <w:r w:rsidR="00D90926">
        <w:t>v</w:t>
      </w:r>
      <w:r w:rsidR="003B38AB" w:rsidRPr="003B38AB">
        <w:t xml:space="preserve">arious </w:t>
      </w:r>
      <w:r w:rsidR="00D90926">
        <w:t>p</w:t>
      </w:r>
      <w:r w:rsidR="003B38AB" w:rsidRPr="003B38AB">
        <w:t>ressures at 27</w:t>
      </w:r>
      <w:r w:rsidR="003B38AB" w:rsidRPr="003B38AB">
        <w:rPr>
          <w:vertAlign w:val="superscript"/>
        </w:rPr>
        <w:t>o</w:t>
      </w:r>
      <w:r w:rsidR="003B38AB" w:rsidRPr="003B38AB">
        <w:t>C (</w:t>
      </w:r>
      <w:r w:rsidR="00D90926">
        <w:rPr>
          <w:rFonts w:cs="Arial"/>
        </w:rPr>
        <w:t>©</w:t>
      </w:r>
      <w:r w:rsidR="00D90926">
        <w:t xml:space="preserve"> Copyright, </w:t>
      </w:r>
      <w:r w:rsidR="003B38AB" w:rsidRPr="003B38AB">
        <w:t xml:space="preserve">Robertson </w:t>
      </w:r>
      <w:r w:rsidR="00D90926">
        <w:t>&amp;</w:t>
      </w:r>
      <w:r w:rsidR="00D90926" w:rsidRPr="003B38AB">
        <w:t xml:space="preserve"> </w:t>
      </w:r>
      <w:r w:rsidR="003B38AB" w:rsidRPr="003B38AB">
        <w:t>Christiansen 2005)</w:t>
      </w:r>
      <w:r w:rsidR="00D90926">
        <w:t>.</w:t>
      </w:r>
    </w:p>
    <w:p w:rsidR="003B38AB" w:rsidRPr="003B38AB" w:rsidRDefault="003B38AB" w:rsidP="00A90F48">
      <w:pPr>
        <w:pStyle w:val="Listintrotext"/>
        <w:rPr>
          <w:lang w:val="en-GB"/>
        </w:rPr>
      </w:pPr>
    </w:p>
    <w:p w:rsidR="003B38AB" w:rsidRDefault="00C1546D" w:rsidP="00C1546D">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7</w:t>
      </w:r>
      <w:r w:rsidR="00E252C4" w:rsidRPr="001E0FA8">
        <w:fldChar w:fldCharType="end"/>
      </w:r>
      <w:r>
        <w:t xml:space="preserve"> </w:t>
      </w:r>
      <w:r w:rsidR="003B38AB" w:rsidRPr="003B38AB">
        <w:t xml:space="preserve">Langmuir </w:t>
      </w:r>
      <w:r>
        <w:t>s</w:t>
      </w:r>
      <w:r w:rsidR="003B38AB" w:rsidRPr="003B38AB">
        <w:t xml:space="preserve">train </w:t>
      </w:r>
      <w:r>
        <w:t>c</w:t>
      </w:r>
      <w:r w:rsidR="003B38AB" w:rsidRPr="003B38AB">
        <w:t xml:space="preserve">onstants for </w:t>
      </w:r>
      <w:r>
        <w:t>s</w:t>
      </w:r>
      <w:r w:rsidR="003B38AB" w:rsidRPr="003B38AB">
        <w:t>orption-</w:t>
      </w:r>
      <w:r>
        <w:t>i</w:t>
      </w:r>
      <w:r w:rsidR="003B38AB" w:rsidRPr="003B38AB">
        <w:t xml:space="preserve">nduced </w:t>
      </w:r>
      <w:r>
        <w:t>s</w:t>
      </w:r>
      <w:r w:rsidR="003B38AB" w:rsidRPr="003B38AB">
        <w:t xml:space="preserve">train for </w:t>
      </w:r>
      <w:r>
        <w:t>s</w:t>
      </w:r>
      <w:r w:rsidR="003B38AB" w:rsidRPr="003B38AB">
        <w:t>ubbituminous and Gilson Coals at 27</w:t>
      </w:r>
      <w:r w:rsidR="003B38AB" w:rsidRPr="003B38AB">
        <w:rPr>
          <w:vertAlign w:val="superscript"/>
        </w:rPr>
        <w:t>o</w:t>
      </w:r>
      <w:r w:rsidR="003B38AB" w:rsidRPr="003B38AB">
        <w:t>C (</w:t>
      </w:r>
      <w:r>
        <w:rPr>
          <w:rFonts w:cs="Arial"/>
        </w:rPr>
        <w:t>©</w:t>
      </w:r>
      <w:r>
        <w:t xml:space="preserve"> Copyright, </w:t>
      </w:r>
      <w:r w:rsidR="003B38AB" w:rsidRPr="003B38AB">
        <w:t xml:space="preserve">Robertson </w:t>
      </w:r>
      <w:r>
        <w:t>&amp;</w:t>
      </w:r>
      <w:r w:rsidRPr="003B38AB">
        <w:t xml:space="preserve"> </w:t>
      </w:r>
      <w:r w:rsidR="003B38AB" w:rsidRPr="003B38AB">
        <w:t>Christiansen 2005)</w:t>
      </w:r>
    </w:p>
    <w:tbl>
      <w:tblPr>
        <w:tblStyle w:val="TableGrid"/>
        <w:tblW w:w="0" w:type="auto"/>
        <w:tblInd w:w="108" w:type="dxa"/>
        <w:tblLook w:val="04A0"/>
      </w:tblPr>
      <w:tblGrid>
        <w:gridCol w:w="993"/>
        <w:gridCol w:w="1984"/>
        <w:gridCol w:w="2977"/>
        <w:gridCol w:w="2977"/>
      </w:tblGrid>
      <w:tr w:rsidR="003B38AB" w:rsidTr="00D147DC">
        <w:trPr>
          <w:tblHeader/>
        </w:trPr>
        <w:tc>
          <w:tcPr>
            <w:tcW w:w="993" w:type="dxa"/>
            <w:tcBorders>
              <w:bottom w:val="nil"/>
            </w:tcBorders>
            <w:shd w:val="clear" w:color="auto" w:fill="C6D9F1" w:themeFill="text2" w:themeFillTint="33"/>
          </w:tcPr>
          <w:p w:rsidR="003B38AB" w:rsidRDefault="003B38AB" w:rsidP="003B38AB">
            <w:pPr>
              <w:pStyle w:val="Tableheading"/>
            </w:pPr>
            <w:r>
              <w:t>Gas</w:t>
            </w:r>
          </w:p>
        </w:tc>
        <w:tc>
          <w:tcPr>
            <w:tcW w:w="1984" w:type="dxa"/>
            <w:tcBorders>
              <w:bottom w:val="nil"/>
            </w:tcBorders>
            <w:shd w:val="clear" w:color="auto" w:fill="C6D9F1" w:themeFill="text2" w:themeFillTint="33"/>
          </w:tcPr>
          <w:p w:rsidR="003B38AB" w:rsidRDefault="003B38AB" w:rsidP="003B38AB">
            <w:pPr>
              <w:pStyle w:val="Tableheading"/>
            </w:pPr>
            <w:r>
              <w:t>Coal</w:t>
            </w:r>
          </w:p>
        </w:tc>
        <w:tc>
          <w:tcPr>
            <w:tcW w:w="2977" w:type="dxa"/>
            <w:shd w:val="clear" w:color="auto" w:fill="C6D9F1" w:themeFill="text2" w:themeFillTint="33"/>
          </w:tcPr>
          <w:p w:rsidR="003B38AB" w:rsidRDefault="007C3A6D" w:rsidP="007C3A6D">
            <w:pPr>
              <w:pStyle w:val="Tableheading"/>
            </w:pPr>
            <w:r>
              <w:t>Langmuir strain constant</w:t>
            </w:r>
          </w:p>
        </w:tc>
        <w:tc>
          <w:tcPr>
            <w:tcW w:w="2977" w:type="dxa"/>
            <w:shd w:val="clear" w:color="auto" w:fill="C6D9F1" w:themeFill="text2" w:themeFillTint="33"/>
          </w:tcPr>
          <w:p w:rsidR="003B38AB" w:rsidRDefault="007C3A6D" w:rsidP="003B38AB">
            <w:pPr>
              <w:pStyle w:val="Tableheading"/>
            </w:pPr>
            <w:r>
              <w:t>Langmuir strain constant</w:t>
            </w:r>
          </w:p>
        </w:tc>
      </w:tr>
      <w:tr w:rsidR="003B38AB" w:rsidTr="00D147DC">
        <w:trPr>
          <w:tblHeader/>
        </w:trPr>
        <w:tc>
          <w:tcPr>
            <w:tcW w:w="993" w:type="dxa"/>
            <w:tcBorders>
              <w:top w:val="nil"/>
            </w:tcBorders>
            <w:shd w:val="clear" w:color="auto" w:fill="C6D9F1" w:themeFill="text2" w:themeFillTint="33"/>
          </w:tcPr>
          <w:p w:rsidR="003B38AB" w:rsidRDefault="003B38AB" w:rsidP="003B38AB">
            <w:pPr>
              <w:pStyle w:val="Tableheading"/>
            </w:pPr>
          </w:p>
        </w:tc>
        <w:tc>
          <w:tcPr>
            <w:tcW w:w="1984" w:type="dxa"/>
            <w:tcBorders>
              <w:top w:val="nil"/>
            </w:tcBorders>
            <w:shd w:val="clear" w:color="auto" w:fill="C6D9F1" w:themeFill="text2" w:themeFillTint="33"/>
          </w:tcPr>
          <w:p w:rsidR="003B38AB" w:rsidRDefault="003B38AB" w:rsidP="003B38AB">
            <w:pPr>
              <w:pStyle w:val="Tableheading"/>
            </w:pPr>
          </w:p>
        </w:tc>
        <w:tc>
          <w:tcPr>
            <w:tcW w:w="2977" w:type="dxa"/>
            <w:shd w:val="clear" w:color="auto" w:fill="C6D9F1" w:themeFill="text2" w:themeFillTint="33"/>
          </w:tcPr>
          <w:p w:rsidR="003B38AB" w:rsidRDefault="003B38AB" w:rsidP="003B38AB">
            <w:pPr>
              <w:pStyle w:val="Tableheading"/>
            </w:pPr>
            <w:r w:rsidRPr="003B38AB">
              <w:rPr>
                <w:i/>
                <w:lang w:val="en-GB"/>
              </w:rPr>
              <w:t>S</w:t>
            </w:r>
            <w:r w:rsidRPr="003B38AB">
              <w:rPr>
                <w:i/>
                <w:vertAlign w:val="subscript"/>
                <w:lang w:val="en-GB"/>
              </w:rPr>
              <w:t>max</w:t>
            </w:r>
          </w:p>
        </w:tc>
        <w:tc>
          <w:tcPr>
            <w:tcW w:w="2977" w:type="dxa"/>
            <w:shd w:val="clear" w:color="auto" w:fill="C6D9F1" w:themeFill="text2" w:themeFillTint="33"/>
          </w:tcPr>
          <w:p w:rsidR="003B38AB" w:rsidRDefault="003B38AB" w:rsidP="003B38AB">
            <w:pPr>
              <w:pStyle w:val="Tableheading"/>
            </w:pPr>
            <w:r w:rsidRPr="003B38AB">
              <w:rPr>
                <w:i/>
                <w:lang w:val="en-GB"/>
              </w:rPr>
              <w:t>P</w:t>
            </w:r>
            <w:r w:rsidRPr="003B38AB">
              <w:rPr>
                <w:i/>
                <w:vertAlign w:val="subscript"/>
                <w:lang w:val="en-GB"/>
              </w:rPr>
              <w:t>L</w:t>
            </w:r>
            <w:r w:rsidRPr="003B38AB">
              <w:rPr>
                <w:lang w:val="en-GB"/>
              </w:rPr>
              <w:t xml:space="preserve"> (kPa)</w:t>
            </w:r>
          </w:p>
        </w:tc>
      </w:tr>
      <w:tr w:rsidR="003B38AB" w:rsidTr="00C1546D">
        <w:tc>
          <w:tcPr>
            <w:tcW w:w="993" w:type="dxa"/>
          </w:tcPr>
          <w:p w:rsidR="00093D1C" w:rsidRDefault="003B38AB">
            <w:pPr>
              <w:pStyle w:val="Tabletext"/>
            </w:pPr>
            <w:r w:rsidRPr="003B38AB">
              <w:t>CO</w:t>
            </w:r>
            <w:r w:rsidRPr="003B38AB">
              <w:rPr>
                <w:vertAlign w:val="subscript"/>
              </w:rPr>
              <w:t>2</w:t>
            </w:r>
          </w:p>
        </w:tc>
        <w:tc>
          <w:tcPr>
            <w:tcW w:w="1984" w:type="dxa"/>
          </w:tcPr>
          <w:p w:rsidR="003B38AB" w:rsidRPr="003B38AB" w:rsidRDefault="003B38AB" w:rsidP="00C1546D">
            <w:pPr>
              <w:pStyle w:val="Tabletext"/>
              <w:rPr>
                <w:lang w:val="en-GB"/>
              </w:rPr>
            </w:pPr>
            <w:r w:rsidRPr="003B38AB">
              <w:rPr>
                <w:lang w:val="en-GB"/>
              </w:rPr>
              <w:t>Subbituminous</w:t>
            </w:r>
          </w:p>
        </w:tc>
        <w:tc>
          <w:tcPr>
            <w:tcW w:w="2977" w:type="dxa"/>
          </w:tcPr>
          <w:p w:rsidR="003B38AB" w:rsidRPr="003B38AB" w:rsidRDefault="003B38AB" w:rsidP="00C1546D">
            <w:pPr>
              <w:pStyle w:val="Tabletext"/>
              <w:rPr>
                <w:lang w:val="en-GB"/>
              </w:rPr>
            </w:pPr>
            <w:r w:rsidRPr="003B38AB">
              <w:rPr>
                <w:lang w:val="en-GB"/>
              </w:rPr>
              <w:t>0.0345</w:t>
            </w:r>
          </w:p>
        </w:tc>
        <w:tc>
          <w:tcPr>
            <w:tcW w:w="2977" w:type="dxa"/>
          </w:tcPr>
          <w:p w:rsidR="003B38AB" w:rsidRPr="003B38AB" w:rsidRDefault="003B38AB" w:rsidP="00C1546D">
            <w:pPr>
              <w:pStyle w:val="Tabletext"/>
              <w:rPr>
                <w:lang w:val="en-GB"/>
              </w:rPr>
            </w:pPr>
            <w:r w:rsidRPr="003B38AB">
              <w:rPr>
                <w:lang w:val="en-GB"/>
              </w:rPr>
              <w:t>3.6</w:t>
            </w:r>
          </w:p>
        </w:tc>
      </w:tr>
      <w:tr w:rsidR="003B38AB" w:rsidTr="00C1546D">
        <w:tc>
          <w:tcPr>
            <w:tcW w:w="993" w:type="dxa"/>
          </w:tcPr>
          <w:p w:rsidR="00093D1C" w:rsidRDefault="007C3A6D">
            <w:pPr>
              <w:pStyle w:val="Tabletext"/>
            </w:pPr>
            <w:r w:rsidRPr="003B38AB">
              <w:t>CO</w:t>
            </w:r>
            <w:r w:rsidRPr="003B38AB">
              <w:rPr>
                <w:vertAlign w:val="subscript"/>
              </w:rPr>
              <w:t>2</w:t>
            </w:r>
          </w:p>
        </w:tc>
        <w:tc>
          <w:tcPr>
            <w:tcW w:w="1984" w:type="dxa"/>
          </w:tcPr>
          <w:p w:rsidR="003B38AB" w:rsidRPr="003B38AB" w:rsidRDefault="003B38AB" w:rsidP="00C1546D">
            <w:pPr>
              <w:pStyle w:val="Tabletext"/>
              <w:rPr>
                <w:lang w:val="en-GB"/>
              </w:rPr>
            </w:pPr>
            <w:r w:rsidRPr="003B38AB">
              <w:rPr>
                <w:lang w:val="en-GB"/>
              </w:rPr>
              <w:t>Bituminous</w:t>
            </w:r>
          </w:p>
        </w:tc>
        <w:tc>
          <w:tcPr>
            <w:tcW w:w="2977" w:type="dxa"/>
          </w:tcPr>
          <w:p w:rsidR="003B38AB" w:rsidRPr="003B38AB" w:rsidRDefault="003B38AB" w:rsidP="00C1546D">
            <w:pPr>
              <w:pStyle w:val="Tabletext"/>
              <w:rPr>
                <w:lang w:val="en-GB"/>
              </w:rPr>
            </w:pPr>
            <w:r w:rsidRPr="003B38AB">
              <w:rPr>
                <w:lang w:val="en-GB"/>
              </w:rPr>
              <w:t>0.0160</w:t>
            </w:r>
          </w:p>
        </w:tc>
        <w:tc>
          <w:tcPr>
            <w:tcW w:w="2977" w:type="dxa"/>
          </w:tcPr>
          <w:p w:rsidR="003B38AB" w:rsidRPr="003B38AB" w:rsidRDefault="003B38AB" w:rsidP="00C1546D">
            <w:pPr>
              <w:pStyle w:val="Tabletext"/>
              <w:rPr>
                <w:lang w:val="en-GB"/>
              </w:rPr>
            </w:pPr>
            <w:r w:rsidRPr="003B38AB">
              <w:rPr>
                <w:lang w:val="en-GB"/>
              </w:rPr>
              <w:t>4.0</w:t>
            </w:r>
          </w:p>
        </w:tc>
      </w:tr>
      <w:tr w:rsidR="003B38AB" w:rsidTr="00C1546D">
        <w:tc>
          <w:tcPr>
            <w:tcW w:w="993" w:type="dxa"/>
          </w:tcPr>
          <w:p w:rsidR="00093D1C" w:rsidRDefault="003B38AB">
            <w:pPr>
              <w:pStyle w:val="Tabletext"/>
            </w:pPr>
            <w:r w:rsidRPr="003B38AB">
              <w:t>CH</w:t>
            </w:r>
            <w:r w:rsidRPr="003B38AB">
              <w:rPr>
                <w:vertAlign w:val="subscript"/>
              </w:rPr>
              <w:t>4</w:t>
            </w:r>
          </w:p>
        </w:tc>
        <w:tc>
          <w:tcPr>
            <w:tcW w:w="1984" w:type="dxa"/>
          </w:tcPr>
          <w:p w:rsidR="003B38AB" w:rsidRPr="003B38AB" w:rsidRDefault="003B38AB" w:rsidP="00C1546D">
            <w:pPr>
              <w:pStyle w:val="Tabletext"/>
              <w:rPr>
                <w:lang w:val="en-GB"/>
              </w:rPr>
            </w:pPr>
            <w:r w:rsidRPr="003B38AB">
              <w:rPr>
                <w:lang w:val="en-GB"/>
              </w:rPr>
              <w:t>Subbituminous</w:t>
            </w:r>
          </w:p>
        </w:tc>
        <w:tc>
          <w:tcPr>
            <w:tcW w:w="2977" w:type="dxa"/>
          </w:tcPr>
          <w:p w:rsidR="003B38AB" w:rsidRPr="003B38AB" w:rsidRDefault="003B38AB" w:rsidP="00C1546D">
            <w:pPr>
              <w:pStyle w:val="Tabletext"/>
              <w:rPr>
                <w:lang w:val="en-GB"/>
              </w:rPr>
            </w:pPr>
            <w:r w:rsidRPr="003B38AB">
              <w:rPr>
                <w:lang w:val="en-GB"/>
              </w:rPr>
              <w:t>0.0078</w:t>
            </w:r>
          </w:p>
        </w:tc>
        <w:tc>
          <w:tcPr>
            <w:tcW w:w="2977" w:type="dxa"/>
          </w:tcPr>
          <w:p w:rsidR="003B38AB" w:rsidRPr="003B38AB" w:rsidRDefault="003B38AB" w:rsidP="00C1546D">
            <w:pPr>
              <w:pStyle w:val="Tabletext"/>
              <w:rPr>
                <w:lang w:val="en-GB"/>
              </w:rPr>
            </w:pPr>
            <w:r w:rsidRPr="003B38AB">
              <w:rPr>
                <w:lang w:val="en-GB"/>
              </w:rPr>
              <w:t>4.3</w:t>
            </w:r>
          </w:p>
        </w:tc>
      </w:tr>
      <w:tr w:rsidR="003B38AB" w:rsidTr="00C1546D">
        <w:tc>
          <w:tcPr>
            <w:tcW w:w="993" w:type="dxa"/>
          </w:tcPr>
          <w:p w:rsidR="00093D1C" w:rsidRDefault="007C3A6D">
            <w:pPr>
              <w:pStyle w:val="Tabletext"/>
            </w:pPr>
            <w:r w:rsidRPr="003B38AB">
              <w:t>CH</w:t>
            </w:r>
            <w:r w:rsidRPr="003B38AB">
              <w:rPr>
                <w:vertAlign w:val="subscript"/>
              </w:rPr>
              <w:t>4</w:t>
            </w:r>
          </w:p>
        </w:tc>
        <w:tc>
          <w:tcPr>
            <w:tcW w:w="1984" w:type="dxa"/>
          </w:tcPr>
          <w:p w:rsidR="003B38AB" w:rsidRPr="003B38AB" w:rsidRDefault="003B38AB" w:rsidP="00C1546D">
            <w:pPr>
              <w:pStyle w:val="Tabletext"/>
              <w:rPr>
                <w:lang w:val="en-GB"/>
              </w:rPr>
            </w:pPr>
            <w:r w:rsidRPr="003B38AB">
              <w:rPr>
                <w:lang w:val="en-GB"/>
              </w:rPr>
              <w:t>Bituminous</w:t>
            </w:r>
          </w:p>
        </w:tc>
        <w:tc>
          <w:tcPr>
            <w:tcW w:w="2977" w:type="dxa"/>
          </w:tcPr>
          <w:p w:rsidR="003B38AB" w:rsidRPr="003B38AB" w:rsidRDefault="003B38AB" w:rsidP="00C1546D">
            <w:pPr>
              <w:pStyle w:val="Tabletext"/>
              <w:rPr>
                <w:lang w:val="en-GB"/>
              </w:rPr>
            </w:pPr>
            <w:r w:rsidRPr="003B38AB">
              <w:rPr>
                <w:lang w:val="en-GB"/>
              </w:rPr>
              <w:t>0.0089</w:t>
            </w:r>
          </w:p>
        </w:tc>
        <w:tc>
          <w:tcPr>
            <w:tcW w:w="2977" w:type="dxa"/>
          </w:tcPr>
          <w:p w:rsidR="003B38AB" w:rsidRPr="003B38AB" w:rsidRDefault="003B38AB" w:rsidP="00C1546D">
            <w:pPr>
              <w:pStyle w:val="Tabletext"/>
              <w:rPr>
                <w:lang w:val="en-GB"/>
              </w:rPr>
            </w:pPr>
            <w:r w:rsidRPr="003B38AB">
              <w:rPr>
                <w:lang w:val="en-GB"/>
              </w:rPr>
              <w:t>8.0</w:t>
            </w:r>
          </w:p>
        </w:tc>
      </w:tr>
      <w:tr w:rsidR="003B38AB" w:rsidTr="00C1546D">
        <w:tc>
          <w:tcPr>
            <w:tcW w:w="993" w:type="dxa"/>
          </w:tcPr>
          <w:p w:rsidR="00093D1C" w:rsidRDefault="003B38AB">
            <w:pPr>
              <w:pStyle w:val="Tabletext"/>
            </w:pPr>
            <w:r w:rsidRPr="003B38AB">
              <w:t>N</w:t>
            </w:r>
            <w:r w:rsidRPr="003B38AB">
              <w:rPr>
                <w:vertAlign w:val="subscript"/>
              </w:rPr>
              <w:t>2</w:t>
            </w:r>
          </w:p>
        </w:tc>
        <w:tc>
          <w:tcPr>
            <w:tcW w:w="1984" w:type="dxa"/>
          </w:tcPr>
          <w:p w:rsidR="003B38AB" w:rsidRPr="003B38AB" w:rsidRDefault="003B38AB" w:rsidP="00C1546D">
            <w:pPr>
              <w:pStyle w:val="Tabletext"/>
              <w:rPr>
                <w:lang w:val="en-GB"/>
              </w:rPr>
            </w:pPr>
            <w:r w:rsidRPr="003B38AB">
              <w:rPr>
                <w:lang w:val="en-GB"/>
              </w:rPr>
              <w:t>Subbituminous</w:t>
            </w:r>
          </w:p>
        </w:tc>
        <w:tc>
          <w:tcPr>
            <w:tcW w:w="2977" w:type="dxa"/>
          </w:tcPr>
          <w:p w:rsidR="003B38AB" w:rsidRPr="003B38AB" w:rsidRDefault="003B38AB" w:rsidP="00C1546D">
            <w:pPr>
              <w:pStyle w:val="Tabletext"/>
              <w:rPr>
                <w:lang w:val="en-GB"/>
              </w:rPr>
            </w:pPr>
            <w:r w:rsidRPr="003B38AB">
              <w:rPr>
                <w:lang w:val="en-GB"/>
              </w:rPr>
              <w:t>0.0043</w:t>
            </w:r>
          </w:p>
        </w:tc>
        <w:tc>
          <w:tcPr>
            <w:tcW w:w="2977" w:type="dxa"/>
          </w:tcPr>
          <w:p w:rsidR="003B38AB" w:rsidRPr="003B38AB" w:rsidRDefault="003B38AB" w:rsidP="00C1546D">
            <w:pPr>
              <w:pStyle w:val="Tabletext"/>
              <w:rPr>
                <w:lang w:val="en-GB"/>
              </w:rPr>
            </w:pPr>
            <w:r w:rsidRPr="003B38AB">
              <w:rPr>
                <w:lang w:val="en-GB"/>
              </w:rPr>
              <w:t>13.0</w:t>
            </w:r>
          </w:p>
        </w:tc>
      </w:tr>
      <w:tr w:rsidR="003B38AB" w:rsidTr="00C1546D">
        <w:tc>
          <w:tcPr>
            <w:tcW w:w="993" w:type="dxa"/>
          </w:tcPr>
          <w:p w:rsidR="00093D1C" w:rsidRDefault="007C3A6D">
            <w:pPr>
              <w:pStyle w:val="Tabletext"/>
            </w:pPr>
            <w:r w:rsidRPr="003B38AB">
              <w:t>N</w:t>
            </w:r>
            <w:r w:rsidRPr="003B38AB">
              <w:rPr>
                <w:vertAlign w:val="subscript"/>
              </w:rPr>
              <w:t>2</w:t>
            </w:r>
          </w:p>
        </w:tc>
        <w:tc>
          <w:tcPr>
            <w:tcW w:w="1984" w:type="dxa"/>
          </w:tcPr>
          <w:p w:rsidR="003B38AB" w:rsidRPr="003B38AB" w:rsidRDefault="003B38AB" w:rsidP="00C1546D">
            <w:pPr>
              <w:pStyle w:val="Tabletext"/>
              <w:rPr>
                <w:lang w:val="en-GB"/>
              </w:rPr>
            </w:pPr>
            <w:r w:rsidRPr="003B38AB">
              <w:rPr>
                <w:lang w:val="en-GB"/>
              </w:rPr>
              <w:t>Bituminous</w:t>
            </w:r>
          </w:p>
        </w:tc>
        <w:tc>
          <w:tcPr>
            <w:tcW w:w="2977" w:type="dxa"/>
          </w:tcPr>
          <w:p w:rsidR="003B38AB" w:rsidRPr="003B38AB" w:rsidRDefault="003B38AB" w:rsidP="00C1546D">
            <w:pPr>
              <w:pStyle w:val="Tabletext"/>
              <w:rPr>
                <w:lang w:val="en-GB"/>
              </w:rPr>
            </w:pPr>
            <w:r w:rsidRPr="003B38AB">
              <w:rPr>
                <w:lang w:val="en-GB"/>
              </w:rPr>
              <w:t>0.0011</w:t>
            </w:r>
          </w:p>
        </w:tc>
        <w:tc>
          <w:tcPr>
            <w:tcW w:w="2977" w:type="dxa"/>
          </w:tcPr>
          <w:p w:rsidR="003B38AB" w:rsidRPr="003B38AB" w:rsidRDefault="003B38AB" w:rsidP="00C1546D">
            <w:pPr>
              <w:pStyle w:val="Tabletext"/>
              <w:rPr>
                <w:lang w:val="en-GB"/>
              </w:rPr>
            </w:pPr>
            <w:r w:rsidRPr="003B38AB">
              <w:rPr>
                <w:lang w:val="en-GB"/>
              </w:rPr>
              <w:t>2.4</w:t>
            </w:r>
          </w:p>
        </w:tc>
      </w:tr>
    </w:tbl>
    <w:p w:rsidR="003B38AB" w:rsidRPr="00576C51" w:rsidRDefault="003B38AB" w:rsidP="00576C51">
      <w:pPr>
        <w:pStyle w:val="BRNormal11pt0"/>
        <w:rPr>
          <w:lang w:val="en-GB"/>
        </w:rPr>
      </w:pPr>
    </w:p>
    <w:p w:rsidR="003B38AB" w:rsidRPr="003B38AB" w:rsidRDefault="003B38AB" w:rsidP="007C3A6D">
      <w:pPr>
        <w:pStyle w:val="Heading2"/>
      </w:pPr>
      <w:bookmarkStart w:id="558" w:name="_Toc391554306"/>
      <w:bookmarkStart w:id="559" w:name="_Toc394649825"/>
      <w:bookmarkStart w:id="560" w:name="_Toc387410258"/>
      <w:bookmarkStart w:id="561" w:name="_Toc402425334"/>
      <w:bookmarkEnd w:id="558"/>
      <w:bookmarkEnd w:id="559"/>
      <w:r w:rsidRPr="003B38AB">
        <w:t xml:space="preserve">Closed </w:t>
      </w:r>
      <w:r w:rsidR="002D10C5">
        <w:t>f</w:t>
      </w:r>
      <w:r w:rsidRPr="003B38AB">
        <w:t xml:space="preserve">orm </w:t>
      </w:r>
      <w:r w:rsidR="002D10C5">
        <w:t>s</w:t>
      </w:r>
      <w:r w:rsidRPr="003B38AB">
        <w:t xml:space="preserve">olutions - </w:t>
      </w:r>
      <w:bookmarkEnd w:id="560"/>
      <w:r w:rsidR="002854A2">
        <w:t>compaction</w:t>
      </w:r>
      <w:bookmarkEnd w:id="561"/>
    </w:p>
    <w:p w:rsidR="003B38AB" w:rsidRPr="003B38AB" w:rsidRDefault="003B38AB" w:rsidP="007C3A6D">
      <w:pPr>
        <w:pStyle w:val="BRNormal11pt0"/>
        <w:rPr>
          <w:lang w:val="en-GB"/>
        </w:rPr>
      </w:pPr>
      <w:r w:rsidRPr="003B38AB">
        <w:rPr>
          <w:lang w:val="en-GB"/>
        </w:rPr>
        <w:t>Closed form solutions are a particular kind of mathematical solution that may be used to assess subsidence due to groundwater depressurisation.</w:t>
      </w:r>
    </w:p>
    <w:p w:rsidR="003B38AB" w:rsidRPr="003B38AB" w:rsidRDefault="003B38AB" w:rsidP="007C3A6D">
      <w:pPr>
        <w:pStyle w:val="BRNormal11pt0"/>
        <w:rPr>
          <w:lang w:val="en-GB"/>
        </w:rPr>
      </w:pPr>
      <w:r w:rsidRPr="003B38AB">
        <w:rPr>
          <w:lang w:val="en-GB"/>
        </w:rPr>
        <w:t xml:space="preserve">Closed form solutions for point extraction of groundwater from </w:t>
      </w:r>
      <w:proofErr w:type="gramStart"/>
      <w:r w:rsidRPr="003B38AB">
        <w:rPr>
          <w:lang w:val="en-GB"/>
        </w:rPr>
        <w:t>an elastic</w:t>
      </w:r>
      <w:proofErr w:type="gramEnd"/>
      <w:r w:rsidRPr="003B38AB">
        <w:rPr>
          <w:lang w:val="en-GB"/>
        </w:rPr>
        <w:t xml:space="preserve"> half space (</w:t>
      </w:r>
      <w:r w:rsidR="002D10C5">
        <w:rPr>
          <w:lang w:val="en-GB"/>
        </w:rPr>
        <w:t xml:space="preserve">i.e. </w:t>
      </w:r>
      <w:r w:rsidRPr="003B38AB">
        <w:rPr>
          <w:lang w:val="en-GB"/>
        </w:rPr>
        <w:t>deformation of an object that returns to its original shape in planar space) have been developed by Booker and Carter (</w:t>
      </w:r>
      <w:r w:rsidR="00772E32">
        <w:rPr>
          <w:lang w:val="en-GB"/>
        </w:rPr>
        <w:t>1984</w:t>
      </w:r>
      <w:r w:rsidR="002D10C5">
        <w:rPr>
          <w:lang w:val="en-GB"/>
        </w:rPr>
        <w:t>,</w:t>
      </w:r>
      <w:r w:rsidRPr="003B38AB">
        <w:rPr>
          <w:lang w:val="en-GB"/>
        </w:rPr>
        <w:t xml:space="preserve"> 1987). The solutions provide a means of </w:t>
      </w:r>
      <w:r w:rsidR="0088203B">
        <w:rPr>
          <w:lang w:val="en-GB"/>
        </w:rPr>
        <w:t>calculating the</w:t>
      </w:r>
      <w:r w:rsidRPr="003B38AB">
        <w:rPr>
          <w:lang w:val="en-GB"/>
        </w:rPr>
        <w:t xml:space="preserve"> horizontal and vertical movement in a uniform profile due to point extraction of groundwater at nominated times after the commencement of groundwater withdrawal. The results can be extended by superposition to assess the effects of multiple points of extraction as would be the case for a </w:t>
      </w:r>
      <w:r w:rsidR="00C723CB">
        <w:rPr>
          <w:lang w:val="en-GB"/>
        </w:rPr>
        <w:t>coal seam gas</w:t>
      </w:r>
      <w:r w:rsidR="00C723CB" w:rsidRPr="00973D19">
        <w:rPr>
          <w:lang w:val="en-GB"/>
        </w:rPr>
        <w:t xml:space="preserve"> </w:t>
      </w:r>
      <w:r w:rsidR="002854A2">
        <w:rPr>
          <w:lang w:val="en-GB"/>
        </w:rPr>
        <w:t>well</w:t>
      </w:r>
      <w:r w:rsidRPr="003B38AB">
        <w:rPr>
          <w:lang w:val="en-GB"/>
        </w:rPr>
        <w:t xml:space="preserve"> field. The methods are limited to uniform ground conditions and do not take account of layering of the soil or variations of hydraulic and mechanical properties with depth. Lu and Lin (2006) also present</w:t>
      </w:r>
      <w:r w:rsidR="002D10C5">
        <w:rPr>
          <w:lang w:val="en-GB"/>
        </w:rPr>
        <w:t>ed</w:t>
      </w:r>
      <w:r w:rsidRPr="003B38AB">
        <w:rPr>
          <w:lang w:val="en-GB"/>
        </w:rPr>
        <w:t xml:space="preserve"> the results of analytical methods for calculation of horizontal and vertical movement in response to</w:t>
      </w:r>
      <w:r w:rsidR="00565387">
        <w:rPr>
          <w:lang w:val="en-GB"/>
        </w:rPr>
        <w:t xml:space="preserve"> point groundwater extraction.</w:t>
      </w:r>
    </w:p>
    <w:p w:rsidR="003B38AB" w:rsidRPr="003B38AB" w:rsidRDefault="003B38AB" w:rsidP="007C3A6D">
      <w:pPr>
        <w:pStyle w:val="BRNormal11pt0"/>
        <w:rPr>
          <w:lang w:val="en-GB"/>
        </w:rPr>
      </w:pPr>
      <w:r w:rsidRPr="003B38AB">
        <w:rPr>
          <w:lang w:val="en-GB"/>
        </w:rPr>
        <w:t>Integral transformation methods are used for the derivation of the solutions presented. Booker and Carter provide</w:t>
      </w:r>
      <w:r w:rsidR="002D10C5">
        <w:rPr>
          <w:lang w:val="en-GB"/>
        </w:rPr>
        <w:t>d</w:t>
      </w:r>
      <w:r w:rsidRPr="003B38AB">
        <w:rPr>
          <w:lang w:val="en-GB"/>
        </w:rPr>
        <w:t xml:space="preserve"> simple expressions for long</w:t>
      </w:r>
      <w:r w:rsidR="002D10C5">
        <w:rPr>
          <w:lang w:val="en-GB"/>
        </w:rPr>
        <w:t>-</w:t>
      </w:r>
      <w:r w:rsidRPr="003B38AB">
        <w:rPr>
          <w:lang w:val="en-GB"/>
        </w:rPr>
        <w:t>term settlement and horizontal movement</w:t>
      </w:r>
      <w:r w:rsidR="002D10C5">
        <w:rPr>
          <w:lang w:val="en-GB"/>
        </w:rPr>
        <w:t>,</w:t>
      </w:r>
      <w:r w:rsidRPr="003B38AB">
        <w:rPr>
          <w:lang w:val="en-GB"/>
        </w:rPr>
        <w:t xml:space="preserve"> but the results for other times require use of a numerical inversion process. Lu and Lin (2006) present</w:t>
      </w:r>
      <w:r w:rsidR="002D10C5">
        <w:rPr>
          <w:lang w:val="en-GB"/>
        </w:rPr>
        <w:t>ed</w:t>
      </w:r>
      <w:r w:rsidRPr="003B38AB">
        <w:rPr>
          <w:lang w:val="en-GB"/>
        </w:rPr>
        <w:t xml:space="preserve"> expressions for surface settlement and radial movement</w:t>
      </w:r>
      <w:r w:rsidR="002D10C5">
        <w:rPr>
          <w:lang w:val="en-GB"/>
        </w:rPr>
        <w:t>,</w:t>
      </w:r>
      <w:r w:rsidRPr="003B38AB">
        <w:rPr>
          <w:lang w:val="en-GB"/>
        </w:rPr>
        <w:t xml:space="preserve"> which can be evaluated at nominated times. Lu and Lin provide</w:t>
      </w:r>
      <w:r w:rsidR="002D10C5">
        <w:rPr>
          <w:lang w:val="en-GB"/>
        </w:rPr>
        <w:t>d</w:t>
      </w:r>
      <w:r w:rsidRPr="003B38AB">
        <w:rPr>
          <w:lang w:val="en-GB"/>
        </w:rPr>
        <w:t xml:space="preserve"> guidance regarding the rate at which settlement response approaches the long</w:t>
      </w:r>
      <w:r w:rsidR="002D10C5">
        <w:rPr>
          <w:lang w:val="en-GB"/>
        </w:rPr>
        <w:t>-</w:t>
      </w:r>
      <w:r w:rsidRPr="003B38AB">
        <w:rPr>
          <w:lang w:val="en-GB"/>
        </w:rPr>
        <w:t>term condition.</w:t>
      </w:r>
    </w:p>
    <w:p w:rsidR="003B38AB" w:rsidRPr="003B38AB" w:rsidRDefault="003B38AB" w:rsidP="007C3A6D">
      <w:pPr>
        <w:pStyle w:val="BRNormal11pt0"/>
        <w:rPr>
          <w:lang w:val="en-GB"/>
        </w:rPr>
      </w:pPr>
      <w:r w:rsidRPr="003B38AB">
        <w:rPr>
          <w:lang w:val="en-GB"/>
        </w:rPr>
        <w:t xml:space="preserve">Figure </w:t>
      </w:r>
      <w:r w:rsidR="00FB1580">
        <w:rPr>
          <w:lang w:val="en-GB"/>
        </w:rPr>
        <w:t>26</w:t>
      </w:r>
      <w:r w:rsidR="00FB1580" w:rsidRPr="003B38AB">
        <w:rPr>
          <w:lang w:val="en-GB"/>
        </w:rPr>
        <w:t xml:space="preserve"> </w:t>
      </w:r>
      <w:r w:rsidRPr="003B38AB">
        <w:rPr>
          <w:lang w:val="en-GB"/>
        </w:rPr>
        <w:t xml:space="preserve">provides the surface settlement, horizontal movement and horizontal strain under long term conditions for uniform elastic ground (with Young’s modulus </w:t>
      </w:r>
      <w:r w:rsidRPr="003B38AB">
        <w:rPr>
          <w:i/>
          <w:lang w:val="en-GB"/>
        </w:rPr>
        <w:t>E</w:t>
      </w:r>
      <w:r w:rsidRPr="003B38AB">
        <w:rPr>
          <w:lang w:val="en-GB"/>
        </w:rPr>
        <w:t xml:space="preserve">, Poisson’s ratio </w:t>
      </w:r>
      <w:r w:rsidRPr="003B38AB">
        <w:rPr>
          <w:i/>
          <w:lang w:val="en-GB"/>
        </w:rPr>
        <w:t>ν</w:t>
      </w:r>
      <w:r w:rsidRPr="003B38AB">
        <w:rPr>
          <w:lang w:val="en-GB"/>
        </w:rPr>
        <w:t xml:space="preserve">, and hydraulic conductivity </w:t>
      </w:r>
      <w:r w:rsidRPr="003B38AB">
        <w:rPr>
          <w:i/>
          <w:lang w:val="en-GB"/>
        </w:rPr>
        <w:t>k</w:t>
      </w:r>
      <w:r w:rsidRPr="003B38AB">
        <w:rPr>
          <w:lang w:val="en-GB"/>
        </w:rPr>
        <w:t xml:space="preserve">) assuming no change in groundwater level at the surface under the effects of groundwater extraction (at rate </w:t>
      </w:r>
      <w:r w:rsidRPr="003B38AB">
        <w:rPr>
          <w:i/>
          <w:lang w:val="en-GB"/>
        </w:rPr>
        <w:t>Q</w:t>
      </w:r>
      <w:r w:rsidRPr="003B38AB">
        <w:rPr>
          <w:lang w:val="en-GB"/>
        </w:rPr>
        <w:t xml:space="preserve">) at depth </w:t>
      </w:r>
      <w:r w:rsidRPr="003B38AB">
        <w:rPr>
          <w:i/>
          <w:lang w:val="en-GB"/>
        </w:rPr>
        <w:t>h</w:t>
      </w:r>
      <w:r w:rsidRPr="003B38AB">
        <w:rPr>
          <w:lang w:val="en-GB"/>
        </w:rPr>
        <w:t xml:space="preserve">. The long term surface settlement directly above the point extraction, </w:t>
      </w:r>
      <w:r w:rsidRPr="003B38AB">
        <w:rPr>
          <w:i/>
          <w:lang w:val="en-GB"/>
        </w:rPr>
        <w:t>S</w:t>
      </w:r>
      <w:r w:rsidRPr="003B38AB">
        <w:rPr>
          <w:i/>
          <w:vertAlign w:val="subscript"/>
          <w:lang w:val="en-GB"/>
        </w:rPr>
        <w:t>0</w:t>
      </w:r>
      <w:r w:rsidRPr="003B38AB">
        <w:rPr>
          <w:lang w:val="en-GB"/>
        </w:rPr>
        <w:t xml:space="preserve"> is given by (</w:t>
      </w:r>
      <w:r w:rsidRPr="003B38AB">
        <w:rPr>
          <w:i/>
          <w:lang w:val="en-GB"/>
        </w:rPr>
        <w:t>γ</w:t>
      </w:r>
      <w:r w:rsidRPr="003B38AB">
        <w:rPr>
          <w:i/>
          <w:vertAlign w:val="subscript"/>
          <w:lang w:val="en-GB"/>
        </w:rPr>
        <w:t>w</w:t>
      </w:r>
      <w:r w:rsidRPr="003B38AB">
        <w:rPr>
          <w:lang w:val="en-GB"/>
        </w:rPr>
        <w:t xml:space="preserve"> is specific unit weight of water):</w:t>
      </w:r>
    </w:p>
    <w:p w:rsidR="003B38AB" w:rsidRPr="003B38AB" w:rsidRDefault="00E252C4" w:rsidP="00A90F48">
      <w:pPr>
        <w:pStyle w:val="Listintrotext"/>
        <w:rPr>
          <w:lang w:val="en-GB"/>
        </w:rPr>
      </w:pPr>
      <m:oMathPara>
        <m:oMath>
          <m:sSub>
            <m:sSubPr>
              <m:ctrlPr>
                <w:rPr>
                  <w:rFonts w:ascii="Cambria Math" w:hAnsi="Cambria Math"/>
                  <w:vertAlign w:val="subscript"/>
                  <w:lang w:val="en-GB"/>
                </w:rPr>
              </m:ctrlPr>
            </m:sSubPr>
            <m:e>
              <m:r>
                <w:rPr>
                  <w:rFonts w:ascii="Cambria Math" w:hAnsi="Cambria Math"/>
                  <w:vertAlign w:val="subscript"/>
                  <w:lang w:val="en-GB"/>
                </w:rPr>
                <m:t>S</m:t>
              </m:r>
            </m:e>
            <m:sub>
              <m:r>
                <m:rPr>
                  <m:sty m:val="p"/>
                </m:rPr>
                <w:rPr>
                  <w:rFonts w:ascii="Cambria Math" w:hAnsi="Cambria Math"/>
                  <w:vertAlign w:val="subscript"/>
                  <w:lang w:val="en-GB"/>
                </w:rPr>
                <m:t>0</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Q</m:t>
              </m:r>
              <m:r>
                <m:rPr>
                  <m:sty m:val="p"/>
                </m:rP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γ</m:t>
                  </m:r>
                </m:e>
                <m:sub>
                  <m:r>
                    <w:rPr>
                      <w:rFonts w:ascii="Cambria Math" w:hAnsi="Cambria Math"/>
                      <w:vertAlign w:val="subscript"/>
                      <w:lang w:val="en-GB"/>
                    </w:rPr>
                    <m:t>w</m:t>
                  </m:r>
                </m:sub>
              </m:sSub>
              <m:r>
                <m:rPr>
                  <m:sty m:val="p"/>
                </m:rPr>
                <w:rPr>
                  <w:rFonts w:ascii="Cambria Math" w:hAnsi="Cambria Math"/>
                  <w:lang w:val="en-GB"/>
                </w:rPr>
                <m:t xml:space="preserve"> (1+</m:t>
              </m:r>
              <m:r>
                <w:rPr>
                  <w:rFonts w:ascii="Cambria Math" w:hAnsi="Cambria Math"/>
                  <w:lang w:val="en-GB"/>
                </w:rPr>
                <m:t>ν</m:t>
              </m:r>
              <m:r>
                <m:rPr>
                  <m:sty m:val="p"/>
                </m:rPr>
                <w:rPr>
                  <w:rFonts w:ascii="Cambria Math" w:hAnsi="Cambria Math"/>
                  <w:lang w:val="en-GB"/>
                </w:rPr>
                <m:t>)(1-2</m:t>
              </m:r>
              <m:r>
                <w:rPr>
                  <w:rFonts w:ascii="Cambria Math" w:hAnsi="Cambria Math"/>
                  <w:lang w:val="en-GB"/>
                </w:rPr>
                <m:t>ν</m:t>
              </m:r>
              <m:r>
                <m:rPr>
                  <m:sty m:val="p"/>
                </m:rPr>
                <w:rPr>
                  <w:rFonts w:ascii="Cambria Math" w:hAnsi="Cambria Math"/>
                  <w:lang w:val="en-GB"/>
                </w:rPr>
                <m:t>)</m:t>
              </m:r>
            </m:num>
            <m:den>
              <m:r>
                <m:rPr>
                  <m:sty m:val="p"/>
                </m:rPr>
                <w:rPr>
                  <w:rFonts w:ascii="Cambria Math" w:hAnsi="Cambria Math"/>
                  <w:lang w:val="en-GB"/>
                </w:rPr>
                <m:t>2π</m:t>
              </m:r>
              <m:r>
                <w:rPr>
                  <w:rFonts w:ascii="Cambria Math" w:hAnsi="Cambria Math"/>
                  <w:lang w:val="en-GB"/>
                </w:rPr>
                <m:t>kE</m:t>
              </m:r>
            </m:den>
          </m:f>
        </m:oMath>
      </m:oMathPara>
    </w:p>
    <w:p w:rsidR="003B38AB" w:rsidRPr="003B38AB" w:rsidRDefault="003B38AB" w:rsidP="007C3A6D">
      <w:pPr>
        <w:pStyle w:val="BRNormal11pt0"/>
        <w:rPr>
          <w:lang w:val="en-GB"/>
        </w:rPr>
      </w:pPr>
      <w:r w:rsidRPr="003B38AB">
        <w:rPr>
          <w:lang w:val="en-GB"/>
        </w:rPr>
        <w:t xml:space="preserve">Surface settlement and radial inward movement in the long term as a fraction of the surface settlement above the point extraction obtained from the expressions provided by Booker and Carter are illustrated below in Figure </w:t>
      </w:r>
      <w:r w:rsidR="00FB1580">
        <w:rPr>
          <w:lang w:val="en-GB"/>
        </w:rPr>
        <w:t>26</w:t>
      </w:r>
      <w:r w:rsidRPr="003B38AB">
        <w:rPr>
          <w:lang w:val="en-GB"/>
        </w:rPr>
        <w:t>. In this figure horizontal strain is also normalised by dividing by the maximum surface settlement and multiplying by the depth of the point of groundwater extraction.</w:t>
      </w:r>
    </w:p>
    <w:p w:rsidR="003B38AB" w:rsidRPr="003B38AB" w:rsidRDefault="003B38AB" w:rsidP="00A90F48">
      <w:pPr>
        <w:pStyle w:val="Listintrotext"/>
        <w:rPr>
          <w:lang w:val="en-GB"/>
        </w:rPr>
      </w:pPr>
      <w:r w:rsidRPr="003B38AB">
        <w:rPr>
          <w:noProof/>
          <w:lang w:val="en-AU" w:eastAsia="en-AU"/>
        </w:rPr>
        <w:drawing>
          <wp:inline distT="0" distB="0" distL="0" distR="0">
            <wp:extent cx="4354366" cy="2838450"/>
            <wp:effectExtent l="0" t="0" r="825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5.jpg"/>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59591" cy="2841856"/>
                    </a:xfrm>
                    <a:prstGeom prst="rect">
                      <a:avLst/>
                    </a:prstGeom>
                  </pic:spPr>
                </pic:pic>
              </a:graphicData>
            </a:graphic>
          </wp:inline>
        </w:drawing>
      </w:r>
    </w:p>
    <w:p w:rsidR="003B38AB" w:rsidRPr="003B38AB" w:rsidRDefault="0063379F"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26</w:t>
      </w:r>
      <w:r w:rsidR="00E252C4" w:rsidRPr="005A4936">
        <w:fldChar w:fldCharType="end"/>
      </w:r>
      <w:r w:rsidR="002D10C5">
        <w:t xml:space="preserve"> </w:t>
      </w:r>
      <w:r w:rsidR="003B38AB" w:rsidRPr="003B38AB">
        <w:t xml:space="preserve">Settlement, </w:t>
      </w:r>
      <w:r w:rsidR="00FB1580">
        <w:t>r</w:t>
      </w:r>
      <w:r w:rsidR="003B38AB" w:rsidRPr="003B38AB">
        <w:t xml:space="preserve">adial </w:t>
      </w:r>
      <w:r w:rsidR="00FB1580">
        <w:t>m</w:t>
      </w:r>
      <w:r w:rsidR="003B38AB" w:rsidRPr="003B38AB">
        <w:t xml:space="preserve">ovement and </w:t>
      </w:r>
      <w:r w:rsidR="00FB1580">
        <w:t>r</w:t>
      </w:r>
      <w:r w:rsidR="003B38AB" w:rsidRPr="003B38AB">
        <w:t xml:space="preserve">adial </w:t>
      </w:r>
      <w:r w:rsidR="00FB1580">
        <w:t>s</w:t>
      </w:r>
      <w:r w:rsidR="003B38AB" w:rsidRPr="003B38AB">
        <w:t xml:space="preserve">train for </w:t>
      </w:r>
      <w:r w:rsidR="00FB1580">
        <w:t>p</w:t>
      </w:r>
      <w:r w:rsidR="003B38AB" w:rsidRPr="003B38AB">
        <w:t xml:space="preserve">oint </w:t>
      </w:r>
      <w:r w:rsidR="00FB1580">
        <w:t>e</w:t>
      </w:r>
      <w:r w:rsidR="003B38AB" w:rsidRPr="003B38AB">
        <w:t>xtraction (</w:t>
      </w:r>
      <w:r w:rsidR="00FB1580">
        <w:rPr>
          <w:rFonts w:cs="Arial"/>
        </w:rPr>
        <w:t>©</w:t>
      </w:r>
      <w:r w:rsidR="00FB1580">
        <w:t xml:space="preserve"> Copyright, </w:t>
      </w:r>
      <w:r w:rsidR="003B38AB" w:rsidRPr="003B38AB">
        <w:t xml:space="preserve">Booker </w:t>
      </w:r>
      <w:r w:rsidR="00FB1580">
        <w:t>&amp;</w:t>
      </w:r>
      <w:r w:rsidR="00FB1580" w:rsidRPr="003B38AB">
        <w:t xml:space="preserve"> </w:t>
      </w:r>
      <w:r w:rsidR="003B38AB" w:rsidRPr="003B38AB">
        <w:t xml:space="preserve">Carter </w:t>
      </w:r>
      <w:r w:rsidR="00772E32">
        <w:t>1984</w:t>
      </w:r>
      <w:r w:rsidR="00FB1580">
        <w:t>,</w:t>
      </w:r>
      <w:r w:rsidR="003B38AB" w:rsidRPr="003B38AB">
        <w:t xml:space="preserve"> 1987)</w:t>
      </w:r>
    </w:p>
    <w:p w:rsidR="003B38AB" w:rsidRPr="003B38AB" w:rsidRDefault="003B38AB" w:rsidP="007C3A6D">
      <w:pPr>
        <w:pStyle w:val="BRNormal11pt0"/>
        <w:rPr>
          <w:lang w:val="en-GB"/>
        </w:rPr>
      </w:pPr>
      <w:r w:rsidRPr="003B38AB">
        <w:rPr>
          <w:lang w:val="en-GB"/>
        </w:rPr>
        <w:t>As may be expected, the maximum settlement occurs above the point of extraction. The radial lateral movement reaches a maximum value of about 30</w:t>
      </w:r>
      <w:r w:rsidR="00C55C28">
        <w:rPr>
          <w:lang w:val="en-GB"/>
        </w:rPr>
        <w:t xml:space="preserve"> per cent</w:t>
      </w:r>
      <w:r w:rsidRPr="003B38AB">
        <w:rPr>
          <w:lang w:val="en-GB"/>
        </w:rPr>
        <w:t xml:space="preserve"> of the vertical settlement at a distance of approximately 1.3 times the depth of the point of groundwater extraction. Horizontal strain at the surface is compressive within a radius 1.3 times the depth of the point of extraction and tensile beyond that distance. The magnitude of tensile strain is small in comparison with maximum compressive strain. The results presented by Lu and Lin show that settlement and horizontal movement take time to develop and that the long</w:t>
      </w:r>
      <w:r w:rsidR="00C55C28">
        <w:rPr>
          <w:lang w:val="en-GB"/>
        </w:rPr>
        <w:t>-</w:t>
      </w:r>
      <w:r w:rsidRPr="003B38AB">
        <w:rPr>
          <w:lang w:val="en-GB"/>
        </w:rPr>
        <w:t>term values represent the maximum values at any particular location. These results change when the effects of anisotropy and time are taken into account.</w:t>
      </w:r>
    </w:p>
    <w:p w:rsidR="003B38AB" w:rsidRPr="003B38AB" w:rsidRDefault="003B38AB" w:rsidP="00576C51">
      <w:pPr>
        <w:pStyle w:val="BRNormal11pt0"/>
        <w:rPr>
          <w:lang w:val="en-GB"/>
        </w:rPr>
      </w:pPr>
      <w:r w:rsidRPr="003B38AB">
        <w:rPr>
          <w:lang w:val="en-GB"/>
        </w:rPr>
        <w:t>The long</w:t>
      </w:r>
      <w:r w:rsidR="00C55C28">
        <w:rPr>
          <w:lang w:val="en-GB"/>
        </w:rPr>
        <w:t>-</w:t>
      </w:r>
      <w:r w:rsidRPr="003B38AB">
        <w:rPr>
          <w:lang w:val="en-GB"/>
        </w:rPr>
        <w:t>term results provide a useful measure of potential horizontal movement and horizontal strain. If surface soil cover is present, horizontal strains on the soil surface would be much lower than the values predicted from the analytical solutions. The effects of subsidence at the surface are greatly enhanced by the heterogeneity of soils in terms of thickness, shallow faults and washouts in channels.</w:t>
      </w:r>
    </w:p>
    <w:p w:rsidR="003B38AB" w:rsidRPr="003B38AB" w:rsidRDefault="003B38AB" w:rsidP="007C3A6D">
      <w:pPr>
        <w:pStyle w:val="Heading2"/>
      </w:pPr>
      <w:bookmarkStart w:id="562" w:name="_Toc387410259"/>
      <w:bookmarkStart w:id="563" w:name="_Toc402425335"/>
      <w:r w:rsidRPr="003B38AB">
        <w:t xml:space="preserve">Subsidence </w:t>
      </w:r>
      <w:r w:rsidR="00FD23B8">
        <w:t>m</w:t>
      </w:r>
      <w:r w:rsidRPr="003B38AB">
        <w:t xml:space="preserve">odelling </w:t>
      </w:r>
      <w:r w:rsidR="00FD23B8">
        <w:t>a</w:t>
      </w:r>
      <w:r w:rsidRPr="003B38AB">
        <w:t xml:space="preserve">pproaches: </w:t>
      </w:r>
      <w:bookmarkEnd w:id="562"/>
      <w:r w:rsidR="002854A2">
        <w:t>compaction</w:t>
      </w:r>
      <w:bookmarkEnd w:id="563"/>
    </w:p>
    <w:p w:rsidR="003B38AB" w:rsidRPr="003B38AB" w:rsidRDefault="003B38AB" w:rsidP="00A90F48">
      <w:pPr>
        <w:pStyle w:val="Listintrotext"/>
        <w:rPr>
          <w:lang w:val="en-AU"/>
        </w:rPr>
      </w:pPr>
      <w:r w:rsidRPr="003B38AB">
        <w:rPr>
          <w:lang w:val="en-AU"/>
        </w:rPr>
        <w:t xml:space="preserve">This section discusses modelling approaches to predict the </w:t>
      </w:r>
      <w:r w:rsidR="002854A2">
        <w:rPr>
          <w:lang w:val="en-AU"/>
        </w:rPr>
        <w:t>compaction</w:t>
      </w:r>
      <w:r w:rsidRPr="003B38AB">
        <w:rPr>
          <w:lang w:val="en-AU"/>
        </w:rPr>
        <w:t xml:space="preserve"> of hydrogeological units due to changes in ground </w:t>
      </w:r>
      <w:r w:rsidRPr="007C3A6D">
        <w:t>pressure</w:t>
      </w:r>
      <w:r w:rsidRPr="003B38AB">
        <w:rPr>
          <w:lang w:val="en-AU"/>
        </w:rPr>
        <w:t>. The analysis methods involve two stages:</w:t>
      </w:r>
    </w:p>
    <w:p w:rsidR="003B38AB" w:rsidRPr="003B38AB" w:rsidRDefault="00C55C28" w:rsidP="007702DF">
      <w:pPr>
        <w:pStyle w:val="BRdotpoints"/>
        <w:rPr>
          <w:lang w:val="en-AU"/>
        </w:rPr>
      </w:pPr>
      <w:r>
        <w:rPr>
          <w:lang w:val="en-AU"/>
        </w:rPr>
        <w:t>p</w:t>
      </w:r>
      <w:r w:rsidR="003B38AB" w:rsidRPr="003B38AB">
        <w:rPr>
          <w:lang w:val="en-AU"/>
        </w:rPr>
        <w:t>rediction of the change in pressure (due to dewatering) within the affected ground</w:t>
      </w:r>
    </w:p>
    <w:p w:rsidR="003B38AB" w:rsidRPr="003B38AB" w:rsidRDefault="00C55C28" w:rsidP="007702DF">
      <w:pPr>
        <w:pStyle w:val="FinalDotPoint"/>
        <w:rPr>
          <w:lang w:val="en-AU"/>
        </w:rPr>
      </w:pPr>
      <w:proofErr w:type="gramStart"/>
      <w:r>
        <w:rPr>
          <w:lang w:val="en-AU"/>
        </w:rPr>
        <w:t>p</w:t>
      </w:r>
      <w:r w:rsidR="003B38AB" w:rsidRPr="003B38AB">
        <w:rPr>
          <w:lang w:val="en-AU"/>
        </w:rPr>
        <w:t>rediction</w:t>
      </w:r>
      <w:proofErr w:type="gramEnd"/>
      <w:r w:rsidR="003B38AB" w:rsidRPr="003B38AB">
        <w:rPr>
          <w:lang w:val="en-AU"/>
        </w:rPr>
        <w:t xml:space="preserve"> of </w:t>
      </w:r>
      <w:r w:rsidR="002854A2">
        <w:rPr>
          <w:lang w:val="en-AU"/>
        </w:rPr>
        <w:t>compaction</w:t>
      </w:r>
      <w:r w:rsidR="003B38AB" w:rsidRPr="003B38AB">
        <w:rPr>
          <w:lang w:val="en-AU"/>
        </w:rPr>
        <w:t xml:space="preserve"> associated with predicted changes in pressure.</w:t>
      </w:r>
    </w:p>
    <w:p w:rsidR="003B38AB" w:rsidRPr="003B38AB" w:rsidRDefault="003B38AB" w:rsidP="00A90F48">
      <w:pPr>
        <w:pStyle w:val="Listintrotext"/>
        <w:rPr>
          <w:lang w:val="en-AU"/>
        </w:rPr>
      </w:pPr>
      <w:r w:rsidRPr="003B38AB">
        <w:rPr>
          <w:lang w:val="en-AU"/>
        </w:rPr>
        <w:t xml:space="preserve">Approaches that </w:t>
      </w:r>
      <w:r w:rsidRPr="007C3A6D">
        <w:t>predict</w:t>
      </w:r>
      <w:r w:rsidRPr="003B38AB">
        <w:rPr>
          <w:lang w:val="en-AU"/>
        </w:rPr>
        <w:t xml:space="preserve"> the changes in pressure associated with </w:t>
      </w:r>
      <w:r w:rsidR="00C723CB">
        <w:rPr>
          <w:lang w:val="en-GB"/>
        </w:rPr>
        <w:t>coal seam gas</w:t>
      </w:r>
      <w:r w:rsidR="00C723CB" w:rsidRPr="00973D19">
        <w:rPr>
          <w:lang w:val="en-GB"/>
        </w:rPr>
        <w:t xml:space="preserve"> </w:t>
      </w:r>
      <w:r w:rsidRPr="003B38AB">
        <w:rPr>
          <w:lang w:val="en-AU"/>
        </w:rPr>
        <w:t>extraction involve</w:t>
      </w:r>
      <w:r w:rsidR="00C55C28">
        <w:rPr>
          <w:lang w:val="en-AU"/>
        </w:rPr>
        <w:t xml:space="preserve"> a</w:t>
      </w:r>
      <w:r w:rsidRPr="003B38AB">
        <w:rPr>
          <w:lang w:val="en-AU"/>
        </w:rPr>
        <w:t xml:space="preserve"> selection of:</w:t>
      </w:r>
    </w:p>
    <w:p w:rsidR="003B38AB" w:rsidRPr="003B38AB" w:rsidRDefault="00C55C28" w:rsidP="007702DF">
      <w:pPr>
        <w:pStyle w:val="BRdotpoints"/>
        <w:rPr>
          <w:lang w:val="en-AU"/>
        </w:rPr>
      </w:pPr>
      <w:r>
        <w:rPr>
          <w:lang w:val="en-AU"/>
        </w:rPr>
        <w:t>h</w:t>
      </w:r>
      <w:r w:rsidR="003B38AB" w:rsidRPr="003B38AB">
        <w:rPr>
          <w:lang w:val="en-AU"/>
        </w:rPr>
        <w:t>ydraulic properties – the profile may be considered uniform (</w:t>
      </w:r>
      <w:r>
        <w:rPr>
          <w:lang w:val="en-AU"/>
        </w:rPr>
        <w:t xml:space="preserve">e.g. </w:t>
      </w:r>
      <w:r w:rsidR="003B38AB" w:rsidRPr="003B38AB">
        <w:rPr>
          <w:lang w:val="en-AU"/>
        </w:rPr>
        <w:t>with the hydraulic properties uniform throughout the profile), or may be considered heterogeneous and/or anisotropic</w:t>
      </w:r>
    </w:p>
    <w:p w:rsidR="003B38AB" w:rsidRPr="003B38AB" w:rsidRDefault="00C55C28" w:rsidP="007702DF">
      <w:pPr>
        <w:pStyle w:val="FinalDotPoint"/>
        <w:rPr>
          <w:lang w:val="en-AU"/>
        </w:rPr>
      </w:pPr>
      <w:proofErr w:type="gramStart"/>
      <w:r>
        <w:rPr>
          <w:lang w:val="en-AU"/>
        </w:rPr>
        <w:t>t</w:t>
      </w:r>
      <w:r w:rsidR="003B38AB" w:rsidRPr="003B38AB">
        <w:rPr>
          <w:lang w:val="en-AU"/>
        </w:rPr>
        <w:t>emporal</w:t>
      </w:r>
      <w:proofErr w:type="gramEnd"/>
      <w:r w:rsidR="003B38AB" w:rsidRPr="003B38AB">
        <w:rPr>
          <w:lang w:val="en-AU"/>
        </w:rPr>
        <w:t xml:space="preserve"> approach – a steady state approach to groundwater flow may be considered (for which pressure does not vary with time), or a transient approach to groundwater flow may be considered (for which pressure varies with time). Results obtained from a steady state approach are equivalent to results obtained from a transient approach at infinite time (i.e. in the long-term) and tends to over-predict the magnitude (and extent) of potential subsidence.</w:t>
      </w:r>
    </w:p>
    <w:p w:rsidR="003B38AB" w:rsidRPr="003B38AB" w:rsidRDefault="003B38AB" w:rsidP="00A90F48">
      <w:pPr>
        <w:pStyle w:val="Listintrotext"/>
        <w:rPr>
          <w:lang w:val="en-AU"/>
        </w:rPr>
      </w:pPr>
      <w:r w:rsidRPr="003B38AB">
        <w:rPr>
          <w:lang w:val="en-AU"/>
        </w:rPr>
        <w:t xml:space="preserve">Approaches </w:t>
      </w:r>
      <w:r w:rsidRPr="007C3A6D">
        <w:t>that</w:t>
      </w:r>
      <w:r w:rsidRPr="003B38AB">
        <w:rPr>
          <w:lang w:val="en-AU"/>
        </w:rPr>
        <w:t xml:space="preserve"> predict </w:t>
      </w:r>
      <w:r w:rsidR="002854A2">
        <w:rPr>
          <w:lang w:val="en-AU"/>
        </w:rPr>
        <w:t>compaction</w:t>
      </w:r>
      <w:r w:rsidRPr="003B38AB">
        <w:rPr>
          <w:lang w:val="en-AU"/>
        </w:rPr>
        <w:t xml:space="preserve"> associated with pressure changes from </w:t>
      </w:r>
      <w:r w:rsidR="00C723CB">
        <w:rPr>
          <w:lang w:val="en-GB"/>
        </w:rPr>
        <w:t>coal seam gas</w:t>
      </w:r>
      <w:r w:rsidR="00C723CB" w:rsidRPr="00973D19">
        <w:rPr>
          <w:lang w:val="en-GB"/>
        </w:rPr>
        <w:t xml:space="preserve"> </w:t>
      </w:r>
      <w:r w:rsidRPr="003B38AB">
        <w:rPr>
          <w:lang w:val="en-AU"/>
        </w:rPr>
        <w:t>extraction vary depending on the following considerations:</w:t>
      </w:r>
    </w:p>
    <w:p w:rsidR="003B38AB" w:rsidRPr="003B38AB" w:rsidRDefault="00C55C28" w:rsidP="007702DF">
      <w:pPr>
        <w:pStyle w:val="BRdotpoints"/>
        <w:rPr>
          <w:lang w:val="en-AU"/>
        </w:rPr>
      </w:pPr>
      <w:proofErr w:type="gramStart"/>
      <w:r>
        <w:rPr>
          <w:lang w:val="en-AU"/>
        </w:rPr>
        <w:t>g</w:t>
      </w:r>
      <w:r w:rsidR="003B38AB" w:rsidRPr="003B38AB">
        <w:rPr>
          <w:lang w:val="en-AU"/>
        </w:rPr>
        <w:t>round</w:t>
      </w:r>
      <w:proofErr w:type="gramEnd"/>
      <w:r w:rsidR="003B38AB" w:rsidRPr="003B38AB">
        <w:rPr>
          <w:lang w:val="en-AU"/>
        </w:rPr>
        <w:t xml:space="preserve"> conditions may be considered uniform (for which the geomechanical properties of the entire </w:t>
      </w:r>
      <w:r w:rsidR="002854A2">
        <w:rPr>
          <w:lang w:val="en-AU"/>
        </w:rPr>
        <w:t xml:space="preserve">vertical </w:t>
      </w:r>
      <w:r w:rsidR="003B38AB" w:rsidRPr="003B38AB">
        <w:rPr>
          <w:lang w:val="en-AU"/>
        </w:rPr>
        <w:t>profile are identical) or may be considered heterogeneous (</w:t>
      </w:r>
      <w:r>
        <w:rPr>
          <w:lang w:val="en-AU"/>
        </w:rPr>
        <w:t xml:space="preserve">e.g. </w:t>
      </w:r>
      <w:r w:rsidR="003B38AB" w:rsidRPr="003B38AB">
        <w:rPr>
          <w:lang w:val="en-AU"/>
        </w:rPr>
        <w:t>multiple hydrogeological units possessing different geomechanical properties). For example, a heterogeneous approach permits the representation of individual coal seams interbedded within sandstone units</w:t>
      </w:r>
    </w:p>
    <w:p w:rsidR="003B38AB" w:rsidRPr="003B38AB" w:rsidRDefault="002854A2" w:rsidP="007702DF">
      <w:pPr>
        <w:pStyle w:val="BRdotpoints"/>
        <w:rPr>
          <w:lang w:val="en-AU"/>
        </w:rPr>
      </w:pPr>
      <w:proofErr w:type="gramStart"/>
      <w:r>
        <w:rPr>
          <w:lang w:val="en-AU"/>
        </w:rPr>
        <w:t>compaction</w:t>
      </w:r>
      <w:proofErr w:type="gramEnd"/>
      <w:r w:rsidR="003B38AB" w:rsidRPr="003B38AB">
        <w:rPr>
          <w:lang w:val="en-AU"/>
        </w:rPr>
        <w:t xml:space="preserve"> may be assumed to be one-dimensional or deformation may be considered in more than one dimension (e.g. where compression occurs in a vertical direction, the rock mass may expand in the horizontal direction). Multi</w:t>
      </w:r>
      <w:r w:rsidR="00C55C28">
        <w:rPr>
          <w:lang w:val="en-AU"/>
        </w:rPr>
        <w:noBreakHyphen/>
      </w:r>
      <w:r w:rsidR="003B38AB" w:rsidRPr="003B38AB">
        <w:rPr>
          <w:lang w:val="en-AU"/>
        </w:rPr>
        <w:t>dimensional analyses may also consider the potentially anisotropic nature of hydrogeological units.</w:t>
      </w:r>
    </w:p>
    <w:p w:rsidR="003B38AB" w:rsidRPr="003B38AB" w:rsidRDefault="002854A2" w:rsidP="007C3A6D">
      <w:pPr>
        <w:pStyle w:val="BRNormal11pt0"/>
        <w:rPr>
          <w:lang w:val="en-AU"/>
        </w:rPr>
      </w:pPr>
      <w:r>
        <w:rPr>
          <w:lang w:val="en-AU"/>
        </w:rPr>
        <w:t>Compaction</w:t>
      </w:r>
      <w:r w:rsidR="003B38AB" w:rsidRPr="003B38AB">
        <w:rPr>
          <w:lang w:val="en-AU"/>
        </w:rPr>
        <w:t xml:space="preserve"> may be linear (</w:t>
      </w:r>
      <w:r w:rsidR="00C55C28">
        <w:rPr>
          <w:lang w:val="en-AU"/>
        </w:rPr>
        <w:t xml:space="preserve">i.e. </w:t>
      </w:r>
      <w:r w:rsidR="003B38AB" w:rsidRPr="003B38AB">
        <w:rPr>
          <w:lang w:val="en-AU"/>
        </w:rPr>
        <w:t xml:space="preserve">the rate of </w:t>
      </w:r>
      <w:r>
        <w:rPr>
          <w:lang w:val="en-AU"/>
        </w:rPr>
        <w:t>compaction</w:t>
      </w:r>
      <w:r w:rsidR="003B38AB" w:rsidRPr="003B38AB">
        <w:rPr>
          <w:lang w:val="en-AU"/>
        </w:rPr>
        <w:t xml:space="preserve"> depends directly on the magnitude of the change in ground pressure) or may be non-linear (</w:t>
      </w:r>
      <w:r w:rsidR="00C55C28">
        <w:rPr>
          <w:lang w:val="en-AU"/>
        </w:rPr>
        <w:t xml:space="preserve">i.e. </w:t>
      </w:r>
      <w:r w:rsidR="003B38AB" w:rsidRPr="003B38AB">
        <w:rPr>
          <w:lang w:val="en-AU"/>
        </w:rPr>
        <w:t xml:space="preserve">the rate of deformation varies for a given change in pressure, depending on the magnitude of the pressure). In </w:t>
      </w:r>
      <w:r w:rsidR="00C723CB">
        <w:rPr>
          <w:lang w:val="en-GB"/>
        </w:rPr>
        <w:t>coal seam gas</w:t>
      </w:r>
      <w:r w:rsidR="00C723CB" w:rsidRPr="00973D19">
        <w:rPr>
          <w:lang w:val="en-GB"/>
        </w:rPr>
        <w:t xml:space="preserve"> </w:t>
      </w:r>
      <w:r w:rsidR="003B38AB" w:rsidRPr="003B38AB">
        <w:rPr>
          <w:lang w:val="en-AU"/>
        </w:rPr>
        <w:t>production</w:t>
      </w:r>
      <w:r>
        <w:rPr>
          <w:lang w:val="en-AU"/>
        </w:rPr>
        <w:t xml:space="preserve"> environments</w:t>
      </w:r>
      <w:r w:rsidR="003B38AB" w:rsidRPr="003B38AB">
        <w:rPr>
          <w:lang w:val="en-AU"/>
        </w:rPr>
        <w:t xml:space="preserve">, it is generally sufficient for modelling approaches to consider linear elastic ground </w:t>
      </w:r>
      <w:r>
        <w:rPr>
          <w:lang w:val="en-AU"/>
        </w:rPr>
        <w:t>compaction</w:t>
      </w:r>
      <w:r w:rsidR="003B38AB" w:rsidRPr="003B38AB">
        <w:rPr>
          <w:lang w:val="en-AU"/>
        </w:rPr>
        <w:t>. Linear elastic ground comp</w:t>
      </w:r>
      <w:r>
        <w:rPr>
          <w:lang w:val="en-AU"/>
        </w:rPr>
        <w:t>action</w:t>
      </w:r>
      <w:r w:rsidR="003B38AB" w:rsidRPr="003B38AB">
        <w:rPr>
          <w:lang w:val="en-AU"/>
        </w:rPr>
        <w:t xml:space="preserve"> means that deformation at a particular location is directly proportional to the change in pressure at that location. However, non-linear </w:t>
      </w:r>
      <w:r>
        <w:rPr>
          <w:lang w:val="en-AU"/>
        </w:rPr>
        <w:t>compaction</w:t>
      </w:r>
      <w:r w:rsidR="003B38AB" w:rsidRPr="003B38AB">
        <w:rPr>
          <w:lang w:val="en-AU"/>
        </w:rPr>
        <w:t xml:space="preserve"> is known to be very important in the large strains created in longwall mining subsidence (especially for accommodating the large relative displacements at the edges of the subsidence trough).</w:t>
      </w:r>
    </w:p>
    <w:p w:rsidR="003B38AB" w:rsidRPr="003B38AB" w:rsidRDefault="003B38AB" w:rsidP="007C3A6D">
      <w:pPr>
        <w:pStyle w:val="BRNormal11pt0"/>
        <w:rPr>
          <w:lang w:val="en-AU"/>
        </w:rPr>
      </w:pPr>
      <w:r w:rsidRPr="003B38AB">
        <w:rPr>
          <w:lang w:val="en-AU"/>
        </w:rPr>
        <w:t xml:space="preserve">Since geological units in </w:t>
      </w:r>
      <w:r w:rsidR="00C723CB">
        <w:rPr>
          <w:lang w:val="en-GB"/>
        </w:rPr>
        <w:t>coal seam gas</w:t>
      </w:r>
      <w:r w:rsidR="00C723CB" w:rsidRPr="00973D19">
        <w:rPr>
          <w:lang w:val="en-GB"/>
        </w:rPr>
        <w:t xml:space="preserve"> </w:t>
      </w:r>
      <w:r w:rsidRPr="003B38AB">
        <w:rPr>
          <w:lang w:val="en-AU"/>
        </w:rPr>
        <w:t xml:space="preserve">environments are constrained horizontally (by surrounding ground) and effective stress changes are due to groundwater abstraction, linear elastic models may generally be sufficient to capture </w:t>
      </w:r>
      <w:r w:rsidR="006048BE">
        <w:rPr>
          <w:lang w:val="en-AU"/>
        </w:rPr>
        <w:t>compaction</w:t>
      </w:r>
      <w:r w:rsidRPr="003B38AB">
        <w:rPr>
          <w:lang w:val="en-AU"/>
        </w:rPr>
        <w:t xml:space="preserve"> behaviour adequately. However, steep displacements, and large relative displacements, may be present for </w:t>
      </w:r>
      <w:r w:rsidR="00C723CB">
        <w:rPr>
          <w:lang w:val="en-GB"/>
        </w:rPr>
        <w:t>coal seam gas</w:t>
      </w:r>
      <w:r w:rsidR="00C723CB" w:rsidRPr="00973D19">
        <w:rPr>
          <w:lang w:val="en-GB"/>
        </w:rPr>
        <w:t xml:space="preserve"> </w:t>
      </w:r>
      <w:r w:rsidRPr="003B38AB">
        <w:rPr>
          <w:lang w:val="en-AU"/>
        </w:rPr>
        <w:t>development depending on the distribution of wells and the presence of flow barriers and seam offsets. In addition, coal seam compression is non</w:t>
      </w:r>
      <w:r w:rsidR="006048BE">
        <w:rPr>
          <w:lang w:val="en-AU"/>
        </w:rPr>
        <w:t>-</w:t>
      </w:r>
      <w:r w:rsidRPr="003B38AB">
        <w:rPr>
          <w:lang w:val="en-AU"/>
        </w:rPr>
        <w:t xml:space="preserve">linear due to the Langmuir </w:t>
      </w:r>
      <w:proofErr w:type="gramStart"/>
      <w:r w:rsidRPr="003B38AB">
        <w:rPr>
          <w:lang w:val="en-AU"/>
        </w:rPr>
        <w:t>strain,</w:t>
      </w:r>
      <w:proofErr w:type="gramEnd"/>
      <w:r w:rsidRPr="003B38AB">
        <w:rPr>
          <w:lang w:val="en-AU"/>
        </w:rPr>
        <w:t xml:space="preserve"> therefore linearised compaction may not be appropriate as a boundary condition for the overburden.</w:t>
      </w:r>
    </w:p>
    <w:p w:rsidR="003B38AB" w:rsidRPr="003B38AB" w:rsidRDefault="003B38AB" w:rsidP="007C3A6D">
      <w:pPr>
        <w:pStyle w:val="BRNormal11pt0"/>
        <w:rPr>
          <w:lang w:val="en-AU"/>
        </w:rPr>
      </w:pPr>
      <w:r w:rsidRPr="003B38AB">
        <w:rPr>
          <w:lang w:val="en-AU"/>
        </w:rPr>
        <w:t xml:space="preserve">In environments where weak surficial soils (e.g. alluvial clays) </w:t>
      </w:r>
      <w:r w:rsidR="00A400AA">
        <w:rPr>
          <w:lang w:val="en-AU"/>
        </w:rPr>
        <w:t>predominate</w:t>
      </w:r>
      <w:r w:rsidRPr="003B38AB">
        <w:rPr>
          <w:lang w:val="en-AU"/>
        </w:rPr>
        <w:t xml:space="preserve">, it is possible that non-linear modelling of soil behaviour may become important. Where drawdown in soil strength materials does occur this can lead to settlement. This can be addressed by taking account of drainage from the soil horizon into the underlying rock as a result of coal seam gas operation. </w:t>
      </w:r>
      <w:r w:rsidR="00C55C28" w:rsidRPr="003B38AB">
        <w:rPr>
          <w:lang w:val="en-AU"/>
        </w:rPr>
        <w:t xml:space="preserve">Non-linear modelling is beyond the scope of this discussion. </w:t>
      </w:r>
      <w:r w:rsidR="00C55C28">
        <w:rPr>
          <w:lang w:val="en-AU"/>
        </w:rPr>
        <w:t xml:space="preserve">However, an </w:t>
      </w:r>
      <w:r w:rsidRPr="003B38AB">
        <w:rPr>
          <w:lang w:val="en-AU"/>
        </w:rPr>
        <w:t>assessment would generally require some form of analysis or modelling of the groundwater flow within the saturated soil horizons.</w:t>
      </w:r>
    </w:p>
    <w:p w:rsidR="003B38AB" w:rsidRPr="003B38AB" w:rsidRDefault="003B38AB" w:rsidP="007C3A6D">
      <w:pPr>
        <w:pStyle w:val="BRNormal11pt0"/>
        <w:rPr>
          <w:lang w:val="en-AU"/>
        </w:rPr>
      </w:pPr>
      <w:r w:rsidRPr="003B38AB">
        <w:rPr>
          <w:lang w:val="en-AU"/>
        </w:rPr>
        <w:t>The simplest subsidence model considers a uniform profile and long</w:t>
      </w:r>
      <w:r w:rsidR="00C55C28">
        <w:rPr>
          <w:lang w:val="en-AU"/>
        </w:rPr>
        <w:t>-</w:t>
      </w:r>
      <w:r w:rsidRPr="003B38AB">
        <w:rPr>
          <w:lang w:val="en-AU"/>
        </w:rPr>
        <w:t>term pressures (</w:t>
      </w:r>
      <w:r w:rsidR="00C55C28">
        <w:rPr>
          <w:lang w:val="en-AU"/>
        </w:rPr>
        <w:t xml:space="preserve">i.e. </w:t>
      </w:r>
      <w:r w:rsidRPr="003B38AB">
        <w:rPr>
          <w:lang w:val="en-AU"/>
        </w:rPr>
        <w:t>steady state conditions). Analytical models are sufficient to assess potential subsidence when adopting such simplifications and may provide a useful screening tool.</w:t>
      </w:r>
    </w:p>
    <w:p w:rsidR="003B38AB" w:rsidRPr="003B38AB" w:rsidRDefault="003B38AB" w:rsidP="007C3A6D">
      <w:pPr>
        <w:pStyle w:val="BRNormal11pt0"/>
        <w:rPr>
          <w:lang w:val="en-AU"/>
        </w:rPr>
      </w:pPr>
      <w:r w:rsidRPr="003B38AB">
        <w:rPr>
          <w:lang w:val="en-AU"/>
        </w:rPr>
        <w:t>Modelling approaches increase in their complexity with inclusion of hydrogeological heterogeneity (</w:t>
      </w:r>
      <w:r w:rsidR="00C55C28">
        <w:rPr>
          <w:lang w:val="en-AU"/>
        </w:rPr>
        <w:t xml:space="preserve">i.e. </w:t>
      </w:r>
      <w:r w:rsidRPr="003B38AB">
        <w:rPr>
          <w:lang w:val="en-AU"/>
        </w:rPr>
        <w:t>adopting different hydraulic or geomechanical properties for different geological units), accounting for geological anisotropy and considering changes in groundwater pressure with time.</w:t>
      </w:r>
    </w:p>
    <w:p w:rsidR="003B38AB" w:rsidRPr="003B38AB" w:rsidRDefault="003B38AB" w:rsidP="007C3A6D">
      <w:pPr>
        <w:pStyle w:val="BRNormal11pt0"/>
        <w:rPr>
          <w:lang w:val="en-AU"/>
        </w:rPr>
      </w:pPr>
      <w:r w:rsidRPr="003B38AB">
        <w:rPr>
          <w:lang w:val="en-AU"/>
        </w:rPr>
        <w:t>Analytical modelling approaches may be utilised to model heterogeneous hydrogeological conditions with varying degrees of complexity, but are generally limited to considering one</w:t>
      </w:r>
      <w:r w:rsidR="00576C51">
        <w:rPr>
          <w:lang w:val="en-AU"/>
        </w:rPr>
        <w:t>-</w:t>
      </w:r>
      <w:r w:rsidRPr="003B38AB">
        <w:rPr>
          <w:lang w:val="en-AU"/>
        </w:rPr>
        <w:t xml:space="preserve">dimensional </w:t>
      </w:r>
      <w:r w:rsidR="00110984">
        <w:rPr>
          <w:lang w:val="en-AU"/>
        </w:rPr>
        <w:t>compaction</w:t>
      </w:r>
      <w:r w:rsidRPr="003B38AB">
        <w:rPr>
          <w:lang w:val="en-AU"/>
        </w:rPr>
        <w:t>.</w:t>
      </w:r>
    </w:p>
    <w:p w:rsidR="003B38AB" w:rsidRPr="003B38AB" w:rsidRDefault="003B38AB" w:rsidP="007C3A6D">
      <w:pPr>
        <w:pStyle w:val="BRNormal11pt0"/>
        <w:rPr>
          <w:lang w:val="en-AU"/>
        </w:rPr>
      </w:pPr>
      <w:r w:rsidRPr="003B38AB">
        <w:rPr>
          <w:lang w:val="en-AU"/>
        </w:rPr>
        <w:t xml:space="preserve">Numerical analysis software may be used to model groundwater flow, </w:t>
      </w:r>
      <w:r w:rsidR="00110984">
        <w:rPr>
          <w:lang w:val="en-AU"/>
        </w:rPr>
        <w:t>compaction</w:t>
      </w:r>
      <w:r w:rsidRPr="003B38AB">
        <w:rPr>
          <w:lang w:val="en-AU"/>
        </w:rPr>
        <w:t xml:space="preserve"> or the coupled interaction of both. A numerical groundwater flow model (developed using commercially available software such as MODFLOW, FEFLOW or SEEP/W) may be used to calculate groundwater pressure changes, with complex geometry, variable hydraulic properties and transient groundwater flow. The model outputs may then be used in an analytical one</w:t>
      </w:r>
      <w:r w:rsidRPr="003B38AB">
        <w:rPr>
          <w:lang w:val="en-AU"/>
        </w:rPr>
        <w:noBreakHyphen/>
        <w:t xml:space="preserve">dimensional assessment of </w:t>
      </w:r>
      <w:r w:rsidR="00110984">
        <w:rPr>
          <w:lang w:val="en-AU"/>
        </w:rPr>
        <w:t>compaction</w:t>
      </w:r>
      <w:r w:rsidRPr="003B38AB">
        <w:rPr>
          <w:lang w:val="en-AU"/>
        </w:rPr>
        <w:t>.</w:t>
      </w:r>
    </w:p>
    <w:p w:rsidR="003B38AB" w:rsidRPr="003B38AB" w:rsidRDefault="003B38AB" w:rsidP="007C3A6D">
      <w:pPr>
        <w:pStyle w:val="BRNormal11pt0"/>
        <w:rPr>
          <w:lang w:val="en-AU"/>
        </w:rPr>
      </w:pPr>
      <w:r w:rsidRPr="003B38AB">
        <w:rPr>
          <w:lang w:val="en-AU"/>
        </w:rPr>
        <w:t xml:space="preserve">Commercially available programs such as PLAXIS (finite element) and FLAC (finite difference), couple groundwater flow and </w:t>
      </w:r>
      <w:r w:rsidR="00110984">
        <w:rPr>
          <w:lang w:val="en-AU"/>
        </w:rPr>
        <w:t>compaction</w:t>
      </w:r>
      <w:r w:rsidRPr="003B38AB">
        <w:rPr>
          <w:lang w:val="en-AU"/>
        </w:rPr>
        <w:t xml:space="preserve"> processes. These software packages can model the ground in three dimensions with transient groundwater flow. These more complex approaches may be used to provide a more detailed assessment of potential subsidence and take account of mechanical processes</w:t>
      </w:r>
      <w:r w:rsidR="00C55C28">
        <w:rPr>
          <w:lang w:val="en-AU"/>
        </w:rPr>
        <w:t>,</w:t>
      </w:r>
      <w:r w:rsidRPr="003B38AB">
        <w:rPr>
          <w:lang w:val="en-AU"/>
        </w:rPr>
        <w:t xml:space="preserve"> which may be relevant in the vicinity of individual extraction wells.</w:t>
      </w:r>
    </w:p>
    <w:p w:rsidR="003B38AB" w:rsidRPr="003B38AB" w:rsidRDefault="003B38AB" w:rsidP="007C3A6D">
      <w:pPr>
        <w:pStyle w:val="BRNormal11pt0"/>
        <w:rPr>
          <w:lang w:val="en-AU"/>
        </w:rPr>
      </w:pPr>
      <w:r w:rsidRPr="003B38AB">
        <w:rPr>
          <w:lang w:val="en-AU"/>
        </w:rPr>
        <w:t xml:space="preserve">Table </w:t>
      </w:r>
      <w:r w:rsidR="002C43B4">
        <w:rPr>
          <w:lang w:val="en-AU"/>
        </w:rPr>
        <w:t>8</w:t>
      </w:r>
      <w:r w:rsidR="002C43B4" w:rsidRPr="003B38AB">
        <w:rPr>
          <w:lang w:val="en-AU"/>
        </w:rPr>
        <w:t xml:space="preserve"> </w:t>
      </w:r>
      <w:r w:rsidRPr="003B38AB">
        <w:rPr>
          <w:lang w:val="en-AU"/>
        </w:rPr>
        <w:t xml:space="preserve">presents four different modelling approaches of increasing complexity (from left to right). The </w:t>
      </w:r>
      <w:r w:rsidR="00C55C28">
        <w:rPr>
          <w:lang w:val="en-AU"/>
        </w:rPr>
        <w:t>four</w:t>
      </w:r>
      <w:r w:rsidR="00C55C28" w:rsidRPr="003B38AB">
        <w:rPr>
          <w:lang w:val="en-AU"/>
        </w:rPr>
        <w:t xml:space="preserve"> </w:t>
      </w:r>
      <w:r w:rsidRPr="003B38AB">
        <w:rPr>
          <w:lang w:val="en-AU"/>
        </w:rPr>
        <w:t>approaches demonstrate differing treatments of geomechanical properties, hydraulic properties and temporal considerations.</w:t>
      </w:r>
    </w:p>
    <w:p w:rsidR="003B38AB" w:rsidRPr="003B38AB" w:rsidRDefault="003B38AB" w:rsidP="00A90F48">
      <w:pPr>
        <w:pStyle w:val="Listintrotext"/>
        <w:rPr>
          <w:lang w:val="en-AU"/>
        </w:rPr>
      </w:pPr>
      <w:r w:rsidRPr="003B38AB">
        <w:rPr>
          <w:lang w:val="en-AU"/>
        </w:rPr>
        <w:t xml:space="preserve">The four </w:t>
      </w:r>
      <w:r w:rsidRPr="007C3A6D">
        <w:t>approaches</w:t>
      </w:r>
      <w:r w:rsidRPr="003B38AB">
        <w:rPr>
          <w:lang w:val="en-AU"/>
        </w:rPr>
        <w:t xml:space="preserve"> are</w:t>
      </w:r>
      <w:r w:rsidR="00576C51">
        <w:rPr>
          <w:lang w:val="en-AU"/>
        </w:rPr>
        <w:t>:</w:t>
      </w:r>
    </w:p>
    <w:p w:rsidR="003B38AB" w:rsidRPr="003B38AB" w:rsidRDefault="003B38AB" w:rsidP="007702DF">
      <w:pPr>
        <w:pStyle w:val="BRdotpoints"/>
        <w:rPr>
          <w:lang w:val="en-AU"/>
        </w:rPr>
      </w:pPr>
      <w:r w:rsidRPr="003B38AB">
        <w:rPr>
          <w:lang w:val="en-AU"/>
        </w:rPr>
        <w:t xml:space="preserve">Uniform </w:t>
      </w:r>
      <w:r w:rsidR="00110984">
        <w:rPr>
          <w:lang w:val="en-AU"/>
        </w:rPr>
        <w:t>g</w:t>
      </w:r>
      <w:r w:rsidRPr="003B38AB">
        <w:rPr>
          <w:lang w:val="en-AU"/>
        </w:rPr>
        <w:t xml:space="preserve">eology </w:t>
      </w:r>
      <w:r w:rsidR="00110984">
        <w:rPr>
          <w:lang w:val="en-AU"/>
        </w:rPr>
        <w:t>m</w:t>
      </w:r>
      <w:r w:rsidRPr="003B38AB">
        <w:rPr>
          <w:lang w:val="en-AU"/>
        </w:rPr>
        <w:t>odel</w:t>
      </w:r>
      <w:r w:rsidR="00576C51">
        <w:rPr>
          <w:lang w:val="en-AU"/>
        </w:rPr>
        <w:t>:</w:t>
      </w:r>
      <w:r w:rsidRPr="003B38AB">
        <w:rPr>
          <w:lang w:val="en-AU"/>
        </w:rPr>
        <w:t xml:space="preserve"> one-dimensional analytical approach that considers uniform hydraulic and geomechanical properties and a long</w:t>
      </w:r>
      <w:r w:rsidR="00585E2C">
        <w:rPr>
          <w:lang w:val="en-AU"/>
        </w:rPr>
        <w:t>-</w:t>
      </w:r>
      <w:r w:rsidRPr="003B38AB">
        <w:rPr>
          <w:lang w:val="en-AU"/>
        </w:rPr>
        <w:t>term (steady state) groundwater condition</w:t>
      </w:r>
      <w:r w:rsidR="00585E2C">
        <w:rPr>
          <w:lang w:val="en-AU"/>
        </w:rPr>
        <w:t>.</w:t>
      </w:r>
    </w:p>
    <w:p w:rsidR="003B38AB" w:rsidRPr="003B38AB" w:rsidRDefault="003B38AB" w:rsidP="007702DF">
      <w:pPr>
        <w:pStyle w:val="BRdotpoints"/>
        <w:rPr>
          <w:lang w:val="en-AU"/>
        </w:rPr>
      </w:pPr>
      <w:r w:rsidRPr="003B38AB">
        <w:rPr>
          <w:lang w:val="en-AU"/>
        </w:rPr>
        <w:t xml:space="preserve">Variable </w:t>
      </w:r>
      <w:r w:rsidR="00110984">
        <w:rPr>
          <w:lang w:val="en-AU"/>
        </w:rPr>
        <w:t>p</w:t>
      </w:r>
      <w:r w:rsidRPr="003B38AB">
        <w:rPr>
          <w:lang w:val="en-AU"/>
        </w:rPr>
        <w:t xml:space="preserve">ermeability </w:t>
      </w:r>
      <w:r w:rsidR="00110984">
        <w:rPr>
          <w:lang w:val="en-AU"/>
        </w:rPr>
        <w:t>m</w:t>
      </w:r>
      <w:r w:rsidRPr="003B38AB">
        <w:rPr>
          <w:lang w:val="en-AU"/>
        </w:rPr>
        <w:t>odel (</w:t>
      </w:r>
      <w:r w:rsidR="00110984">
        <w:rPr>
          <w:lang w:val="en-AU"/>
        </w:rPr>
        <w:t>l</w:t>
      </w:r>
      <w:r w:rsidRPr="003B38AB">
        <w:rPr>
          <w:lang w:val="en-AU"/>
        </w:rPr>
        <w:t>ong</w:t>
      </w:r>
      <w:r w:rsidR="00576C51">
        <w:rPr>
          <w:lang w:val="en-AU"/>
        </w:rPr>
        <w:t>-</w:t>
      </w:r>
      <w:r w:rsidR="00110984">
        <w:rPr>
          <w:lang w:val="en-AU"/>
        </w:rPr>
        <w:t>t</w:t>
      </w:r>
      <w:r w:rsidRPr="003B38AB">
        <w:rPr>
          <w:lang w:val="en-AU"/>
        </w:rPr>
        <w:t>erm)</w:t>
      </w:r>
      <w:r w:rsidR="00576C51">
        <w:rPr>
          <w:lang w:val="en-AU"/>
        </w:rPr>
        <w:t>:</w:t>
      </w:r>
      <w:r w:rsidR="00585E2C">
        <w:rPr>
          <w:lang w:val="en-AU"/>
        </w:rPr>
        <w:t xml:space="preserve"> </w:t>
      </w:r>
      <w:r w:rsidRPr="003B38AB">
        <w:rPr>
          <w:lang w:val="en-AU"/>
        </w:rPr>
        <w:t>one-dimensional</w:t>
      </w:r>
      <w:r w:rsidR="00585E2C">
        <w:rPr>
          <w:lang w:val="en-AU"/>
        </w:rPr>
        <w:t xml:space="preserve"> </w:t>
      </w:r>
      <w:r w:rsidRPr="003B38AB">
        <w:rPr>
          <w:lang w:val="en-AU"/>
        </w:rPr>
        <w:t>analytical approach that considers uniform geomechanical properties with variable hydraulic properties and long</w:t>
      </w:r>
      <w:r w:rsidR="00576C51">
        <w:rPr>
          <w:lang w:val="en-AU"/>
        </w:rPr>
        <w:t>-</w:t>
      </w:r>
      <w:r w:rsidRPr="003B38AB">
        <w:rPr>
          <w:lang w:val="en-AU"/>
        </w:rPr>
        <w:t>term (steady state) groundwater pressures</w:t>
      </w:r>
      <w:r w:rsidR="00585E2C">
        <w:rPr>
          <w:lang w:val="en-AU"/>
        </w:rPr>
        <w:t>.</w:t>
      </w:r>
    </w:p>
    <w:p w:rsidR="003B38AB" w:rsidRPr="003B38AB" w:rsidRDefault="003B38AB" w:rsidP="007702DF">
      <w:pPr>
        <w:pStyle w:val="BRdotpoints"/>
        <w:rPr>
          <w:lang w:val="en-AU"/>
        </w:rPr>
      </w:pPr>
      <w:r w:rsidRPr="003B38AB">
        <w:rPr>
          <w:lang w:val="en-AU"/>
        </w:rPr>
        <w:t xml:space="preserve">Variable </w:t>
      </w:r>
      <w:r w:rsidR="00110984">
        <w:rPr>
          <w:lang w:val="en-AU"/>
        </w:rPr>
        <w:t>g</w:t>
      </w:r>
      <w:r w:rsidRPr="003B38AB">
        <w:rPr>
          <w:lang w:val="en-AU"/>
        </w:rPr>
        <w:t xml:space="preserve">round </w:t>
      </w:r>
      <w:r w:rsidR="00110984">
        <w:rPr>
          <w:lang w:val="en-AU"/>
        </w:rPr>
        <w:t>m</w:t>
      </w:r>
      <w:r w:rsidRPr="003B38AB">
        <w:rPr>
          <w:lang w:val="en-AU"/>
        </w:rPr>
        <w:t>odel (</w:t>
      </w:r>
      <w:r w:rsidR="00110984">
        <w:rPr>
          <w:lang w:val="en-AU"/>
        </w:rPr>
        <w:t>l</w:t>
      </w:r>
      <w:r w:rsidRPr="003B38AB">
        <w:rPr>
          <w:lang w:val="en-AU"/>
        </w:rPr>
        <w:t>ong</w:t>
      </w:r>
      <w:r w:rsidR="00576C51">
        <w:rPr>
          <w:lang w:val="en-AU"/>
        </w:rPr>
        <w:t>-</w:t>
      </w:r>
      <w:r w:rsidR="00110984">
        <w:rPr>
          <w:lang w:val="en-AU"/>
        </w:rPr>
        <w:t>t</w:t>
      </w:r>
      <w:r w:rsidRPr="003B38AB">
        <w:rPr>
          <w:lang w:val="en-AU"/>
        </w:rPr>
        <w:t>erm)</w:t>
      </w:r>
      <w:r w:rsidR="00576C51">
        <w:rPr>
          <w:lang w:val="en-AU"/>
        </w:rPr>
        <w:t>:</w:t>
      </w:r>
      <w:r w:rsidRPr="003B38AB">
        <w:rPr>
          <w:lang w:val="en-AU"/>
        </w:rPr>
        <w:t xml:space="preserve"> one-dimensional analytical approach that considers variable geomechanical and hydraulic properties and long</w:t>
      </w:r>
      <w:r w:rsidR="00585E2C">
        <w:rPr>
          <w:lang w:val="en-AU"/>
        </w:rPr>
        <w:t>-</w:t>
      </w:r>
      <w:r w:rsidRPr="003B38AB">
        <w:rPr>
          <w:lang w:val="en-AU"/>
        </w:rPr>
        <w:t>term (steady state) groundwater pressures</w:t>
      </w:r>
      <w:r w:rsidR="00585E2C">
        <w:rPr>
          <w:lang w:val="en-AU"/>
        </w:rPr>
        <w:t>.</w:t>
      </w:r>
    </w:p>
    <w:p w:rsidR="003B38AB" w:rsidRPr="003B38AB" w:rsidRDefault="003B38AB" w:rsidP="007702DF">
      <w:pPr>
        <w:pStyle w:val="BRdotpoints"/>
        <w:rPr>
          <w:lang w:val="en-AU"/>
        </w:rPr>
      </w:pPr>
      <w:r w:rsidRPr="003B38AB">
        <w:rPr>
          <w:lang w:val="en-AU"/>
        </w:rPr>
        <w:t xml:space="preserve">Transient </w:t>
      </w:r>
      <w:r w:rsidR="00110984">
        <w:rPr>
          <w:lang w:val="en-AU"/>
        </w:rPr>
        <w:t>g</w:t>
      </w:r>
      <w:r w:rsidRPr="003B38AB">
        <w:rPr>
          <w:lang w:val="en-AU"/>
        </w:rPr>
        <w:t xml:space="preserve">roundwater </w:t>
      </w:r>
      <w:r w:rsidR="00110984">
        <w:rPr>
          <w:lang w:val="en-AU"/>
        </w:rPr>
        <w:t>f</w:t>
      </w:r>
      <w:r w:rsidRPr="003B38AB">
        <w:rPr>
          <w:lang w:val="en-AU"/>
        </w:rPr>
        <w:t xml:space="preserve">low </w:t>
      </w:r>
      <w:r w:rsidR="00110984">
        <w:rPr>
          <w:lang w:val="en-AU"/>
        </w:rPr>
        <w:t>m</w:t>
      </w:r>
      <w:r w:rsidRPr="003B38AB">
        <w:rPr>
          <w:lang w:val="en-AU"/>
        </w:rPr>
        <w:t>odel</w:t>
      </w:r>
      <w:r w:rsidR="00576C51">
        <w:rPr>
          <w:lang w:val="en-AU"/>
        </w:rPr>
        <w:t>:</w:t>
      </w:r>
      <w:r w:rsidRPr="003B38AB">
        <w:rPr>
          <w:lang w:val="en-AU"/>
        </w:rPr>
        <w:t xml:space="preserve"> a numerical groundwater flow model (under transient flow conditions) to calculate changes in groundwater pressure and adopts those calculated groundwater pressures in a one-dimensional analysis of </w:t>
      </w:r>
      <w:r w:rsidR="00110984">
        <w:rPr>
          <w:lang w:val="en-AU"/>
        </w:rPr>
        <w:t>compaction</w:t>
      </w:r>
      <w:r w:rsidRPr="003B38AB">
        <w:rPr>
          <w:lang w:val="en-AU"/>
        </w:rPr>
        <w:t>.</w:t>
      </w:r>
    </w:p>
    <w:p w:rsidR="003B38AB" w:rsidRPr="003B38AB" w:rsidRDefault="003B38AB" w:rsidP="007C3A6D">
      <w:pPr>
        <w:pStyle w:val="BRNormal11pt0"/>
        <w:rPr>
          <w:lang w:val="en-AU"/>
        </w:rPr>
      </w:pPr>
      <w:r w:rsidRPr="003B38AB">
        <w:rPr>
          <w:lang w:val="en-AU"/>
        </w:rPr>
        <w:t>Each approach is illustrated with an example for equivalent conditions (</w:t>
      </w:r>
      <w:r w:rsidR="00585E2C">
        <w:rPr>
          <w:lang w:val="en-AU"/>
        </w:rPr>
        <w:t xml:space="preserve">i.e. </w:t>
      </w:r>
      <w:r w:rsidRPr="003B38AB">
        <w:rPr>
          <w:lang w:val="en-AU"/>
        </w:rPr>
        <w:t>hydraulic properties and ground geometry) to permit comparison of the different approaches. For the presentation of these examples</w:t>
      </w:r>
      <w:r w:rsidR="00585E2C">
        <w:rPr>
          <w:lang w:val="en-AU"/>
        </w:rPr>
        <w:t>,</w:t>
      </w:r>
      <w:r w:rsidRPr="003B38AB">
        <w:rPr>
          <w:lang w:val="en-AU"/>
        </w:rPr>
        <w:t xml:space="preserve"> it is assumed that the reader has an understanding of the principles of effective stress and the distinction between total head and pressure head. Discussion of these matters is provided by Craig (2004) and Fetter (2001).</w:t>
      </w:r>
    </w:p>
    <w:p w:rsidR="003B38AB" w:rsidRPr="003B38AB" w:rsidRDefault="003B38AB" w:rsidP="007C3A6D">
      <w:pPr>
        <w:pStyle w:val="BRNormal11pt0"/>
        <w:rPr>
          <w:lang w:val="en-AU"/>
        </w:rPr>
      </w:pPr>
      <w:r w:rsidRPr="003B38AB">
        <w:rPr>
          <w:lang w:val="en-AU"/>
        </w:rPr>
        <w:t xml:space="preserve">Conditions typical of Australian </w:t>
      </w:r>
      <w:r w:rsidR="00C723CB">
        <w:rPr>
          <w:lang w:val="en-GB"/>
        </w:rPr>
        <w:t>coal seam gas</w:t>
      </w:r>
      <w:r w:rsidR="00C723CB" w:rsidRPr="00973D19">
        <w:rPr>
          <w:lang w:val="en-GB"/>
        </w:rPr>
        <w:t xml:space="preserve"> </w:t>
      </w:r>
      <w:r w:rsidRPr="003B38AB">
        <w:rPr>
          <w:lang w:val="en-AU"/>
        </w:rPr>
        <w:t xml:space="preserve">well fields were reviewed for </w:t>
      </w:r>
      <w:r w:rsidRPr="003B38AB">
        <w:rPr>
          <w:lang w:val="en-GB"/>
        </w:rPr>
        <w:t>the Gloucester, Gunnedah, Surat and Sydney Basins</w:t>
      </w:r>
      <w:r w:rsidRPr="003B38AB">
        <w:rPr>
          <w:lang w:val="en-AU"/>
        </w:rPr>
        <w:t xml:space="preserve"> and the example model conditions were selected to be representative of typical conditions in Australian regions of </w:t>
      </w:r>
      <w:r w:rsidR="00C723CB">
        <w:rPr>
          <w:lang w:val="en-GB"/>
        </w:rPr>
        <w:t>coal seam gas</w:t>
      </w:r>
      <w:r w:rsidR="00C723CB" w:rsidRPr="00973D19">
        <w:rPr>
          <w:lang w:val="en-GB"/>
        </w:rPr>
        <w:t xml:space="preserve"> </w:t>
      </w:r>
      <w:r w:rsidRPr="003B38AB">
        <w:rPr>
          <w:lang w:val="en-AU"/>
        </w:rPr>
        <w:t>production for a relatively shallow coal seam.</w:t>
      </w:r>
    </w:p>
    <w:p w:rsidR="003B38AB" w:rsidRPr="003B38AB" w:rsidRDefault="003B38AB" w:rsidP="007C3A6D">
      <w:pPr>
        <w:pStyle w:val="BRNormal11pt0"/>
        <w:rPr>
          <w:lang w:val="en-AU"/>
        </w:rPr>
      </w:pPr>
      <w:r w:rsidRPr="003B38AB">
        <w:rPr>
          <w:lang w:val="en-AU"/>
        </w:rPr>
        <w:t xml:space="preserve">For the example case, </w:t>
      </w:r>
      <w:r w:rsidR="00110984">
        <w:rPr>
          <w:lang w:val="en-AU"/>
        </w:rPr>
        <w:t>compaction</w:t>
      </w:r>
      <w:r w:rsidRPr="003B38AB">
        <w:rPr>
          <w:lang w:val="en-AU"/>
        </w:rPr>
        <w:t xml:space="preserve"> is considered to occur due to elastic deformation of the geological materials. This approach is considered reasonable given that </w:t>
      </w:r>
      <w:r w:rsidR="00C723CB">
        <w:rPr>
          <w:lang w:val="en-GB"/>
        </w:rPr>
        <w:t>coal seam gas</w:t>
      </w:r>
      <w:r w:rsidR="00C723CB" w:rsidRPr="00973D19">
        <w:rPr>
          <w:lang w:val="en-GB"/>
        </w:rPr>
        <w:t xml:space="preserve"> </w:t>
      </w:r>
      <w:r w:rsidRPr="003B38AB">
        <w:rPr>
          <w:lang w:val="en-AU"/>
        </w:rPr>
        <w:t xml:space="preserve">developments in Australia are present in environments that host </w:t>
      </w:r>
      <w:r w:rsidR="00A400AA">
        <w:rPr>
          <w:lang w:val="en-AU"/>
        </w:rPr>
        <w:t>substantial</w:t>
      </w:r>
      <w:r w:rsidR="00A400AA" w:rsidRPr="003B38AB">
        <w:rPr>
          <w:lang w:val="en-AU"/>
        </w:rPr>
        <w:t xml:space="preserve"> </w:t>
      </w:r>
      <w:r w:rsidRPr="003B38AB">
        <w:rPr>
          <w:lang w:val="en-AU"/>
        </w:rPr>
        <w:t xml:space="preserve">depths of sedimentary rocks. Geological materials are expected to be constrained in the horizontal direction. Provided that appropriate geomechanical parameter values are adopted for geological units (e.g. coefficient of volume compressibility values relevant to the range of effective stress values experienced by those geological units), </w:t>
      </w:r>
      <w:r w:rsidR="00110984">
        <w:rPr>
          <w:lang w:val="en-AU"/>
        </w:rPr>
        <w:t>compaction</w:t>
      </w:r>
      <w:r w:rsidRPr="003B38AB">
        <w:rPr>
          <w:lang w:val="en-AU"/>
        </w:rPr>
        <w:t xml:space="preserve"> in the vertical direction may be calculated based on the methods described in the following sections.</w:t>
      </w:r>
    </w:p>
    <w:p w:rsidR="003B38AB" w:rsidRDefault="003B38AB" w:rsidP="007C3A6D">
      <w:pPr>
        <w:pStyle w:val="BRNormal11pt0"/>
        <w:rPr>
          <w:lang w:val="en-AU"/>
        </w:rPr>
      </w:pPr>
    </w:p>
    <w:p w:rsidR="007C3A6D" w:rsidRDefault="007C3A6D" w:rsidP="007C3A6D">
      <w:pPr>
        <w:pStyle w:val="BRNormal11pt0"/>
        <w:rPr>
          <w:lang w:val="en-AU"/>
        </w:rPr>
        <w:sectPr w:rsidR="007C3A6D" w:rsidSect="00E35E34">
          <w:headerReference w:type="default" r:id="rId63"/>
          <w:footerReference w:type="default" r:id="rId64"/>
          <w:headerReference w:type="first" r:id="rId65"/>
          <w:footerReference w:type="first" r:id="rId66"/>
          <w:pgSz w:w="11900" w:h="16840" w:code="9"/>
          <w:pgMar w:top="2099" w:right="1418" w:bottom="1418" w:left="1418" w:header="142" w:footer="567" w:gutter="0"/>
          <w:cols w:space="284"/>
          <w:noEndnote/>
          <w:titlePg/>
          <w:docGrid w:linePitch="326"/>
        </w:sectPr>
      </w:pPr>
    </w:p>
    <w:p w:rsidR="00093D1C" w:rsidRDefault="00C55C28">
      <w:pPr>
        <w:pStyle w:val="Caption-table"/>
        <w:ind w:left="-567"/>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8</w:t>
      </w:r>
      <w:r w:rsidR="00E252C4" w:rsidRPr="001E0FA8">
        <w:fldChar w:fldCharType="end"/>
      </w:r>
      <w:r>
        <w:t xml:space="preserve"> </w:t>
      </w:r>
      <w:r w:rsidR="007C3A6D" w:rsidRPr="007C3A6D">
        <w:t xml:space="preserve">Summary of </w:t>
      </w:r>
      <w:r w:rsidR="00585E2C">
        <w:t>m</w:t>
      </w:r>
      <w:r w:rsidR="007C3A6D" w:rsidRPr="007C3A6D">
        <w:t xml:space="preserve">odelling </w:t>
      </w:r>
      <w:r w:rsidR="00585E2C">
        <w:t>a</w:t>
      </w:r>
      <w:r w:rsidR="007C3A6D" w:rsidRPr="007C3A6D">
        <w:t xml:space="preserve">pproaches to </w:t>
      </w:r>
      <w:r w:rsidR="00585E2C">
        <w:t>p</w:t>
      </w:r>
      <w:r w:rsidR="007C3A6D" w:rsidRPr="007C3A6D">
        <w:t xml:space="preserve">redict </w:t>
      </w:r>
      <w:r w:rsidR="00110984">
        <w:t>compaction</w:t>
      </w:r>
      <w:r w:rsidR="007C3A6D" w:rsidRPr="007C3A6D">
        <w:t xml:space="preserve"> </w:t>
      </w:r>
      <w:r w:rsidR="00585E2C">
        <w:t>d</w:t>
      </w:r>
      <w:r w:rsidR="007C3A6D" w:rsidRPr="007C3A6D">
        <w:t xml:space="preserve">ue </w:t>
      </w:r>
      <w:r w:rsidR="00585E2C">
        <w:t>t</w:t>
      </w:r>
      <w:r w:rsidR="007C3A6D" w:rsidRPr="007C3A6D">
        <w:t xml:space="preserve">o </w:t>
      </w:r>
      <w:r w:rsidR="00585E2C">
        <w:t>c</w:t>
      </w:r>
      <w:r w:rsidR="007C3A6D" w:rsidRPr="007C3A6D">
        <w:t>hanges</w:t>
      </w:r>
      <w:r w:rsidR="007C3A6D" w:rsidRPr="007C3A6D">
        <w:rPr>
          <w:lang w:val="en-AU"/>
        </w:rPr>
        <w:t xml:space="preserve"> in </w:t>
      </w:r>
      <w:r w:rsidR="00585E2C">
        <w:rPr>
          <w:lang w:val="en-AU"/>
        </w:rPr>
        <w:t>g</w:t>
      </w:r>
      <w:r w:rsidR="007C3A6D" w:rsidRPr="007C3A6D">
        <w:rPr>
          <w:lang w:val="en-AU"/>
        </w:rPr>
        <w:t xml:space="preserve">roundwater </w:t>
      </w:r>
      <w:r w:rsidR="00585E2C">
        <w:rPr>
          <w:lang w:val="en-AU"/>
        </w:rPr>
        <w:t>p</w:t>
      </w:r>
      <w:r w:rsidR="007C3A6D" w:rsidRPr="007C3A6D">
        <w:rPr>
          <w:lang w:val="en-AU"/>
        </w:rPr>
        <w:t>ressure</w:t>
      </w:r>
      <w:r w:rsidR="0012392A">
        <w:rPr>
          <w:lang w:val="en-AU"/>
        </w:rPr>
        <w:t xml:space="preserve"> </w:t>
      </w:r>
      <w:r w:rsidR="007C3A6D" w:rsidRPr="007C3A6D">
        <w:t>(</w:t>
      </w:r>
      <w:r w:rsidR="00585E2C">
        <w:t>i</w:t>
      </w:r>
      <w:r w:rsidR="007C3A6D" w:rsidRPr="007C3A6D">
        <w:t xml:space="preserve">n </w:t>
      </w:r>
      <w:r w:rsidR="00585E2C">
        <w:t>o</w:t>
      </w:r>
      <w:r w:rsidR="007C3A6D" w:rsidRPr="007C3A6D">
        <w:t xml:space="preserve">rder of </w:t>
      </w:r>
      <w:r w:rsidR="00585E2C">
        <w:t>i</w:t>
      </w:r>
      <w:r w:rsidR="007C3A6D" w:rsidRPr="007C3A6D">
        <w:t xml:space="preserve">ncreasing </w:t>
      </w:r>
      <w:r w:rsidR="00585E2C">
        <w:t>c</w:t>
      </w:r>
      <w:r w:rsidR="007C3A6D" w:rsidRPr="007C3A6D">
        <w:t>omplexity</w:t>
      </w:r>
      <w:r w:rsidR="00585E2C">
        <w:t xml:space="preserve">, from </w:t>
      </w:r>
      <w:r w:rsidR="00D60929">
        <w:t xml:space="preserve">one </w:t>
      </w:r>
      <w:r w:rsidR="00585E2C">
        <w:t xml:space="preserve">to </w:t>
      </w:r>
      <w:r w:rsidR="00D60929">
        <w:t>four</w:t>
      </w:r>
      <w:r w:rsidR="007C3A6D" w:rsidRPr="007C3A6D">
        <w:t>)</w:t>
      </w:r>
    </w:p>
    <w:tbl>
      <w:tblPr>
        <w:tblW w:w="143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2835"/>
        <w:gridCol w:w="2835"/>
        <w:gridCol w:w="2835"/>
        <w:gridCol w:w="3969"/>
      </w:tblGrid>
      <w:tr w:rsidR="007C3A6D" w:rsidRPr="00260F1E" w:rsidTr="0012392A">
        <w:trPr>
          <w:tblHeader/>
        </w:trPr>
        <w:tc>
          <w:tcPr>
            <w:tcW w:w="1843" w:type="dxa"/>
            <w:shd w:val="clear" w:color="auto" w:fill="C6D9F1" w:themeFill="text2" w:themeFillTint="33"/>
          </w:tcPr>
          <w:p w:rsidR="007C3A6D" w:rsidRPr="00910FC9" w:rsidRDefault="00585E2C" w:rsidP="00910FC9">
            <w:pPr>
              <w:pStyle w:val="Tableheading"/>
              <w:rPr>
                <w:lang w:val="en-GB"/>
              </w:rPr>
            </w:pPr>
            <w:r>
              <w:rPr>
                <w:lang w:val="en-GB"/>
              </w:rPr>
              <w:t>Model characteristics</w:t>
            </w:r>
          </w:p>
        </w:tc>
        <w:tc>
          <w:tcPr>
            <w:tcW w:w="2835" w:type="dxa"/>
            <w:shd w:val="clear" w:color="auto" w:fill="C6D9F1" w:themeFill="text2" w:themeFillTint="33"/>
          </w:tcPr>
          <w:p w:rsidR="007C3A6D" w:rsidRPr="00910FC9" w:rsidRDefault="00585E2C" w:rsidP="00110984">
            <w:pPr>
              <w:pStyle w:val="Tableheading"/>
              <w:rPr>
                <w:lang w:val="en-GB"/>
              </w:rPr>
            </w:pPr>
            <w:r w:rsidRPr="00910FC9">
              <w:rPr>
                <w:lang w:val="en-GB"/>
              </w:rPr>
              <w:t>Model 1:</w:t>
            </w:r>
            <w:r w:rsidR="00EB362F">
              <w:rPr>
                <w:lang w:val="en-GB"/>
              </w:rPr>
              <w:t xml:space="preserve"> </w:t>
            </w:r>
            <w:r w:rsidR="007C3A6D" w:rsidRPr="00910FC9">
              <w:rPr>
                <w:lang w:val="en-GB"/>
              </w:rPr>
              <w:t xml:space="preserve">Uniform </w:t>
            </w:r>
            <w:r w:rsidR="00110984">
              <w:rPr>
                <w:lang w:val="en-GB"/>
              </w:rPr>
              <w:t>g</w:t>
            </w:r>
            <w:r w:rsidR="007C3A6D" w:rsidRPr="00910FC9">
              <w:rPr>
                <w:lang w:val="en-GB"/>
              </w:rPr>
              <w:t>eology (</w:t>
            </w:r>
            <w:r w:rsidR="00110984">
              <w:rPr>
                <w:lang w:val="en-GB"/>
              </w:rPr>
              <w:t>l</w:t>
            </w:r>
            <w:r w:rsidR="007C3A6D" w:rsidRPr="00910FC9">
              <w:rPr>
                <w:lang w:val="en-GB"/>
              </w:rPr>
              <w:t xml:space="preserve">ong </w:t>
            </w:r>
            <w:r w:rsidR="00110984">
              <w:rPr>
                <w:lang w:val="en-GB"/>
              </w:rPr>
              <w:t>t</w:t>
            </w:r>
            <w:r w:rsidR="007C3A6D" w:rsidRPr="00910FC9">
              <w:rPr>
                <w:lang w:val="en-GB"/>
              </w:rPr>
              <w:t>erm)</w:t>
            </w:r>
          </w:p>
        </w:tc>
        <w:tc>
          <w:tcPr>
            <w:tcW w:w="2835" w:type="dxa"/>
            <w:shd w:val="clear" w:color="auto" w:fill="C6D9F1" w:themeFill="text2" w:themeFillTint="33"/>
          </w:tcPr>
          <w:p w:rsidR="007C3A6D" w:rsidRPr="00910FC9" w:rsidRDefault="00585E2C" w:rsidP="00110984">
            <w:pPr>
              <w:pStyle w:val="Tableheading"/>
              <w:rPr>
                <w:lang w:val="en-GB"/>
              </w:rPr>
            </w:pPr>
            <w:r w:rsidRPr="00910FC9">
              <w:rPr>
                <w:lang w:val="en-GB"/>
              </w:rPr>
              <w:t>Model 2:</w:t>
            </w:r>
            <w:r w:rsidR="00EB362F">
              <w:rPr>
                <w:lang w:val="en-GB"/>
              </w:rPr>
              <w:t xml:space="preserve"> </w:t>
            </w:r>
            <w:r w:rsidR="007C3A6D" w:rsidRPr="00910FC9">
              <w:rPr>
                <w:lang w:val="en-GB"/>
              </w:rPr>
              <w:t xml:space="preserve">Variable </w:t>
            </w:r>
            <w:r w:rsidR="00110984">
              <w:rPr>
                <w:lang w:val="en-GB"/>
              </w:rPr>
              <w:t>h</w:t>
            </w:r>
            <w:r w:rsidR="007C3A6D" w:rsidRPr="00910FC9">
              <w:rPr>
                <w:lang w:val="en-GB"/>
              </w:rPr>
              <w:t xml:space="preserve">ydraulic </w:t>
            </w:r>
            <w:r w:rsidR="00110984">
              <w:rPr>
                <w:lang w:val="en-GB"/>
              </w:rPr>
              <w:t>c</w:t>
            </w:r>
            <w:r w:rsidR="007C3A6D" w:rsidRPr="00910FC9">
              <w:rPr>
                <w:lang w:val="en-GB"/>
              </w:rPr>
              <w:t>onductivity (</w:t>
            </w:r>
            <w:r w:rsidR="00110984">
              <w:rPr>
                <w:lang w:val="en-GB"/>
              </w:rPr>
              <w:t>l</w:t>
            </w:r>
            <w:r w:rsidR="007C3A6D" w:rsidRPr="00910FC9">
              <w:rPr>
                <w:lang w:val="en-GB"/>
              </w:rPr>
              <w:t xml:space="preserve">ong </w:t>
            </w:r>
            <w:r w:rsidR="00110984">
              <w:rPr>
                <w:lang w:val="en-GB"/>
              </w:rPr>
              <w:t>t</w:t>
            </w:r>
            <w:r w:rsidR="007C3A6D" w:rsidRPr="00910FC9">
              <w:rPr>
                <w:lang w:val="en-GB"/>
              </w:rPr>
              <w:t>erm)</w:t>
            </w:r>
          </w:p>
        </w:tc>
        <w:tc>
          <w:tcPr>
            <w:tcW w:w="2835" w:type="dxa"/>
            <w:shd w:val="clear" w:color="auto" w:fill="C6D9F1" w:themeFill="text2" w:themeFillTint="33"/>
          </w:tcPr>
          <w:p w:rsidR="007C3A6D" w:rsidRPr="00910FC9" w:rsidRDefault="00585E2C" w:rsidP="00110984">
            <w:pPr>
              <w:pStyle w:val="Tableheading"/>
              <w:rPr>
                <w:lang w:val="en-GB"/>
              </w:rPr>
            </w:pPr>
            <w:r w:rsidRPr="00910FC9">
              <w:rPr>
                <w:lang w:val="en-GB"/>
              </w:rPr>
              <w:t>Model 3:</w:t>
            </w:r>
            <w:r w:rsidR="00EB362F">
              <w:rPr>
                <w:lang w:val="en-GB"/>
              </w:rPr>
              <w:t xml:space="preserve"> </w:t>
            </w:r>
            <w:r w:rsidR="007C3A6D" w:rsidRPr="00910FC9">
              <w:rPr>
                <w:lang w:val="en-GB"/>
              </w:rPr>
              <w:t xml:space="preserve">Variable </w:t>
            </w:r>
            <w:r w:rsidR="00110984">
              <w:rPr>
                <w:lang w:val="en-GB"/>
              </w:rPr>
              <w:t>g</w:t>
            </w:r>
            <w:r w:rsidR="007C3A6D" w:rsidRPr="00910FC9">
              <w:rPr>
                <w:lang w:val="en-GB"/>
              </w:rPr>
              <w:t>round (</w:t>
            </w:r>
            <w:r w:rsidR="00110984">
              <w:rPr>
                <w:lang w:val="en-GB"/>
              </w:rPr>
              <w:t>l</w:t>
            </w:r>
            <w:r w:rsidR="007C3A6D" w:rsidRPr="00910FC9">
              <w:rPr>
                <w:lang w:val="en-GB"/>
              </w:rPr>
              <w:t xml:space="preserve">ong </w:t>
            </w:r>
            <w:r w:rsidR="00110984">
              <w:rPr>
                <w:lang w:val="en-GB"/>
              </w:rPr>
              <w:t>t</w:t>
            </w:r>
            <w:r w:rsidR="007C3A6D" w:rsidRPr="00910FC9">
              <w:rPr>
                <w:lang w:val="en-GB"/>
              </w:rPr>
              <w:t>erm)</w:t>
            </w:r>
          </w:p>
        </w:tc>
        <w:tc>
          <w:tcPr>
            <w:tcW w:w="3969" w:type="dxa"/>
            <w:shd w:val="clear" w:color="auto" w:fill="C6D9F1" w:themeFill="text2" w:themeFillTint="33"/>
          </w:tcPr>
          <w:p w:rsidR="007C3A6D" w:rsidRPr="00910FC9" w:rsidRDefault="00585E2C" w:rsidP="00110984">
            <w:pPr>
              <w:pStyle w:val="Tableheading"/>
              <w:rPr>
                <w:lang w:val="en-GB"/>
              </w:rPr>
            </w:pPr>
            <w:r w:rsidRPr="00910FC9">
              <w:rPr>
                <w:lang w:val="en-GB"/>
              </w:rPr>
              <w:t>Model 4:</w:t>
            </w:r>
            <w:r w:rsidR="00EB362F">
              <w:rPr>
                <w:lang w:val="en-GB"/>
              </w:rPr>
              <w:t xml:space="preserve"> </w:t>
            </w:r>
            <w:r w:rsidR="007C3A6D" w:rsidRPr="00910FC9">
              <w:rPr>
                <w:lang w:val="en-GB"/>
              </w:rPr>
              <w:t xml:space="preserve">Transient </w:t>
            </w:r>
            <w:r w:rsidR="00110984">
              <w:rPr>
                <w:lang w:val="en-GB"/>
              </w:rPr>
              <w:t>g</w:t>
            </w:r>
            <w:r w:rsidR="007C3A6D" w:rsidRPr="00910FC9">
              <w:rPr>
                <w:lang w:val="en-GB"/>
              </w:rPr>
              <w:t xml:space="preserve">roundwater </w:t>
            </w:r>
            <w:r w:rsidR="00110984">
              <w:rPr>
                <w:lang w:val="en-GB"/>
              </w:rPr>
              <w:t>r</w:t>
            </w:r>
            <w:r w:rsidR="007C3A6D" w:rsidRPr="00910FC9">
              <w:rPr>
                <w:lang w:val="en-GB"/>
              </w:rPr>
              <w:t>esponse</w:t>
            </w:r>
          </w:p>
        </w:tc>
      </w:tr>
      <w:tr w:rsidR="007C3A6D" w:rsidRPr="00260F1E" w:rsidTr="0012392A">
        <w:tc>
          <w:tcPr>
            <w:tcW w:w="1843" w:type="dxa"/>
          </w:tcPr>
          <w:p w:rsidR="007C3A6D" w:rsidRPr="00E96B4F" w:rsidRDefault="007C3A6D" w:rsidP="00910FC9">
            <w:pPr>
              <w:pStyle w:val="Tabletext"/>
              <w:rPr>
                <w:lang w:val="en-GB"/>
              </w:rPr>
            </w:pPr>
            <w:r w:rsidRPr="00910FC9">
              <w:rPr>
                <w:lang w:val="en-GB"/>
              </w:rPr>
              <w:t xml:space="preserve">Groundwater </w:t>
            </w:r>
            <w:r w:rsidR="00585E2C">
              <w:rPr>
                <w:lang w:val="en-GB"/>
              </w:rPr>
              <w:t>m</w:t>
            </w:r>
            <w:r w:rsidRPr="00B8780A">
              <w:rPr>
                <w:lang w:val="en-GB"/>
              </w:rPr>
              <w:t>odel</w:t>
            </w:r>
          </w:p>
        </w:tc>
        <w:tc>
          <w:tcPr>
            <w:tcW w:w="2835" w:type="dxa"/>
          </w:tcPr>
          <w:p w:rsidR="007C3A6D" w:rsidRPr="00260F1E" w:rsidRDefault="007C3A6D" w:rsidP="00B8780A">
            <w:pPr>
              <w:pStyle w:val="Tabletext"/>
              <w:rPr>
                <w:lang w:val="en-GB"/>
              </w:rPr>
            </w:pPr>
            <w:r w:rsidRPr="00260F1E">
              <w:rPr>
                <w:lang w:val="en-GB"/>
              </w:rPr>
              <w:t>Analytical, uniform properties</w:t>
            </w:r>
          </w:p>
        </w:tc>
        <w:tc>
          <w:tcPr>
            <w:tcW w:w="2835" w:type="dxa"/>
          </w:tcPr>
          <w:p w:rsidR="007C3A6D" w:rsidRPr="00260F1E" w:rsidRDefault="007C3A6D" w:rsidP="00591074">
            <w:pPr>
              <w:pStyle w:val="Tabletext"/>
              <w:rPr>
                <w:lang w:val="en-GB"/>
              </w:rPr>
            </w:pPr>
            <w:r w:rsidRPr="00260F1E">
              <w:rPr>
                <w:lang w:val="en-GB"/>
              </w:rPr>
              <w:t>Analytical, variable properties</w:t>
            </w:r>
          </w:p>
        </w:tc>
        <w:tc>
          <w:tcPr>
            <w:tcW w:w="2835" w:type="dxa"/>
          </w:tcPr>
          <w:p w:rsidR="007C3A6D" w:rsidRPr="00260F1E" w:rsidRDefault="007C3A6D" w:rsidP="00E96B4F">
            <w:pPr>
              <w:pStyle w:val="Tabletext"/>
              <w:rPr>
                <w:lang w:val="en-GB"/>
              </w:rPr>
            </w:pPr>
            <w:r w:rsidRPr="00260F1E">
              <w:rPr>
                <w:lang w:val="en-GB"/>
              </w:rPr>
              <w:t>Analytical, variable properties</w:t>
            </w:r>
          </w:p>
        </w:tc>
        <w:tc>
          <w:tcPr>
            <w:tcW w:w="3969" w:type="dxa"/>
          </w:tcPr>
          <w:p w:rsidR="007C3A6D" w:rsidRPr="00260F1E" w:rsidRDefault="007C3A6D" w:rsidP="00260F1E">
            <w:pPr>
              <w:pStyle w:val="Tabletext"/>
              <w:rPr>
                <w:lang w:val="en-GB"/>
              </w:rPr>
            </w:pPr>
            <w:r w:rsidRPr="00260F1E">
              <w:rPr>
                <w:lang w:val="en-GB"/>
              </w:rPr>
              <w:t>Numerical with variable properties and transient flow (e.g. MODFLOW, FEFLOW, SEEP/W)</w:t>
            </w:r>
          </w:p>
        </w:tc>
      </w:tr>
      <w:tr w:rsidR="007C3A6D" w:rsidRPr="00260F1E" w:rsidTr="0012392A">
        <w:tc>
          <w:tcPr>
            <w:tcW w:w="1843" w:type="dxa"/>
          </w:tcPr>
          <w:p w:rsidR="007C3A6D" w:rsidRPr="00E96B4F" w:rsidRDefault="007C3A6D" w:rsidP="00910FC9">
            <w:pPr>
              <w:pStyle w:val="Tabletext"/>
              <w:rPr>
                <w:lang w:val="en-GB"/>
              </w:rPr>
            </w:pPr>
            <w:r w:rsidRPr="00910FC9">
              <w:rPr>
                <w:lang w:val="en-GB"/>
              </w:rPr>
              <w:t xml:space="preserve">Material </w:t>
            </w:r>
            <w:r w:rsidR="00585E2C">
              <w:rPr>
                <w:lang w:val="en-GB"/>
              </w:rPr>
              <w:t>c</w:t>
            </w:r>
            <w:r w:rsidRPr="00260F1E">
              <w:rPr>
                <w:lang w:val="en-GB"/>
              </w:rPr>
              <w:t xml:space="preserve">ompression </w:t>
            </w:r>
            <w:r w:rsidR="00585E2C">
              <w:rPr>
                <w:lang w:val="en-GB"/>
              </w:rPr>
              <w:t>m</w:t>
            </w:r>
            <w:r w:rsidRPr="00B8780A">
              <w:rPr>
                <w:lang w:val="en-GB"/>
              </w:rPr>
              <w:t>odel</w:t>
            </w:r>
          </w:p>
        </w:tc>
        <w:tc>
          <w:tcPr>
            <w:tcW w:w="2835" w:type="dxa"/>
            <w:shd w:val="clear" w:color="auto" w:fill="auto"/>
          </w:tcPr>
          <w:p w:rsidR="007C3A6D" w:rsidRPr="00260F1E" w:rsidRDefault="007C3A6D" w:rsidP="00B8780A">
            <w:pPr>
              <w:pStyle w:val="Tabletext"/>
              <w:rPr>
                <w:lang w:val="en-GB"/>
              </w:rPr>
            </w:pPr>
            <w:r w:rsidRPr="00260F1E">
              <w:rPr>
                <w:lang w:val="en-GB"/>
              </w:rPr>
              <w:t>Analytical, uniform properties</w:t>
            </w:r>
          </w:p>
        </w:tc>
        <w:tc>
          <w:tcPr>
            <w:tcW w:w="2835" w:type="dxa"/>
            <w:shd w:val="clear" w:color="auto" w:fill="auto"/>
          </w:tcPr>
          <w:p w:rsidR="007C3A6D" w:rsidRPr="00260F1E" w:rsidRDefault="007C3A6D" w:rsidP="00591074">
            <w:pPr>
              <w:pStyle w:val="Tabletext"/>
              <w:rPr>
                <w:lang w:val="en-GB"/>
              </w:rPr>
            </w:pPr>
            <w:r w:rsidRPr="00260F1E">
              <w:rPr>
                <w:lang w:val="en-GB"/>
              </w:rPr>
              <w:t>Analytical, uniform properties</w:t>
            </w:r>
          </w:p>
        </w:tc>
        <w:tc>
          <w:tcPr>
            <w:tcW w:w="2835" w:type="dxa"/>
            <w:shd w:val="clear" w:color="auto" w:fill="auto"/>
          </w:tcPr>
          <w:p w:rsidR="007C3A6D" w:rsidRPr="00260F1E" w:rsidRDefault="007C3A6D" w:rsidP="00E96B4F">
            <w:pPr>
              <w:pStyle w:val="Tabletext"/>
              <w:rPr>
                <w:lang w:val="en-GB"/>
              </w:rPr>
            </w:pPr>
            <w:r w:rsidRPr="00260F1E">
              <w:rPr>
                <w:lang w:val="en-GB"/>
              </w:rPr>
              <w:t>Analytical, variable properties</w:t>
            </w:r>
          </w:p>
        </w:tc>
        <w:tc>
          <w:tcPr>
            <w:tcW w:w="3969" w:type="dxa"/>
            <w:shd w:val="clear" w:color="auto" w:fill="auto"/>
          </w:tcPr>
          <w:p w:rsidR="007C3A6D" w:rsidRPr="00260F1E" w:rsidRDefault="007C3A6D" w:rsidP="00260F1E">
            <w:pPr>
              <w:pStyle w:val="Tabletext"/>
              <w:rPr>
                <w:lang w:val="en-GB"/>
              </w:rPr>
            </w:pPr>
            <w:r w:rsidRPr="00260F1E">
              <w:rPr>
                <w:lang w:val="en-GB"/>
              </w:rPr>
              <w:t>Analytical, variable properties</w:t>
            </w:r>
          </w:p>
        </w:tc>
      </w:tr>
      <w:tr w:rsidR="007C3A6D" w:rsidRPr="00260F1E" w:rsidTr="0012392A">
        <w:trPr>
          <w:trHeight w:val="3467"/>
        </w:trPr>
        <w:tc>
          <w:tcPr>
            <w:tcW w:w="1843" w:type="dxa"/>
          </w:tcPr>
          <w:p w:rsidR="007C3A6D" w:rsidRPr="00E96B4F" w:rsidRDefault="007C3A6D" w:rsidP="00910FC9">
            <w:pPr>
              <w:pStyle w:val="Tabletext"/>
              <w:rPr>
                <w:lang w:val="en-GB"/>
              </w:rPr>
            </w:pPr>
            <w:r w:rsidRPr="00910FC9">
              <w:rPr>
                <w:lang w:val="en-GB"/>
              </w:rPr>
              <w:t xml:space="preserve">Ground </w:t>
            </w:r>
            <w:r w:rsidR="00585E2C">
              <w:rPr>
                <w:lang w:val="en-GB"/>
              </w:rPr>
              <w:t>p</w:t>
            </w:r>
            <w:r w:rsidRPr="00260F1E">
              <w:rPr>
                <w:lang w:val="en-GB"/>
              </w:rPr>
              <w:t xml:space="preserve">rofile and </w:t>
            </w:r>
            <w:r w:rsidR="00585E2C">
              <w:rPr>
                <w:lang w:val="en-GB"/>
              </w:rPr>
              <w:t>g</w:t>
            </w:r>
            <w:r w:rsidRPr="00B8780A">
              <w:rPr>
                <w:lang w:val="en-GB"/>
              </w:rPr>
              <w:t xml:space="preserve">roundwater </w:t>
            </w:r>
            <w:r w:rsidR="00585E2C">
              <w:rPr>
                <w:lang w:val="en-GB"/>
              </w:rPr>
              <w:t>p</w:t>
            </w:r>
            <w:r w:rsidRPr="00B8780A">
              <w:rPr>
                <w:lang w:val="en-GB"/>
              </w:rPr>
              <w:t xml:space="preserve">ressure </w:t>
            </w:r>
            <w:r w:rsidR="00585E2C">
              <w:rPr>
                <w:lang w:val="en-GB"/>
              </w:rPr>
              <w:t>d</w:t>
            </w:r>
            <w:r w:rsidRPr="00B8780A">
              <w:rPr>
                <w:lang w:val="en-GB"/>
              </w:rPr>
              <w:t>istribution</w:t>
            </w:r>
          </w:p>
        </w:tc>
        <w:tc>
          <w:tcPr>
            <w:tcW w:w="2835" w:type="dxa"/>
            <w:shd w:val="clear" w:color="auto" w:fill="auto"/>
          </w:tcPr>
          <w:p w:rsidR="007C3A6D" w:rsidRPr="00910FC9" w:rsidRDefault="007C3A6D" w:rsidP="00B8780A">
            <w:pPr>
              <w:pStyle w:val="Tabletext"/>
              <w:rPr>
                <w:lang w:val="en-GB"/>
              </w:rPr>
            </w:pPr>
            <w:r w:rsidRPr="00910FC9">
              <w:rPr>
                <w:noProof/>
                <w:lang w:val="en-AU" w:eastAsia="en-AU"/>
              </w:rPr>
              <w:drawing>
                <wp:inline distT="0" distB="0" distL="0" distR="0">
                  <wp:extent cx="1666875" cy="2072331"/>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2072331"/>
                          </a:xfrm>
                          <a:prstGeom prst="rect">
                            <a:avLst/>
                          </a:prstGeom>
                          <a:noFill/>
                          <a:ln>
                            <a:noFill/>
                          </a:ln>
                        </pic:spPr>
                      </pic:pic>
                    </a:graphicData>
                  </a:graphic>
                </wp:inline>
              </w:drawing>
            </w:r>
          </w:p>
        </w:tc>
        <w:tc>
          <w:tcPr>
            <w:tcW w:w="2835" w:type="dxa"/>
            <w:shd w:val="clear" w:color="auto" w:fill="auto"/>
          </w:tcPr>
          <w:p w:rsidR="007C3A6D" w:rsidRPr="00910FC9" w:rsidRDefault="007C3A6D" w:rsidP="00591074">
            <w:pPr>
              <w:pStyle w:val="Tabletext"/>
              <w:rPr>
                <w:lang w:val="en-GB"/>
              </w:rPr>
            </w:pPr>
            <w:r w:rsidRPr="00910FC9">
              <w:rPr>
                <w:noProof/>
                <w:lang w:val="en-AU" w:eastAsia="en-AU"/>
              </w:rPr>
              <w:drawing>
                <wp:inline distT="0" distB="0" distL="0" distR="0">
                  <wp:extent cx="1673759" cy="20669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9363" cy="2073846"/>
                          </a:xfrm>
                          <a:prstGeom prst="rect">
                            <a:avLst/>
                          </a:prstGeom>
                          <a:noFill/>
                          <a:ln>
                            <a:noFill/>
                          </a:ln>
                        </pic:spPr>
                      </pic:pic>
                    </a:graphicData>
                  </a:graphic>
                </wp:inline>
              </w:drawing>
            </w:r>
          </w:p>
        </w:tc>
        <w:tc>
          <w:tcPr>
            <w:tcW w:w="2835" w:type="dxa"/>
            <w:shd w:val="clear" w:color="auto" w:fill="auto"/>
          </w:tcPr>
          <w:p w:rsidR="007C3A6D" w:rsidRPr="00910FC9" w:rsidRDefault="007C3A6D" w:rsidP="00E96B4F">
            <w:pPr>
              <w:pStyle w:val="Tabletext"/>
              <w:rPr>
                <w:lang w:val="en-GB"/>
              </w:rPr>
            </w:pPr>
            <w:r w:rsidRPr="00910FC9">
              <w:rPr>
                <w:noProof/>
                <w:lang w:val="en-AU" w:eastAsia="en-AU"/>
              </w:rPr>
              <w:drawing>
                <wp:inline distT="0" distB="0" distL="0" distR="0">
                  <wp:extent cx="1676400" cy="207018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843" cy="2078142"/>
                          </a:xfrm>
                          <a:prstGeom prst="rect">
                            <a:avLst/>
                          </a:prstGeom>
                          <a:noFill/>
                          <a:ln>
                            <a:noFill/>
                          </a:ln>
                        </pic:spPr>
                      </pic:pic>
                    </a:graphicData>
                  </a:graphic>
                </wp:inline>
              </w:drawing>
            </w:r>
          </w:p>
        </w:tc>
        <w:tc>
          <w:tcPr>
            <w:tcW w:w="3969" w:type="dxa"/>
            <w:shd w:val="clear" w:color="auto" w:fill="auto"/>
          </w:tcPr>
          <w:p w:rsidR="007C3A6D" w:rsidRPr="00910FC9" w:rsidRDefault="007C3A6D" w:rsidP="00260F1E">
            <w:pPr>
              <w:pStyle w:val="Tabletext"/>
              <w:rPr>
                <w:lang w:val="en-GB"/>
              </w:rPr>
            </w:pPr>
            <w:r w:rsidRPr="00910FC9">
              <w:rPr>
                <w:noProof/>
                <w:lang w:val="en-AU" w:eastAsia="en-AU"/>
              </w:rPr>
              <w:drawing>
                <wp:inline distT="0" distB="0" distL="0" distR="0">
                  <wp:extent cx="1695450" cy="20523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8214" cy="2055733"/>
                          </a:xfrm>
                          <a:prstGeom prst="rect">
                            <a:avLst/>
                          </a:prstGeom>
                          <a:noFill/>
                          <a:ln>
                            <a:noFill/>
                          </a:ln>
                        </pic:spPr>
                      </pic:pic>
                    </a:graphicData>
                  </a:graphic>
                </wp:inline>
              </w:drawing>
            </w:r>
          </w:p>
        </w:tc>
      </w:tr>
      <w:tr w:rsidR="007C3A6D" w:rsidRPr="00260F1E" w:rsidTr="0012392A">
        <w:tc>
          <w:tcPr>
            <w:tcW w:w="1843" w:type="dxa"/>
          </w:tcPr>
          <w:p w:rsidR="007C3A6D" w:rsidRPr="00260F1E" w:rsidRDefault="007C3A6D" w:rsidP="00910FC9">
            <w:pPr>
              <w:pStyle w:val="Tabletext"/>
              <w:rPr>
                <w:lang w:val="en-GB"/>
              </w:rPr>
            </w:pPr>
            <w:r w:rsidRPr="00910FC9">
              <w:rPr>
                <w:lang w:val="en-GB"/>
              </w:rPr>
              <w:t>Dimensionality</w:t>
            </w:r>
          </w:p>
        </w:tc>
        <w:tc>
          <w:tcPr>
            <w:tcW w:w="2835" w:type="dxa"/>
            <w:shd w:val="clear" w:color="auto" w:fill="auto"/>
          </w:tcPr>
          <w:p w:rsidR="007C3A6D" w:rsidRPr="00260F1E" w:rsidRDefault="007C3A6D" w:rsidP="00B8780A">
            <w:pPr>
              <w:pStyle w:val="Tabletext"/>
              <w:rPr>
                <w:lang w:val="en-GB"/>
              </w:rPr>
            </w:pPr>
            <w:r w:rsidRPr="00260F1E">
              <w:rPr>
                <w:lang w:val="en-GB"/>
              </w:rPr>
              <w:t>Fully one dimensional</w:t>
            </w:r>
          </w:p>
        </w:tc>
        <w:tc>
          <w:tcPr>
            <w:tcW w:w="2835" w:type="dxa"/>
            <w:shd w:val="clear" w:color="auto" w:fill="auto"/>
          </w:tcPr>
          <w:p w:rsidR="007C3A6D" w:rsidRPr="00260F1E" w:rsidRDefault="007C3A6D" w:rsidP="00591074">
            <w:pPr>
              <w:pStyle w:val="Tabletext"/>
              <w:rPr>
                <w:lang w:val="en-GB"/>
              </w:rPr>
            </w:pPr>
            <w:r w:rsidRPr="00260F1E">
              <w:rPr>
                <w:lang w:val="en-GB"/>
              </w:rPr>
              <w:t>Fully one dimensional</w:t>
            </w:r>
          </w:p>
        </w:tc>
        <w:tc>
          <w:tcPr>
            <w:tcW w:w="2835" w:type="dxa"/>
            <w:shd w:val="clear" w:color="auto" w:fill="auto"/>
          </w:tcPr>
          <w:p w:rsidR="007C3A6D" w:rsidRPr="00260F1E" w:rsidRDefault="007C3A6D" w:rsidP="00E96B4F">
            <w:pPr>
              <w:pStyle w:val="Tabletext"/>
              <w:rPr>
                <w:lang w:val="en-GB"/>
              </w:rPr>
            </w:pPr>
            <w:r w:rsidRPr="00260F1E">
              <w:rPr>
                <w:lang w:val="en-GB"/>
              </w:rPr>
              <w:t>Fully one dimensional</w:t>
            </w:r>
          </w:p>
        </w:tc>
        <w:tc>
          <w:tcPr>
            <w:tcW w:w="3969" w:type="dxa"/>
            <w:shd w:val="clear" w:color="auto" w:fill="auto"/>
          </w:tcPr>
          <w:p w:rsidR="007C3A6D" w:rsidRPr="00260F1E" w:rsidRDefault="007C3A6D" w:rsidP="00260F1E">
            <w:pPr>
              <w:pStyle w:val="Tabletext"/>
              <w:rPr>
                <w:lang w:val="en-GB"/>
              </w:rPr>
            </w:pPr>
            <w:r w:rsidRPr="00260F1E">
              <w:rPr>
                <w:lang w:val="en-GB"/>
              </w:rPr>
              <w:t>Radial (in vicinity of well) or fully three dimensional groundwater flow</w:t>
            </w:r>
          </w:p>
          <w:p w:rsidR="007C3A6D" w:rsidRPr="00260F1E" w:rsidRDefault="007C3A6D" w:rsidP="00260F1E">
            <w:pPr>
              <w:pStyle w:val="Tabletext"/>
              <w:rPr>
                <w:lang w:val="en-GB"/>
              </w:rPr>
            </w:pPr>
            <w:r w:rsidRPr="00260F1E">
              <w:rPr>
                <w:lang w:val="en-GB"/>
              </w:rPr>
              <w:t>One dimensional ground compression</w:t>
            </w:r>
          </w:p>
        </w:tc>
      </w:tr>
      <w:tr w:rsidR="007C3A6D" w:rsidRPr="00260F1E" w:rsidTr="0012392A">
        <w:tc>
          <w:tcPr>
            <w:tcW w:w="1843" w:type="dxa"/>
          </w:tcPr>
          <w:p w:rsidR="007C3A6D" w:rsidRPr="00910FC9" w:rsidRDefault="007C3A6D" w:rsidP="00910FC9">
            <w:pPr>
              <w:pStyle w:val="Tabletext"/>
              <w:rPr>
                <w:lang w:val="en-GB"/>
              </w:rPr>
            </w:pPr>
            <w:r w:rsidRPr="00910FC9">
              <w:rPr>
                <w:lang w:val="en-GB"/>
              </w:rPr>
              <w:t>Time:</w:t>
            </w:r>
          </w:p>
        </w:tc>
        <w:tc>
          <w:tcPr>
            <w:tcW w:w="2835" w:type="dxa"/>
            <w:shd w:val="clear" w:color="auto" w:fill="auto"/>
          </w:tcPr>
          <w:p w:rsidR="007C3A6D" w:rsidRPr="00B8780A" w:rsidRDefault="007C3A6D" w:rsidP="00D60929">
            <w:pPr>
              <w:pStyle w:val="Tabletext"/>
              <w:rPr>
                <w:lang w:val="en-GB"/>
              </w:rPr>
            </w:pPr>
            <w:r w:rsidRPr="00B8780A">
              <w:rPr>
                <w:lang w:val="en-GB"/>
              </w:rPr>
              <w:t>Long</w:t>
            </w:r>
            <w:r w:rsidR="00D60929">
              <w:rPr>
                <w:lang w:val="en-GB"/>
              </w:rPr>
              <w:t>-</w:t>
            </w:r>
            <w:r w:rsidRPr="00B8780A">
              <w:rPr>
                <w:lang w:val="en-GB"/>
              </w:rPr>
              <w:t>term</w:t>
            </w:r>
          </w:p>
        </w:tc>
        <w:tc>
          <w:tcPr>
            <w:tcW w:w="2835" w:type="dxa"/>
            <w:shd w:val="clear" w:color="auto" w:fill="auto"/>
          </w:tcPr>
          <w:p w:rsidR="007C3A6D" w:rsidRPr="00591074" w:rsidRDefault="007C3A6D" w:rsidP="00D60929">
            <w:pPr>
              <w:pStyle w:val="Tabletext"/>
              <w:rPr>
                <w:lang w:val="en-GB"/>
              </w:rPr>
            </w:pPr>
            <w:r w:rsidRPr="00591074">
              <w:rPr>
                <w:lang w:val="en-GB"/>
              </w:rPr>
              <w:t>Long</w:t>
            </w:r>
            <w:r w:rsidR="00D60929">
              <w:rPr>
                <w:lang w:val="en-GB"/>
              </w:rPr>
              <w:t>-</w:t>
            </w:r>
            <w:r w:rsidRPr="00591074">
              <w:rPr>
                <w:lang w:val="en-GB"/>
              </w:rPr>
              <w:t>term</w:t>
            </w:r>
          </w:p>
        </w:tc>
        <w:tc>
          <w:tcPr>
            <w:tcW w:w="2835" w:type="dxa"/>
            <w:shd w:val="clear" w:color="auto" w:fill="auto"/>
          </w:tcPr>
          <w:p w:rsidR="007C3A6D" w:rsidRPr="00E96B4F" w:rsidRDefault="007C3A6D" w:rsidP="00D60929">
            <w:pPr>
              <w:pStyle w:val="Tabletext"/>
              <w:rPr>
                <w:lang w:val="en-GB"/>
              </w:rPr>
            </w:pPr>
            <w:r w:rsidRPr="00E96B4F">
              <w:rPr>
                <w:lang w:val="en-GB"/>
              </w:rPr>
              <w:t>Long</w:t>
            </w:r>
            <w:r w:rsidR="00D60929">
              <w:rPr>
                <w:lang w:val="en-GB"/>
              </w:rPr>
              <w:t>-</w:t>
            </w:r>
            <w:r w:rsidRPr="00E96B4F">
              <w:rPr>
                <w:lang w:val="en-GB"/>
              </w:rPr>
              <w:t>term</w:t>
            </w:r>
          </w:p>
        </w:tc>
        <w:tc>
          <w:tcPr>
            <w:tcW w:w="3969" w:type="dxa"/>
            <w:shd w:val="clear" w:color="auto" w:fill="auto"/>
          </w:tcPr>
          <w:p w:rsidR="007C3A6D" w:rsidRPr="00260F1E" w:rsidRDefault="007C3A6D" w:rsidP="00D60929">
            <w:pPr>
              <w:pStyle w:val="Tabletext"/>
              <w:rPr>
                <w:lang w:val="en-GB"/>
              </w:rPr>
            </w:pPr>
            <w:r w:rsidRPr="00260F1E">
              <w:rPr>
                <w:lang w:val="en-GB"/>
              </w:rPr>
              <w:t>Can be long</w:t>
            </w:r>
            <w:r w:rsidR="00D60929">
              <w:rPr>
                <w:lang w:val="en-GB"/>
              </w:rPr>
              <w:t>-</w:t>
            </w:r>
            <w:r w:rsidRPr="00260F1E">
              <w:rPr>
                <w:lang w:val="en-GB"/>
              </w:rPr>
              <w:t>term or may consider progressive development.</w:t>
            </w:r>
          </w:p>
        </w:tc>
      </w:tr>
      <w:tr w:rsidR="007C3A6D" w:rsidRPr="007C3A6D" w:rsidTr="0012392A">
        <w:tc>
          <w:tcPr>
            <w:tcW w:w="1843" w:type="dxa"/>
          </w:tcPr>
          <w:p w:rsidR="007C3A6D" w:rsidRPr="00591074" w:rsidRDefault="007C3A6D" w:rsidP="00910FC9">
            <w:pPr>
              <w:pStyle w:val="Tabletext"/>
              <w:rPr>
                <w:lang w:val="en-GB"/>
              </w:rPr>
            </w:pPr>
            <w:r w:rsidRPr="00910FC9">
              <w:rPr>
                <w:lang w:val="en-GB"/>
              </w:rPr>
              <w:t>Usage</w:t>
            </w:r>
          </w:p>
        </w:tc>
        <w:tc>
          <w:tcPr>
            <w:tcW w:w="2835" w:type="dxa"/>
          </w:tcPr>
          <w:p w:rsidR="007C3A6D" w:rsidRPr="00E96B4F" w:rsidRDefault="007C3A6D" w:rsidP="00B8780A">
            <w:pPr>
              <w:pStyle w:val="Tabletext"/>
              <w:rPr>
                <w:lang w:val="en-GB"/>
              </w:rPr>
            </w:pPr>
            <w:r w:rsidRPr="00E96B4F">
              <w:rPr>
                <w:lang w:val="en-GB"/>
              </w:rPr>
              <w:t>Screening tool</w:t>
            </w:r>
          </w:p>
        </w:tc>
        <w:tc>
          <w:tcPr>
            <w:tcW w:w="2835" w:type="dxa"/>
          </w:tcPr>
          <w:p w:rsidR="007C3A6D" w:rsidRPr="00260F1E" w:rsidRDefault="007C3A6D" w:rsidP="00591074">
            <w:pPr>
              <w:pStyle w:val="Tabletext"/>
              <w:rPr>
                <w:lang w:val="en-GB"/>
              </w:rPr>
            </w:pPr>
            <w:r w:rsidRPr="00260F1E">
              <w:rPr>
                <w:lang w:val="en-GB"/>
              </w:rPr>
              <w:t>Screening tool</w:t>
            </w:r>
          </w:p>
        </w:tc>
        <w:tc>
          <w:tcPr>
            <w:tcW w:w="2835" w:type="dxa"/>
          </w:tcPr>
          <w:p w:rsidR="007C3A6D" w:rsidRPr="00260F1E" w:rsidRDefault="007C3A6D" w:rsidP="00E96B4F">
            <w:pPr>
              <w:pStyle w:val="Tabletext"/>
              <w:rPr>
                <w:lang w:val="en-GB"/>
              </w:rPr>
            </w:pPr>
            <w:r w:rsidRPr="00260F1E">
              <w:rPr>
                <w:lang w:val="en-GB"/>
              </w:rPr>
              <w:t>Screening tool</w:t>
            </w:r>
          </w:p>
        </w:tc>
        <w:tc>
          <w:tcPr>
            <w:tcW w:w="3969" w:type="dxa"/>
          </w:tcPr>
          <w:p w:rsidR="007C3A6D" w:rsidRPr="007C3A6D" w:rsidRDefault="007C3A6D" w:rsidP="00260F1E">
            <w:pPr>
              <w:pStyle w:val="Tabletext"/>
              <w:rPr>
                <w:lang w:val="en-GB"/>
              </w:rPr>
            </w:pPr>
            <w:r w:rsidRPr="00260F1E">
              <w:rPr>
                <w:lang w:val="en-GB"/>
              </w:rPr>
              <w:t>Detailed assessment</w:t>
            </w:r>
          </w:p>
        </w:tc>
      </w:tr>
    </w:tbl>
    <w:p w:rsidR="00093D1C" w:rsidRDefault="007C3A6D" w:rsidP="003D4205">
      <w:pPr>
        <w:pStyle w:val="BelowTableFigureText9pt"/>
        <w:ind w:hanging="426"/>
      </w:pPr>
      <w:r w:rsidRPr="007C3A6D">
        <w:rPr>
          <w:lang w:val="en-GB"/>
        </w:rPr>
        <w:t>Notes: K = hydraulic conductivity, m</w:t>
      </w:r>
      <w:r w:rsidRPr="007C3A6D">
        <w:rPr>
          <w:vertAlign w:val="subscript"/>
          <w:lang w:val="en-GB"/>
        </w:rPr>
        <w:t>v</w:t>
      </w:r>
      <w:r w:rsidRPr="007C3A6D">
        <w:rPr>
          <w:lang w:val="en-GB"/>
        </w:rPr>
        <w:t xml:space="preserve"> = coefficient of volume compressibility, t = time.  * Interbedded coal seams allowable.</w:t>
      </w:r>
      <w:r w:rsidR="00EB362F">
        <w:rPr>
          <w:lang w:val="en-GB"/>
        </w:rPr>
        <w:t xml:space="preserve"> </w:t>
      </w:r>
    </w:p>
    <w:p w:rsidR="007C3A6D" w:rsidRDefault="007C3A6D" w:rsidP="00A90F48">
      <w:pPr>
        <w:pStyle w:val="Listintrotext"/>
        <w:sectPr w:rsidR="007C3A6D" w:rsidSect="0012392A">
          <w:headerReference w:type="default" r:id="rId71"/>
          <w:headerReference w:type="first" r:id="rId72"/>
          <w:footerReference w:type="first" r:id="rId73"/>
          <w:pgSz w:w="16840" w:h="11900" w:orient="landscape" w:code="9"/>
          <w:pgMar w:top="1836" w:right="1418" w:bottom="1418" w:left="1963" w:header="142" w:footer="567" w:gutter="0"/>
          <w:cols w:space="284"/>
          <w:noEndnote/>
          <w:titlePg/>
          <w:docGrid w:linePitch="326"/>
        </w:sectPr>
      </w:pPr>
    </w:p>
    <w:p w:rsidR="007C3A6D" w:rsidRPr="007C3A6D" w:rsidRDefault="007C3A6D" w:rsidP="007C3A6D">
      <w:pPr>
        <w:pStyle w:val="Heading2"/>
      </w:pPr>
      <w:bookmarkStart w:id="564" w:name="_Toc387410260"/>
      <w:bookmarkStart w:id="565" w:name="_Toc402425336"/>
      <w:bookmarkStart w:id="566" w:name="_Toc338078420"/>
      <w:r w:rsidRPr="007C3A6D">
        <w:t xml:space="preserve">Examples of </w:t>
      </w:r>
      <w:r w:rsidR="00FD23B8">
        <w:t>m</w:t>
      </w:r>
      <w:r w:rsidRPr="007C3A6D">
        <w:t xml:space="preserve">odelling </w:t>
      </w:r>
      <w:r w:rsidR="00FD23B8">
        <w:t>a</w:t>
      </w:r>
      <w:r w:rsidRPr="007C3A6D">
        <w:t>pproaches</w:t>
      </w:r>
      <w:bookmarkEnd w:id="564"/>
      <w:bookmarkEnd w:id="565"/>
    </w:p>
    <w:p w:rsidR="007C3A6D" w:rsidRPr="007C3A6D" w:rsidRDefault="007C3A6D" w:rsidP="007C3A6D">
      <w:pPr>
        <w:pStyle w:val="BRNormal11pt0"/>
        <w:rPr>
          <w:lang w:val="en-AU"/>
        </w:rPr>
      </w:pPr>
      <w:r w:rsidRPr="007C3A6D">
        <w:rPr>
          <w:lang w:val="en-GB"/>
        </w:rPr>
        <w:t xml:space="preserve">This section provides examples of each of the modelling approaches shown in Table </w:t>
      </w:r>
      <w:r w:rsidR="002C43B4">
        <w:rPr>
          <w:lang w:val="en-GB"/>
        </w:rPr>
        <w:t>8</w:t>
      </w:r>
      <w:r w:rsidRPr="007C3A6D">
        <w:rPr>
          <w:lang w:val="en-GB"/>
        </w:rPr>
        <w:t xml:space="preserve">. The examples include prediction of </w:t>
      </w:r>
      <w:r w:rsidR="00110984">
        <w:rPr>
          <w:lang w:val="en-GB"/>
        </w:rPr>
        <w:t>compaction</w:t>
      </w:r>
      <w:r w:rsidRPr="007C3A6D">
        <w:rPr>
          <w:lang w:val="en-GB"/>
        </w:rPr>
        <w:t xml:space="preserve"> due to both </w:t>
      </w:r>
      <w:r w:rsidRPr="007C3A6D">
        <w:rPr>
          <w:lang w:val="en-AU"/>
        </w:rPr>
        <w:t>changes in groundwater pressure and degassing of coal seams.</w:t>
      </w:r>
      <w:r w:rsidR="00110984">
        <w:rPr>
          <w:lang w:val="en-AU"/>
        </w:rPr>
        <w:t xml:space="preserve"> </w:t>
      </w:r>
      <w:r w:rsidRPr="007C3A6D">
        <w:rPr>
          <w:lang w:val="en-AU"/>
        </w:rPr>
        <w:t xml:space="preserve">Figure </w:t>
      </w:r>
      <w:r w:rsidR="00974C5D">
        <w:rPr>
          <w:lang w:val="en-AU"/>
        </w:rPr>
        <w:t>27</w:t>
      </w:r>
      <w:r w:rsidR="00974C5D" w:rsidRPr="007C3A6D">
        <w:rPr>
          <w:lang w:val="en-AU"/>
        </w:rPr>
        <w:t xml:space="preserve"> </w:t>
      </w:r>
      <w:r w:rsidRPr="007C3A6D">
        <w:rPr>
          <w:lang w:val="en-AU"/>
        </w:rPr>
        <w:t xml:space="preserve">illustrates the model domain and </w:t>
      </w:r>
      <w:r w:rsidR="00110984">
        <w:rPr>
          <w:lang w:val="en-AU"/>
        </w:rPr>
        <w:t xml:space="preserve">vertical </w:t>
      </w:r>
      <w:r w:rsidRPr="007C3A6D">
        <w:rPr>
          <w:lang w:val="en-AU"/>
        </w:rPr>
        <w:t>profile adopted for the examples.</w:t>
      </w:r>
    </w:p>
    <w:p w:rsidR="007C3A6D" w:rsidRPr="007C3A6D" w:rsidRDefault="007C3A6D" w:rsidP="007C3A6D">
      <w:pPr>
        <w:pStyle w:val="BRNormal11pt0"/>
        <w:rPr>
          <w:lang w:val="en-AU"/>
        </w:rPr>
      </w:pPr>
      <w:r w:rsidRPr="007C3A6D">
        <w:rPr>
          <w:lang w:val="en-AU"/>
        </w:rPr>
        <w:t>The profile comprises horizontally layered strata, including alluvium and sedimentary geological units underlying and overlying a coal bearing formation (</w:t>
      </w:r>
      <w:r w:rsidR="00110984">
        <w:rPr>
          <w:lang w:val="en-AU"/>
        </w:rPr>
        <w:t>c</w:t>
      </w:r>
      <w:r w:rsidRPr="007C3A6D">
        <w:rPr>
          <w:lang w:val="en-AU"/>
        </w:rPr>
        <w:t xml:space="preserve">oal </w:t>
      </w:r>
      <w:r w:rsidR="00110984">
        <w:rPr>
          <w:lang w:val="en-AU"/>
        </w:rPr>
        <w:t>m</w:t>
      </w:r>
      <w:r w:rsidRPr="007C3A6D">
        <w:rPr>
          <w:lang w:val="en-AU"/>
        </w:rPr>
        <w:t>easures). The alluvium extends from ground surface to a depth of 60</w:t>
      </w:r>
      <w:r w:rsidR="00974C5D">
        <w:rPr>
          <w:lang w:val="en-AU"/>
        </w:rPr>
        <w:t xml:space="preserve"> </w:t>
      </w:r>
      <w:r w:rsidRPr="007C3A6D">
        <w:rPr>
          <w:lang w:val="en-AU"/>
        </w:rPr>
        <w:t>m (with the water table at 20</w:t>
      </w:r>
      <w:r w:rsidR="00974C5D">
        <w:rPr>
          <w:lang w:val="en-AU"/>
        </w:rPr>
        <w:t xml:space="preserve"> </w:t>
      </w:r>
      <w:r w:rsidRPr="007C3A6D">
        <w:rPr>
          <w:lang w:val="en-AU"/>
        </w:rPr>
        <w:t>m depth), and is underlain by six sedimentary rock units, each of 100</w:t>
      </w:r>
      <w:r w:rsidR="00974C5D">
        <w:rPr>
          <w:lang w:val="en-AU"/>
        </w:rPr>
        <w:t xml:space="preserve"> </w:t>
      </w:r>
      <w:r w:rsidRPr="007C3A6D">
        <w:rPr>
          <w:lang w:val="en-AU"/>
        </w:rPr>
        <w:t>m thickness. One of the rock units is the coal bearing formation, which extends from 360</w:t>
      </w:r>
      <w:r w:rsidR="00974C5D">
        <w:rPr>
          <w:lang w:val="en-AU"/>
        </w:rPr>
        <w:t xml:space="preserve"> </w:t>
      </w:r>
      <w:r w:rsidRPr="007C3A6D">
        <w:rPr>
          <w:lang w:val="en-AU"/>
        </w:rPr>
        <w:t>m to 460</w:t>
      </w:r>
      <w:r w:rsidR="00974C5D">
        <w:rPr>
          <w:lang w:val="en-AU"/>
        </w:rPr>
        <w:t xml:space="preserve"> </w:t>
      </w:r>
      <w:r w:rsidRPr="007C3A6D">
        <w:rPr>
          <w:lang w:val="en-AU"/>
        </w:rPr>
        <w:t xml:space="preserve">m depth below ground </w:t>
      </w:r>
      <w:r w:rsidRPr="00910FC9">
        <w:rPr>
          <w:lang w:val="en-AU"/>
        </w:rPr>
        <w:t xml:space="preserve">level (refer to Figures </w:t>
      </w:r>
      <w:r w:rsidR="00974C5D" w:rsidRPr="00260F1E">
        <w:rPr>
          <w:lang w:val="en-AU"/>
        </w:rPr>
        <w:t>28</w:t>
      </w:r>
      <w:r w:rsidRPr="00260F1E">
        <w:rPr>
          <w:lang w:val="en-AU"/>
        </w:rPr>
        <w:t>,</w:t>
      </w:r>
      <w:r w:rsidR="00D60F9C">
        <w:rPr>
          <w:lang w:val="en-AU"/>
        </w:rPr>
        <w:t xml:space="preserve"> 29 and</w:t>
      </w:r>
      <w:r w:rsidRPr="00260F1E">
        <w:rPr>
          <w:lang w:val="en-AU"/>
        </w:rPr>
        <w:t xml:space="preserve"> </w:t>
      </w:r>
      <w:r w:rsidR="00611B2A" w:rsidRPr="00611B2A">
        <w:rPr>
          <w:lang w:val="en-AU"/>
        </w:rPr>
        <w:t>30</w:t>
      </w:r>
      <w:r w:rsidRPr="00260F1E">
        <w:rPr>
          <w:lang w:val="en-AU"/>
        </w:rPr>
        <w:t>). The</w:t>
      </w:r>
      <w:r w:rsidRPr="007C3A6D">
        <w:rPr>
          <w:lang w:val="en-AU"/>
        </w:rPr>
        <w:t xml:space="preserve"> coal bearing formation is considered to include (potentially numerous) coal seams interbedded with sedimentary units, but the coal seams themselves are not explicitly represented. Instead, the hydraulic and geotechnical properties of the coal seams and sedimentary units in the coal bearing formation have been combined into an amalgamated geological unit. Young’s Modulus for the coal bearing formation in Figure </w:t>
      </w:r>
      <w:r w:rsidR="00974C5D">
        <w:rPr>
          <w:lang w:val="en-AU"/>
        </w:rPr>
        <w:t>27</w:t>
      </w:r>
      <w:r w:rsidR="00974C5D" w:rsidRPr="007C3A6D">
        <w:rPr>
          <w:lang w:val="en-AU"/>
        </w:rPr>
        <w:t xml:space="preserve"> </w:t>
      </w:r>
      <w:r w:rsidRPr="007C3A6D">
        <w:rPr>
          <w:lang w:val="en-AU"/>
        </w:rPr>
        <w:t>(interbedded sedimentary rock and coal seam units) is 14</w:t>
      </w:r>
      <w:r w:rsidR="00974C5D">
        <w:rPr>
          <w:lang w:val="en-AU"/>
        </w:rPr>
        <w:t xml:space="preserve"> </w:t>
      </w:r>
      <w:r w:rsidRPr="007C3A6D">
        <w:rPr>
          <w:lang w:val="en-AU"/>
        </w:rPr>
        <w:t xml:space="preserve">GPa and is calculated assuming the vertical thickness of this formation consists of </w:t>
      </w:r>
      <w:r w:rsidR="00B3153B">
        <w:rPr>
          <w:lang w:val="en-AU"/>
        </w:rPr>
        <w:t>five</w:t>
      </w:r>
      <w:r w:rsidR="00974C5D">
        <w:rPr>
          <w:lang w:val="en-AU"/>
        </w:rPr>
        <w:t xml:space="preserve"> per cent</w:t>
      </w:r>
      <w:r w:rsidRPr="007C3A6D">
        <w:rPr>
          <w:lang w:val="en-AU"/>
        </w:rPr>
        <w:t xml:space="preserve"> coal (with </w:t>
      </w:r>
      <w:r w:rsidR="00974C5D">
        <w:rPr>
          <w:lang w:val="en-AU"/>
        </w:rPr>
        <w:t xml:space="preserve">the </w:t>
      </w:r>
      <w:r w:rsidR="00974C5D">
        <w:t xml:space="preserve">drained Young’s </w:t>
      </w:r>
      <w:r w:rsidR="00A51844">
        <w:t>m</w:t>
      </w:r>
      <w:r w:rsidR="00974C5D">
        <w:t>odulus</w:t>
      </w:r>
      <w:r w:rsidR="00974C5D" w:rsidRPr="007C3A6D">
        <w:rPr>
          <w:lang w:val="en-AU"/>
        </w:rPr>
        <w:t xml:space="preserve"> </w:t>
      </w:r>
      <w:r w:rsidR="00974C5D">
        <w:rPr>
          <w:lang w:val="en-AU"/>
        </w:rPr>
        <w:t>(</w:t>
      </w:r>
      <w:r w:rsidR="00611B2A" w:rsidRPr="00611B2A">
        <w:rPr>
          <w:i/>
          <w:lang w:val="en-AU"/>
        </w:rPr>
        <w:t>E</w:t>
      </w:r>
      <w:r w:rsidR="00974C5D">
        <w:rPr>
          <w:lang w:val="en-AU"/>
        </w:rPr>
        <w:t>)</w:t>
      </w:r>
      <w:r w:rsidRPr="007C3A6D">
        <w:rPr>
          <w:lang w:val="en-AU"/>
        </w:rPr>
        <w:t xml:space="preserve"> of 2</w:t>
      </w:r>
      <w:r w:rsidR="00974C5D">
        <w:rPr>
          <w:lang w:val="en-AU"/>
        </w:rPr>
        <w:t> </w:t>
      </w:r>
      <w:r w:rsidRPr="007C3A6D">
        <w:rPr>
          <w:lang w:val="en-AU"/>
        </w:rPr>
        <w:t>GPa) and 95</w:t>
      </w:r>
      <w:r w:rsidR="00974C5D">
        <w:rPr>
          <w:lang w:val="en-AU"/>
        </w:rPr>
        <w:t xml:space="preserve"> per cent</w:t>
      </w:r>
      <w:r w:rsidRPr="007C3A6D">
        <w:rPr>
          <w:lang w:val="en-AU"/>
        </w:rPr>
        <w:t xml:space="preserve"> sandstone (with </w:t>
      </w:r>
      <w:r w:rsidR="00611B2A" w:rsidRPr="00611B2A">
        <w:rPr>
          <w:i/>
          <w:lang w:val="en-AU"/>
        </w:rPr>
        <w:t>E</w:t>
      </w:r>
      <w:r w:rsidRPr="007C3A6D">
        <w:rPr>
          <w:lang w:val="en-AU"/>
        </w:rPr>
        <w:t xml:space="preserve"> of 20</w:t>
      </w:r>
      <w:r w:rsidR="00974C5D">
        <w:rPr>
          <w:lang w:val="en-AU"/>
        </w:rPr>
        <w:t> </w:t>
      </w:r>
      <w:r w:rsidRPr="007C3A6D">
        <w:rPr>
          <w:lang w:val="en-AU"/>
        </w:rPr>
        <w:t>GPa).</w:t>
      </w:r>
    </w:p>
    <w:p w:rsidR="007C3A6D" w:rsidRPr="007C3A6D" w:rsidRDefault="007C3A6D" w:rsidP="007C3A6D">
      <w:pPr>
        <w:pStyle w:val="BRNormal11pt0"/>
        <w:rPr>
          <w:lang w:val="en-AU"/>
        </w:rPr>
      </w:pPr>
      <w:r w:rsidRPr="007C3A6D">
        <w:rPr>
          <w:lang w:val="en-AU"/>
        </w:rPr>
        <w:t xml:space="preserve">The </w:t>
      </w:r>
      <w:r w:rsidR="00C723CB">
        <w:rPr>
          <w:lang w:val="en-GB"/>
        </w:rPr>
        <w:t>coal seam gas</w:t>
      </w:r>
      <w:r w:rsidR="00C723CB" w:rsidRPr="00973D19">
        <w:rPr>
          <w:lang w:val="en-GB"/>
        </w:rPr>
        <w:t xml:space="preserve"> </w:t>
      </w:r>
      <w:r w:rsidRPr="007C3A6D">
        <w:rPr>
          <w:lang w:val="en-AU"/>
        </w:rPr>
        <w:t xml:space="preserve">production well is considered to depressurise the coal bearing formation to a groundwater head level equal to 35 m above the top of the </w:t>
      </w:r>
      <w:r w:rsidR="00110984">
        <w:rPr>
          <w:lang w:val="en-AU"/>
        </w:rPr>
        <w:t xml:space="preserve">gas </w:t>
      </w:r>
      <w:r w:rsidRPr="007C3A6D">
        <w:rPr>
          <w:lang w:val="en-AU"/>
        </w:rPr>
        <w:t xml:space="preserve">producing (coal bearing) formation. This is typical of the degree of groundwater depressurisation required for gas production to occur (State of Queensland Department of Natural Resources and Mines 2012). </w:t>
      </w:r>
    </w:p>
    <w:p w:rsidR="007C3A6D" w:rsidRPr="007C3A6D" w:rsidRDefault="007C3A6D" w:rsidP="007C3A6D">
      <w:pPr>
        <w:pStyle w:val="BRNormal11pt0"/>
        <w:rPr>
          <w:lang w:val="en-AU"/>
        </w:rPr>
      </w:pPr>
      <w:r w:rsidRPr="007C3A6D">
        <w:rPr>
          <w:lang w:val="en-AU"/>
        </w:rPr>
        <w:t xml:space="preserve">The following sections provide examples of each of the modelling approaches shown in Table </w:t>
      </w:r>
      <w:r w:rsidR="002C43B4">
        <w:rPr>
          <w:lang w:val="en-AU"/>
        </w:rPr>
        <w:t>8</w:t>
      </w:r>
      <w:r w:rsidR="002C43B4" w:rsidRPr="007C3A6D">
        <w:rPr>
          <w:lang w:val="en-AU"/>
        </w:rPr>
        <w:t xml:space="preserve"> </w:t>
      </w:r>
      <w:r w:rsidRPr="007C3A6D">
        <w:rPr>
          <w:lang w:val="en-AU"/>
        </w:rPr>
        <w:t>based on the above model setting. In these examples</w:t>
      </w:r>
      <w:r w:rsidR="00974C5D">
        <w:rPr>
          <w:lang w:val="en-AU"/>
        </w:rPr>
        <w:t>,</w:t>
      </w:r>
      <w:r w:rsidRPr="007C3A6D">
        <w:rPr>
          <w:lang w:val="en-AU"/>
        </w:rPr>
        <w:t xml:space="preserve"> the rock units overlying the coal bearing formation are assumed to remain saturated. Under some circumstances</w:t>
      </w:r>
      <w:r w:rsidR="00974C5D">
        <w:rPr>
          <w:lang w:val="en-AU"/>
        </w:rPr>
        <w:t>,</w:t>
      </w:r>
      <w:r w:rsidRPr="007C3A6D">
        <w:rPr>
          <w:lang w:val="en-AU"/>
        </w:rPr>
        <w:t xml:space="preserve"> unsaturated conditions can develop (</w:t>
      </w:r>
      <w:r w:rsidR="00974C5D">
        <w:rPr>
          <w:lang w:val="en-AU"/>
        </w:rPr>
        <w:t xml:space="preserve">e.g. </w:t>
      </w:r>
      <w:r w:rsidRPr="007C3A6D">
        <w:rPr>
          <w:lang w:val="en-AU"/>
        </w:rPr>
        <w:t>where pore pressure falls to zero or becomes negative). Unsaturated conditions would require special treatment</w:t>
      </w:r>
      <w:r w:rsidR="00974C5D">
        <w:rPr>
          <w:lang w:val="en-AU"/>
        </w:rPr>
        <w:t>,</w:t>
      </w:r>
      <w:r w:rsidRPr="007C3A6D">
        <w:rPr>
          <w:lang w:val="en-AU"/>
        </w:rPr>
        <w:t xml:space="preserve"> though this would typically indicate the presence of a low hydraulic conductivity horizon</w:t>
      </w:r>
      <w:r w:rsidR="00974C5D">
        <w:rPr>
          <w:lang w:val="en-AU"/>
        </w:rPr>
        <w:t>,</w:t>
      </w:r>
      <w:r w:rsidRPr="007C3A6D">
        <w:rPr>
          <w:lang w:val="en-AU"/>
        </w:rPr>
        <w:t xml:space="preserve"> which tend to constrain upward migration of depressurisation impacts and consequently limit subsidence contr</w:t>
      </w:r>
      <w:r w:rsidR="00B3153B">
        <w:rPr>
          <w:lang w:val="en-AU"/>
        </w:rPr>
        <w:t>ibution from overlying strata.</w:t>
      </w:r>
    </w:p>
    <w:p w:rsidR="007C3A6D" w:rsidRPr="007C3A6D" w:rsidRDefault="007C3A6D" w:rsidP="007C3A6D">
      <w:pPr>
        <w:pStyle w:val="BRNormal11pt0"/>
        <w:rPr>
          <w:lang w:val="en-AU"/>
        </w:rPr>
      </w:pPr>
      <w:r w:rsidRPr="007C3A6D">
        <w:rPr>
          <w:lang w:val="en-AU"/>
        </w:rPr>
        <w:t xml:space="preserve">For all cases, </w:t>
      </w:r>
      <w:r w:rsidR="00110984">
        <w:rPr>
          <w:lang w:val="en-AU"/>
        </w:rPr>
        <w:t>compaction</w:t>
      </w:r>
      <w:r w:rsidRPr="007C3A6D">
        <w:rPr>
          <w:lang w:val="en-AU"/>
        </w:rPr>
        <w:t xml:space="preserve"> is assumed to </w:t>
      </w:r>
      <w:r w:rsidR="00110984">
        <w:rPr>
          <w:lang w:val="en-AU"/>
        </w:rPr>
        <w:t xml:space="preserve">not </w:t>
      </w:r>
      <w:r w:rsidRPr="007C3A6D">
        <w:rPr>
          <w:lang w:val="en-AU"/>
        </w:rPr>
        <w:t>occur below the base of Sedimentary Rock Unit 5 (Layer 7)</w:t>
      </w:r>
      <w:r w:rsidR="00974C5D">
        <w:rPr>
          <w:lang w:val="en-AU"/>
        </w:rPr>
        <w:t>,</w:t>
      </w:r>
      <w:r w:rsidRPr="007C3A6D">
        <w:rPr>
          <w:lang w:val="en-AU"/>
        </w:rPr>
        <w:t xml:space="preserve"> which forms the effective base of the model, at a depth of 660</w:t>
      </w:r>
      <w:r w:rsidR="00974C5D">
        <w:rPr>
          <w:lang w:val="en-AU"/>
        </w:rPr>
        <w:t xml:space="preserve"> </w:t>
      </w:r>
      <w:r w:rsidRPr="007C3A6D">
        <w:rPr>
          <w:lang w:val="en-AU"/>
        </w:rPr>
        <w:t>m. Below this depth (not shown on the conceptual diagrams), the pressure head reverts to the undisturbed case and the underlying rock is considered to have very low compressibility.</w:t>
      </w:r>
    </w:p>
    <w:p w:rsidR="007C3A6D" w:rsidRPr="007C3A6D" w:rsidRDefault="007C3A6D" w:rsidP="007C3A6D">
      <w:pPr>
        <w:pStyle w:val="BRNormal11pt0"/>
        <w:rPr>
          <w:lang w:val="en-AU"/>
        </w:rPr>
      </w:pPr>
      <w:r w:rsidRPr="007C3A6D">
        <w:rPr>
          <w:lang w:val="en-AU"/>
        </w:rPr>
        <w:t xml:space="preserve">Table </w:t>
      </w:r>
      <w:r w:rsidR="002C43B4">
        <w:rPr>
          <w:lang w:val="en-AU"/>
        </w:rPr>
        <w:t>9</w:t>
      </w:r>
      <w:r w:rsidR="002C43B4" w:rsidRPr="007C3A6D">
        <w:rPr>
          <w:lang w:val="en-AU"/>
        </w:rPr>
        <w:t xml:space="preserve"> </w:t>
      </w:r>
      <w:r w:rsidRPr="007C3A6D">
        <w:rPr>
          <w:lang w:val="en-AU"/>
        </w:rPr>
        <w:t>provides a summary of the results of the analyses conducted for the examples.</w:t>
      </w:r>
    </w:p>
    <w:p w:rsidR="00093D1C" w:rsidRDefault="00974C5D">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9</w:t>
      </w:r>
      <w:r w:rsidR="00E252C4" w:rsidRPr="001E0FA8">
        <w:fldChar w:fldCharType="end"/>
      </w:r>
      <w:r w:rsidR="007C3A6D" w:rsidRPr="007C3A6D">
        <w:t xml:space="preserve"> Results of </w:t>
      </w:r>
      <w:r>
        <w:t>a</w:t>
      </w:r>
      <w:r w:rsidR="007C3A6D" w:rsidRPr="007C3A6D">
        <w:t xml:space="preserve">nalytical </w:t>
      </w:r>
      <w:r>
        <w:t>a</w:t>
      </w:r>
      <w:r w:rsidR="007C3A6D" w:rsidRPr="007C3A6D">
        <w:t xml:space="preserve">ssessment of </w:t>
      </w:r>
      <w:r>
        <w:t>s</w:t>
      </w:r>
      <w:r w:rsidR="007C3A6D" w:rsidRPr="007C3A6D">
        <w:t xml:space="preserve">ubsidence for the </w:t>
      </w:r>
      <w:r>
        <w:t>e</w:t>
      </w:r>
      <w:r w:rsidR="007C3A6D" w:rsidRPr="007C3A6D">
        <w:t xml:space="preserve">xample </w:t>
      </w:r>
      <w:r>
        <w:t>c</w:t>
      </w:r>
      <w:r w:rsidR="007C3A6D" w:rsidRPr="007C3A6D">
        <w:t>ases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1843"/>
        <w:gridCol w:w="1843"/>
        <w:gridCol w:w="1843"/>
      </w:tblGrid>
      <w:tr w:rsidR="007C3A6D" w:rsidRPr="007C3A6D" w:rsidTr="0012392A">
        <w:trPr>
          <w:trHeight w:val="186"/>
          <w:tblHeader/>
        </w:trPr>
        <w:tc>
          <w:tcPr>
            <w:tcW w:w="3402" w:type="dxa"/>
            <w:shd w:val="clear" w:color="auto" w:fill="C6D9F1" w:themeFill="text2" w:themeFillTint="33"/>
          </w:tcPr>
          <w:p w:rsidR="007C3A6D" w:rsidRPr="007C3A6D" w:rsidRDefault="007C3A6D" w:rsidP="007C3A6D">
            <w:pPr>
              <w:pStyle w:val="Tableheading"/>
              <w:rPr>
                <w:lang w:val="en-GB"/>
              </w:rPr>
            </w:pPr>
            <w:r w:rsidRPr="007C3A6D">
              <w:rPr>
                <w:lang w:val="en-GB"/>
              </w:rPr>
              <w:t>Case</w:t>
            </w:r>
          </w:p>
        </w:tc>
        <w:tc>
          <w:tcPr>
            <w:tcW w:w="1843" w:type="dxa"/>
            <w:shd w:val="clear" w:color="auto" w:fill="C6D9F1" w:themeFill="text2" w:themeFillTint="33"/>
          </w:tcPr>
          <w:p w:rsidR="007C3A6D" w:rsidRPr="007C3A6D" w:rsidRDefault="007C3A6D" w:rsidP="00110984">
            <w:pPr>
              <w:pStyle w:val="Tableheading"/>
              <w:rPr>
                <w:lang w:val="en-GB"/>
              </w:rPr>
            </w:pPr>
            <w:r w:rsidRPr="007C3A6D">
              <w:rPr>
                <w:lang w:val="en-GB"/>
              </w:rPr>
              <w:t xml:space="preserve">Dewatering </w:t>
            </w:r>
            <w:r w:rsidR="00110984">
              <w:rPr>
                <w:lang w:val="en-GB"/>
              </w:rPr>
              <w:t>compaction</w:t>
            </w:r>
            <w:r w:rsidRPr="007C3A6D">
              <w:rPr>
                <w:lang w:val="en-GB"/>
              </w:rPr>
              <w:t xml:space="preserve"> (mm)</w:t>
            </w:r>
          </w:p>
        </w:tc>
        <w:tc>
          <w:tcPr>
            <w:tcW w:w="1843" w:type="dxa"/>
            <w:shd w:val="clear" w:color="auto" w:fill="C6D9F1" w:themeFill="text2" w:themeFillTint="33"/>
          </w:tcPr>
          <w:p w:rsidR="007C3A6D" w:rsidRPr="007C3A6D" w:rsidRDefault="007C3A6D" w:rsidP="00110984">
            <w:pPr>
              <w:pStyle w:val="Tableheading"/>
              <w:rPr>
                <w:lang w:val="en-GB"/>
              </w:rPr>
            </w:pPr>
            <w:r w:rsidRPr="007C3A6D">
              <w:rPr>
                <w:lang w:val="en-GB"/>
              </w:rPr>
              <w:t xml:space="preserve">Degassing </w:t>
            </w:r>
            <w:r w:rsidR="00110984">
              <w:rPr>
                <w:lang w:val="en-GB"/>
              </w:rPr>
              <w:t>compaction</w:t>
            </w:r>
            <w:r w:rsidRPr="007C3A6D">
              <w:rPr>
                <w:lang w:val="en-GB"/>
              </w:rPr>
              <w:t xml:space="preserve"> (mm)</w:t>
            </w:r>
          </w:p>
        </w:tc>
        <w:tc>
          <w:tcPr>
            <w:tcW w:w="1843" w:type="dxa"/>
            <w:shd w:val="clear" w:color="auto" w:fill="C6D9F1" w:themeFill="text2" w:themeFillTint="33"/>
          </w:tcPr>
          <w:p w:rsidR="007C3A6D" w:rsidRPr="007C3A6D" w:rsidRDefault="007C3A6D" w:rsidP="00110984">
            <w:pPr>
              <w:pStyle w:val="Tableheading"/>
              <w:rPr>
                <w:lang w:val="en-GB"/>
              </w:rPr>
            </w:pPr>
            <w:r w:rsidRPr="007C3A6D">
              <w:rPr>
                <w:lang w:val="en-GB"/>
              </w:rPr>
              <w:t xml:space="preserve">Total </w:t>
            </w:r>
            <w:r w:rsidR="00110984">
              <w:rPr>
                <w:lang w:val="en-GB"/>
              </w:rPr>
              <w:t>compaction</w:t>
            </w:r>
            <w:r w:rsidRPr="007C3A6D">
              <w:rPr>
                <w:lang w:val="en-GB"/>
              </w:rPr>
              <w:t xml:space="preserve"> (mm)</w:t>
            </w:r>
          </w:p>
        </w:tc>
      </w:tr>
      <w:tr w:rsidR="007C3A6D" w:rsidRPr="007C3A6D" w:rsidTr="006E5430">
        <w:trPr>
          <w:trHeight w:val="185"/>
        </w:trPr>
        <w:tc>
          <w:tcPr>
            <w:tcW w:w="3402" w:type="dxa"/>
            <w:vAlign w:val="center"/>
          </w:tcPr>
          <w:p w:rsidR="007C3A6D" w:rsidRPr="007C3A6D" w:rsidRDefault="007C3A6D" w:rsidP="007C3A6D">
            <w:pPr>
              <w:pStyle w:val="Tabletext"/>
              <w:rPr>
                <w:lang w:val="en-GB"/>
              </w:rPr>
            </w:pPr>
            <w:r w:rsidRPr="007C3A6D">
              <w:rPr>
                <w:lang w:val="en-GB"/>
              </w:rPr>
              <w:t>Uniform Geology (Long Term)</w:t>
            </w:r>
          </w:p>
        </w:tc>
        <w:tc>
          <w:tcPr>
            <w:tcW w:w="1843" w:type="dxa"/>
            <w:vAlign w:val="center"/>
          </w:tcPr>
          <w:p w:rsidR="007C3A6D" w:rsidRPr="007C3A6D" w:rsidRDefault="007C3A6D" w:rsidP="007C3A6D">
            <w:pPr>
              <w:pStyle w:val="Tabletext"/>
              <w:rPr>
                <w:lang w:val="en-GB"/>
              </w:rPr>
            </w:pPr>
            <w:r w:rsidRPr="007C3A6D">
              <w:rPr>
                <w:lang w:val="en-GB"/>
              </w:rPr>
              <w:t>73</w:t>
            </w:r>
          </w:p>
        </w:tc>
        <w:tc>
          <w:tcPr>
            <w:tcW w:w="1843" w:type="dxa"/>
            <w:shd w:val="clear" w:color="auto" w:fill="auto"/>
            <w:vAlign w:val="center"/>
          </w:tcPr>
          <w:p w:rsidR="007C3A6D" w:rsidRPr="007C3A6D" w:rsidRDefault="007C3A6D" w:rsidP="007C3A6D">
            <w:pPr>
              <w:pStyle w:val="Tabletext"/>
              <w:rPr>
                <w:lang w:val="en-GB"/>
              </w:rPr>
            </w:pPr>
            <w:r w:rsidRPr="007C3A6D">
              <w:rPr>
                <w:lang w:val="en-GB"/>
              </w:rPr>
              <w:t>24</w:t>
            </w:r>
          </w:p>
        </w:tc>
        <w:tc>
          <w:tcPr>
            <w:tcW w:w="1843" w:type="dxa"/>
            <w:shd w:val="clear" w:color="auto" w:fill="auto"/>
            <w:vAlign w:val="center"/>
          </w:tcPr>
          <w:p w:rsidR="007C3A6D" w:rsidRPr="007C3A6D" w:rsidRDefault="007C3A6D" w:rsidP="007C3A6D">
            <w:pPr>
              <w:pStyle w:val="Tabletext"/>
              <w:rPr>
                <w:lang w:val="en-GB"/>
              </w:rPr>
            </w:pPr>
            <w:r w:rsidRPr="007C3A6D">
              <w:rPr>
                <w:lang w:val="en-GB"/>
              </w:rPr>
              <w:t>97</w:t>
            </w:r>
          </w:p>
        </w:tc>
      </w:tr>
      <w:tr w:rsidR="007C3A6D" w:rsidRPr="007C3A6D" w:rsidTr="006E5430">
        <w:tc>
          <w:tcPr>
            <w:tcW w:w="3402" w:type="dxa"/>
            <w:vAlign w:val="center"/>
          </w:tcPr>
          <w:p w:rsidR="007C3A6D" w:rsidRPr="007C3A6D" w:rsidRDefault="007C3A6D" w:rsidP="007C3A6D">
            <w:pPr>
              <w:pStyle w:val="Tabletext"/>
              <w:rPr>
                <w:lang w:val="en-GB"/>
              </w:rPr>
            </w:pPr>
            <w:r w:rsidRPr="007C3A6D">
              <w:rPr>
                <w:lang w:val="en-GB"/>
              </w:rPr>
              <w:t>Variable Permeability (Long Term)</w:t>
            </w:r>
          </w:p>
        </w:tc>
        <w:tc>
          <w:tcPr>
            <w:tcW w:w="1843" w:type="dxa"/>
            <w:tcBorders>
              <w:bottom w:val="single" w:sz="4" w:space="0" w:color="auto"/>
            </w:tcBorders>
            <w:vAlign w:val="center"/>
          </w:tcPr>
          <w:p w:rsidR="007C3A6D" w:rsidRPr="007C3A6D" w:rsidRDefault="007C3A6D" w:rsidP="007C3A6D">
            <w:pPr>
              <w:pStyle w:val="Tabletext"/>
              <w:rPr>
                <w:lang w:val="en-GB"/>
              </w:rPr>
            </w:pPr>
            <w:r w:rsidRPr="007C3A6D">
              <w:rPr>
                <w:lang w:val="en-GB"/>
              </w:rPr>
              <w:t>62</w:t>
            </w:r>
          </w:p>
        </w:tc>
        <w:tc>
          <w:tcPr>
            <w:tcW w:w="1843" w:type="dxa"/>
            <w:tcBorders>
              <w:bottom w:val="single" w:sz="4" w:space="0" w:color="auto"/>
            </w:tcBorders>
            <w:vAlign w:val="center"/>
          </w:tcPr>
          <w:p w:rsidR="007C3A6D" w:rsidRPr="007C3A6D" w:rsidRDefault="007C3A6D" w:rsidP="007C3A6D">
            <w:pPr>
              <w:pStyle w:val="Tabletext"/>
              <w:rPr>
                <w:lang w:val="en-GB"/>
              </w:rPr>
            </w:pPr>
            <w:r w:rsidRPr="007C3A6D">
              <w:rPr>
                <w:lang w:val="en-GB"/>
              </w:rPr>
              <w:t>24</w:t>
            </w:r>
          </w:p>
        </w:tc>
        <w:tc>
          <w:tcPr>
            <w:tcW w:w="1843" w:type="dxa"/>
            <w:tcBorders>
              <w:bottom w:val="single" w:sz="4" w:space="0" w:color="auto"/>
            </w:tcBorders>
            <w:vAlign w:val="center"/>
          </w:tcPr>
          <w:p w:rsidR="007C3A6D" w:rsidRPr="007C3A6D" w:rsidRDefault="007C3A6D" w:rsidP="007C3A6D">
            <w:pPr>
              <w:pStyle w:val="Tabletext"/>
              <w:rPr>
                <w:lang w:val="en-GB"/>
              </w:rPr>
            </w:pPr>
            <w:r w:rsidRPr="007C3A6D">
              <w:rPr>
                <w:lang w:val="en-GB"/>
              </w:rPr>
              <w:t>86</w:t>
            </w:r>
          </w:p>
        </w:tc>
      </w:tr>
      <w:tr w:rsidR="007C3A6D" w:rsidRPr="007C3A6D" w:rsidTr="006E5430">
        <w:tc>
          <w:tcPr>
            <w:tcW w:w="3402" w:type="dxa"/>
            <w:vAlign w:val="center"/>
          </w:tcPr>
          <w:p w:rsidR="007C3A6D" w:rsidRPr="007C3A6D" w:rsidRDefault="007C3A6D" w:rsidP="007C3A6D">
            <w:pPr>
              <w:pStyle w:val="Tabletext"/>
              <w:rPr>
                <w:lang w:val="en-GB"/>
              </w:rPr>
            </w:pPr>
            <w:r w:rsidRPr="007C3A6D">
              <w:rPr>
                <w:lang w:val="en-GB"/>
              </w:rPr>
              <w:t>Variable Ground (Long Term)</w:t>
            </w:r>
          </w:p>
        </w:tc>
        <w:tc>
          <w:tcPr>
            <w:tcW w:w="1843" w:type="dxa"/>
            <w:shd w:val="clear" w:color="auto" w:fill="auto"/>
            <w:vAlign w:val="center"/>
          </w:tcPr>
          <w:p w:rsidR="007C3A6D" w:rsidRPr="007C3A6D" w:rsidRDefault="007C3A6D" w:rsidP="007C3A6D">
            <w:pPr>
              <w:pStyle w:val="Tabletext"/>
              <w:rPr>
                <w:lang w:val="en-GB"/>
              </w:rPr>
            </w:pPr>
            <w:r w:rsidRPr="007C3A6D">
              <w:rPr>
                <w:lang w:val="en-GB"/>
              </w:rPr>
              <w:t>48</w:t>
            </w:r>
          </w:p>
        </w:tc>
        <w:tc>
          <w:tcPr>
            <w:tcW w:w="1843" w:type="dxa"/>
            <w:shd w:val="clear" w:color="auto" w:fill="auto"/>
            <w:vAlign w:val="center"/>
          </w:tcPr>
          <w:p w:rsidR="007C3A6D" w:rsidRPr="007C3A6D" w:rsidRDefault="007C3A6D" w:rsidP="007C3A6D">
            <w:pPr>
              <w:pStyle w:val="Tabletext"/>
              <w:rPr>
                <w:lang w:val="en-GB"/>
              </w:rPr>
            </w:pPr>
            <w:r w:rsidRPr="007C3A6D">
              <w:rPr>
                <w:lang w:val="en-GB"/>
              </w:rPr>
              <w:t>24</w:t>
            </w:r>
          </w:p>
        </w:tc>
        <w:tc>
          <w:tcPr>
            <w:tcW w:w="1843" w:type="dxa"/>
            <w:shd w:val="clear" w:color="auto" w:fill="auto"/>
            <w:vAlign w:val="center"/>
          </w:tcPr>
          <w:p w:rsidR="007C3A6D" w:rsidRPr="007C3A6D" w:rsidRDefault="007C3A6D" w:rsidP="007C3A6D">
            <w:pPr>
              <w:pStyle w:val="Tabletext"/>
              <w:rPr>
                <w:lang w:val="en-GB"/>
              </w:rPr>
            </w:pPr>
            <w:r w:rsidRPr="007C3A6D">
              <w:rPr>
                <w:lang w:val="en-GB"/>
              </w:rPr>
              <w:t>72</w:t>
            </w:r>
          </w:p>
        </w:tc>
      </w:tr>
    </w:tbl>
    <w:p w:rsidR="00FD1702" w:rsidRDefault="00FD1702" w:rsidP="00A90F48">
      <w:pPr>
        <w:pStyle w:val="Listintrotext"/>
        <w:rPr>
          <w:lang w:val="en-AU"/>
        </w:rPr>
      </w:pPr>
      <w:r>
        <w:rPr>
          <w:noProof/>
          <w:lang w:val="en-AU" w:eastAsia="en-AU"/>
        </w:rPr>
        <w:drawing>
          <wp:inline distT="0" distB="0" distL="0" distR="0">
            <wp:extent cx="5676900" cy="595582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684123" cy="59634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1702" w:rsidRPr="00FA5930" w:rsidRDefault="00FD1702" w:rsidP="00FD1702">
      <w:pPr>
        <w:pStyle w:val="BelowTableFigureText9pt"/>
      </w:pPr>
      <w:r w:rsidRPr="00FA5930">
        <w:rPr>
          <w:i/>
        </w:rPr>
        <w:t>K</w:t>
      </w:r>
      <w:r w:rsidRPr="00FA5930">
        <w:rPr>
          <w:i/>
          <w:vertAlign w:val="subscript"/>
        </w:rPr>
        <w:t>v</w:t>
      </w:r>
      <w:r>
        <w:t xml:space="preserve"> is the vertical hydraulic conductivity, </w:t>
      </w:r>
      <w:r w:rsidRPr="00FA5930">
        <w:rPr>
          <w:i/>
        </w:rPr>
        <w:t>E</w:t>
      </w:r>
      <w:r>
        <w:t xml:space="preserve"> is the drained Young’s Modulus, and </w:t>
      </w:r>
      <w:r w:rsidRPr="00910FC9">
        <w:rPr>
          <w:i/>
        </w:rPr>
        <w:t>S</w:t>
      </w:r>
      <w:r w:rsidRPr="00B8780A">
        <w:rPr>
          <w:i/>
          <w:vertAlign w:val="subscript"/>
        </w:rPr>
        <w:t>s</w:t>
      </w:r>
      <w:r w:rsidRPr="00591074">
        <w:t xml:space="preserve"> </w:t>
      </w:r>
      <w:proofErr w:type="gramStart"/>
      <w:r w:rsidR="00611B2A" w:rsidRPr="00611B2A">
        <w:t>is</w:t>
      </w:r>
      <w:proofErr w:type="gramEnd"/>
      <w:r w:rsidR="00611B2A" w:rsidRPr="00611B2A">
        <w:t xml:space="preserve"> the specific storage.</w:t>
      </w:r>
    </w:p>
    <w:p w:rsidR="007C3A6D" w:rsidRDefault="00974C5D"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27</w:t>
      </w:r>
      <w:r w:rsidR="00E252C4" w:rsidRPr="005A4936">
        <w:fldChar w:fldCharType="end"/>
      </w:r>
      <w:r w:rsidR="007C3A6D" w:rsidRPr="007C3A6D">
        <w:t xml:space="preserve"> Model </w:t>
      </w:r>
      <w:r>
        <w:t>d</w:t>
      </w:r>
      <w:r w:rsidR="007C3A6D" w:rsidRPr="007C3A6D">
        <w:t xml:space="preserve">omain </w:t>
      </w:r>
      <w:r>
        <w:t>a</w:t>
      </w:r>
      <w:r w:rsidR="007C3A6D" w:rsidRPr="007C3A6D">
        <w:t xml:space="preserve">dopted in </w:t>
      </w:r>
      <w:r>
        <w:t>e</w:t>
      </w:r>
      <w:r w:rsidR="007C3A6D" w:rsidRPr="007C3A6D">
        <w:t>xamples</w:t>
      </w:r>
    </w:p>
    <w:p w:rsidR="007C3A6D" w:rsidRPr="007C3A6D" w:rsidRDefault="007C3A6D" w:rsidP="000C70AD">
      <w:pPr>
        <w:pStyle w:val="Heading3"/>
      </w:pPr>
      <w:bookmarkStart w:id="567" w:name="_Toc387410261"/>
      <w:r w:rsidRPr="007C3A6D">
        <w:t xml:space="preserve">Uniform </w:t>
      </w:r>
      <w:r w:rsidR="00FD23B8">
        <w:t>g</w:t>
      </w:r>
      <w:r w:rsidRPr="007C3A6D">
        <w:t xml:space="preserve">eology </w:t>
      </w:r>
      <w:r w:rsidR="00FD23B8">
        <w:t>m</w:t>
      </w:r>
      <w:r w:rsidRPr="007C3A6D">
        <w:t>odel</w:t>
      </w:r>
      <w:bookmarkEnd w:id="566"/>
      <w:r w:rsidRPr="007C3A6D">
        <w:t xml:space="preserve"> (</w:t>
      </w:r>
      <w:r w:rsidR="00FD23B8">
        <w:t>s</w:t>
      </w:r>
      <w:r w:rsidRPr="007C3A6D">
        <w:t xml:space="preserve">teady </w:t>
      </w:r>
      <w:r w:rsidR="00FD23B8">
        <w:t>s</w:t>
      </w:r>
      <w:r w:rsidRPr="007C3A6D">
        <w:t xml:space="preserve">tate, </w:t>
      </w:r>
      <w:r w:rsidR="00C05136">
        <w:t>one-dimensional</w:t>
      </w:r>
      <w:r w:rsidRPr="007C3A6D">
        <w:t>)</w:t>
      </w:r>
      <w:bookmarkEnd w:id="567"/>
    </w:p>
    <w:p w:rsidR="007C3A6D" w:rsidRPr="007C3A6D" w:rsidRDefault="007C3A6D" w:rsidP="00781EF7">
      <w:pPr>
        <w:pStyle w:val="Heading4"/>
      </w:pPr>
      <w:bookmarkStart w:id="568" w:name="_Toc338078421"/>
      <w:r w:rsidRPr="007C3A6D">
        <w:t>Approach</w:t>
      </w:r>
      <w:bookmarkEnd w:id="568"/>
    </w:p>
    <w:p w:rsidR="007C3A6D" w:rsidRPr="007C3A6D" w:rsidRDefault="007C3A6D" w:rsidP="00A90F48">
      <w:pPr>
        <w:pStyle w:val="BRNormal11pt0"/>
        <w:rPr>
          <w:lang w:val="en-AU"/>
        </w:rPr>
      </w:pPr>
      <w:r w:rsidRPr="007C3A6D">
        <w:rPr>
          <w:lang w:val="en-AU"/>
        </w:rPr>
        <w:t xml:space="preserve">Uniform geology models are one dimensional </w:t>
      </w:r>
      <w:proofErr w:type="gramStart"/>
      <w:r w:rsidRPr="007C3A6D">
        <w:rPr>
          <w:lang w:val="en-AU"/>
        </w:rPr>
        <w:t>models</w:t>
      </w:r>
      <w:proofErr w:type="gramEnd"/>
      <w:r w:rsidRPr="007C3A6D">
        <w:rPr>
          <w:lang w:val="en-AU"/>
        </w:rPr>
        <w:t xml:space="preserve"> that calculate potential subsidence at a particular location, as if the geological profile and the change in groundwater pressure distribution are constant over a wide area.</w:t>
      </w:r>
    </w:p>
    <w:p w:rsidR="007C3A6D" w:rsidRPr="007C3A6D" w:rsidRDefault="007C3A6D" w:rsidP="00A90F48">
      <w:pPr>
        <w:pStyle w:val="BRNormal11pt0"/>
        <w:rPr>
          <w:lang w:val="en-AU"/>
        </w:rPr>
      </w:pPr>
      <w:r w:rsidRPr="007C3A6D">
        <w:rPr>
          <w:lang w:val="en-AU"/>
        </w:rPr>
        <w:t>This approach is one of the simplest and least time consuming and provides an estimate of the average subsidence in the long term. Due to the simplifications made by this approach, it may over-estimate potential subsidence over the time scale of the development. It is, however, considered appropriate for screening-level assessment.</w:t>
      </w:r>
    </w:p>
    <w:p w:rsidR="007C3A6D" w:rsidRPr="007C3A6D" w:rsidRDefault="007C3A6D" w:rsidP="00781EF7">
      <w:pPr>
        <w:pStyle w:val="Heading4"/>
      </w:pPr>
      <w:bookmarkStart w:id="569" w:name="_Toc338078422"/>
      <w:r w:rsidRPr="007C3A6D">
        <w:t>Requirements</w:t>
      </w:r>
      <w:bookmarkEnd w:id="569"/>
    </w:p>
    <w:p w:rsidR="007C3A6D" w:rsidRPr="007C3A6D" w:rsidRDefault="007C3A6D" w:rsidP="00A90F48">
      <w:pPr>
        <w:pStyle w:val="BRNormal11pt0"/>
        <w:rPr>
          <w:lang w:val="en-GB"/>
        </w:rPr>
      </w:pPr>
      <w:r w:rsidRPr="007C3A6D">
        <w:rPr>
          <w:lang w:val="en-GB"/>
        </w:rPr>
        <w:t xml:space="preserve">This approach requires data </w:t>
      </w:r>
      <w:r w:rsidRPr="00A90F48">
        <w:t>relating</w:t>
      </w:r>
      <w:r w:rsidRPr="007C3A6D">
        <w:rPr>
          <w:lang w:val="en-GB"/>
        </w:rPr>
        <w:t xml:space="preserve"> to:</w:t>
      </w:r>
    </w:p>
    <w:p w:rsidR="007C3A6D" w:rsidRPr="007C3A6D" w:rsidRDefault="00F357A6" w:rsidP="007702DF">
      <w:pPr>
        <w:pStyle w:val="BRdotpoints"/>
        <w:rPr>
          <w:lang w:val="en-GB"/>
        </w:rPr>
      </w:pPr>
      <w:r>
        <w:rPr>
          <w:lang w:val="en-GB"/>
        </w:rPr>
        <w:t>g</w:t>
      </w:r>
      <w:r w:rsidR="007C3A6D" w:rsidRPr="007C3A6D">
        <w:rPr>
          <w:lang w:val="en-GB"/>
        </w:rPr>
        <w:t>roundwater drawdown over a uniform ground profile (typically considering the longer term)</w:t>
      </w:r>
    </w:p>
    <w:p w:rsidR="007C3A6D" w:rsidRPr="007C3A6D" w:rsidRDefault="00F357A6" w:rsidP="007702DF">
      <w:pPr>
        <w:pStyle w:val="BRdotpoints"/>
        <w:rPr>
          <w:lang w:val="en-GB"/>
        </w:rPr>
      </w:pPr>
      <w:proofErr w:type="gramStart"/>
      <w:r>
        <w:rPr>
          <w:lang w:val="en-GB"/>
        </w:rPr>
        <w:t>c</w:t>
      </w:r>
      <w:r w:rsidR="007C3A6D" w:rsidRPr="007C3A6D">
        <w:rPr>
          <w:lang w:val="en-GB"/>
        </w:rPr>
        <w:t>oefficient</w:t>
      </w:r>
      <w:proofErr w:type="gramEnd"/>
      <w:r w:rsidR="007C3A6D" w:rsidRPr="007C3A6D">
        <w:rPr>
          <w:lang w:val="en-GB"/>
        </w:rPr>
        <w:t xml:space="preserve"> of volume compressibility of the uniform ground profile.</w:t>
      </w:r>
    </w:p>
    <w:p w:rsidR="007C3A6D" w:rsidRPr="007C3A6D" w:rsidRDefault="007C3A6D" w:rsidP="00781EF7">
      <w:pPr>
        <w:pStyle w:val="Heading4"/>
      </w:pPr>
      <w:bookmarkStart w:id="570" w:name="_Toc338078423"/>
      <w:r w:rsidRPr="007C3A6D">
        <w:t>Limitations</w:t>
      </w:r>
      <w:bookmarkEnd w:id="570"/>
    </w:p>
    <w:p w:rsidR="007C3A6D" w:rsidRPr="007C3A6D" w:rsidRDefault="007C3A6D" w:rsidP="00A90F48">
      <w:pPr>
        <w:pStyle w:val="Listintrotext"/>
        <w:rPr>
          <w:lang w:val="en-AU"/>
        </w:rPr>
      </w:pPr>
      <w:r w:rsidRPr="007C3A6D">
        <w:rPr>
          <w:lang w:val="en-AU"/>
        </w:rPr>
        <w:t xml:space="preserve">This </w:t>
      </w:r>
      <w:r w:rsidRPr="00A90F48">
        <w:t>approach</w:t>
      </w:r>
      <w:r w:rsidRPr="007C3A6D">
        <w:rPr>
          <w:lang w:val="en-AU"/>
        </w:rPr>
        <w:t>:</w:t>
      </w:r>
    </w:p>
    <w:p w:rsidR="007C3A6D" w:rsidRPr="007C3A6D" w:rsidRDefault="00F357A6" w:rsidP="007702DF">
      <w:pPr>
        <w:pStyle w:val="BRdotpoints"/>
        <w:rPr>
          <w:lang w:val="en-GB"/>
        </w:rPr>
      </w:pPr>
      <w:r>
        <w:rPr>
          <w:lang w:val="en-AU"/>
        </w:rPr>
        <w:t>i</w:t>
      </w:r>
      <w:r w:rsidR="007C3A6D" w:rsidRPr="007C3A6D">
        <w:rPr>
          <w:lang w:val="en-AU"/>
        </w:rPr>
        <w:t>gnores ground heterogeneity and may not be practical for use in environments with varying geological or hydraulic conditions</w:t>
      </w:r>
    </w:p>
    <w:p w:rsidR="007C3A6D" w:rsidRPr="007C3A6D" w:rsidRDefault="00F357A6" w:rsidP="007702DF">
      <w:pPr>
        <w:pStyle w:val="BRdotpoints"/>
        <w:rPr>
          <w:lang w:val="en-GB"/>
        </w:rPr>
      </w:pPr>
      <w:r>
        <w:rPr>
          <w:lang w:val="en-AU"/>
        </w:rPr>
        <w:t>d</w:t>
      </w:r>
      <w:r w:rsidR="007C3A6D" w:rsidRPr="007C3A6D">
        <w:rPr>
          <w:lang w:val="en-AU"/>
        </w:rPr>
        <w:t xml:space="preserve">isregards lateral variations in conditions but is applicable where conditions do not change </w:t>
      </w:r>
      <w:r w:rsidR="00A400AA">
        <w:rPr>
          <w:lang w:val="en-AU"/>
        </w:rPr>
        <w:t>marked</w:t>
      </w:r>
      <w:r w:rsidR="00A400AA" w:rsidRPr="007C3A6D">
        <w:rPr>
          <w:lang w:val="en-AU"/>
        </w:rPr>
        <w:t xml:space="preserve">ly </w:t>
      </w:r>
      <w:r w:rsidR="007C3A6D" w:rsidRPr="007C3A6D">
        <w:rPr>
          <w:lang w:val="en-AU"/>
        </w:rPr>
        <w:t>in the horizontal direction</w:t>
      </w:r>
    </w:p>
    <w:p w:rsidR="007C3A6D" w:rsidRPr="007C3A6D" w:rsidRDefault="00F357A6" w:rsidP="007702DF">
      <w:pPr>
        <w:pStyle w:val="BRdotpoints"/>
        <w:rPr>
          <w:lang w:val="en-GB"/>
        </w:rPr>
      </w:pPr>
      <w:r>
        <w:rPr>
          <w:lang w:val="en-AU"/>
        </w:rPr>
        <w:t>d</w:t>
      </w:r>
      <w:r w:rsidR="007C3A6D" w:rsidRPr="007C3A6D">
        <w:rPr>
          <w:lang w:val="en-AU"/>
        </w:rPr>
        <w:t xml:space="preserve">oes not account for interaction between groundwater flow (due to </w:t>
      </w:r>
      <w:r w:rsidR="00C723CB">
        <w:rPr>
          <w:lang w:val="en-GB"/>
        </w:rPr>
        <w:t>coal seam gas</w:t>
      </w:r>
      <w:r w:rsidR="00C723CB" w:rsidRPr="00973D19">
        <w:rPr>
          <w:lang w:val="en-GB"/>
        </w:rPr>
        <w:t xml:space="preserve"> </w:t>
      </w:r>
      <w:r w:rsidR="007C3A6D" w:rsidRPr="007C3A6D">
        <w:rPr>
          <w:lang w:val="en-AU"/>
        </w:rPr>
        <w:t>well pumping) and geomechanical effects such as horizontal compression</w:t>
      </w:r>
    </w:p>
    <w:p w:rsidR="007C3A6D" w:rsidRPr="007C3A6D" w:rsidRDefault="00F357A6" w:rsidP="007702DF">
      <w:pPr>
        <w:pStyle w:val="BRdotpoints"/>
        <w:rPr>
          <w:lang w:val="en-GB"/>
        </w:rPr>
      </w:pPr>
      <w:proofErr w:type="gramStart"/>
      <w:r>
        <w:rPr>
          <w:lang w:val="en-AU"/>
        </w:rPr>
        <w:t>a</w:t>
      </w:r>
      <w:r w:rsidR="007C3A6D" w:rsidRPr="007C3A6D">
        <w:rPr>
          <w:lang w:val="en-AU"/>
        </w:rPr>
        <w:t>ssumes</w:t>
      </w:r>
      <w:proofErr w:type="gramEnd"/>
      <w:r w:rsidR="007C3A6D" w:rsidRPr="007C3A6D">
        <w:rPr>
          <w:lang w:val="en-AU"/>
        </w:rPr>
        <w:t xml:space="preserve"> that at depth, Young’s </w:t>
      </w:r>
      <w:r w:rsidR="00A51844">
        <w:rPr>
          <w:lang w:val="en-AU"/>
        </w:rPr>
        <w:t>m</w:t>
      </w:r>
      <w:r w:rsidR="007C3A6D" w:rsidRPr="007C3A6D">
        <w:rPr>
          <w:lang w:val="en-AU"/>
        </w:rPr>
        <w:t>odulus is high enough and pore pressure change is low enough, that compression is negligible.</w:t>
      </w:r>
    </w:p>
    <w:p w:rsidR="007C3A6D" w:rsidRPr="007C3A6D" w:rsidRDefault="007C3A6D" w:rsidP="00781EF7">
      <w:pPr>
        <w:pStyle w:val="Heading4"/>
      </w:pPr>
      <w:bookmarkStart w:id="571" w:name="_Toc338078424"/>
      <w:r w:rsidRPr="007C3A6D">
        <w:t>Example</w:t>
      </w:r>
      <w:bookmarkEnd w:id="571"/>
    </w:p>
    <w:p w:rsidR="007C3A6D" w:rsidRPr="007C3A6D" w:rsidRDefault="007C3A6D" w:rsidP="00A90F48">
      <w:pPr>
        <w:pStyle w:val="BRNormal11pt0"/>
        <w:rPr>
          <w:lang w:val="en-AU"/>
        </w:rPr>
      </w:pPr>
      <w:r w:rsidRPr="007C3A6D">
        <w:rPr>
          <w:lang w:val="en-AU"/>
        </w:rPr>
        <w:t xml:space="preserve">The geological profile under consideration </w:t>
      </w:r>
      <w:r w:rsidR="004D42DE">
        <w:rPr>
          <w:lang w:val="en-AU"/>
        </w:rPr>
        <w:t>is</w:t>
      </w:r>
      <w:r w:rsidR="00F357A6" w:rsidRPr="007C3A6D">
        <w:rPr>
          <w:lang w:val="en-AU"/>
        </w:rPr>
        <w:t xml:space="preserve"> </w:t>
      </w:r>
      <w:r w:rsidRPr="007C3A6D">
        <w:rPr>
          <w:lang w:val="en-AU"/>
        </w:rPr>
        <w:t xml:space="preserve">shown in Figure </w:t>
      </w:r>
      <w:r w:rsidR="00F357A6">
        <w:rPr>
          <w:lang w:val="en-AU"/>
        </w:rPr>
        <w:t>27</w:t>
      </w:r>
      <w:r w:rsidRPr="007C3A6D">
        <w:rPr>
          <w:lang w:val="en-AU"/>
        </w:rPr>
        <w:t>.</w:t>
      </w:r>
      <w:r w:rsidR="005576AF">
        <w:rPr>
          <w:lang w:val="en-AU"/>
        </w:rPr>
        <w:t xml:space="preserve"> </w:t>
      </w:r>
      <w:r w:rsidRPr="007C3A6D">
        <w:rPr>
          <w:lang w:val="en-AU"/>
        </w:rPr>
        <w:t xml:space="preserve">Figure </w:t>
      </w:r>
      <w:r w:rsidR="00F357A6">
        <w:rPr>
          <w:lang w:val="en-AU"/>
        </w:rPr>
        <w:t xml:space="preserve">28 </w:t>
      </w:r>
      <w:r w:rsidRPr="007C3A6D">
        <w:rPr>
          <w:lang w:val="en-AU"/>
        </w:rPr>
        <w:t>provide</w:t>
      </w:r>
      <w:r w:rsidR="009D7F48">
        <w:rPr>
          <w:lang w:val="en-AU"/>
        </w:rPr>
        <w:t>s</w:t>
      </w:r>
      <w:r w:rsidRPr="007C3A6D">
        <w:rPr>
          <w:lang w:val="en-AU"/>
        </w:rPr>
        <w:t xml:space="preserve"> an illustrative example of assessment of potential subsidence based on this approach</w:t>
      </w:r>
      <w:r w:rsidR="009F39AD">
        <w:rPr>
          <w:lang w:val="en-AU"/>
        </w:rPr>
        <w:t xml:space="preserve">, with the associated calculations presented in Table </w:t>
      </w:r>
      <w:r w:rsidR="002C43B4">
        <w:rPr>
          <w:lang w:val="en-AU"/>
        </w:rPr>
        <w:t>10</w:t>
      </w:r>
      <w:r w:rsidR="009D7F48">
        <w:rPr>
          <w:lang w:val="en-AU"/>
        </w:rPr>
        <w:t>.</w:t>
      </w:r>
    </w:p>
    <w:p w:rsidR="007C3A6D" w:rsidRPr="007C3A6D" w:rsidRDefault="007C3A6D" w:rsidP="00A90F48">
      <w:pPr>
        <w:pStyle w:val="BRNormal11pt0"/>
        <w:rPr>
          <w:lang w:val="en-AU"/>
        </w:rPr>
      </w:pPr>
      <w:r w:rsidRPr="007C3A6D">
        <w:rPr>
          <w:lang w:val="en-AU"/>
        </w:rPr>
        <w:t>The initial groundwater level is 20 m below the ground surface. The groundwater levels in the alluvium are assumed to remain constant during depressurisation. There may, however, be a groundwater seepage loss from the alluvial hydrogeological unit into underlying units.</w:t>
      </w:r>
    </w:p>
    <w:p w:rsidR="007C3A6D" w:rsidRPr="007C3A6D" w:rsidRDefault="007C3A6D" w:rsidP="00A90F48">
      <w:pPr>
        <w:pStyle w:val="BRNormal11pt0"/>
        <w:rPr>
          <w:lang w:val="en-AU"/>
        </w:rPr>
      </w:pPr>
      <w:r w:rsidRPr="007C3A6D">
        <w:rPr>
          <w:lang w:val="en-AU"/>
        </w:rPr>
        <w:t xml:space="preserve">An average drawdown to 35 m above the top of the </w:t>
      </w:r>
      <w:r w:rsidR="00C723CB">
        <w:rPr>
          <w:lang w:val="en-GB"/>
        </w:rPr>
        <w:t>coal seam gas</w:t>
      </w:r>
      <w:r w:rsidR="00F357A6">
        <w:rPr>
          <w:lang w:val="en-AU"/>
        </w:rPr>
        <w:t xml:space="preserve"> </w:t>
      </w:r>
      <w:r w:rsidRPr="007C3A6D">
        <w:rPr>
          <w:lang w:val="en-AU"/>
        </w:rPr>
        <w:t xml:space="preserve">bearing formation is assumed, equating to a drawdown to 305 m within the </w:t>
      </w:r>
      <w:r w:rsidR="00C723CB">
        <w:rPr>
          <w:lang w:val="en-GB"/>
        </w:rPr>
        <w:t>coal seam gas</w:t>
      </w:r>
      <w:r w:rsidR="00F357A6">
        <w:rPr>
          <w:lang w:val="en-AU"/>
        </w:rPr>
        <w:t xml:space="preserve"> </w:t>
      </w:r>
      <w:r w:rsidRPr="007C3A6D">
        <w:rPr>
          <w:lang w:val="en-AU"/>
        </w:rPr>
        <w:t xml:space="preserve">bearing formation. This drawdown is assumed to apply to the full thickness of the </w:t>
      </w:r>
      <w:r w:rsidR="00C723CB">
        <w:rPr>
          <w:lang w:val="en-GB"/>
        </w:rPr>
        <w:t>coal seam gas</w:t>
      </w:r>
      <w:r w:rsidR="00F357A6">
        <w:rPr>
          <w:lang w:val="en-AU"/>
        </w:rPr>
        <w:t xml:space="preserve"> </w:t>
      </w:r>
      <w:r w:rsidRPr="007C3A6D">
        <w:rPr>
          <w:lang w:val="en-AU"/>
        </w:rPr>
        <w:t>bearing formation. The drawdown distribution with depth above the coal bearing formation is assumed to vary linearly from 0 m at the base of the alluvial aquifer to 305 m at the top of the coal bearing formation and be uniform beneath the coal bearing formation.</w:t>
      </w:r>
    </w:p>
    <w:p w:rsidR="007C3A6D" w:rsidRPr="007C3A6D" w:rsidRDefault="008D316A" w:rsidP="00A90F48">
      <w:pPr>
        <w:pStyle w:val="Listintrotext"/>
        <w:rPr>
          <w:lang w:val="en-GB"/>
        </w:rPr>
      </w:pPr>
      <w:r>
        <w:rPr>
          <w:lang w:val="en-AU"/>
        </w:rPr>
        <w:t>T</w:t>
      </w:r>
      <w:r w:rsidR="007C3A6D" w:rsidRPr="007C3A6D">
        <w:rPr>
          <w:lang w:val="en-AU"/>
        </w:rPr>
        <w:t xml:space="preserve">o compare the result of this example with those from other modelling approaches, </w:t>
      </w:r>
      <w:r w:rsidR="007C3A6D" w:rsidRPr="007C3A6D">
        <w:rPr>
          <w:lang w:val="en-GB"/>
        </w:rPr>
        <w:t>a depth-averaged coefficient of volume compressibility has been calculated for the ground profile.</w:t>
      </w:r>
    </w:p>
    <w:p w:rsidR="00A90F48" w:rsidRDefault="007C3A6D" w:rsidP="001F0FE5">
      <w:pPr>
        <w:pStyle w:val="BRNormal11pt0"/>
        <w:rPr>
          <w:lang w:val="en-AU"/>
        </w:rPr>
      </w:pPr>
      <w:r w:rsidRPr="007C3A6D">
        <w:rPr>
          <w:lang w:val="en-AU"/>
        </w:rPr>
        <w:t>Comparing the subsidence models for the different illustrative examples, this modelling approach may over</w:t>
      </w:r>
      <w:r w:rsidRPr="007C3A6D">
        <w:rPr>
          <w:lang w:val="en-AU"/>
        </w:rPr>
        <w:noBreakHyphen/>
        <w:t>estimate or under-estimate predicted subsidence relative to other models due to its simplification of the hydraulic and geomechanical properties of the geological materials. Nevertheless, it provides a relatively simple approach to calculating subsidence that may be used for screening-level assessment.</w:t>
      </w:r>
    </w:p>
    <w:p w:rsidR="0012392A" w:rsidRDefault="0012392A" w:rsidP="001F0FE5">
      <w:pPr>
        <w:pStyle w:val="BRNormal11pt0"/>
      </w:pPr>
    </w:p>
    <w:p w:rsidR="00FD4036" w:rsidRDefault="00FD4036" w:rsidP="00A90F48">
      <w:pPr>
        <w:pStyle w:val="Listintrotext"/>
      </w:pPr>
    </w:p>
    <w:tbl>
      <w:tblPr>
        <w:tblpPr w:leftFromText="180" w:rightFromText="180" w:vertAnchor="text" w:horzAnchor="page" w:tblpX="1992" w:tblpY="-51"/>
        <w:tblW w:w="7657" w:type="dxa"/>
        <w:tblLook w:val="04A0"/>
      </w:tblPr>
      <w:tblGrid>
        <w:gridCol w:w="2616"/>
        <w:gridCol w:w="1257"/>
        <w:gridCol w:w="1036"/>
        <w:gridCol w:w="896"/>
        <w:gridCol w:w="936"/>
        <w:gridCol w:w="916"/>
      </w:tblGrid>
      <w:tr w:rsidR="00AA532F" w:rsidRPr="00AA532F" w:rsidTr="00AA532F">
        <w:trPr>
          <w:trHeight w:val="240"/>
        </w:trPr>
        <w:tc>
          <w:tcPr>
            <w:tcW w:w="2616" w:type="dxa"/>
            <w:shd w:val="clear" w:color="auto" w:fill="auto"/>
            <w:noWrap/>
            <w:vAlign w:val="bottom"/>
            <w:hideMark/>
          </w:tcPr>
          <w:p w:rsidR="00AA532F" w:rsidRPr="00AA532F" w:rsidRDefault="00AA532F" w:rsidP="00182574">
            <w:pPr>
              <w:autoSpaceDE/>
              <w:autoSpaceDN/>
              <w:spacing w:after="0"/>
              <w:jc w:val="center"/>
              <w:rPr>
                <w:rFonts w:eastAsia="Times New Roman" w:cs="Arial"/>
                <w:sz w:val="18"/>
                <w:szCs w:val="18"/>
                <w:u w:val="single"/>
                <w:lang w:val="en-AU" w:eastAsia="en-AU"/>
              </w:rPr>
            </w:pPr>
            <w:r w:rsidRPr="00AA532F">
              <w:rPr>
                <w:rFonts w:eastAsia="Times New Roman" w:cs="Arial"/>
                <w:sz w:val="18"/>
                <w:szCs w:val="18"/>
                <w:u w:val="single"/>
                <w:lang w:val="en-AU" w:eastAsia="en-AU"/>
              </w:rPr>
              <w:t xml:space="preserve">Ground </w:t>
            </w:r>
            <w:r w:rsidR="00182574">
              <w:rPr>
                <w:rFonts w:eastAsia="Times New Roman" w:cs="Arial"/>
                <w:sz w:val="18"/>
                <w:szCs w:val="18"/>
                <w:u w:val="single"/>
                <w:lang w:val="en-AU" w:eastAsia="en-AU"/>
              </w:rPr>
              <w:t>p</w:t>
            </w:r>
            <w:r w:rsidRPr="00AA532F">
              <w:rPr>
                <w:rFonts w:eastAsia="Times New Roman" w:cs="Arial"/>
                <w:sz w:val="18"/>
                <w:szCs w:val="18"/>
                <w:u w:val="single"/>
                <w:lang w:val="en-AU" w:eastAsia="en-AU"/>
              </w:rPr>
              <w:t>rofile</w:t>
            </w: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2748" w:type="dxa"/>
            <w:gridSpan w:val="3"/>
            <w:shd w:val="clear" w:color="auto" w:fill="auto"/>
            <w:noWrap/>
            <w:vAlign w:val="bottom"/>
            <w:hideMark/>
          </w:tcPr>
          <w:p w:rsidR="00AA532F" w:rsidRPr="00AA532F" w:rsidRDefault="00AA532F" w:rsidP="00182574">
            <w:pPr>
              <w:autoSpaceDE/>
              <w:autoSpaceDN/>
              <w:spacing w:after="0"/>
              <w:rPr>
                <w:rFonts w:eastAsia="Times New Roman" w:cs="Arial"/>
                <w:sz w:val="18"/>
                <w:szCs w:val="18"/>
                <w:u w:val="single"/>
                <w:lang w:val="en-AU" w:eastAsia="en-AU"/>
              </w:rPr>
            </w:pPr>
            <w:r w:rsidRPr="00AA532F">
              <w:rPr>
                <w:rFonts w:eastAsia="Times New Roman" w:cs="Arial"/>
                <w:sz w:val="18"/>
                <w:szCs w:val="18"/>
                <w:u w:val="single"/>
                <w:lang w:val="en-AU" w:eastAsia="en-AU"/>
              </w:rPr>
              <w:t xml:space="preserve">Groundwater </w:t>
            </w:r>
            <w:r w:rsidR="00182574">
              <w:rPr>
                <w:rFonts w:eastAsia="Times New Roman" w:cs="Arial"/>
                <w:sz w:val="18"/>
                <w:szCs w:val="18"/>
                <w:u w:val="single"/>
                <w:lang w:val="en-AU" w:eastAsia="en-AU"/>
              </w:rPr>
              <w:t>p</w:t>
            </w:r>
            <w:r w:rsidRPr="00AA532F">
              <w:rPr>
                <w:rFonts w:eastAsia="Times New Roman" w:cs="Arial"/>
                <w:sz w:val="18"/>
                <w:szCs w:val="18"/>
                <w:u w:val="single"/>
                <w:lang w:val="en-AU" w:eastAsia="en-AU"/>
              </w:rPr>
              <w:t>ressure</w:t>
            </w: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r w:rsidRPr="00AA532F">
              <w:rPr>
                <w:rFonts w:eastAsia="Times New Roman" w:cs="Arial"/>
                <w:sz w:val="18"/>
                <w:szCs w:val="18"/>
                <w:lang w:val="en-AU" w:eastAsia="en-AU"/>
              </w:rPr>
              <w:t>Groundwater</w:t>
            </w:r>
          </w:p>
        </w:tc>
        <w:tc>
          <w:tcPr>
            <w:tcW w:w="1036" w:type="dxa"/>
            <w:shd w:val="clear" w:color="auto" w:fill="auto"/>
            <w:noWrap/>
            <w:vAlign w:val="bottom"/>
            <w:hideMark/>
          </w:tcPr>
          <w:p w:rsidR="00AA532F" w:rsidRPr="00AA532F" w:rsidRDefault="00093D1C" w:rsidP="00AA532F">
            <w:pPr>
              <w:autoSpaceDE/>
              <w:autoSpaceDN/>
              <w:spacing w:after="0"/>
              <w:rPr>
                <w:rFonts w:eastAsia="Times New Roman" w:cs="Arial"/>
                <w:sz w:val="20"/>
                <w:szCs w:val="20"/>
                <w:lang w:val="en-AU" w:eastAsia="en-AU"/>
              </w:rPr>
            </w:pPr>
            <w:r>
              <w:rPr>
                <w:rFonts w:eastAsia="Times New Roman" w:cs="Arial"/>
                <w:noProof/>
                <w:sz w:val="20"/>
                <w:szCs w:val="20"/>
                <w:lang w:val="en-AU" w:eastAsia="en-AU"/>
              </w:rPr>
              <w:drawing>
                <wp:anchor distT="0" distB="0" distL="114300" distR="114300" simplePos="0" relativeHeight="251696128" behindDoc="0" locked="0" layoutInCell="1" allowOverlap="1">
                  <wp:simplePos x="0" y="0"/>
                  <wp:positionH relativeFrom="column">
                    <wp:posOffset>142875</wp:posOffset>
                  </wp:positionH>
                  <wp:positionV relativeFrom="paragraph">
                    <wp:posOffset>47625</wp:posOffset>
                  </wp:positionV>
                  <wp:extent cx="1914525" cy="2562225"/>
                  <wp:effectExtent l="0" t="0" r="0" b="0"/>
                  <wp:wrapNone/>
                  <wp:docPr id="23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p>
          <w:tbl>
            <w:tblPr>
              <w:tblW w:w="0" w:type="auto"/>
              <w:tblCellSpacing w:w="0" w:type="dxa"/>
              <w:tblCellMar>
                <w:left w:w="0" w:type="dxa"/>
                <w:right w:w="0" w:type="dxa"/>
              </w:tblCellMar>
              <w:tblLook w:val="04A0"/>
            </w:tblPr>
            <w:tblGrid>
              <w:gridCol w:w="820"/>
            </w:tblGrid>
            <w:tr w:rsidR="00AA532F" w:rsidRPr="00AA532F" w:rsidTr="00AA532F">
              <w:trPr>
                <w:trHeight w:val="229"/>
                <w:tblCellSpacing w:w="0" w:type="dxa"/>
              </w:trPr>
              <w:tc>
                <w:tcPr>
                  <w:tcW w:w="820" w:type="dxa"/>
                  <w:tcBorders>
                    <w:top w:val="nil"/>
                    <w:left w:val="nil"/>
                    <w:bottom w:val="nil"/>
                    <w:right w:val="nil"/>
                  </w:tcBorders>
                  <w:shd w:val="clear" w:color="auto" w:fill="auto"/>
                  <w:noWrap/>
                  <w:vAlign w:val="bottom"/>
                  <w:hideMark/>
                </w:tcPr>
                <w:p w:rsidR="00AA532F" w:rsidRPr="00AA532F" w:rsidRDefault="00AA532F" w:rsidP="00A2558E">
                  <w:pPr>
                    <w:framePr w:hSpace="180" w:wrap="around" w:vAnchor="text" w:hAnchor="page" w:x="1992" w:y="-51"/>
                    <w:autoSpaceDE/>
                    <w:autoSpaceDN/>
                    <w:spacing w:after="0"/>
                    <w:rPr>
                      <w:rFonts w:eastAsia="Times New Roman" w:cs="Arial"/>
                      <w:sz w:val="18"/>
                      <w:szCs w:val="18"/>
                      <w:lang w:val="en-AU" w:eastAsia="en-AU"/>
                    </w:rPr>
                  </w:pPr>
                </w:p>
              </w:tc>
            </w:tr>
          </w:tbl>
          <w:p w:rsidR="00AA532F" w:rsidRPr="00AA532F" w:rsidRDefault="00AA532F" w:rsidP="00AA532F">
            <w:pPr>
              <w:autoSpaceDE/>
              <w:autoSpaceDN/>
              <w:spacing w:after="0"/>
              <w:rPr>
                <w:rFonts w:eastAsia="Times New Roman" w:cs="Arial"/>
                <w:sz w:val="20"/>
                <w:szCs w:val="20"/>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40"/>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8D2BA6" w:rsidP="00AA532F">
            <w:pPr>
              <w:autoSpaceDE/>
              <w:autoSpaceDN/>
              <w:spacing w:after="0"/>
              <w:jc w:val="center"/>
              <w:rPr>
                <w:rFonts w:eastAsia="Times New Roman" w:cs="Arial"/>
                <w:sz w:val="18"/>
                <w:szCs w:val="18"/>
                <w:lang w:val="en-AU" w:eastAsia="en-AU"/>
              </w:rPr>
            </w:pPr>
            <w:r>
              <w:rPr>
                <w:rFonts w:eastAsia="Times New Roman" w:cs="Arial"/>
                <w:sz w:val="18"/>
                <w:szCs w:val="18"/>
                <w:lang w:val="en-AU" w:eastAsia="en-AU"/>
              </w:rPr>
              <w:t>l</w:t>
            </w:r>
            <w:r w:rsidR="00AA532F" w:rsidRPr="00AA532F">
              <w:rPr>
                <w:rFonts w:eastAsia="Times New Roman" w:cs="Arial"/>
                <w:sz w:val="18"/>
                <w:szCs w:val="18"/>
                <w:lang w:val="en-AU" w:eastAsia="en-AU"/>
              </w:rPr>
              <w:t>evel (mbgl)*</w:t>
            </w: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jc w:val="center"/>
              <w:rPr>
                <w:rFonts w:eastAsia="Times New Roman" w:cs="Arial"/>
                <w:b/>
                <w:bCs/>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093D1C" w:rsidP="00AA532F">
            <w:pPr>
              <w:autoSpaceDE/>
              <w:autoSpaceDN/>
              <w:spacing w:after="0"/>
              <w:rPr>
                <w:rFonts w:eastAsia="Times New Roman" w:cs="Arial"/>
                <w:sz w:val="20"/>
                <w:szCs w:val="20"/>
                <w:lang w:val="en-AU" w:eastAsia="en-AU"/>
              </w:rPr>
            </w:pPr>
            <w:r>
              <w:rPr>
                <w:rFonts w:eastAsia="Times New Roman" w:cs="Arial"/>
                <w:noProof/>
                <w:sz w:val="20"/>
                <w:szCs w:val="20"/>
                <w:lang w:val="en-AU" w:eastAsia="en-AU"/>
              </w:rPr>
              <w:drawing>
                <wp:anchor distT="0" distB="0" distL="114300" distR="114300" simplePos="0" relativeHeight="251697152" behindDoc="0" locked="0" layoutInCell="1" allowOverlap="1">
                  <wp:simplePos x="0" y="0"/>
                  <wp:positionH relativeFrom="column">
                    <wp:posOffset>123825</wp:posOffset>
                  </wp:positionH>
                  <wp:positionV relativeFrom="paragraph">
                    <wp:posOffset>9525</wp:posOffset>
                  </wp:positionV>
                  <wp:extent cx="1295400" cy="2019300"/>
                  <wp:effectExtent l="0" t="0" r="635" b="635"/>
                  <wp:wrapNone/>
                  <wp:docPr id="233" name="Picture 31"/>
                  <wp:cNvGraphicFramePr/>
                  <a:graphic xmlns:a="http://schemas.openxmlformats.org/drawingml/2006/main">
                    <a:graphicData uri="http://schemas.openxmlformats.org/drawingml/2006/picture">
                      <pic:pic xmlns:pic="http://schemas.openxmlformats.org/drawingml/2006/picture">
                        <pic:nvPicPr>
                          <pic:cNvPr id="102502" name="Picture 31"/>
                          <pic:cNvPicPr>
                            <a:picLocks noChangeAspect="1" noChangeArrowheads="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2000250"/>
                          </a:xfrm>
                          <a:prstGeom prst="rect">
                            <a:avLst/>
                          </a:prstGeom>
                          <a:noFill/>
                          <a:ln w="9525">
                            <a:noFill/>
                            <a:miter lim="800000"/>
                            <a:headEnd/>
                            <a:tailEnd/>
                          </a:ln>
                        </pic:spPr>
                      </pic:pic>
                    </a:graphicData>
                  </a:graphic>
                </wp:anchor>
              </w:drawing>
            </w:r>
            <w:r>
              <w:rPr>
                <w:rFonts w:eastAsia="Times New Roman" w:cs="Arial"/>
                <w:noProof/>
                <w:sz w:val="20"/>
                <w:szCs w:val="20"/>
                <w:lang w:val="en-AU" w:eastAsia="en-AU"/>
              </w:rPr>
              <w:drawing>
                <wp:anchor distT="0" distB="0" distL="114300" distR="114300" simplePos="0" relativeHeight="251698176" behindDoc="0" locked="0" layoutInCell="1" allowOverlap="1">
                  <wp:simplePos x="0" y="0"/>
                  <wp:positionH relativeFrom="column">
                    <wp:posOffset>133350</wp:posOffset>
                  </wp:positionH>
                  <wp:positionV relativeFrom="paragraph">
                    <wp:posOffset>114300</wp:posOffset>
                  </wp:positionV>
                  <wp:extent cx="1257300" cy="19050"/>
                  <wp:effectExtent l="0" t="0" r="0" b="0"/>
                  <wp:wrapNone/>
                  <wp:docPr id="234" name="Line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5750" y="1866900"/>
                            <a:ext cx="1238250" cy="0"/>
                            <a:chOff x="285750" y="1866900"/>
                            <a:chExt cx="1238250" cy="0"/>
                          </a:xfrm>
                        </a:grpSpPr>
                        <a:sp>
                          <a:nvSpPr>
                            <a:cNvPr id="102503" name="Line 11"/>
                            <a:cNvSpPr>
                              <a:spLocks noChangeShapeType="1"/>
                            </a:cNvSpPr>
                          </a:nvSpPr>
                          <a:spPr bwMode="auto">
                            <a:xfrm>
                              <a:off x="285750" y="1866900"/>
                              <a:ext cx="1238250" cy="0"/>
                            </a:xfrm>
                            <a:prstGeom prst="line">
                              <a:avLst/>
                            </a:prstGeom>
                            <a:noFill/>
                            <a:ln w="12700">
                              <a:solidFill>
                                <a:srgbClr val="0000FF"/>
                              </a:solidFill>
                              <a:prstDash val="dash"/>
                              <a:round/>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699200" behindDoc="0" locked="0" layoutInCell="1" allowOverlap="1">
                  <wp:simplePos x="0" y="0"/>
                  <wp:positionH relativeFrom="column">
                    <wp:posOffset>133350</wp:posOffset>
                  </wp:positionH>
                  <wp:positionV relativeFrom="paragraph">
                    <wp:posOffset>990600</wp:posOffset>
                  </wp:positionV>
                  <wp:extent cx="1266825" cy="19050"/>
                  <wp:effectExtent l="0" t="0" r="635" b="0"/>
                  <wp:wrapNone/>
                  <wp:docPr id="236" name="Line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5750" y="2743200"/>
                            <a:ext cx="1247775" cy="0"/>
                            <a:chOff x="285750" y="2743200"/>
                            <a:chExt cx="1247775" cy="0"/>
                          </a:xfrm>
                        </a:grpSpPr>
                        <a:sp>
                          <a:nvSpPr>
                            <a:cNvPr id="102504" name="Line 33"/>
                            <a:cNvSpPr>
                              <a:spLocks noChangeShapeType="1"/>
                            </a:cNvSpPr>
                          </a:nvSpPr>
                          <a:spPr bwMode="auto">
                            <a:xfrm>
                              <a:off x="285750" y="2743200"/>
                              <a:ext cx="1247775" cy="0"/>
                            </a:xfrm>
                            <a:prstGeom prst="line">
                              <a:avLst/>
                            </a:prstGeom>
                            <a:noFill/>
                            <a:ln w="12700">
                              <a:solidFill>
                                <a:srgbClr val="0000FF"/>
                              </a:solidFill>
                              <a:prstDash val="dash"/>
                              <a:round/>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700224" behindDoc="0" locked="0" layoutInCell="1" allowOverlap="1">
                  <wp:simplePos x="0" y="0"/>
                  <wp:positionH relativeFrom="column">
                    <wp:posOffset>171450</wp:posOffset>
                  </wp:positionH>
                  <wp:positionV relativeFrom="paragraph">
                    <wp:posOffset>133350</wp:posOffset>
                  </wp:positionV>
                  <wp:extent cx="1247775" cy="523875"/>
                  <wp:effectExtent l="0" t="0" r="0" b="0"/>
                  <wp:wrapNone/>
                  <wp:docPr id="237" name="Text Box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25755" y="1885950"/>
                            <a:ext cx="1226877" cy="510611"/>
                            <a:chOff x="325755" y="1885950"/>
                            <a:chExt cx="1226877" cy="510611"/>
                          </a:xfrm>
                        </a:grpSpPr>
                        <a:sp>
                          <a:nvSpPr>
                            <a:cNvPr id="7" name="Text Box 9"/>
                            <a:cNvSpPr txBox="1">
                              <a:spLocks noChangeArrowheads="1"/>
                            </a:cNvSpPr>
                          </a:nvSpPr>
                          <a:spPr bwMode="auto">
                            <a:xfrm>
                              <a:off x="327660" y="1882140"/>
                              <a:ext cx="1264920" cy="52578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a:spPr>
                          <a:txSp>
                            <a:txBody>
                              <a:bodyPr vertOverflow="clip" wrap="square" lIns="36576" tIns="27432" rIns="36576" bIns="0" anchor="t"/>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AU" sz="900" b="0" i="0" u="none" strike="noStrike" baseline="0">
                                    <a:solidFill>
                                      <a:srgbClr val="000000"/>
                                    </a:solidFill>
                                    <a:latin typeface="Arial"/>
                                    <a:cs typeface="Arial"/>
                                  </a:rPr>
                                  <a:t>Initial water table (hydrostatic head condition)</a:t>
                                </a:r>
                                <a:endParaRPr lang="en-AU"/>
                              </a:p>
                            </a:txBody>
                            <a:useSpRect/>
                          </a:txSp>
                        </a:sp>
                      </lc:lockedCanvas>
                    </a:graphicData>
                  </a:graphic>
                </wp:anchor>
              </w:drawing>
            </w:r>
            <w:r>
              <w:rPr>
                <w:rFonts w:eastAsia="Times New Roman" w:cs="Arial"/>
                <w:noProof/>
                <w:sz w:val="20"/>
                <w:szCs w:val="20"/>
                <w:lang w:val="en-AU" w:eastAsia="en-AU"/>
              </w:rPr>
              <w:drawing>
                <wp:anchor distT="0" distB="0" distL="114300" distR="114300" simplePos="0" relativeHeight="251701248" behindDoc="0" locked="0" layoutInCell="1" allowOverlap="1">
                  <wp:simplePos x="0" y="0"/>
                  <wp:positionH relativeFrom="column">
                    <wp:posOffset>171450</wp:posOffset>
                  </wp:positionH>
                  <wp:positionV relativeFrom="paragraph">
                    <wp:posOffset>990600</wp:posOffset>
                  </wp:positionV>
                  <wp:extent cx="1228725" cy="723900"/>
                  <wp:effectExtent l="0" t="0" r="635" b="0"/>
                  <wp:wrapNone/>
                  <wp:docPr id="238" name="Text Box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18135" y="2743200"/>
                            <a:ext cx="1219200" cy="708660"/>
                            <a:chOff x="318135" y="2743200"/>
                            <a:chExt cx="1219200" cy="708660"/>
                          </a:xfrm>
                        </a:grpSpPr>
                        <a:sp>
                          <a:nvSpPr>
                            <a:cNvPr id="8" name="Text Box 10"/>
                            <a:cNvSpPr txBox="1">
                              <a:spLocks noChangeArrowheads="1"/>
                            </a:cNvSpPr>
                          </a:nvSpPr>
                          <a:spPr bwMode="auto">
                            <a:xfrm>
                              <a:off x="320040" y="2750820"/>
                              <a:ext cx="1257300" cy="71628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a:spPr>
                          <a:txSp>
                            <a:txBody>
                              <a:bodyPr vertOverflow="clip" wrap="square" lIns="36576" tIns="27432" rIns="36576" bIns="0" anchor="t"/>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AU" sz="900" b="0" i="0" u="none" strike="noStrike" baseline="0">
                                    <a:solidFill>
                                      <a:srgbClr val="000000"/>
                                    </a:solidFill>
                                    <a:latin typeface="Arial"/>
                                    <a:cs typeface="Arial"/>
                                  </a:rPr>
                                  <a:t>Target groundwater head within coal bearing formation</a:t>
                                </a:r>
                                <a:endParaRPr lang="en-AU"/>
                              </a:p>
                            </a:txBody>
                            <a:useSpRect/>
                          </a:txSp>
                        </a:sp>
                      </lc:lockedCanvas>
                    </a:graphicData>
                  </a:graphic>
                </wp:anchor>
              </w:drawing>
            </w:r>
            <w:r>
              <w:rPr>
                <w:rFonts w:eastAsia="Times New Roman" w:cs="Arial"/>
                <w:noProof/>
                <w:sz w:val="20"/>
                <w:szCs w:val="20"/>
                <w:lang w:val="en-AU" w:eastAsia="en-AU"/>
              </w:rPr>
              <w:drawing>
                <wp:anchor distT="0" distB="0" distL="114300" distR="114300" simplePos="0" relativeHeight="251702272" behindDoc="0" locked="0" layoutInCell="1" allowOverlap="1">
                  <wp:simplePos x="0" y="0"/>
                  <wp:positionH relativeFrom="column">
                    <wp:posOffset>209550</wp:posOffset>
                  </wp:positionH>
                  <wp:positionV relativeFrom="paragraph">
                    <wp:posOffset>9525</wp:posOffset>
                  </wp:positionV>
                  <wp:extent cx="161925" cy="133350"/>
                  <wp:effectExtent l="0" t="0" r="635" b="635"/>
                  <wp:wrapNone/>
                  <wp:docPr id="240" name="AutoShape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71475" y="1762125"/>
                            <a:ext cx="123825" cy="104775"/>
                            <a:chOff x="371475" y="1762125"/>
                            <a:chExt cx="123825" cy="104775"/>
                          </a:xfrm>
                        </a:grpSpPr>
                        <a:sp>
                          <a:nvSpPr>
                            <a:cNvPr id="102507" name="AutoShape 12"/>
                            <a:cNvSpPr>
                              <a:spLocks noChangeArrowheads="1"/>
                            </a:cNvSpPr>
                          </a:nvSpPr>
                          <a:spPr bwMode="auto">
                            <a:xfrm flipV="1">
                              <a:off x="371475" y="1762125"/>
                              <a:ext cx="123825" cy="104775"/>
                            </a:xfrm>
                            <a:prstGeom prst="triangle">
                              <a:avLst>
                                <a:gd name="adj" fmla="val 52940"/>
                              </a:avLst>
                            </a:prstGeom>
                            <a:solidFill>
                              <a:srgbClr val="FFFFFF"/>
                            </a:solidFill>
                            <a:ln w="9525">
                              <a:solidFill>
                                <a:srgbClr val="0000FF"/>
                              </a:solidFill>
                              <a:miter lim="800000"/>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703296" behindDoc="0" locked="0" layoutInCell="1" allowOverlap="1">
                  <wp:simplePos x="0" y="0"/>
                  <wp:positionH relativeFrom="column">
                    <wp:posOffset>209550</wp:posOffset>
                  </wp:positionH>
                  <wp:positionV relativeFrom="paragraph">
                    <wp:posOffset>876300</wp:posOffset>
                  </wp:positionV>
                  <wp:extent cx="161925" cy="123825"/>
                  <wp:effectExtent l="0" t="0" r="635" b="635"/>
                  <wp:wrapNone/>
                  <wp:docPr id="241" name="AutoShape 3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71475" y="2628900"/>
                            <a:ext cx="123825" cy="95250"/>
                            <a:chOff x="371475" y="2628900"/>
                            <a:chExt cx="123825" cy="95250"/>
                          </a:xfrm>
                        </a:grpSpPr>
                        <a:sp>
                          <a:nvSpPr>
                            <a:cNvPr id="102508" name="AutoShape 37"/>
                            <a:cNvSpPr>
                              <a:spLocks noChangeArrowheads="1"/>
                            </a:cNvSpPr>
                          </a:nvSpPr>
                          <a:spPr bwMode="auto">
                            <a:xfrm flipV="1">
                              <a:off x="371475" y="2628900"/>
                              <a:ext cx="123825" cy="95250"/>
                            </a:xfrm>
                            <a:prstGeom prst="triangle">
                              <a:avLst>
                                <a:gd name="adj" fmla="val 52940"/>
                              </a:avLst>
                            </a:prstGeom>
                            <a:solidFill>
                              <a:srgbClr val="FFFFFF"/>
                            </a:solidFill>
                            <a:ln w="9525">
                              <a:solidFill>
                                <a:srgbClr val="0000FF"/>
                              </a:solidFill>
                              <a:miter lim="800000"/>
                              <a:headEnd/>
                              <a:tailEnd/>
                            </a:ln>
                          </a:spPr>
                        </a:sp>
                      </lc:lockedCanvas>
                    </a:graphicData>
                  </a:graphic>
                </wp:anchor>
              </w:drawing>
            </w:r>
          </w:p>
          <w:tbl>
            <w:tblPr>
              <w:tblW w:w="0" w:type="auto"/>
              <w:tblCellSpacing w:w="0" w:type="dxa"/>
              <w:tblCellMar>
                <w:left w:w="0" w:type="dxa"/>
                <w:right w:w="0" w:type="dxa"/>
              </w:tblCellMar>
              <w:tblLook w:val="04A0"/>
            </w:tblPr>
            <w:tblGrid>
              <w:gridCol w:w="2400"/>
            </w:tblGrid>
            <w:tr w:rsidR="00AA532F" w:rsidRPr="00AA532F" w:rsidTr="00AA532F">
              <w:trPr>
                <w:trHeight w:val="229"/>
                <w:tblCellSpacing w:w="0" w:type="dxa"/>
              </w:trPr>
              <w:tc>
                <w:tcPr>
                  <w:tcW w:w="2400" w:type="dxa"/>
                  <w:tcBorders>
                    <w:top w:val="nil"/>
                    <w:left w:val="nil"/>
                    <w:bottom w:val="nil"/>
                    <w:right w:val="nil"/>
                  </w:tcBorders>
                  <w:shd w:val="clear" w:color="auto" w:fill="auto"/>
                  <w:noWrap/>
                  <w:vAlign w:val="bottom"/>
                  <w:hideMark/>
                </w:tcPr>
                <w:p w:rsidR="00AA532F" w:rsidRPr="00AA532F" w:rsidRDefault="00AA532F" w:rsidP="00A2558E">
                  <w:pPr>
                    <w:framePr w:hSpace="180" w:wrap="around" w:vAnchor="text" w:hAnchor="page" w:x="1992" w:y="-51"/>
                    <w:autoSpaceDE/>
                    <w:autoSpaceDN/>
                    <w:spacing w:after="0"/>
                    <w:rPr>
                      <w:rFonts w:eastAsia="Times New Roman" w:cs="Arial"/>
                      <w:sz w:val="18"/>
                      <w:szCs w:val="18"/>
                      <w:lang w:val="en-AU" w:eastAsia="en-AU"/>
                    </w:rPr>
                  </w:pPr>
                </w:p>
              </w:tc>
            </w:tr>
          </w:tbl>
          <w:p w:rsidR="00AA532F" w:rsidRPr="00AA532F" w:rsidRDefault="00AA532F" w:rsidP="00AA532F">
            <w:pPr>
              <w:autoSpaceDE/>
              <w:autoSpaceDN/>
              <w:spacing w:after="0"/>
              <w:rPr>
                <w:rFonts w:eastAsia="Times New Roman" w:cs="Arial"/>
                <w:sz w:val="20"/>
                <w:szCs w:val="20"/>
                <w:lang w:val="en-AU" w:eastAsia="en-AU"/>
              </w:rPr>
            </w:pPr>
          </w:p>
        </w:tc>
        <w:tc>
          <w:tcPr>
            <w:tcW w:w="1257"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r w:rsidRPr="00AA532F">
              <w:rPr>
                <w:rFonts w:eastAsia="Times New Roman" w:cs="Arial"/>
                <w:sz w:val="18"/>
                <w:szCs w:val="18"/>
                <w:lang w:val="en-AU" w:eastAsia="en-AU"/>
              </w:rPr>
              <w:t>20</w:t>
            </w: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jc w:val="center"/>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center"/>
            <w:hideMark/>
          </w:tcPr>
          <w:p w:rsidR="00AA532F" w:rsidRPr="00AA532F" w:rsidRDefault="00AA532F" w:rsidP="00AA532F">
            <w:pPr>
              <w:autoSpaceDE/>
              <w:autoSpaceDN/>
              <w:spacing w:after="0"/>
              <w:jc w:val="center"/>
              <w:rPr>
                <w:rFonts w:eastAsia="Times New Roman" w:cs="Arial"/>
                <w:sz w:val="18"/>
                <w:szCs w:val="18"/>
                <w:lang w:val="en-AU" w:eastAsia="en-AU"/>
              </w:rPr>
            </w:pPr>
            <w:r w:rsidRPr="00AA532F">
              <w:rPr>
                <w:rFonts w:eastAsia="Times New Roman" w:cs="Arial"/>
                <w:sz w:val="18"/>
                <w:szCs w:val="18"/>
                <w:lang w:val="en-AU" w:eastAsia="en-AU"/>
              </w:rPr>
              <w:t>325</w:t>
            </w: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jc w:val="right"/>
              <w:rPr>
                <w:rFonts w:ascii="Symbol" w:eastAsia="Times New Roman" w:hAnsi="Symbol" w:cs="Arial"/>
                <w:sz w:val="18"/>
                <w:szCs w:val="18"/>
                <w:lang w:val="en-AU" w:eastAsia="en-AU"/>
              </w:rPr>
            </w:pPr>
          </w:p>
        </w:tc>
        <w:tc>
          <w:tcPr>
            <w:tcW w:w="1257" w:type="dxa"/>
            <w:shd w:val="clear" w:color="auto" w:fill="auto"/>
            <w:noWrap/>
            <w:vAlign w:val="bottom"/>
            <w:hideMark/>
          </w:tcPr>
          <w:p w:rsidR="00AA532F" w:rsidRPr="00AA532F" w:rsidRDefault="001F0FE5" w:rsidP="00AA532F">
            <w:pPr>
              <w:autoSpaceDE/>
              <w:autoSpaceDN/>
              <w:spacing w:after="0"/>
              <w:jc w:val="center"/>
              <w:rPr>
                <w:rFonts w:eastAsia="Times New Roman" w:cs="Arial"/>
                <w:sz w:val="18"/>
                <w:szCs w:val="18"/>
                <w:lang w:val="en-AU" w:eastAsia="en-AU"/>
              </w:rPr>
            </w:pPr>
            <w:r w:rsidRPr="00AA532F">
              <w:rPr>
                <w:rFonts w:ascii="Symbol" w:eastAsia="Times New Roman" w:hAnsi="Symbol" w:cs="Arial"/>
                <w:sz w:val="18"/>
                <w:szCs w:val="18"/>
                <w:lang w:val="en-AU" w:eastAsia="en-AU"/>
              </w:rPr>
              <w:t></w:t>
            </w:r>
            <w:r w:rsidRPr="00AA532F">
              <w:rPr>
                <w:rFonts w:eastAsia="Times New Roman" w:cs="Arial"/>
                <w:sz w:val="18"/>
                <w:szCs w:val="18"/>
                <w:lang w:val="en-AU" w:eastAsia="en-AU"/>
              </w:rPr>
              <w:t>ϕ</w:t>
            </w:r>
            <w:r w:rsidRPr="00AA532F">
              <w:rPr>
                <w:rFonts w:eastAsia="Times New Roman" w:cs="Arial"/>
                <w:sz w:val="18"/>
                <w:szCs w:val="18"/>
                <w:vertAlign w:val="subscript"/>
                <w:lang w:val="en-AU" w:eastAsia="en-AU"/>
              </w:rPr>
              <w:t>T</w:t>
            </w:r>
            <w:r w:rsidRPr="00AA532F">
              <w:rPr>
                <w:rFonts w:eastAsia="Times New Roman" w:cs="Arial"/>
                <w:sz w:val="18"/>
                <w:szCs w:val="18"/>
                <w:lang w:val="en-AU" w:eastAsia="en-AU"/>
              </w:rPr>
              <w:t xml:space="preserve"> =</w:t>
            </w:r>
            <w:r>
              <w:rPr>
                <w:rFonts w:eastAsia="Times New Roman" w:cs="Arial"/>
                <w:sz w:val="18"/>
                <w:szCs w:val="18"/>
                <w:lang w:val="en-AU" w:eastAsia="en-AU"/>
              </w:rPr>
              <w:t xml:space="preserve"> </w:t>
            </w:r>
            <w:r w:rsidR="00AA532F" w:rsidRPr="00AA532F">
              <w:rPr>
                <w:rFonts w:eastAsia="Times New Roman" w:cs="Arial"/>
                <w:sz w:val="18"/>
                <w:szCs w:val="18"/>
                <w:lang w:val="en-AU" w:eastAsia="en-AU"/>
              </w:rPr>
              <w:t>305</w:t>
            </w:r>
          </w:p>
        </w:tc>
        <w:tc>
          <w:tcPr>
            <w:tcW w:w="1036" w:type="dxa"/>
            <w:shd w:val="clear" w:color="auto" w:fill="auto"/>
            <w:noWrap/>
            <w:vAlign w:val="center"/>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r>
      <w:tr w:rsidR="00AA532F" w:rsidRPr="00AA532F" w:rsidTr="00AA532F">
        <w:trPr>
          <w:trHeight w:val="229"/>
        </w:trPr>
        <w:tc>
          <w:tcPr>
            <w:tcW w:w="261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257"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10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89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36" w:type="dxa"/>
            <w:shd w:val="clear" w:color="auto" w:fill="auto"/>
            <w:noWrap/>
            <w:vAlign w:val="bottom"/>
            <w:hideMark/>
          </w:tcPr>
          <w:p w:rsidR="00AA532F" w:rsidRPr="00AA532F" w:rsidRDefault="00AA532F" w:rsidP="00AA532F">
            <w:pPr>
              <w:autoSpaceDE/>
              <w:autoSpaceDN/>
              <w:spacing w:after="0"/>
              <w:rPr>
                <w:rFonts w:eastAsia="Times New Roman" w:cs="Arial"/>
                <w:sz w:val="18"/>
                <w:szCs w:val="18"/>
                <w:lang w:val="en-AU" w:eastAsia="en-AU"/>
              </w:rPr>
            </w:pPr>
          </w:p>
        </w:tc>
        <w:tc>
          <w:tcPr>
            <w:tcW w:w="916" w:type="dxa"/>
            <w:shd w:val="clear" w:color="auto" w:fill="auto"/>
            <w:noWrap/>
            <w:vAlign w:val="bottom"/>
            <w:hideMark/>
          </w:tcPr>
          <w:p w:rsidR="00093D1C" w:rsidRDefault="00093D1C">
            <w:pPr>
              <w:keepNext/>
              <w:autoSpaceDE/>
              <w:autoSpaceDN/>
              <w:spacing w:after="0"/>
              <w:rPr>
                <w:rFonts w:eastAsia="Times New Roman" w:cs="Arial"/>
                <w:sz w:val="18"/>
                <w:szCs w:val="18"/>
                <w:lang w:val="en-AU" w:eastAsia="en-AU"/>
              </w:rPr>
            </w:pPr>
          </w:p>
        </w:tc>
      </w:tr>
    </w:tbl>
    <w:p w:rsidR="00FD4036" w:rsidRDefault="00FD4036" w:rsidP="00A90F48">
      <w:pPr>
        <w:pStyle w:val="Listintrotext"/>
      </w:pPr>
    </w:p>
    <w:p w:rsidR="00AA532F" w:rsidRDefault="00AA532F" w:rsidP="00A90F48">
      <w:pPr>
        <w:pStyle w:val="Listintrotext"/>
      </w:pPr>
    </w:p>
    <w:p w:rsidR="00AA532F" w:rsidRDefault="00AA532F"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F9199D" w:rsidRDefault="00F9199D" w:rsidP="00A90F48">
      <w:pPr>
        <w:pStyle w:val="Listintrotext"/>
      </w:pPr>
    </w:p>
    <w:p w:rsidR="00454A26" w:rsidRPr="00454A26" w:rsidRDefault="00454A26" w:rsidP="0012392A">
      <w:pPr>
        <w:pStyle w:val="BelowTableFigureText9pt"/>
      </w:pPr>
      <w:r w:rsidRPr="00454A26">
        <w:t>* de</w:t>
      </w:r>
      <w:r w:rsidR="003D4205">
        <w:t>notes metres below ground level</w:t>
      </w:r>
    </w:p>
    <w:p w:rsidR="00F9199D" w:rsidRDefault="00F9199D" w:rsidP="001F0FE5">
      <w:pPr>
        <w:pStyle w:val="Caption-figure"/>
      </w:pPr>
      <w:r>
        <w:t xml:space="preserve">Figure </w:t>
      </w:r>
      <w:r w:rsidR="00E252C4">
        <w:fldChar w:fldCharType="begin"/>
      </w:r>
      <w:r w:rsidR="00484FBC">
        <w:instrText xml:space="preserve"> SEQ Figure \* ARABIC </w:instrText>
      </w:r>
      <w:r w:rsidR="00E252C4">
        <w:fldChar w:fldCharType="separate"/>
      </w:r>
      <w:r w:rsidR="00906141">
        <w:rPr>
          <w:noProof/>
        </w:rPr>
        <w:t>28</w:t>
      </w:r>
      <w:r w:rsidR="00E252C4">
        <w:fldChar w:fldCharType="end"/>
      </w:r>
      <w:proofErr w:type="gramStart"/>
      <w:r>
        <w:t xml:space="preserve"> </w:t>
      </w:r>
      <w:r w:rsidR="00FB1E4C">
        <w:t>U</w:t>
      </w:r>
      <w:r w:rsidR="009E67A2">
        <w:t>niform geology model</w:t>
      </w:r>
      <w:r w:rsidR="00FB1E4C">
        <w:t xml:space="preserve"> example</w:t>
      </w:r>
      <w:proofErr w:type="gramEnd"/>
    </w:p>
    <w:p w:rsidR="00454A26" w:rsidRPr="001F0FE5" w:rsidRDefault="00454A26" w:rsidP="001F0FE5">
      <w:pPr>
        <w:pStyle w:val="Listintrotext"/>
        <w:rPr>
          <w:lang w:val="en-AU"/>
        </w:rPr>
      </w:pPr>
    </w:p>
    <w:p w:rsidR="00141481" w:rsidRPr="001F0FE5" w:rsidRDefault="00141481" w:rsidP="00A90F48">
      <w:pPr>
        <w:pStyle w:val="Listintrotext"/>
        <w:rPr>
          <w:lang w:val="en-AU"/>
        </w:rPr>
        <w:sectPr w:rsidR="00141481" w:rsidRPr="001F0FE5" w:rsidSect="0012392A">
          <w:headerReference w:type="default" r:id="rId77"/>
          <w:footerReference w:type="default" r:id="rId78"/>
          <w:headerReference w:type="first" r:id="rId79"/>
          <w:footerReference w:type="first" r:id="rId80"/>
          <w:pgSz w:w="11900" w:h="16840" w:code="9"/>
          <w:pgMar w:top="2097" w:right="1418" w:bottom="1418" w:left="1418" w:header="142" w:footer="567" w:gutter="0"/>
          <w:cols w:space="284"/>
          <w:noEndnote/>
          <w:titlePg/>
          <w:docGrid w:linePitch="326"/>
        </w:sectPr>
      </w:pPr>
    </w:p>
    <w:p w:rsidR="00141481" w:rsidRPr="00D60F9C" w:rsidRDefault="00141481" w:rsidP="000A76A0">
      <w:pPr>
        <w:pStyle w:val="Caption"/>
      </w:pPr>
      <w:proofErr w:type="gramStart"/>
      <w:r>
        <w:t xml:space="preserve">Table </w:t>
      </w:r>
      <w:proofErr w:type="gramEnd"/>
      <w:r w:rsidR="00E252C4">
        <w:fldChar w:fldCharType="begin"/>
      </w:r>
      <w:r w:rsidR="00484FBC">
        <w:instrText xml:space="preserve"> SEQ Table \* ARABIC </w:instrText>
      </w:r>
      <w:r w:rsidR="00E252C4">
        <w:fldChar w:fldCharType="separate"/>
      </w:r>
      <w:r w:rsidR="00906141">
        <w:rPr>
          <w:noProof/>
        </w:rPr>
        <w:t>10</w:t>
      </w:r>
      <w:r w:rsidR="00E252C4">
        <w:fldChar w:fldCharType="end"/>
      </w:r>
      <w:proofErr w:type="gramStart"/>
      <w:r>
        <w:t xml:space="preserve"> </w:t>
      </w:r>
      <w:r w:rsidRPr="00A90F48">
        <w:t>Conceptual</w:t>
      </w:r>
      <w:r>
        <w:t xml:space="preserve"> model calculation table for the uniform geology model</w:t>
      </w:r>
      <w:r w:rsidR="00FB1E4C">
        <w:t xml:space="preserve"> </w:t>
      </w:r>
      <w:r>
        <w:t xml:space="preserve">approach </w:t>
      </w:r>
      <w:r w:rsidR="00FB1E4C">
        <w:t>example shown</w:t>
      </w:r>
      <w:r>
        <w:t xml:space="preserve"> in Figure</w:t>
      </w:r>
      <w:r w:rsidR="005576AF">
        <w:t> </w:t>
      </w:r>
      <w:r>
        <w:t>28</w:t>
      </w:r>
      <w:r w:rsidR="00FB1E4C">
        <w:t>.</w:t>
      </w:r>
      <w:proofErr w:type="gramEnd"/>
      <w:r w:rsidR="00FB1E4C">
        <w:t xml:space="preserve"> T</w:t>
      </w:r>
      <w:r>
        <w:t xml:space="preserve">he total </w:t>
      </w:r>
      <w:r w:rsidR="005576AF">
        <w:t>compaction</w:t>
      </w:r>
      <w:r>
        <w:t xml:space="preserve"> due to groundwater pressure changes (S) is 72.4 </w:t>
      </w:r>
      <w:r w:rsidR="0036524B">
        <w:t>mm.</w:t>
      </w:r>
    </w:p>
    <w:tbl>
      <w:tblPr>
        <w:tblW w:w="13399" w:type="dxa"/>
        <w:tblInd w:w="108" w:type="dxa"/>
        <w:tblLayout w:type="fixed"/>
        <w:tblLook w:val="04A0"/>
      </w:tblPr>
      <w:tblGrid>
        <w:gridCol w:w="2694"/>
        <w:gridCol w:w="1133"/>
        <w:gridCol w:w="1204"/>
        <w:gridCol w:w="1348"/>
        <w:gridCol w:w="1277"/>
        <w:gridCol w:w="1276"/>
        <w:gridCol w:w="1418"/>
        <w:gridCol w:w="1417"/>
        <w:gridCol w:w="1632"/>
      </w:tblGrid>
      <w:tr w:rsidR="00241D48" w:rsidRPr="00FD4036" w:rsidTr="00E0564A">
        <w:trPr>
          <w:trHeight w:val="1031"/>
          <w:tblHeader/>
        </w:trPr>
        <w:tc>
          <w:tcPr>
            <w:tcW w:w="269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Geological </w:t>
            </w:r>
            <w:r w:rsidR="008E588E">
              <w:rPr>
                <w:rFonts w:eastAsia="Times New Roman"/>
                <w:lang w:val="en-AU"/>
              </w:rPr>
              <w:t>u</w:t>
            </w:r>
            <w:r w:rsidRPr="00FD4036">
              <w:rPr>
                <w:rFonts w:eastAsia="Times New Roman"/>
                <w:lang w:val="en-AU"/>
              </w:rPr>
              <w:t>nit</w:t>
            </w:r>
          </w:p>
        </w:tc>
        <w:tc>
          <w:tcPr>
            <w:tcW w:w="1133"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Depth to </w:t>
            </w:r>
            <w:r w:rsidR="008E588E">
              <w:rPr>
                <w:rFonts w:eastAsia="Times New Roman"/>
                <w:lang w:val="en-AU"/>
              </w:rPr>
              <w:t>b</w:t>
            </w:r>
            <w:r w:rsidRPr="00FD4036">
              <w:rPr>
                <w:rFonts w:eastAsia="Times New Roman"/>
                <w:lang w:val="en-AU"/>
              </w:rPr>
              <w:t xml:space="preserve">ottom of </w:t>
            </w:r>
            <w:r w:rsidR="008E588E">
              <w:rPr>
                <w:rFonts w:eastAsia="Times New Roman"/>
                <w:lang w:val="en-AU"/>
              </w:rPr>
              <w:t>u</w:t>
            </w:r>
            <w:r w:rsidRPr="00FD4036">
              <w:rPr>
                <w:rFonts w:eastAsia="Times New Roman"/>
                <w:lang w:val="en-AU"/>
              </w:rPr>
              <w:t>nit (mbgl)*</w:t>
            </w:r>
          </w:p>
        </w:tc>
        <w:tc>
          <w:tcPr>
            <w:tcW w:w="1204"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Thickness (m)</w:t>
            </w:r>
          </w:p>
        </w:tc>
        <w:tc>
          <w:tcPr>
            <w:tcW w:w="1348"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m</w:t>
            </w:r>
            <w:r w:rsidRPr="00FD4036">
              <w:rPr>
                <w:rFonts w:eastAsia="Times New Roman"/>
                <w:vertAlign w:val="subscript"/>
                <w:lang w:val="en-AU"/>
              </w:rPr>
              <w:t>v</w:t>
            </w:r>
            <w:r w:rsidR="008D2BA6">
              <w:rPr>
                <w:rFonts w:eastAsia="Times New Roman"/>
                <w:lang w:val="en-AU"/>
              </w:rPr>
              <w:br/>
            </w:r>
            <w:r w:rsidRPr="00FD4036">
              <w:rPr>
                <w:rFonts w:eastAsia="Times New Roman"/>
                <w:lang w:val="en-AU"/>
              </w:rPr>
              <w:t>(MPa</w:t>
            </w:r>
            <w:r w:rsidRPr="00FD4036">
              <w:rPr>
                <w:rFonts w:eastAsia="Times New Roman"/>
                <w:vertAlign w:val="superscript"/>
                <w:lang w:val="en-AU"/>
              </w:rPr>
              <w:t>-1</w:t>
            </w:r>
            <w:r w:rsidRPr="00FD4036">
              <w:rPr>
                <w:rFonts w:eastAsia="Times New Roman"/>
                <w:lang w:val="en-AU"/>
              </w:rPr>
              <w:t>)</w:t>
            </w:r>
          </w:p>
        </w:tc>
        <w:tc>
          <w:tcPr>
            <w:tcW w:w="1277"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Initial </w:t>
            </w:r>
            <w:r w:rsidR="008E588E">
              <w:rPr>
                <w:rFonts w:eastAsia="Times New Roman"/>
                <w:lang w:val="en-AU"/>
              </w:rPr>
              <w:t>p</w:t>
            </w:r>
            <w:r w:rsidRPr="00FD4036">
              <w:rPr>
                <w:rFonts w:eastAsia="Times New Roman"/>
                <w:lang w:val="en-AU"/>
              </w:rPr>
              <w:t xml:space="preserve">ressure </w:t>
            </w:r>
            <w:r w:rsidR="008E588E">
              <w:rPr>
                <w:rFonts w:eastAsia="Times New Roman"/>
                <w:lang w:val="en-AU"/>
              </w:rPr>
              <w:t>h</w:t>
            </w:r>
            <w:r w:rsidRPr="00FD4036">
              <w:rPr>
                <w:rFonts w:eastAsia="Times New Roman"/>
                <w:lang w:val="en-AU"/>
              </w:rPr>
              <w:t xml:space="preserve">ead at </w:t>
            </w:r>
            <w:r w:rsidR="008E588E">
              <w:rPr>
                <w:rFonts w:eastAsia="Times New Roman"/>
                <w:lang w:val="en-AU"/>
              </w:rPr>
              <w:t>b</w:t>
            </w:r>
            <w:r w:rsidRPr="00FD4036">
              <w:rPr>
                <w:rFonts w:eastAsia="Times New Roman"/>
                <w:lang w:val="en-AU"/>
              </w:rPr>
              <w:t xml:space="preserve">ase of </w:t>
            </w:r>
            <w:r w:rsidR="008E588E">
              <w:rPr>
                <w:rFonts w:eastAsia="Times New Roman"/>
                <w:lang w:val="en-AU"/>
              </w:rPr>
              <w:t>u</w:t>
            </w:r>
            <w:r w:rsidRPr="00FD4036">
              <w:rPr>
                <w:rFonts w:eastAsia="Times New Roman"/>
                <w:lang w:val="en-AU"/>
              </w:rPr>
              <w:t>nit (m)</w:t>
            </w:r>
          </w:p>
        </w:tc>
        <w:tc>
          <w:tcPr>
            <w:tcW w:w="1276"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Final </w:t>
            </w:r>
            <w:r w:rsidR="008E588E">
              <w:rPr>
                <w:rFonts w:eastAsia="Times New Roman"/>
                <w:lang w:val="en-AU"/>
              </w:rPr>
              <w:t>p</w:t>
            </w:r>
            <w:r w:rsidRPr="00FD4036">
              <w:rPr>
                <w:rFonts w:eastAsia="Times New Roman"/>
                <w:lang w:val="en-AU"/>
              </w:rPr>
              <w:t xml:space="preserve">ressure </w:t>
            </w:r>
            <w:r w:rsidR="008E588E">
              <w:rPr>
                <w:rFonts w:eastAsia="Times New Roman"/>
                <w:lang w:val="en-AU"/>
              </w:rPr>
              <w:t>h</w:t>
            </w:r>
            <w:r w:rsidRPr="00FD4036">
              <w:rPr>
                <w:rFonts w:eastAsia="Times New Roman"/>
                <w:lang w:val="en-AU"/>
              </w:rPr>
              <w:t xml:space="preserve">ead at </w:t>
            </w:r>
            <w:r w:rsidR="008E588E">
              <w:rPr>
                <w:rFonts w:eastAsia="Times New Roman"/>
                <w:lang w:val="en-AU"/>
              </w:rPr>
              <w:t>b</w:t>
            </w:r>
            <w:r w:rsidRPr="00FD4036">
              <w:rPr>
                <w:rFonts w:eastAsia="Times New Roman"/>
                <w:lang w:val="en-AU"/>
              </w:rPr>
              <w:t xml:space="preserve">ase of </w:t>
            </w:r>
            <w:r w:rsidR="008E588E">
              <w:rPr>
                <w:rFonts w:eastAsia="Times New Roman"/>
                <w:lang w:val="en-AU"/>
              </w:rPr>
              <w:t>u</w:t>
            </w:r>
            <w:r w:rsidRPr="00FD4036">
              <w:rPr>
                <w:rFonts w:eastAsia="Times New Roman"/>
                <w:lang w:val="en-AU"/>
              </w:rPr>
              <w:t>nit (m)</w:t>
            </w:r>
          </w:p>
        </w:tc>
        <w:tc>
          <w:tcPr>
            <w:tcW w:w="1418"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Change in </w:t>
            </w:r>
            <w:r w:rsidR="008E588E">
              <w:rPr>
                <w:rFonts w:eastAsia="Times New Roman"/>
                <w:lang w:val="en-AU"/>
              </w:rPr>
              <w:t>p</w:t>
            </w:r>
            <w:r w:rsidRPr="00FD4036">
              <w:rPr>
                <w:rFonts w:eastAsia="Times New Roman"/>
                <w:lang w:val="en-AU"/>
              </w:rPr>
              <w:t xml:space="preserve">ressure </w:t>
            </w:r>
            <w:r w:rsidR="008E588E">
              <w:rPr>
                <w:rFonts w:eastAsia="Times New Roman"/>
                <w:lang w:val="en-AU"/>
              </w:rPr>
              <w:t>h</w:t>
            </w:r>
            <w:r w:rsidRPr="00FD4036">
              <w:rPr>
                <w:rFonts w:eastAsia="Times New Roman"/>
                <w:lang w:val="en-AU"/>
              </w:rPr>
              <w:t xml:space="preserve">ead at </w:t>
            </w:r>
            <w:r w:rsidR="008E588E">
              <w:rPr>
                <w:rFonts w:eastAsia="Times New Roman"/>
                <w:lang w:val="en-AU"/>
              </w:rPr>
              <w:t>b</w:t>
            </w:r>
            <w:r w:rsidRPr="00FD4036">
              <w:rPr>
                <w:rFonts w:eastAsia="Times New Roman"/>
                <w:lang w:val="en-AU"/>
              </w:rPr>
              <w:t>ase of Unit (m)</w:t>
            </w:r>
          </w:p>
        </w:tc>
        <w:tc>
          <w:tcPr>
            <w:tcW w:w="1417"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Average </w:t>
            </w:r>
            <w:r w:rsidR="008E588E">
              <w:rPr>
                <w:rFonts w:eastAsia="Times New Roman"/>
                <w:lang w:val="en-AU"/>
              </w:rPr>
              <w:t>c</w:t>
            </w:r>
            <w:r w:rsidRPr="00FD4036">
              <w:rPr>
                <w:rFonts w:eastAsia="Times New Roman"/>
                <w:lang w:val="en-AU"/>
              </w:rPr>
              <w:t xml:space="preserve">hange in </w:t>
            </w:r>
            <w:r w:rsidR="008E588E">
              <w:rPr>
                <w:rFonts w:eastAsia="Times New Roman"/>
                <w:lang w:val="en-AU"/>
              </w:rPr>
              <w:t>p</w:t>
            </w:r>
            <w:r w:rsidRPr="00FD4036">
              <w:rPr>
                <w:rFonts w:eastAsia="Times New Roman"/>
                <w:lang w:val="en-AU"/>
              </w:rPr>
              <w:t xml:space="preserve">ressure </w:t>
            </w:r>
            <w:r w:rsidR="008E588E">
              <w:rPr>
                <w:rFonts w:eastAsia="Times New Roman"/>
                <w:lang w:val="en-AU"/>
              </w:rPr>
              <w:t>h</w:t>
            </w:r>
            <w:r w:rsidRPr="00FD4036">
              <w:rPr>
                <w:rFonts w:eastAsia="Times New Roman"/>
                <w:lang w:val="en-AU"/>
              </w:rPr>
              <w:t>ead in Unit (m)</w:t>
            </w:r>
          </w:p>
        </w:tc>
        <w:tc>
          <w:tcPr>
            <w:tcW w:w="1632" w:type="dxa"/>
            <w:tcBorders>
              <w:top w:val="single" w:sz="4" w:space="0" w:color="auto"/>
              <w:left w:val="nil"/>
              <w:bottom w:val="single" w:sz="4" w:space="0" w:color="auto"/>
              <w:right w:val="single" w:sz="4" w:space="0" w:color="auto"/>
            </w:tcBorders>
            <w:shd w:val="clear" w:color="auto" w:fill="C6D9F1" w:themeFill="text2" w:themeFillTint="33"/>
            <w:hideMark/>
          </w:tcPr>
          <w:p w:rsidR="00141481" w:rsidRPr="00FD4036" w:rsidRDefault="00141481" w:rsidP="0036524B">
            <w:pPr>
              <w:pStyle w:val="Tableheading"/>
              <w:rPr>
                <w:rFonts w:eastAsia="Times New Roman"/>
                <w:lang w:val="en-AU"/>
              </w:rPr>
            </w:pPr>
            <w:r w:rsidRPr="00FD4036">
              <w:rPr>
                <w:rFonts w:eastAsia="Times New Roman"/>
                <w:lang w:val="en-AU"/>
              </w:rPr>
              <w:t xml:space="preserve">Compression of </w:t>
            </w:r>
            <w:r w:rsidR="008E588E">
              <w:rPr>
                <w:rFonts w:eastAsia="Times New Roman"/>
                <w:lang w:val="en-AU"/>
              </w:rPr>
              <w:t>u</w:t>
            </w:r>
            <w:r w:rsidRPr="00FD4036">
              <w:rPr>
                <w:rFonts w:eastAsia="Times New Roman"/>
                <w:lang w:val="en-AU"/>
              </w:rPr>
              <w:t>nit, S</w:t>
            </w:r>
            <w:r w:rsidRPr="00FD4036">
              <w:rPr>
                <w:rFonts w:eastAsia="Times New Roman"/>
                <w:vertAlign w:val="subscript"/>
                <w:lang w:val="en-AU"/>
              </w:rPr>
              <w:t>i</w:t>
            </w:r>
            <w:r w:rsidRPr="00FD4036">
              <w:rPr>
                <w:rFonts w:eastAsia="Times New Roman"/>
                <w:lang w:val="en-AU"/>
              </w:rPr>
              <w:t xml:space="preserve"> (mm)</w:t>
            </w:r>
          </w:p>
        </w:tc>
      </w:tr>
      <w:tr w:rsidR="00241D48" w:rsidRPr="00FD4036" w:rsidTr="00E0564A">
        <w:trPr>
          <w:trHeight w:val="229"/>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Alluvium (unsaturated)</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20</w:t>
            </w:r>
          </w:p>
        </w:tc>
        <w:tc>
          <w:tcPr>
            <w:tcW w:w="1348" w:type="dxa"/>
            <w:tcBorders>
              <w:top w:val="single" w:sz="4" w:space="0" w:color="auto"/>
              <w:left w:val="nil"/>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 </w:t>
            </w:r>
            <w:r w:rsidR="003D4205">
              <w:rPr>
                <w:rFonts w:eastAsia="Times New Roman"/>
                <w:lang w:val="en-AU" w:eastAsia="en-AU"/>
              </w:rPr>
              <w:t>-</w:t>
            </w: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417" w:type="dxa"/>
            <w:tcBorders>
              <w:top w:val="nil"/>
              <w:left w:val="nil"/>
              <w:bottom w:val="nil"/>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0.0</w:t>
            </w:r>
          </w:p>
        </w:tc>
      </w:tr>
      <w:tr w:rsidR="00241D48" w:rsidRPr="00FD4036" w:rsidTr="00E0564A">
        <w:trPr>
          <w:trHeight w:val="229"/>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Alluvium (saturated)</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40</w:t>
            </w:r>
          </w:p>
        </w:tc>
        <w:tc>
          <w:tcPr>
            <w:tcW w:w="1348" w:type="dxa"/>
            <w:tcBorders>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 </w:t>
            </w: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40</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417" w:type="dxa"/>
            <w:tcBorders>
              <w:top w:val="single" w:sz="4" w:space="0" w:color="auto"/>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0.0</w:t>
            </w:r>
          </w:p>
        </w:tc>
      </w:tr>
      <w:tr w:rsidR="00241D48" w:rsidRPr="00FD4036" w:rsidTr="003D4205">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Sedimentary Rock Unit 1</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41481" w:rsidRPr="00FD4036" w:rsidRDefault="00141481" w:rsidP="003D4205">
            <w:pPr>
              <w:pStyle w:val="Tabletext"/>
              <w:rPr>
                <w:rFonts w:eastAsia="Times New Roman"/>
                <w:lang w:val="en-AU" w:eastAsia="en-AU"/>
              </w:rPr>
            </w:pPr>
            <w:r w:rsidRPr="00FD4036">
              <w:rPr>
                <w:rFonts w:eastAsia="Times New Roman"/>
                <w:lang w:val="en-AU" w:eastAsia="en-AU"/>
              </w:rPr>
              <w:t>5.38</w:t>
            </w:r>
            <w:r w:rsidR="00B109B6">
              <w:rPr>
                <w:rFonts w:eastAsia="Times New Roman"/>
                <w:lang w:val="en-AU" w:eastAsia="en-AU"/>
              </w:rPr>
              <w:t>x10</w:t>
            </w:r>
            <w:r w:rsidRPr="00B109B6">
              <w:rPr>
                <w:rFonts w:eastAsia="Times New Roman"/>
                <w:vertAlign w:val="superscript"/>
                <w:lang w:val="en-AU" w:eastAsia="en-AU"/>
              </w:rPr>
              <w:t>-5</w:t>
            </w: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38</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-102</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51</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2.7</w:t>
            </w:r>
          </w:p>
        </w:tc>
      </w:tr>
      <w:tr w:rsidR="00241D48" w:rsidRPr="00FD4036" w:rsidTr="00E0564A">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Sedimentary Rock Unit 2</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tcBorders>
              <w:top w:val="nil"/>
              <w:left w:val="single" w:sz="4" w:space="0" w:color="auto"/>
              <w:bottom w:val="single" w:sz="4" w:space="0" w:color="000000"/>
              <w:right w:val="single" w:sz="4" w:space="0" w:color="auto"/>
            </w:tcBorders>
            <w:hideMark/>
          </w:tcPr>
          <w:p w:rsidR="00141481" w:rsidRPr="00FD4036" w:rsidRDefault="00141481" w:rsidP="0036524B">
            <w:pPr>
              <w:pStyle w:val="Tabletext"/>
              <w:rPr>
                <w:rFonts w:eastAsia="Times New Roman"/>
                <w:lang w:val="en-AU" w:eastAsia="en-AU"/>
              </w:rPr>
            </w:pP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37</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-203</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153</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8.0</w:t>
            </w:r>
          </w:p>
        </w:tc>
      </w:tr>
      <w:tr w:rsidR="00241D48" w:rsidRPr="00FD4036" w:rsidTr="00E0564A">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Sedimentary Rock Unit 3</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tcBorders>
              <w:top w:val="nil"/>
              <w:left w:val="single" w:sz="4" w:space="0" w:color="auto"/>
              <w:bottom w:val="single" w:sz="4" w:space="0" w:color="000000"/>
              <w:right w:val="single" w:sz="4" w:space="0" w:color="auto"/>
            </w:tcBorders>
            <w:hideMark/>
          </w:tcPr>
          <w:p w:rsidR="00141481" w:rsidRPr="00FD4036" w:rsidRDefault="00141481" w:rsidP="0036524B">
            <w:pPr>
              <w:pStyle w:val="Tabletext"/>
              <w:rPr>
                <w:rFonts w:eastAsia="Times New Roman"/>
                <w:lang w:val="en-AU" w:eastAsia="en-AU"/>
              </w:rPr>
            </w:pP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35</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254</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13.4</w:t>
            </w:r>
          </w:p>
        </w:tc>
      </w:tr>
      <w:tr w:rsidR="00241D48" w:rsidRPr="00FD4036" w:rsidTr="00E0564A">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CSG Bearing Formation</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460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tcBorders>
              <w:top w:val="nil"/>
              <w:left w:val="single" w:sz="4" w:space="0" w:color="auto"/>
              <w:bottom w:val="single" w:sz="4" w:space="0" w:color="000000"/>
              <w:right w:val="single" w:sz="4" w:space="0" w:color="auto"/>
            </w:tcBorders>
            <w:hideMark/>
          </w:tcPr>
          <w:p w:rsidR="00141481" w:rsidRPr="00FD4036" w:rsidRDefault="00141481" w:rsidP="0036524B">
            <w:pPr>
              <w:pStyle w:val="Tabletext"/>
              <w:rPr>
                <w:rFonts w:eastAsia="Times New Roman"/>
                <w:lang w:val="en-AU" w:eastAsia="en-AU"/>
              </w:rPr>
            </w:pP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440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135</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16.1</w:t>
            </w:r>
          </w:p>
        </w:tc>
      </w:tr>
      <w:tr w:rsidR="00241D48" w:rsidRPr="00FD4036" w:rsidTr="00E0564A">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Sedimentary Rock Unit 4</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560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tcBorders>
              <w:top w:val="nil"/>
              <w:left w:val="single" w:sz="4" w:space="0" w:color="auto"/>
              <w:bottom w:val="single" w:sz="4" w:space="0" w:color="000000"/>
              <w:right w:val="single" w:sz="4" w:space="0" w:color="auto"/>
            </w:tcBorders>
            <w:hideMark/>
          </w:tcPr>
          <w:p w:rsidR="00141481" w:rsidRPr="00FD4036" w:rsidRDefault="00141481" w:rsidP="0036524B">
            <w:pPr>
              <w:pStyle w:val="Tabletext"/>
              <w:rPr>
                <w:rFonts w:eastAsia="Times New Roman"/>
                <w:lang w:val="en-AU" w:eastAsia="en-AU"/>
              </w:rPr>
            </w:pP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540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235</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16.1</w:t>
            </w:r>
          </w:p>
        </w:tc>
      </w:tr>
      <w:tr w:rsidR="00241D48" w:rsidRPr="00FD4036" w:rsidTr="00E0564A">
        <w:trPr>
          <w:trHeight w:val="240"/>
        </w:trPr>
        <w:tc>
          <w:tcPr>
            <w:tcW w:w="2694" w:type="dxa"/>
            <w:tcBorders>
              <w:top w:val="nil"/>
              <w:left w:val="single" w:sz="4" w:space="0" w:color="auto"/>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Sedimentary Rock Unit 5</w:t>
            </w:r>
          </w:p>
        </w:tc>
        <w:tc>
          <w:tcPr>
            <w:tcW w:w="1133"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660</w:t>
            </w:r>
          </w:p>
        </w:tc>
        <w:tc>
          <w:tcPr>
            <w:tcW w:w="1204"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100</w:t>
            </w:r>
          </w:p>
        </w:tc>
        <w:tc>
          <w:tcPr>
            <w:tcW w:w="1348" w:type="dxa"/>
            <w:vMerge/>
            <w:tcBorders>
              <w:top w:val="nil"/>
              <w:left w:val="single" w:sz="4" w:space="0" w:color="auto"/>
              <w:bottom w:val="single" w:sz="4" w:space="0" w:color="000000"/>
              <w:right w:val="single" w:sz="4" w:space="0" w:color="auto"/>
            </w:tcBorders>
            <w:hideMark/>
          </w:tcPr>
          <w:p w:rsidR="00141481" w:rsidRPr="00FD4036" w:rsidRDefault="00141481" w:rsidP="0036524B">
            <w:pPr>
              <w:pStyle w:val="Tabletext"/>
              <w:rPr>
                <w:rFonts w:eastAsia="Times New Roman"/>
                <w:lang w:val="en-AU" w:eastAsia="en-AU"/>
              </w:rPr>
            </w:pPr>
          </w:p>
        </w:tc>
        <w:tc>
          <w:tcPr>
            <w:tcW w:w="127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640</w:t>
            </w:r>
          </w:p>
        </w:tc>
        <w:tc>
          <w:tcPr>
            <w:tcW w:w="1276"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335</w:t>
            </w:r>
          </w:p>
        </w:tc>
        <w:tc>
          <w:tcPr>
            <w:tcW w:w="1418"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417"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305</w:t>
            </w:r>
          </w:p>
        </w:tc>
        <w:tc>
          <w:tcPr>
            <w:tcW w:w="1632" w:type="dxa"/>
            <w:tcBorders>
              <w:top w:val="nil"/>
              <w:left w:val="nil"/>
              <w:bottom w:val="single" w:sz="4" w:space="0" w:color="auto"/>
              <w:right w:val="single" w:sz="4" w:space="0" w:color="auto"/>
            </w:tcBorders>
            <w:shd w:val="clear" w:color="auto" w:fill="auto"/>
            <w:noWrap/>
            <w:hideMark/>
          </w:tcPr>
          <w:p w:rsidR="00141481" w:rsidRPr="00FD4036" w:rsidRDefault="00141481" w:rsidP="0036524B">
            <w:pPr>
              <w:pStyle w:val="Tabletext"/>
              <w:rPr>
                <w:rFonts w:eastAsia="Times New Roman"/>
                <w:lang w:val="en-AU" w:eastAsia="en-AU"/>
              </w:rPr>
            </w:pPr>
            <w:r w:rsidRPr="00FD4036">
              <w:rPr>
                <w:rFonts w:eastAsia="Times New Roman"/>
                <w:lang w:val="en-AU" w:eastAsia="en-AU"/>
              </w:rPr>
              <w:t>16.1</w:t>
            </w:r>
          </w:p>
        </w:tc>
      </w:tr>
    </w:tbl>
    <w:p w:rsidR="00A90F48" w:rsidRPr="009B4ECD" w:rsidRDefault="00454A26" w:rsidP="000A76A0">
      <w:pPr>
        <w:pStyle w:val="Listintrotext"/>
        <w:rPr>
          <w:sz w:val="18"/>
          <w:szCs w:val="18"/>
        </w:rPr>
      </w:pPr>
      <w:r w:rsidRPr="009B4ECD">
        <w:rPr>
          <w:sz w:val="18"/>
          <w:szCs w:val="18"/>
          <w:lang w:val="en-AU" w:eastAsia="en-AU"/>
        </w:rPr>
        <w:t>* denotes metres below ground level</w:t>
      </w:r>
    </w:p>
    <w:p w:rsidR="00454A26" w:rsidRDefault="00454A26" w:rsidP="00A90F48">
      <w:pPr>
        <w:pStyle w:val="Listintrotext"/>
      </w:pPr>
    </w:p>
    <w:p w:rsidR="00454A26" w:rsidRDefault="00454A26" w:rsidP="00A90F48">
      <w:pPr>
        <w:pStyle w:val="Listintrotext"/>
        <w:sectPr w:rsidR="00454A26" w:rsidSect="000A76A0">
          <w:headerReference w:type="default" r:id="rId81"/>
          <w:headerReference w:type="first" r:id="rId82"/>
          <w:footerReference w:type="first" r:id="rId83"/>
          <w:pgSz w:w="16840" w:h="11900" w:orient="landscape" w:code="9"/>
          <w:pgMar w:top="1972" w:right="1418" w:bottom="1418" w:left="1418" w:header="142" w:footer="567" w:gutter="0"/>
          <w:cols w:space="284"/>
          <w:noEndnote/>
          <w:titlePg/>
          <w:docGrid w:linePitch="326"/>
        </w:sectPr>
      </w:pPr>
    </w:p>
    <w:p w:rsidR="00C1635A" w:rsidRPr="00C1635A" w:rsidRDefault="00C1635A" w:rsidP="000C70AD">
      <w:pPr>
        <w:pStyle w:val="Heading3"/>
      </w:pPr>
      <w:bookmarkStart w:id="572" w:name="_Toc338078425"/>
      <w:bookmarkStart w:id="573" w:name="_Toc387410262"/>
      <w:r w:rsidRPr="00C1635A">
        <w:t xml:space="preserve">Variable </w:t>
      </w:r>
      <w:r w:rsidR="00FD23B8">
        <w:t>p</w:t>
      </w:r>
      <w:r w:rsidRPr="00C1635A">
        <w:t xml:space="preserve">ermeability </w:t>
      </w:r>
      <w:r w:rsidR="00FD23B8">
        <w:t>m</w:t>
      </w:r>
      <w:r w:rsidRPr="00C1635A">
        <w:t>odel</w:t>
      </w:r>
      <w:bookmarkEnd w:id="572"/>
      <w:r w:rsidRPr="00C1635A">
        <w:t xml:space="preserve"> (</w:t>
      </w:r>
      <w:r w:rsidR="00FD23B8">
        <w:t>s</w:t>
      </w:r>
      <w:r w:rsidRPr="00C1635A">
        <w:t xml:space="preserve">teady </w:t>
      </w:r>
      <w:r w:rsidR="00FD23B8">
        <w:t>s</w:t>
      </w:r>
      <w:r w:rsidRPr="00C1635A">
        <w:t xml:space="preserve">tate, </w:t>
      </w:r>
      <w:r w:rsidR="00C05136">
        <w:t>one-dimensional</w:t>
      </w:r>
      <w:r w:rsidRPr="00C1635A">
        <w:t>)</w:t>
      </w:r>
      <w:bookmarkEnd w:id="573"/>
    </w:p>
    <w:p w:rsidR="00C1635A" w:rsidRPr="00C1635A" w:rsidRDefault="00C1635A" w:rsidP="00781EF7">
      <w:pPr>
        <w:pStyle w:val="Heading4"/>
      </w:pPr>
      <w:bookmarkStart w:id="574" w:name="_Toc338078426"/>
      <w:r w:rsidRPr="00C1635A">
        <w:t>Approach</w:t>
      </w:r>
      <w:bookmarkEnd w:id="574"/>
    </w:p>
    <w:p w:rsidR="00C1635A" w:rsidRPr="00C1635A" w:rsidRDefault="00C1635A" w:rsidP="00C1635A">
      <w:pPr>
        <w:pStyle w:val="BRNormal11pt0"/>
        <w:rPr>
          <w:lang w:val="en-AU"/>
        </w:rPr>
      </w:pPr>
      <w:r w:rsidRPr="00C1635A">
        <w:rPr>
          <w:lang w:val="en-AU"/>
        </w:rPr>
        <w:t xml:space="preserve">One step toward reducing the simplifications of the </w:t>
      </w:r>
      <w:r w:rsidR="00402BD6">
        <w:rPr>
          <w:lang w:val="en-AU"/>
        </w:rPr>
        <w:t>u</w:t>
      </w:r>
      <w:r w:rsidRPr="00C1635A">
        <w:rPr>
          <w:lang w:val="en-AU"/>
        </w:rPr>
        <w:t xml:space="preserve">niform </w:t>
      </w:r>
      <w:r w:rsidR="00402BD6">
        <w:rPr>
          <w:lang w:val="en-AU"/>
        </w:rPr>
        <w:t>g</w:t>
      </w:r>
      <w:r w:rsidRPr="00C1635A">
        <w:rPr>
          <w:lang w:val="en-AU"/>
        </w:rPr>
        <w:t xml:space="preserve">eology </w:t>
      </w:r>
      <w:r w:rsidR="00402BD6">
        <w:rPr>
          <w:lang w:val="en-AU"/>
        </w:rPr>
        <w:t>m</w:t>
      </w:r>
      <w:r w:rsidRPr="00C1635A">
        <w:rPr>
          <w:lang w:val="en-AU"/>
        </w:rPr>
        <w:t>odel is to account for the variable hydraulic conductivity of hydrogeological units.</w:t>
      </w:r>
    </w:p>
    <w:p w:rsidR="00C1635A" w:rsidRPr="00C1635A" w:rsidRDefault="00C1635A" w:rsidP="00C1635A">
      <w:pPr>
        <w:pStyle w:val="BRNormal11pt0"/>
        <w:rPr>
          <w:lang w:val="en-AU"/>
        </w:rPr>
      </w:pPr>
      <w:r w:rsidRPr="00C1635A">
        <w:rPr>
          <w:lang w:val="en-AU"/>
        </w:rPr>
        <w:t>This modelling approach is one dimensional and assumes uniform properties for the geological units, but considers that each geological unit may possess a different hydraulic conductivity.</w:t>
      </w:r>
    </w:p>
    <w:p w:rsidR="00C1635A" w:rsidRPr="00C1635A" w:rsidRDefault="00C1635A" w:rsidP="00C1635A">
      <w:pPr>
        <w:pStyle w:val="BRNormal11pt0"/>
        <w:rPr>
          <w:lang w:val="en-AU"/>
        </w:rPr>
      </w:pPr>
      <w:r w:rsidRPr="00C1635A">
        <w:rPr>
          <w:lang w:val="en-AU"/>
        </w:rPr>
        <w:t>The accuracy of the potential subsidence assessment may be improved by inclusion of hydraulic information. However, this method remains relatively simplified and may not be appropriate beyond screening-level assessment.</w:t>
      </w:r>
    </w:p>
    <w:p w:rsidR="00C1635A" w:rsidRPr="00C1635A" w:rsidRDefault="00C1635A" w:rsidP="00781EF7">
      <w:pPr>
        <w:pStyle w:val="Heading4"/>
      </w:pPr>
      <w:bookmarkStart w:id="575" w:name="_Toc338078427"/>
      <w:r w:rsidRPr="00C1635A">
        <w:t>Requirements</w:t>
      </w:r>
      <w:bookmarkEnd w:id="575"/>
    </w:p>
    <w:p w:rsidR="00C1635A" w:rsidRPr="00C1635A" w:rsidRDefault="00C1635A" w:rsidP="00C1635A">
      <w:pPr>
        <w:pStyle w:val="Listintrotext"/>
        <w:rPr>
          <w:lang w:val="en-GB"/>
        </w:rPr>
      </w:pPr>
      <w:r w:rsidRPr="00C1635A">
        <w:rPr>
          <w:lang w:val="en-GB"/>
        </w:rPr>
        <w:t xml:space="preserve">This approach </w:t>
      </w:r>
      <w:r w:rsidRPr="00C1635A">
        <w:t>requires</w:t>
      </w:r>
      <w:r w:rsidRPr="00C1635A">
        <w:rPr>
          <w:lang w:val="en-GB"/>
        </w:rPr>
        <w:t xml:space="preserve"> data relating to:</w:t>
      </w:r>
    </w:p>
    <w:p w:rsidR="00C1635A" w:rsidRPr="00C1635A" w:rsidRDefault="00F357A6" w:rsidP="007702DF">
      <w:pPr>
        <w:pStyle w:val="BRdotpoints"/>
        <w:rPr>
          <w:lang w:val="en-GB"/>
        </w:rPr>
      </w:pPr>
      <w:r>
        <w:rPr>
          <w:lang w:val="en-GB"/>
        </w:rPr>
        <w:t>t</w:t>
      </w:r>
      <w:r w:rsidR="00C1635A" w:rsidRPr="00C1635A">
        <w:rPr>
          <w:lang w:val="en-GB"/>
        </w:rPr>
        <w:t>hickness of each geological unit</w:t>
      </w:r>
    </w:p>
    <w:p w:rsidR="00C1635A" w:rsidRPr="00C1635A" w:rsidRDefault="00F357A6" w:rsidP="007702DF">
      <w:pPr>
        <w:pStyle w:val="BRdotpoints"/>
        <w:rPr>
          <w:lang w:val="en-GB"/>
        </w:rPr>
      </w:pPr>
      <w:r>
        <w:rPr>
          <w:lang w:val="en-GB"/>
        </w:rPr>
        <w:t>h</w:t>
      </w:r>
      <w:r w:rsidR="00C1635A" w:rsidRPr="00C1635A">
        <w:rPr>
          <w:lang w:val="en-GB"/>
        </w:rPr>
        <w:t>ydraulic conductivity of each geological unit</w:t>
      </w:r>
    </w:p>
    <w:p w:rsidR="00C1635A" w:rsidRPr="00C1635A" w:rsidRDefault="00F357A6" w:rsidP="007702DF">
      <w:pPr>
        <w:pStyle w:val="BRdotpoints"/>
        <w:rPr>
          <w:lang w:val="en-GB"/>
        </w:rPr>
      </w:pPr>
      <w:proofErr w:type="gramStart"/>
      <w:r>
        <w:rPr>
          <w:lang w:val="en-GB"/>
        </w:rPr>
        <w:t>c</w:t>
      </w:r>
      <w:r w:rsidR="00C1635A" w:rsidRPr="00C1635A">
        <w:rPr>
          <w:lang w:val="en-GB"/>
        </w:rPr>
        <w:t>oefficient</w:t>
      </w:r>
      <w:proofErr w:type="gramEnd"/>
      <w:r w:rsidR="00C1635A" w:rsidRPr="00C1635A">
        <w:rPr>
          <w:lang w:val="en-GB"/>
        </w:rPr>
        <w:t xml:space="preserve"> of volume compressibility of the uniform profile.</w:t>
      </w:r>
    </w:p>
    <w:p w:rsidR="00C1635A" w:rsidRPr="00C1635A" w:rsidRDefault="00C1635A" w:rsidP="00781EF7">
      <w:pPr>
        <w:pStyle w:val="Heading4"/>
      </w:pPr>
      <w:bookmarkStart w:id="576" w:name="_Toc338078428"/>
      <w:r w:rsidRPr="00C1635A">
        <w:t>Limitations</w:t>
      </w:r>
      <w:bookmarkEnd w:id="576"/>
    </w:p>
    <w:p w:rsidR="00C1635A" w:rsidRPr="00C1635A" w:rsidRDefault="00C1635A" w:rsidP="00C1635A">
      <w:pPr>
        <w:pStyle w:val="Listintrotext"/>
        <w:rPr>
          <w:lang w:val="en-AU"/>
        </w:rPr>
      </w:pPr>
      <w:r w:rsidRPr="00C1635A">
        <w:rPr>
          <w:lang w:val="en-AU"/>
        </w:rPr>
        <w:t xml:space="preserve">This </w:t>
      </w:r>
      <w:r w:rsidRPr="00C1635A">
        <w:t>approach</w:t>
      </w:r>
      <w:r w:rsidRPr="00C1635A">
        <w:rPr>
          <w:lang w:val="en-AU"/>
        </w:rPr>
        <w:t>:</w:t>
      </w:r>
    </w:p>
    <w:p w:rsidR="00C1635A" w:rsidRPr="00C1635A" w:rsidRDefault="00F357A6" w:rsidP="007702DF">
      <w:pPr>
        <w:pStyle w:val="BRdotpoints"/>
        <w:rPr>
          <w:lang w:val="en-AU"/>
        </w:rPr>
      </w:pPr>
      <w:r>
        <w:rPr>
          <w:lang w:val="en-AU"/>
        </w:rPr>
        <w:t>i</w:t>
      </w:r>
      <w:r w:rsidR="00C1635A" w:rsidRPr="00C1635A">
        <w:rPr>
          <w:lang w:val="en-AU"/>
        </w:rPr>
        <w:t xml:space="preserve">gnores heterogeneity with respect to </w:t>
      </w:r>
      <w:r w:rsidR="00402BD6">
        <w:rPr>
          <w:lang w:val="en-AU"/>
        </w:rPr>
        <w:t>compaction</w:t>
      </w:r>
      <w:r w:rsidR="00C1635A" w:rsidRPr="00C1635A">
        <w:rPr>
          <w:lang w:val="en-AU"/>
        </w:rPr>
        <w:t xml:space="preserve"> and is not relevant to environments where the </w:t>
      </w:r>
      <w:r w:rsidR="00402BD6">
        <w:rPr>
          <w:lang w:val="en-AU"/>
        </w:rPr>
        <w:t>compaction</w:t>
      </w:r>
      <w:r w:rsidR="00C1635A" w:rsidRPr="00C1635A">
        <w:rPr>
          <w:lang w:val="en-AU"/>
        </w:rPr>
        <w:t xml:space="preserve"> characteristics of geological units vary </w:t>
      </w:r>
      <w:r w:rsidR="00A400AA">
        <w:rPr>
          <w:lang w:val="en-AU"/>
        </w:rPr>
        <w:t>substantially</w:t>
      </w:r>
    </w:p>
    <w:p w:rsidR="00C1635A" w:rsidRPr="00C1635A" w:rsidRDefault="00F357A6" w:rsidP="007702DF">
      <w:pPr>
        <w:pStyle w:val="BRdotpoints"/>
        <w:rPr>
          <w:lang w:val="en-GB"/>
        </w:rPr>
      </w:pPr>
      <w:r>
        <w:rPr>
          <w:lang w:val="en-AU"/>
        </w:rPr>
        <w:t>d</w:t>
      </w:r>
      <w:r w:rsidR="00C1635A" w:rsidRPr="00C1635A">
        <w:rPr>
          <w:lang w:val="en-AU"/>
        </w:rPr>
        <w:t xml:space="preserve">isregards lateral variations in conditions but is applicable where conditions do not change </w:t>
      </w:r>
      <w:r w:rsidR="000170F4">
        <w:rPr>
          <w:lang w:val="en-AU"/>
        </w:rPr>
        <w:t>substantially</w:t>
      </w:r>
      <w:r w:rsidR="000170F4" w:rsidRPr="00C1635A">
        <w:rPr>
          <w:lang w:val="en-AU"/>
        </w:rPr>
        <w:t xml:space="preserve"> </w:t>
      </w:r>
      <w:r w:rsidR="00C1635A" w:rsidRPr="00C1635A">
        <w:rPr>
          <w:lang w:val="en-AU"/>
        </w:rPr>
        <w:t>in the horizontal direction</w:t>
      </w:r>
    </w:p>
    <w:p w:rsidR="00C1635A" w:rsidRPr="00C1635A" w:rsidRDefault="00F357A6" w:rsidP="007702DF">
      <w:pPr>
        <w:pStyle w:val="BRdotpoints"/>
        <w:rPr>
          <w:lang w:val="en-GB"/>
        </w:rPr>
      </w:pPr>
      <w:proofErr w:type="gramStart"/>
      <w:r>
        <w:rPr>
          <w:lang w:val="en-AU"/>
        </w:rPr>
        <w:t>d</w:t>
      </w:r>
      <w:r w:rsidR="00C1635A" w:rsidRPr="00C1635A">
        <w:rPr>
          <w:lang w:val="en-AU"/>
        </w:rPr>
        <w:t>oes</w:t>
      </w:r>
      <w:proofErr w:type="gramEnd"/>
      <w:r w:rsidR="00C1635A" w:rsidRPr="00C1635A">
        <w:rPr>
          <w:lang w:val="en-AU"/>
        </w:rPr>
        <w:t xml:space="preserve"> not account for interaction between groundwater flow (</w:t>
      </w:r>
      <w:r>
        <w:rPr>
          <w:lang w:val="en-AU"/>
        </w:rPr>
        <w:t xml:space="preserve">e.g. </w:t>
      </w:r>
      <w:r w:rsidR="00C1635A" w:rsidRPr="00C1635A">
        <w:rPr>
          <w:lang w:val="en-AU"/>
        </w:rPr>
        <w:t xml:space="preserve">due to </w:t>
      </w:r>
      <w:r w:rsidR="00C723CB">
        <w:rPr>
          <w:lang w:val="en-GB"/>
        </w:rPr>
        <w:t>coal seam gas</w:t>
      </w:r>
      <w:r w:rsidR="00C723CB" w:rsidRPr="00973D19">
        <w:rPr>
          <w:lang w:val="en-GB"/>
        </w:rPr>
        <w:t xml:space="preserve"> </w:t>
      </w:r>
      <w:r w:rsidR="00C1635A" w:rsidRPr="00C1635A">
        <w:rPr>
          <w:lang w:val="en-AU"/>
        </w:rPr>
        <w:t>well pumping) and geomechanical effects such as compression.</w:t>
      </w:r>
    </w:p>
    <w:p w:rsidR="00C1635A" w:rsidRPr="00C1635A" w:rsidRDefault="00C1635A" w:rsidP="00781EF7">
      <w:pPr>
        <w:pStyle w:val="Heading4"/>
      </w:pPr>
      <w:bookmarkStart w:id="577" w:name="_Toc338078429"/>
      <w:r w:rsidRPr="00C1635A">
        <w:t>Example</w:t>
      </w:r>
      <w:bookmarkEnd w:id="577"/>
    </w:p>
    <w:p w:rsidR="00C1635A" w:rsidRPr="00C1635A" w:rsidRDefault="00C1635A" w:rsidP="00C1635A">
      <w:pPr>
        <w:pStyle w:val="BRNormal11pt0"/>
        <w:rPr>
          <w:lang w:val="en-AU"/>
        </w:rPr>
      </w:pPr>
      <w:r w:rsidRPr="00C1635A">
        <w:rPr>
          <w:lang w:val="en-AU"/>
        </w:rPr>
        <w:t>Figure</w:t>
      </w:r>
      <w:r w:rsidR="00EA4FE4">
        <w:rPr>
          <w:lang w:val="en-AU"/>
        </w:rPr>
        <w:t xml:space="preserve"> </w:t>
      </w:r>
      <w:r w:rsidR="008A0B55">
        <w:rPr>
          <w:lang w:val="en-AU"/>
        </w:rPr>
        <w:t>29</w:t>
      </w:r>
      <w:r w:rsidR="00EA4FE4">
        <w:rPr>
          <w:lang w:val="en-AU"/>
        </w:rPr>
        <w:t xml:space="preserve"> </w:t>
      </w:r>
      <w:r w:rsidRPr="00C1635A">
        <w:rPr>
          <w:lang w:val="en-AU"/>
        </w:rPr>
        <w:t>provide</w:t>
      </w:r>
      <w:r w:rsidR="008A0B55">
        <w:rPr>
          <w:lang w:val="en-AU"/>
        </w:rPr>
        <w:t>s</w:t>
      </w:r>
      <w:r w:rsidRPr="00C1635A">
        <w:rPr>
          <w:lang w:val="en-AU"/>
        </w:rPr>
        <w:t xml:space="preserve"> an example of potential subsidence assessment based on this approach</w:t>
      </w:r>
      <w:r w:rsidR="004852AD">
        <w:rPr>
          <w:lang w:val="en-AU"/>
        </w:rPr>
        <w:t xml:space="preserve">, with the associated calculations presented in Table </w:t>
      </w:r>
      <w:r w:rsidR="002C43B4">
        <w:rPr>
          <w:lang w:val="en-AU"/>
        </w:rPr>
        <w:t>11</w:t>
      </w:r>
      <w:r w:rsidRPr="00C1635A">
        <w:rPr>
          <w:lang w:val="en-AU"/>
        </w:rPr>
        <w:t>.</w:t>
      </w:r>
    </w:p>
    <w:p w:rsidR="00C1635A" w:rsidRPr="00C1635A" w:rsidRDefault="00C1635A" w:rsidP="00C1635A">
      <w:pPr>
        <w:pStyle w:val="BRNormal11pt0"/>
        <w:rPr>
          <w:lang w:val="en-AU"/>
        </w:rPr>
      </w:pPr>
      <w:r w:rsidRPr="00C1635A">
        <w:rPr>
          <w:lang w:val="en-AU"/>
        </w:rPr>
        <w:t xml:space="preserve">Geomechanical properties are consistent with the example for the </w:t>
      </w:r>
      <w:r w:rsidR="00402BD6">
        <w:rPr>
          <w:lang w:val="en-AU"/>
        </w:rPr>
        <w:t>u</w:t>
      </w:r>
      <w:r w:rsidRPr="00C1635A">
        <w:rPr>
          <w:lang w:val="en-AU"/>
        </w:rPr>
        <w:t xml:space="preserve">niform </w:t>
      </w:r>
      <w:r w:rsidR="00402BD6">
        <w:rPr>
          <w:lang w:val="en-AU"/>
        </w:rPr>
        <w:t>g</w:t>
      </w:r>
      <w:r w:rsidRPr="00C1635A">
        <w:rPr>
          <w:lang w:val="en-AU"/>
        </w:rPr>
        <w:t xml:space="preserve">round </w:t>
      </w:r>
      <w:r w:rsidR="00402BD6">
        <w:rPr>
          <w:lang w:val="en-AU"/>
        </w:rPr>
        <w:t>m</w:t>
      </w:r>
      <w:r w:rsidRPr="00C1635A">
        <w:rPr>
          <w:lang w:val="en-AU"/>
        </w:rPr>
        <w:t xml:space="preserve">odel. </w:t>
      </w:r>
      <w:r w:rsidR="00402BD6">
        <w:rPr>
          <w:lang w:val="en-AU"/>
        </w:rPr>
        <w:t>H</w:t>
      </w:r>
      <w:r w:rsidR="00402BD6" w:rsidRPr="00C1635A">
        <w:rPr>
          <w:lang w:val="en-AU"/>
        </w:rPr>
        <w:t>owever</w:t>
      </w:r>
      <w:r w:rsidR="00402BD6">
        <w:rPr>
          <w:lang w:val="en-AU"/>
        </w:rPr>
        <w:t>,</w:t>
      </w:r>
      <w:r w:rsidR="00402BD6" w:rsidRPr="00C1635A">
        <w:rPr>
          <w:lang w:val="en-AU"/>
        </w:rPr>
        <w:t xml:space="preserve"> </w:t>
      </w:r>
      <w:r w:rsidR="00402BD6">
        <w:rPr>
          <w:lang w:val="en-AU"/>
        </w:rPr>
        <w:t>h</w:t>
      </w:r>
      <w:r w:rsidRPr="00C1635A">
        <w:rPr>
          <w:lang w:val="en-AU"/>
        </w:rPr>
        <w:t xml:space="preserve">ydraulic properties are considered variable. The groundwater levels in the alluvium are assumed to remain constant during depressurisation. There may, however, be groundwater seepage loss from the alluvial hydrogeological unit into underlying units. The seepage (denoted </w:t>
      </w:r>
      <w:r w:rsidRPr="00C1635A">
        <w:rPr>
          <w:i/>
          <w:lang w:val="en-AU"/>
        </w:rPr>
        <w:t>q</w:t>
      </w:r>
      <w:r w:rsidRPr="00C1635A">
        <w:rPr>
          <w:lang w:val="en-AU"/>
        </w:rPr>
        <w:t>) is calculated for the example</w:t>
      </w:r>
      <w:r w:rsidR="00EA4FE4">
        <w:rPr>
          <w:lang w:val="en-AU"/>
        </w:rPr>
        <w:t>.</w:t>
      </w:r>
      <w:r w:rsidRPr="00C1635A">
        <w:rPr>
          <w:lang w:val="en-AU"/>
        </w:rPr>
        <w:t xml:space="preserve"> For conservatism (that is, to obtain the maximum subsidence), the seepage is assumed not to reduce the fall in pressure in underlying rock.</w:t>
      </w:r>
    </w:p>
    <w:p w:rsidR="00C1635A" w:rsidRPr="00C1635A" w:rsidRDefault="00C1635A" w:rsidP="00C1635A">
      <w:pPr>
        <w:pStyle w:val="BRNormal11pt0"/>
        <w:rPr>
          <w:lang w:val="en-AU"/>
        </w:rPr>
      </w:pPr>
      <w:r w:rsidRPr="00C1635A">
        <w:rPr>
          <w:lang w:val="en-AU"/>
        </w:rPr>
        <w:t xml:space="preserve">The groundwater head changes across the geological units overlying the coal bearing formation therefore vary depending on the hydraulic conductivity of those units. The pressure/depth gradient steepens with depth </w:t>
      </w:r>
      <w:r w:rsidR="0032535F">
        <w:rPr>
          <w:lang w:val="en-AU"/>
        </w:rPr>
        <w:t xml:space="preserve">of </w:t>
      </w:r>
      <w:r w:rsidRPr="00C1635A">
        <w:rPr>
          <w:lang w:val="en-AU"/>
        </w:rPr>
        <w:t>the coal due to the reduction in vertical permeability with depth.</w:t>
      </w:r>
    </w:p>
    <w:p w:rsidR="00C1635A" w:rsidRPr="00C1635A" w:rsidRDefault="00402BD6" w:rsidP="00C1635A">
      <w:pPr>
        <w:pStyle w:val="BRNormal11pt0"/>
        <w:rPr>
          <w:lang w:val="en-AU"/>
        </w:rPr>
      </w:pPr>
      <w:r>
        <w:rPr>
          <w:lang w:val="en-AU"/>
        </w:rPr>
        <w:t>Compaction</w:t>
      </w:r>
      <w:r w:rsidR="00C1635A" w:rsidRPr="00C1635A">
        <w:rPr>
          <w:lang w:val="en-AU"/>
        </w:rPr>
        <w:t xml:space="preserve"> due directly to groundwater pressure changes is calculated for each geological unit. The geomechanical properties are considered identical for all units. The sum of </w:t>
      </w:r>
      <w:r>
        <w:rPr>
          <w:lang w:val="en-AU"/>
        </w:rPr>
        <w:t>compaction</w:t>
      </w:r>
      <w:r w:rsidR="00C1635A" w:rsidRPr="00C1635A">
        <w:rPr>
          <w:lang w:val="en-AU"/>
        </w:rPr>
        <w:t xml:space="preserve"> of all the geological units, plus the </w:t>
      </w:r>
      <w:r>
        <w:rPr>
          <w:lang w:val="en-AU"/>
        </w:rPr>
        <w:t>compaction</w:t>
      </w:r>
      <w:r w:rsidR="00C1635A" w:rsidRPr="00C1635A">
        <w:rPr>
          <w:lang w:val="en-AU"/>
        </w:rPr>
        <w:t xml:space="preserve"> of the coal due to degassing, yields the total </w:t>
      </w:r>
      <w:r>
        <w:rPr>
          <w:lang w:val="en-AU"/>
        </w:rPr>
        <w:t>s</w:t>
      </w:r>
      <w:r w:rsidR="00C1635A" w:rsidRPr="00C1635A">
        <w:rPr>
          <w:lang w:val="en-AU"/>
        </w:rPr>
        <w:t>ubsidence.</w:t>
      </w:r>
    </w:p>
    <w:p w:rsidR="00C1635A" w:rsidRDefault="00C1635A" w:rsidP="00C1635A">
      <w:pPr>
        <w:pStyle w:val="BRNormal11pt0"/>
        <w:rPr>
          <w:lang w:val="en-AU"/>
        </w:rPr>
      </w:pPr>
      <w:r w:rsidRPr="00C1635A">
        <w:rPr>
          <w:lang w:val="en-AU"/>
        </w:rPr>
        <w:t xml:space="preserve">Comparing the predicted subsidence values for the different examples, this example </w:t>
      </w:r>
      <w:r w:rsidR="0032535F">
        <w:rPr>
          <w:lang w:val="en-AU"/>
        </w:rPr>
        <w:t>demonstrates</w:t>
      </w:r>
      <w:r w:rsidRPr="00C1635A">
        <w:rPr>
          <w:lang w:val="en-AU"/>
        </w:rPr>
        <w:t xml:space="preserve"> that potential subsidence assessed by this model approach may over or under estimate </w:t>
      </w:r>
      <w:r w:rsidR="00A24086">
        <w:rPr>
          <w:lang w:val="en-AU"/>
        </w:rPr>
        <w:t xml:space="preserve">subsidence </w:t>
      </w:r>
      <w:r w:rsidRPr="00C1635A">
        <w:rPr>
          <w:lang w:val="en-AU"/>
        </w:rPr>
        <w:t xml:space="preserve">relative to models that consider more detailed hydraulic and geomechanical conditions (such as the </w:t>
      </w:r>
      <w:r w:rsidR="00A24086">
        <w:rPr>
          <w:lang w:val="en-AU"/>
        </w:rPr>
        <w:t>v</w:t>
      </w:r>
      <w:r w:rsidRPr="00C1635A">
        <w:rPr>
          <w:lang w:val="en-AU"/>
        </w:rPr>
        <w:t xml:space="preserve">ariable </w:t>
      </w:r>
      <w:r w:rsidR="00A24086">
        <w:rPr>
          <w:lang w:val="en-AU"/>
        </w:rPr>
        <w:t>g</w:t>
      </w:r>
      <w:r w:rsidRPr="00C1635A">
        <w:rPr>
          <w:lang w:val="en-AU"/>
        </w:rPr>
        <w:t xml:space="preserve">round </w:t>
      </w:r>
      <w:r w:rsidR="00A24086">
        <w:rPr>
          <w:lang w:val="en-AU"/>
        </w:rPr>
        <w:t>m</w:t>
      </w:r>
      <w:r w:rsidRPr="00C1635A">
        <w:rPr>
          <w:lang w:val="en-AU"/>
        </w:rPr>
        <w:t xml:space="preserve">odel; see also the numerical example below), but may predict subsidence of lower magnitude relative to simpler models (such as the </w:t>
      </w:r>
      <w:r w:rsidR="00A24086">
        <w:rPr>
          <w:lang w:val="en-AU"/>
        </w:rPr>
        <w:t>u</w:t>
      </w:r>
      <w:r w:rsidRPr="00C1635A">
        <w:rPr>
          <w:lang w:val="en-AU"/>
        </w:rPr>
        <w:t xml:space="preserve">niform </w:t>
      </w:r>
      <w:r w:rsidR="00A24086">
        <w:rPr>
          <w:lang w:val="en-AU"/>
        </w:rPr>
        <w:t>g</w:t>
      </w:r>
      <w:r w:rsidRPr="00C1635A">
        <w:rPr>
          <w:lang w:val="en-AU"/>
        </w:rPr>
        <w:t xml:space="preserve">eological </w:t>
      </w:r>
      <w:r w:rsidR="00A24086">
        <w:rPr>
          <w:lang w:val="en-AU"/>
        </w:rPr>
        <w:t>m</w:t>
      </w:r>
      <w:r w:rsidRPr="00C1635A">
        <w:rPr>
          <w:lang w:val="en-AU"/>
        </w:rPr>
        <w:t>odel).</w:t>
      </w:r>
    </w:p>
    <w:tbl>
      <w:tblPr>
        <w:tblW w:w="7738" w:type="dxa"/>
        <w:tblInd w:w="108" w:type="dxa"/>
        <w:tblLook w:val="04A0"/>
      </w:tblPr>
      <w:tblGrid>
        <w:gridCol w:w="2616"/>
        <w:gridCol w:w="1257"/>
        <w:gridCol w:w="1036"/>
        <w:gridCol w:w="676"/>
        <w:gridCol w:w="1257"/>
        <w:gridCol w:w="896"/>
      </w:tblGrid>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8D2BA6">
            <w:pPr>
              <w:autoSpaceDE/>
              <w:autoSpaceDN/>
              <w:spacing w:after="0"/>
              <w:jc w:val="center"/>
              <w:rPr>
                <w:rFonts w:eastAsia="Times New Roman" w:cs="Arial"/>
                <w:sz w:val="18"/>
                <w:szCs w:val="18"/>
                <w:u w:val="single"/>
                <w:lang w:val="en-AU" w:eastAsia="en-AU"/>
              </w:rPr>
            </w:pPr>
            <w:r w:rsidRPr="004852AD">
              <w:rPr>
                <w:rFonts w:eastAsia="Times New Roman" w:cs="Arial"/>
                <w:sz w:val="18"/>
                <w:szCs w:val="18"/>
                <w:u w:val="single"/>
                <w:lang w:val="en-AU" w:eastAsia="en-AU"/>
              </w:rPr>
              <w:t xml:space="preserve">Ground </w:t>
            </w:r>
            <w:r w:rsidR="008D2BA6">
              <w:rPr>
                <w:rFonts w:eastAsia="Times New Roman" w:cs="Arial"/>
                <w:sz w:val="18"/>
                <w:szCs w:val="18"/>
                <w:u w:val="single"/>
                <w:lang w:val="en-AU" w:eastAsia="en-AU"/>
              </w:rPr>
              <w:t>p</w:t>
            </w:r>
            <w:r w:rsidRPr="004852AD">
              <w:rPr>
                <w:rFonts w:eastAsia="Times New Roman" w:cs="Arial"/>
                <w:sz w:val="18"/>
                <w:szCs w:val="18"/>
                <w:u w:val="single"/>
                <w:lang w:val="en-AU" w:eastAsia="en-AU"/>
              </w:rPr>
              <w:t>rofile</w:t>
            </w: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8D2BA6">
            <w:pPr>
              <w:autoSpaceDE/>
              <w:autoSpaceDN/>
              <w:spacing w:after="0"/>
              <w:jc w:val="center"/>
              <w:rPr>
                <w:rFonts w:eastAsia="Times New Roman" w:cs="Arial"/>
                <w:sz w:val="18"/>
                <w:szCs w:val="18"/>
                <w:u w:val="single"/>
                <w:lang w:val="en-AU" w:eastAsia="en-AU"/>
              </w:rPr>
            </w:pPr>
            <w:r w:rsidRPr="004852AD">
              <w:rPr>
                <w:rFonts w:eastAsia="Times New Roman" w:cs="Arial"/>
                <w:sz w:val="18"/>
                <w:szCs w:val="18"/>
                <w:u w:val="single"/>
                <w:lang w:val="en-AU" w:eastAsia="en-AU"/>
              </w:rPr>
              <w:t xml:space="preserve">Groundwater </w:t>
            </w:r>
            <w:r w:rsidR="008D2BA6">
              <w:rPr>
                <w:rFonts w:eastAsia="Times New Roman" w:cs="Arial"/>
                <w:sz w:val="18"/>
                <w:szCs w:val="18"/>
                <w:u w:val="single"/>
                <w:lang w:val="en-AU" w:eastAsia="en-AU"/>
              </w:rPr>
              <w:t>p</w:t>
            </w:r>
            <w:r w:rsidRPr="004852AD">
              <w:rPr>
                <w:rFonts w:eastAsia="Times New Roman" w:cs="Arial"/>
                <w:sz w:val="18"/>
                <w:szCs w:val="18"/>
                <w:u w:val="single"/>
                <w:lang w:val="en-AU" w:eastAsia="en-AU"/>
              </w:rPr>
              <w:t>ressure</w:t>
            </w: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40"/>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jc w:val="center"/>
              <w:rPr>
                <w:rFonts w:eastAsia="Times New Roman" w:cs="Arial"/>
                <w:sz w:val="18"/>
                <w:szCs w:val="18"/>
                <w:lang w:val="en-AU" w:eastAsia="en-AU"/>
              </w:rPr>
            </w:pPr>
            <w:r w:rsidRPr="004852AD">
              <w:rPr>
                <w:rFonts w:eastAsia="Times New Roman" w:cs="Arial"/>
                <w:sz w:val="18"/>
                <w:szCs w:val="18"/>
                <w:lang w:val="en-AU" w:eastAsia="en-AU"/>
              </w:rPr>
              <w:t>Groundwater</w:t>
            </w:r>
          </w:p>
        </w:tc>
        <w:tc>
          <w:tcPr>
            <w:tcW w:w="1036" w:type="dxa"/>
            <w:tcBorders>
              <w:top w:val="nil"/>
              <w:left w:val="nil"/>
              <w:bottom w:val="nil"/>
              <w:right w:val="nil"/>
            </w:tcBorders>
            <w:shd w:val="clear" w:color="auto" w:fill="auto"/>
            <w:noWrap/>
            <w:vAlign w:val="bottom"/>
            <w:hideMark/>
          </w:tcPr>
          <w:p w:rsidR="004852AD" w:rsidRPr="004852AD" w:rsidRDefault="00093D1C" w:rsidP="004852AD">
            <w:pPr>
              <w:autoSpaceDE/>
              <w:autoSpaceDN/>
              <w:spacing w:after="0"/>
              <w:rPr>
                <w:rFonts w:eastAsia="Times New Roman" w:cs="Arial"/>
                <w:sz w:val="20"/>
                <w:szCs w:val="20"/>
                <w:lang w:val="en-AU" w:eastAsia="en-AU"/>
              </w:rPr>
            </w:pPr>
            <w:r>
              <w:rPr>
                <w:rFonts w:eastAsia="Times New Roman" w:cs="Arial"/>
                <w:noProof/>
                <w:sz w:val="20"/>
                <w:szCs w:val="20"/>
                <w:lang w:val="en-AU" w:eastAsia="en-AU"/>
              </w:rPr>
              <w:drawing>
                <wp:anchor distT="0" distB="0" distL="114300" distR="114300" simplePos="0" relativeHeight="251705344" behindDoc="0" locked="0" layoutInCell="1" allowOverlap="1">
                  <wp:simplePos x="0" y="0"/>
                  <wp:positionH relativeFrom="column">
                    <wp:posOffset>142875</wp:posOffset>
                  </wp:positionH>
                  <wp:positionV relativeFrom="paragraph">
                    <wp:posOffset>47625</wp:posOffset>
                  </wp:positionV>
                  <wp:extent cx="1905000" cy="2571750"/>
                  <wp:effectExtent l="0" t="0" r="0" b="0"/>
                  <wp:wrapNone/>
                  <wp:docPr id="251"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r>
              <w:rPr>
                <w:rFonts w:eastAsia="Times New Roman" w:cs="Arial"/>
                <w:noProof/>
                <w:sz w:val="20"/>
                <w:szCs w:val="20"/>
                <w:lang w:val="en-AU" w:eastAsia="en-AU"/>
              </w:rPr>
              <w:drawing>
                <wp:anchor distT="0" distB="0" distL="114300" distR="114300" simplePos="0" relativeHeight="251706368" behindDoc="0" locked="0" layoutInCell="1" allowOverlap="1">
                  <wp:simplePos x="0" y="0"/>
                  <wp:positionH relativeFrom="column">
                    <wp:posOffset>1228725</wp:posOffset>
                  </wp:positionH>
                  <wp:positionV relativeFrom="paragraph">
                    <wp:posOffset>1200150</wp:posOffset>
                  </wp:positionV>
                  <wp:extent cx="723900" cy="895350"/>
                  <wp:effectExtent l="0" t="0" r="635" b="0"/>
                  <wp:wrapNone/>
                  <wp:docPr id="250" name="Text Box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442335" y="2526030"/>
                            <a:ext cx="634468" cy="880110"/>
                            <a:chOff x="3442335" y="2526030"/>
                            <a:chExt cx="634468" cy="880110"/>
                          </a:xfrm>
                        </a:grpSpPr>
                        <a:sp>
                          <a:nvSpPr>
                            <a:cNvPr id="9" name="Text Box 17"/>
                            <a:cNvSpPr txBox="1">
                              <a:spLocks noChangeArrowheads="1"/>
                            </a:cNvSpPr>
                          </a:nvSpPr>
                          <a:spPr bwMode="auto">
                            <a:xfrm>
                              <a:off x="3535680" y="2522220"/>
                              <a:ext cx="662940" cy="89154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mc:Ignorable="a14" a14:legacySpreadsheetColorIndex="65"/>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mc:Ignorable="a14" a14:legacySpreadsheetColorIndex="64"/>
                                  </a:solidFill>
                                  <a:miter lim="800000"/>
                                  <a:headEnd/>
                                  <a:tailEnd/>
                                </a14:hiddenLine>
                              </a:ext>
                            </a:extLst>
                          </a:spPr>
                          <a:txSp>
                            <a:txBody>
                              <a:bodyPr vertOverflow="clip" wrap="square" lIns="27432" tIns="22860" rIns="27432"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AU" sz="900" b="0" i="0" u="none" strike="noStrike" baseline="0">
                                    <a:solidFill>
                                      <a:srgbClr val="000000"/>
                                    </a:solidFill>
                                    <a:latin typeface="Arial"/>
                                    <a:cs typeface="Arial"/>
                                  </a:rPr>
                                  <a:t>Average change in  pressure within coal bearing formation</a:t>
                                </a:r>
                                <a:endParaRPr lang="en-AU"/>
                              </a:p>
                            </a:txBody>
                            <a:useSpRect/>
                          </a:txSp>
                        </a:sp>
                      </lc:lockedCanvas>
                    </a:graphicData>
                  </a:graphic>
                </wp:anchor>
              </w:drawing>
            </w:r>
            <w:r>
              <w:rPr>
                <w:rFonts w:eastAsia="Times New Roman" w:cs="Arial"/>
                <w:noProof/>
                <w:sz w:val="20"/>
                <w:szCs w:val="20"/>
                <w:lang w:val="en-AU" w:eastAsia="en-AU"/>
              </w:rPr>
              <w:drawing>
                <wp:anchor distT="0" distB="0" distL="114300" distR="114300" simplePos="0" relativeHeight="251708416" behindDoc="0" locked="0" layoutInCell="1" allowOverlap="1">
                  <wp:simplePos x="0" y="0"/>
                  <wp:positionH relativeFrom="column">
                    <wp:posOffset>666750</wp:posOffset>
                  </wp:positionH>
                  <wp:positionV relativeFrom="paragraph">
                    <wp:posOffset>1638300</wp:posOffset>
                  </wp:positionV>
                  <wp:extent cx="638175" cy="171450"/>
                  <wp:effectExtent l="0" t="0" r="0" b="0"/>
                  <wp:wrapNone/>
                  <wp:docPr id="249" name="Line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33700" y="3038475"/>
                            <a:ext cx="466725" cy="0"/>
                            <a:chOff x="2933700" y="3038475"/>
                            <a:chExt cx="466725" cy="0"/>
                          </a:xfrm>
                        </a:grpSpPr>
                        <a:sp>
                          <a:nvSpPr>
                            <a:cNvPr id="138348" name="Line 16"/>
                            <a:cNvSpPr>
                              <a:spLocks noChangeShapeType="1"/>
                            </a:cNvSpPr>
                          </a:nvSpPr>
                          <a:spPr bwMode="auto">
                            <a:xfrm>
                              <a:off x="2933700" y="3038475"/>
                              <a:ext cx="466725" cy="0"/>
                            </a:xfrm>
                            <a:prstGeom prst="line">
                              <a:avLst/>
                            </a:prstGeom>
                            <a:noFill/>
                            <a:ln w="9525">
                              <a:solidFill>
                                <a:srgbClr val="000000"/>
                              </a:solidFill>
                              <a:round/>
                              <a:headEnd type="triangle" w="med" len="med"/>
                              <a:tailEnd type="triangle" w="med" len="med"/>
                            </a:ln>
                          </a:spPr>
                        </a:sp>
                      </lc:lockedCanvas>
                    </a:graphicData>
                  </a:graphic>
                </wp:anchor>
              </w:drawing>
            </w:r>
          </w:p>
          <w:tbl>
            <w:tblPr>
              <w:tblW w:w="0" w:type="auto"/>
              <w:tblCellSpacing w:w="0" w:type="dxa"/>
              <w:tblCellMar>
                <w:left w:w="0" w:type="dxa"/>
                <w:right w:w="0" w:type="dxa"/>
              </w:tblCellMar>
              <w:tblLook w:val="04A0"/>
            </w:tblPr>
            <w:tblGrid>
              <w:gridCol w:w="820"/>
            </w:tblGrid>
            <w:tr w:rsidR="004852AD" w:rsidRPr="004852AD">
              <w:trPr>
                <w:trHeight w:val="240"/>
                <w:tblCellSpacing w:w="0" w:type="dxa"/>
              </w:trPr>
              <w:tc>
                <w:tcPr>
                  <w:tcW w:w="820"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bl>
          <w:p w:rsidR="004852AD" w:rsidRPr="004852AD" w:rsidRDefault="004852AD" w:rsidP="004852AD">
            <w:pPr>
              <w:autoSpaceDE/>
              <w:autoSpaceDN/>
              <w:spacing w:after="0"/>
              <w:rPr>
                <w:rFonts w:eastAsia="Times New Roman" w:cs="Arial"/>
                <w:sz w:val="20"/>
                <w:szCs w:val="20"/>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8D2BA6" w:rsidP="004852AD">
            <w:pPr>
              <w:autoSpaceDE/>
              <w:autoSpaceDN/>
              <w:spacing w:after="0"/>
              <w:jc w:val="center"/>
              <w:rPr>
                <w:rFonts w:eastAsia="Times New Roman" w:cs="Arial"/>
                <w:sz w:val="18"/>
                <w:szCs w:val="18"/>
                <w:lang w:val="en-AU" w:eastAsia="en-AU"/>
              </w:rPr>
            </w:pPr>
            <w:r>
              <w:rPr>
                <w:rFonts w:eastAsia="Times New Roman" w:cs="Arial"/>
                <w:sz w:val="18"/>
                <w:szCs w:val="18"/>
                <w:lang w:val="en-AU" w:eastAsia="en-AU"/>
              </w:rPr>
              <w:t>l</w:t>
            </w:r>
            <w:r w:rsidR="004852AD" w:rsidRPr="004852AD">
              <w:rPr>
                <w:rFonts w:eastAsia="Times New Roman" w:cs="Arial"/>
                <w:sz w:val="18"/>
                <w:szCs w:val="18"/>
                <w:lang w:val="en-AU" w:eastAsia="en-AU"/>
              </w:rPr>
              <w:t>evel (mbgl)*</w:t>
            </w: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093D1C" w:rsidP="004852AD">
            <w:pPr>
              <w:autoSpaceDE/>
              <w:autoSpaceDN/>
              <w:spacing w:after="0"/>
              <w:rPr>
                <w:rFonts w:eastAsia="Times New Roman" w:cs="Arial"/>
                <w:sz w:val="20"/>
                <w:szCs w:val="20"/>
                <w:lang w:val="en-AU" w:eastAsia="en-AU"/>
              </w:rPr>
            </w:pPr>
            <w:r>
              <w:rPr>
                <w:rFonts w:eastAsia="Times New Roman" w:cs="Arial"/>
                <w:noProof/>
                <w:sz w:val="20"/>
                <w:szCs w:val="20"/>
                <w:lang w:val="en-AU" w:eastAsia="en-AU"/>
              </w:rPr>
              <w:drawing>
                <wp:anchor distT="0" distB="0" distL="114300" distR="114300" simplePos="0" relativeHeight="251707392" behindDoc="0" locked="0" layoutInCell="1" allowOverlap="1">
                  <wp:simplePos x="0" y="0"/>
                  <wp:positionH relativeFrom="column">
                    <wp:posOffset>123825</wp:posOffset>
                  </wp:positionH>
                  <wp:positionV relativeFrom="paragraph">
                    <wp:posOffset>19050</wp:posOffset>
                  </wp:positionV>
                  <wp:extent cx="1295400" cy="2009775"/>
                  <wp:effectExtent l="0" t="0" r="635" b="0"/>
                  <wp:wrapNone/>
                  <wp:docPr id="248" name="Picture 20"/>
                  <wp:cNvGraphicFramePr/>
                  <a:graphic xmlns:a="http://schemas.openxmlformats.org/drawingml/2006/main">
                    <a:graphicData uri="http://schemas.openxmlformats.org/drawingml/2006/picture">
                      <pic:pic xmlns:pic="http://schemas.openxmlformats.org/drawingml/2006/picture">
                        <pic:nvPicPr>
                          <pic:cNvPr id="138347" name="Picture 20"/>
                          <pic:cNvPicPr>
                            <a:picLocks noChangeAspect="1" noChangeArrowheads="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2000250"/>
                          </a:xfrm>
                          <a:prstGeom prst="rect">
                            <a:avLst/>
                          </a:prstGeom>
                          <a:noFill/>
                          <a:ln w="9525">
                            <a:noFill/>
                            <a:miter lim="800000"/>
                            <a:headEnd/>
                            <a:tailEnd/>
                          </a:ln>
                        </pic:spPr>
                      </pic:pic>
                    </a:graphicData>
                  </a:graphic>
                </wp:anchor>
              </w:drawing>
            </w:r>
            <w:r>
              <w:rPr>
                <w:rFonts w:eastAsia="Times New Roman" w:cs="Arial"/>
                <w:noProof/>
                <w:sz w:val="20"/>
                <w:szCs w:val="20"/>
                <w:lang w:val="en-AU" w:eastAsia="en-AU"/>
              </w:rPr>
              <w:drawing>
                <wp:anchor distT="0" distB="0" distL="114300" distR="114300" simplePos="0" relativeHeight="251709440" behindDoc="0" locked="0" layoutInCell="1" allowOverlap="1">
                  <wp:simplePos x="0" y="0"/>
                  <wp:positionH relativeFrom="column">
                    <wp:posOffset>133350</wp:posOffset>
                  </wp:positionH>
                  <wp:positionV relativeFrom="paragraph">
                    <wp:posOffset>114300</wp:posOffset>
                  </wp:positionV>
                  <wp:extent cx="1257300" cy="19050"/>
                  <wp:effectExtent l="0" t="0" r="0" b="0"/>
                  <wp:wrapNone/>
                  <wp:docPr id="247" name="Line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5750" y="1876425"/>
                            <a:ext cx="1238250" cy="0"/>
                            <a:chOff x="285750" y="1876425"/>
                            <a:chExt cx="1238250" cy="0"/>
                          </a:xfrm>
                        </a:grpSpPr>
                        <a:sp>
                          <a:nvSpPr>
                            <a:cNvPr id="138349" name="Line 11"/>
                            <a:cNvSpPr>
                              <a:spLocks noChangeShapeType="1"/>
                            </a:cNvSpPr>
                          </a:nvSpPr>
                          <a:spPr bwMode="auto">
                            <a:xfrm>
                              <a:off x="285750" y="1876425"/>
                              <a:ext cx="1238250" cy="0"/>
                            </a:xfrm>
                            <a:prstGeom prst="line">
                              <a:avLst/>
                            </a:prstGeom>
                            <a:noFill/>
                            <a:ln w="12700">
                              <a:solidFill>
                                <a:srgbClr val="0000FF"/>
                              </a:solidFill>
                              <a:prstDash val="dash"/>
                              <a:round/>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710464" behindDoc="0" locked="0" layoutInCell="1" allowOverlap="1">
                  <wp:simplePos x="0" y="0"/>
                  <wp:positionH relativeFrom="column">
                    <wp:posOffset>133350</wp:posOffset>
                  </wp:positionH>
                  <wp:positionV relativeFrom="paragraph">
                    <wp:posOffset>990600</wp:posOffset>
                  </wp:positionV>
                  <wp:extent cx="1266825" cy="28575"/>
                  <wp:effectExtent l="0" t="0" r="635" b="0"/>
                  <wp:wrapNone/>
                  <wp:docPr id="246" name="Line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5750" y="2752725"/>
                            <a:ext cx="1247775" cy="0"/>
                            <a:chOff x="285750" y="2752725"/>
                            <a:chExt cx="1247775" cy="0"/>
                          </a:xfrm>
                        </a:grpSpPr>
                        <a:sp>
                          <a:nvSpPr>
                            <a:cNvPr id="138350" name="Line 21"/>
                            <a:cNvSpPr>
                              <a:spLocks noChangeShapeType="1"/>
                            </a:cNvSpPr>
                          </a:nvSpPr>
                          <a:spPr bwMode="auto">
                            <a:xfrm>
                              <a:off x="285750" y="2752725"/>
                              <a:ext cx="1247775" cy="0"/>
                            </a:xfrm>
                            <a:prstGeom prst="line">
                              <a:avLst/>
                            </a:prstGeom>
                            <a:noFill/>
                            <a:ln w="12700">
                              <a:solidFill>
                                <a:srgbClr val="0000FF"/>
                              </a:solidFill>
                              <a:prstDash val="dash"/>
                              <a:round/>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711488" behindDoc="0" locked="0" layoutInCell="1" allowOverlap="1">
                  <wp:simplePos x="0" y="0"/>
                  <wp:positionH relativeFrom="column">
                    <wp:posOffset>171450</wp:posOffset>
                  </wp:positionH>
                  <wp:positionV relativeFrom="paragraph">
                    <wp:posOffset>133350</wp:posOffset>
                  </wp:positionV>
                  <wp:extent cx="1247775" cy="533400"/>
                  <wp:effectExtent l="0" t="0" r="0" b="0"/>
                  <wp:wrapNone/>
                  <wp:docPr id="245" name="Text Box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25755" y="1895475"/>
                            <a:ext cx="1226877" cy="520065"/>
                            <a:chOff x="325755" y="1895475"/>
                            <a:chExt cx="1226877" cy="520065"/>
                          </a:xfrm>
                        </a:grpSpPr>
                        <a:sp>
                          <a:nvSpPr>
                            <a:cNvPr id="14" name="Text Box 9"/>
                            <a:cNvSpPr txBox="1">
                              <a:spLocks noChangeArrowheads="1"/>
                            </a:cNvSpPr>
                          </a:nvSpPr>
                          <a:spPr bwMode="auto">
                            <a:xfrm>
                              <a:off x="327660" y="1874520"/>
                              <a:ext cx="1264920" cy="52578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a:spPr>
                          <a:txSp>
                            <a:txBody>
                              <a:bodyPr vertOverflow="clip" wrap="square" lIns="36576" tIns="27432" rIns="36576" bIns="0" anchor="t"/>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AU" sz="900" b="0" i="0" u="none" strike="noStrike" baseline="0">
                                    <a:solidFill>
                                      <a:srgbClr val="000000"/>
                                    </a:solidFill>
                                    <a:latin typeface="Arial"/>
                                    <a:cs typeface="Arial"/>
                                  </a:rPr>
                                  <a:t>Initial water table (hydrostatic head condition)</a:t>
                                </a:r>
                                <a:endParaRPr lang="en-AU"/>
                              </a:p>
                            </a:txBody>
                            <a:useSpRect/>
                          </a:txSp>
                        </a:sp>
                      </lc:lockedCanvas>
                    </a:graphicData>
                  </a:graphic>
                </wp:anchor>
              </w:drawing>
            </w:r>
            <w:r>
              <w:rPr>
                <w:rFonts w:eastAsia="Times New Roman" w:cs="Arial"/>
                <w:noProof/>
                <w:sz w:val="20"/>
                <w:szCs w:val="20"/>
                <w:lang w:val="en-AU" w:eastAsia="en-AU"/>
              </w:rPr>
              <w:drawing>
                <wp:anchor distT="0" distB="0" distL="114300" distR="114300" simplePos="0" relativeHeight="251712512" behindDoc="0" locked="0" layoutInCell="1" allowOverlap="1">
                  <wp:simplePos x="0" y="0"/>
                  <wp:positionH relativeFrom="column">
                    <wp:posOffset>171450</wp:posOffset>
                  </wp:positionH>
                  <wp:positionV relativeFrom="paragraph">
                    <wp:posOffset>1000125</wp:posOffset>
                  </wp:positionV>
                  <wp:extent cx="1228725" cy="704850"/>
                  <wp:effectExtent l="0" t="0" r="635" b="635"/>
                  <wp:wrapNone/>
                  <wp:docPr id="244" name="Text Box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18135" y="2752725"/>
                            <a:ext cx="1219200" cy="699126"/>
                            <a:chOff x="318135" y="2752725"/>
                            <a:chExt cx="1219200" cy="699126"/>
                          </a:xfrm>
                        </a:grpSpPr>
                        <a:sp>
                          <a:nvSpPr>
                            <a:cNvPr id="15" name="Text Box 10"/>
                            <a:cNvSpPr txBox="1">
                              <a:spLocks noChangeArrowheads="1"/>
                            </a:cNvSpPr>
                          </a:nvSpPr>
                          <a:spPr bwMode="auto">
                            <a:xfrm>
                              <a:off x="320040" y="2743200"/>
                              <a:ext cx="1257300" cy="71628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a:spPr>
                          <a:txSp>
                            <a:txBody>
                              <a:bodyPr vertOverflow="clip" wrap="square" lIns="36576" tIns="27432" rIns="36576" bIns="0" anchor="t"/>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AU" sz="900" b="0" i="0" u="none" strike="noStrike" baseline="0">
                                    <a:solidFill>
                                      <a:srgbClr val="000000"/>
                                    </a:solidFill>
                                    <a:latin typeface="Arial"/>
                                    <a:cs typeface="Arial"/>
                                  </a:rPr>
                                  <a:t>Target groundwater head within coal bearing formation</a:t>
                                </a:r>
                                <a:endParaRPr lang="en-AU"/>
                              </a:p>
                            </a:txBody>
                            <a:useSpRect/>
                          </a:txSp>
                        </a:sp>
                      </lc:lockedCanvas>
                    </a:graphicData>
                  </a:graphic>
                </wp:anchor>
              </w:drawing>
            </w:r>
            <w:r>
              <w:rPr>
                <w:rFonts w:eastAsia="Times New Roman" w:cs="Arial"/>
                <w:noProof/>
                <w:sz w:val="20"/>
                <w:szCs w:val="20"/>
                <w:lang w:val="en-AU" w:eastAsia="en-AU"/>
              </w:rPr>
              <w:drawing>
                <wp:anchor distT="0" distB="0" distL="114300" distR="114300" simplePos="0" relativeHeight="251713536" behindDoc="0" locked="0" layoutInCell="1" allowOverlap="1">
                  <wp:simplePos x="0" y="0"/>
                  <wp:positionH relativeFrom="column">
                    <wp:posOffset>209550</wp:posOffset>
                  </wp:positionH>
                  <wp:positionV relativeFrom="paragraph">
                    <wp:posOffset>9525</wp:posOffset>
                  </wp:positionV>
                  <wp:extent cx="161925" cy="133350"/>
                  <wp:effectExtent l="0" t="0" r="635" b="635"/>
                  <wp:wrapNone/>
                  <wp:docPr id="243" name="AutoShape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71475" y="1771650"/>
                            <a:ext cx="123825" cy="104775"/>
                            <a:chOff x="371475" y="1771650"/>
                            <a:chExt cx="123825" cy="104775"/>
                          </a:xfrm>
                        </a:grpSpPr>
                        <a:sp>
                          <a:nvSpPr>
                            <a:cNvPr id="138353" name="AutoShape 12"/>
                            <a:cNvSpPr>
                              <a:spLocks noChangeArrowheads="1"/>
                            </a:cNvSpPr>
                          </a:nvSpPr>
                          <a:spPr bwMode="auto">
                            <a:xfrm flipV="1">
                              <a:off x="371475" y="1771650"/>
                              <a:ext cx="123825" cy="104775"/>
                            </a:xfrm>
                            <a:prstGeom prst="triangle">
                              <a:avLst>
                                <a:gd name="adj" fmla="val 52940"/>
                              </a:avLst>
                            </a:prstGeom>
                            <a:solidFill>
                              <a:srgbClr val="FFFFFF"/>
                            </a:solidFill>
                            <a:ln w="9525">
                              <a:solidFill>
                                <a:srgbClr val="0000FF"/>
                              </a:solidFill>
                              <a:miter lim="800000"/>
                              <a:headEnd/>
                              <a:tailEnd/>
                            </a:ln>
                          </a:spPr>
                        </a:sp>
                      </lc:lockedCanvas>
                    </a:graphicData>
                  </a:graphic>
                </wp:anchor>
              </w:drawing>
            </w:r>
            <w:r>
              <w:rPr>
                <w:rFonts w:eastAsia="Times New Roman" w:cs="Arial"/>
                <w:noProof/>
                <w:sz w:val="20"/>
                <w:szCs w:val="20"/>
                <w:lang w:val="en-AU" w:eastAsia="en-AU"/>
              </w:rPr>
              <w:drawing>
                <wp:anchor distT="0" distB="0" distL="114300" distR="114300" simplePos="0" relativeHeight="251714560" behindDoc="0" locked="0" layoutInCell="1" allowOverlap="1">
                  <wp:simplePos x="0" y="0"/>
                  <wp:positionH relativeFrom="column">
                    <wp:posOffset>209550</wp:posOffset>
                  </wp:positionH>
                  <wp:positionV relativeFrom="paragraph">
                    <wp:posOffset>876300</wp:posOffset>
                  </wp:positionV>
                  <wp:extent cx="161925" cy="123825"/>
                  <wp:effectExtent l="0" t="0" r="635" b="635"/>
                  <wp:wrapNone/>
                  <wp:docPr id="242" name="AutoShape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71475" y="2638425"/>
                            <a:ext cx="123825" cy="95250"/>
                            <a:chOff x="371475" y="2638425"/>
                            <a:chExt cx="123825" cy="95250"/>
                          </a:xfrm>
                        </a:grpSpPr>
                        <a:sp>
                          <a:nvSpPr>
                            <a:cNvPr id="138354" name="AutoShape 22"/>
                            <a:cNvSpPr>
                              <a:spLocks noChangeArrowheads="1"/>
                            </a:cNvSpPr>
                          </a:nvSpPr>
                          <a:spPr bwMode="auto">
                            <a:xfrm flipV="1">
                              <a:off x="371475" y="2638425"/>
                              <a:ext cx="123825" cy="95250"/>
                            </a:xfrm>
                            <a:prstGeom prst="triangle">
                              <a:avLst>
                                <a:gd name="adj" fmla="val 52940"/>
                              </a:avLst>
                            </a:prstGeom>
                            <a:solidFill>
                              <a:srgbClr val="FFFFFF"/>
                            </a:solidFill>
                            <a:ln w="9525">
                              <a:solidFill>
                                <a:srgbClr val="0000FF"/>
                              </a:solidFill>
                              <a:miter lim="800000"/>
                              <a:headEnd/>
                              <a:tailEnd/>
                            </a:ln>
                          </a:spPr>
                        </a:sp>
                      </lc:lockedCanvas>
                    </a:graphicData>
                  </a:graphic>
                </wp:anchor>
              </w:drawing>
            </w:r>
          </w:p>
          <w:tbl>
            <w:tblPr>
              <w:tblW w:w="0" w:type="auto"/>
              <w:tblCellSpacing w:w="0" w:type="dxa"/>
              <w:tblCellMar>
                <w:left w:w="0" w:type="dxa"/>
                <w:right w:w="0" w:type="dxa"/>
              </w:tblCellMar>
              <w:tblLook w:val="04A0"/>
            </w:tblPr>
            <w:tblGrid>
              <w:gridCol w:w="2400"/>
            </w:tblGrid>
            <w:tr w:rsidR="004852AD" w:rsidRPr="004852AD">
              <w:trPr>
                <w:trHeight w:val="229"/>
                <w:tblCellSpacing w:w="0" w:type="dxa"/>
              </w:trPr>
              <w:tc>
                <w:tcPr>
                  <w:tcW w:w="2400"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bl>
          <w:p w:rsidR="004852AD" w:rsidRPr="004852AD" w:rsidRDefault="004852AD" w:rsidP="004852AD">
            <w:pPr>
              <w:autoSpaceDE/>
              <w:autoSpaceDN/>
              <w:spacing w:after="0"/>
              <w:rPr>
                <w:rFonts w:eastAsia="Times New Roman" w:cs="Arial"/>
                <w:sz w:val="20"/>
                <w:szCs w:val="20"/>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jc w:val="center"/>
              <w:rPr>
                <w:rFonts w:eastAsia="Times New Roman" w:cs="Arial"/>
                <w:sz w:val="18"/>
                <w:szCs w:val="18"/>
                <w:lang w:val="en-AU" w:eastAsia="en-AU"/>
              </w:rPr>
            </w:pPr>
            <w:r w:rsidRPr="004852AD">
              <w:rPr>
                <w:rFonts w:eastAsia="Times New Roman" w:cs="Arial"/>
                <w:sz w:val="18"/>
                <w:szCs w:val="18"/>
                <w:lang w:val="en-AU" w:eastAsia="en-AU"/>
              </w:rPr>
              <w:t>20</w:t>
            </w: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center"/>
            <w:hideMark/>
          </w:tcPr>
          <w:p w:rsidR="004852AD" w:rsidRPr="004852AD" w:rsidRDefault="004852AD" w:rsidP="004852AD">
            <w:pPr>
              <w:autoSpaceDE/>
              <w:autoSpaceDN/>
              <w:spacing w:after="0"/>
              <w:jc w:val="center"/>
              <w:rPr>
                <w:rFonts w:eastAsia="Times New Roman" w:cs="Arial"/>
                <w:sz w:val="18"/>
                <w:szCs w:val="18"/>
                <w:lang w:val="en-AU" w:eastAsia="en-AU"/>
              </w:rPr>
            </w:pPr>
            <w:r w:rsidRPr="004852AD">
              <w:rPr>
                <w:rFonts w:eastAsia="Times New Roman" w:cs="Arial"/>
                <w:sz w:val="18"/>
                <w:szCs w:val="18"/>
                <w:lang w:val="en-AU" w:eastAsia="en-AU"/>
              </w:rPr>
              <w:t>325</w:t>
            </w: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r w:rsidR="004852AD" w:rsidRPr="004852AD" w:rsidTr="00454A26">
        <w:trPr>
          <w:trHeight w:val="229"/>
        </w:trPr>
        <w:tc>
          <w:tcPr>
            <w:tcW w:w="261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jc w:val="right"/>
              <w:rPr>
                <w:rFonts w:ascii="Symbol" w:eastAsia="Times New Roman" w:hAnsi="Symbol"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54A26" w:rsidP="004852AD">
            <w:pPr>
              <w:autoSpaceDE/>
              <w:autoSpaceDN/>
              <w:spacing w:after="0"/>
              <w:jc w:val="center"/>
              <w:rPr>
                <w:rFonts w:eastAsia="Times New Roman" w:cs="Arial"/>
                <w:sz w:val="18"/>
                <w:szCs w:val="18"/>
                <w:lang w:val="en-AU" w:eastAsia="en-AU"/>
              </w:rPr>
            </w:pPr>
            <w:r w:rsidRPr="004852AD">
              <w:rPr>
                <w:rFonts w:ascii="Symbol" w:eastAsia="Times New Roman" w:hAnsi="Symbol" w:cs="Arial"/>
                <w:sz w:val="18"/>
                <w:szCs w:val="18"/>
                <w:lang w:val="en-AU" w:eastAsia="en-AU"/>
              </w:rPr>
              <w:t></w:t>
            </w:r>
            <w:r w:rsidRPr="004852AD">
              <w:rPr>
                <w:rFonts w:eastAsia="Times New Roman" w:cs="Arial"/>
                <w:sz w:val="18"/>
                <w:szCs w:val="18"/>
                <w:lang w:val="en-AU" w:eastAsia="en-AU"/>
              </w:rPr>
              <w:t>ϕ</w:t>
            </w:r>
            <w:r w:rsidRPr="004852AD">
              <w:rPr>
                <w:rFonts w:eastAsia="Times New Roman" w:cs="Arial"/>
                <w:sz w:val="18"/>
                <w:szCs w:val="18"/>
                <w:vertAlign w:val="subscript"/>
                <w:lang w:val="en-AU" w:eastAsia="en-AU"/>
              </w:rPr>
              <w:t>T</w:t>
            </w:r>
            <w:r w:rsidRPr="004852AD">
              <w:rPr>
                <w:rFonts w:eastAsia="Times New Roman" w:cs="Arial"/>
                <w:sz w:val="18"/>
                <w:szCs w:val="18"/>
                <w:lang w:val="en-AU" w:eastAsia="en-AU"/>
              </w:rPr>
              <w:t xml:space="preserve"> =</w:t>
            </w:r>
            <w:r w:rsidR="004852AD" w:rsidRPr="004852AD">
              <w:rPr>
                <w:rFonts w:eastAsia="Times New Roman" w:cs="Arial"/>
                <w:sz w:val="18"/>
                <w:szCs w:val="18"/>
                <w:lang w:val="en-AU" w:eastAsia="en-AU"/>
              </w:rPr>
              <w:t>305</w:t>
            </w:r>
          </w:p>
        </w:tc>
        <w:tc>
          <w:tcPr>
            <w:tcW w:w="103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67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1257"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c>
          <w:tcPr>
            <w:tcW w:w="896" w:type="dxa"/>
            <w:tcBorders>
              <w:top w:val="nil"/>
              <w:left w:val="nil"/>
              <w:bottom w:val="nil"/>
              <w:right w:val="nil"/>
            </w:tcBorders>
            <w:shd w:val="clear" w:color="auto" w:fill="auto"/>
            <w:noWrap/>
            <w:vAlign w:val="bottom"/>
            <w:hideMark/>
          </w:tcPr>
          <w:p w:rsidR="004852AD" w:rsidRPr="004852AD" w:rsidRDefault="004852AD" w:rsidP="004852AD">
            <w:pPr>
              <w:autoSpaceDE/>
              <w:autoSpaceDN/>
              <w:spacing w:after="0"/>
              <w:rPr>
                <w:rFonts w:eastAsia="Times New Roman" w:cs="Arial"/>
                <w:sz w:val="18"/>
                <w:szCs w:val="18"/>
                <w:lang w:val="en-AU" w:eastAsia="en-AU"/>
              </w:rPr>
            </w:pPr>
          </w:p>
        </w:tc>
      </w:tr>
    </w:tbl>
    <w:p w:rsidR="00454A26" w:rsidRPr="00454A26" w:rsidRDefault="00454A26" w:rsidP="00454A26">
      <w:pPr>
        <w:pStyle w:val="BRNormal11pt0"/>
        <w:rPr>
          <w:sz w:val="18"/>
          <w:szCs w:val="18"/>
          <w:lang w:val="en-AU"/>
        </w:rPr>
      </w:pPr>
      <w:r w:rsidRPr="00454A26">
        <w:rPr>
          <w:sz w:val="18"/>
          <w:szCs w:val="18"/>
          <w:lang w:val="en-AU"/>
        </w:rPr>
        <w:t xml:space="preserve">* denotes </w:t>
      </w:r>
      <w:r w:rsidR="003D4205">
        <w:rPr>
          <w:sz w:val="18"/>
          <w:szCs w:val="18"/>
          <w:lang w:val="en-AU"/>
        </w:rPr>
        <w:t>metres below ground level</w:t>
      </w:r>
    </w:p>
    <w:p w:rsidR="00093D1C" w:rsidRDefault="00E71472">
      <w:pPr>
        <w:pStyle w:val="Caption"/>
      </w:pPr>
      <w:r>
        <w:t xml:space="preserve">Figure </w:t>
      </w:r>
      <w:r w:rsidR="00E252C4">
        <w:fldChar w:fldCharType="begin"/>
      </w:r>
      <w:r>
        <w:instrText xml:space="preserve"> SEQ Figure \* ARABIC </w:instrText>
      </w:r>
      <w:r w:rsidR="00E252C4">
        <w:fldChar w:fldCharType="separate"/>
      </w:r>
      <w:r w:rsidR="00906141">
        <w:rPr>
          <w:noProof/>
        </w:rPr>
        <w:t>29</w:t>
      </w:r>
      <w:r w:rsidR="00E252C4">
        <w:fldChar w:fldCharType="end"/>
      </w:r>
      <w:proofErr w:type="gramStart"/>
      <w:r w:rsidR="00611B2A" w:rsidRPr="00611B2A">
        <w:t xml:space="preserve"> </w:t>
      </w:r>
      <w:r w:rsidR="00FB1E4C">
        <w:t>V</w:t>
      </w:r>
      <w:r w:rsidR="00A24086">
        <w:t>ariable permeability model</w:t>
      </w:r>
      <w:r w:rsidR="00FB1E4C">
        <w:t xml:space="preserve"> example</w:t>
      </w:r>
      <w:proofErr w:type="gramEnd"/>
    </w:p>
    <w:p w:rsidR="003154D1" w:rsidRDefault="003154D1">
      <w:pPr>
        <w:autoSpaceDE/>
        <w:autoSpaceDN/>
        <w:rPr>
          <w:rFonts w:eastAsia="Times New Roman" w:cs="Times New Roman"/>
          <w:sz w:val="20"/>
          <w:szCs w:val="20"/>
          <w:lang w:val="en-GB" w:eastAsia="en-US"/>
        </w:rPr>
      </w:pPr>
    </w:p>
    <w:p w:rsidR="00CB4C10" w:rsidRDefault="00CB4C10" w:rsidP="004852AD">
      <w:pPr>
        <w:pStyle w:val="Para0"/>
        <w:rPr>
          <w:rFonts w:ascii="Arial" w:hAnsi="Arial"/>
          <w:color w:val="auto"/>
          <w:sz w:val="20"/>
        </w:rPr>
        <w:sectPr w:rsidR="00CB4C10" w:rsidSect="00840B55">
          <w:headerReference w:type="default" r:id="rId85"/>
          <w:footerReference w:type="default" r:id="rId86"/>
          <w:headerReference w:type="first" r:id="rId87"/>
          <w:footerReference w:type="first" r:id="rId88"/>
          <w:pgSz w:w="11900" w:h="16840" w:code="9"/>
          <w:pgMar w:top="1963" w:right="1418" w:bottom="1418" w:left="1418" w:header="142" w:footer="709" w:gutter="0"/>
          <w:cols w:space="284"/>
          <w:noEndnote/>
          <w:titlePg/>
          <w:docGrid w:linePitch="326"/>
        </w:sectPr>
      </w:pPr>
    </w:p>
    <w:p w:rsidR="00587EC4" w:rsidRDefault="00CB4C10" w:rsidP="00E0564A">
      <w:pPr>
        <w:pStyle w:val="Caption"/>
        <w:ind w:left="-284"/>
      </w:pPr>
      <w:proofErr w:type="gramStart"/>
      <w:r>
        <w:t xml:space="preserve">Table </w:t>
      </w:r>
      <w:proofErr w:type="gramEnd"/>
      <w:r w:rsidR="00E252C4">
        <w:fldChar w:fldCharType="begin"/>
      </w:r>
      <w:r w:rsidR="00484FBC">
        <w:instrText xml:space="preserve"> SEQ Table \* ARABIC </w:instrText>
      </w:r>
      <w:r w:rsidR="00E252C4">
        <w:fldChar w:fldCharType="separate"/>
      </w:r>
      <w:r w:rsidR="00906141">
        <w:rPr>
          <w:noProof/>
        </w:rPr>
        <w:t>11</w:t>
      </w:r>
      <w:r w:rsidR="00E252C4">
        <w:fldChar w:fldCharType="end"/>
      </w:r>
      <w:proofErr w:type="gramStart"/>
      <w:r w:rsidR="000517B2">
        <w:t xml:space="preserve"> </w:t>
      </w:r>
      <w:r w:rsidR="000517B2" w:rsidRPr="00A83B0D">
        <w:t>Conceptual model</w:t>
      </w:r>
      <w:r w:rsidR="000517B2">
        <w:t xml:space="preserve"> calculation table </w:t>
      </w:r>
      <w:r w:rsidR="000517B2" w:rsidRPr="00A83B0D">
        <w:t xml:space="preserve">for the </w:t>
      </w:r>
      <w:r w:rsidR="009E67A2">
        <w:t>variable permeability model</w:t>
      </w:r>
      <w:r w:rsidR="00FB1E4C">
        <w:t xml:space="preserve"> </w:t>
      </w:r>
      <w:r w:rsidR="009E67A2">
        <w:t>approach</w:t>
      </w:r>
      <w:r w:rsidR="00715FD2">
        <w:t xml:space="preserve"> </w:t>
      </w:r>
      <w:r w:rsidR="00FB1E4C">
        <w:t>example shown</w:t>
      </w:r>
      <w:r w:rsidR="000517B2">
        <w:t xml:space="preserve"> in Figure</w:t>
      </w:r>
      <w:r w:rsidR="00A24086">
        <w:t> </w:t>
      </w:r>
      <w:r w:rsidR="008A0B55">
        <w:t>29</w:t>
      </w:r>
      <w:r w:rsidR="00FB1E4C">
        <w:t>.</w:t>
      </w:r>
      <w:proofErr w:type="gramEnd"/>
      <w:r w:rsidR="00FB1E4C">
        <w:t xml:space="preserve"> T</w:t>
      </w:r>
      <w:r w:rsidR="000517B2">
        <w:t xml:space="preserve">he total </w:t>
      </w:r>
      <w:r w:rsidR="009E67A2">
        <w:t>compaction</w:t>
      </w:r>
      <w:r w:rsidR="000517B2">
        <w:t xml:space="preserve"> due to groundwater pressure changes (S) is 62.3 m</w:t>
      </w:r>
      <w:r w:rsidR="000517B2" w:rsidRPr="00EA4FE4">
        <w:t>m.</w:t>
      </w:r>
    </w:p>
    <w:tbl>
      <w:tblPr>
        <w:tblW w:w="14885" w:type="dxa"/>
        <w:tblInd w:w="-176" w:type="dxa"/>
        <w:tblLayout w:type="fixed"/>
        <w:tblLook w:val="04A0"/>
      </w:tblPr>
      <w:tblGrid>
        <w:gridCol w:w="1419"/>
        <w:gridCol w:w="992"/>
        <w:gridCol w:w="992"/>
        <w:gridCol w:w="850"/>
        <w:gridCol w:w="709"/>
        <w:gridCol w:w="1134"/>
        <w:gridCol w:w="992"/>
        <w:gridCol w:w="992"/>
        <w:gridCol w:w="1134"/>
        <w:gridCol w:w="1135"/>
        <w:gridCol w:w="1134"/>
        <w:gridCol w:w="1100"/>
        <w:gridCol w:w="1178"/>
        <w:gridCol w:w="1124"/>
      </w:tblGrid>
      <w:tr w:rsidR="000517B2" w:rsidRPr="00CB4C10" w:rsidTr="003D4205">
        <w:trPr>
          <w:trHeight w:val="1440"/>
        </w:trPr>
        <w:tc>
          <w:tcPr>
            <w:tcW w:w="14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Geological </w:t>
            </w:r>
            <w:r w:rsidR="009B4ECD">
              <w:rPr>
                <w:rFonts w:eastAsia="Times New Roman"/>
                <w:lang w:val="en-AU"/>
              </w:rPr>
              <w:t>u</w:t>
            </w:r>
            <w:r w:rsidRPr="00CB4C10">
              <w:rPr>
                <w:rFonts w:eastAsia="Times New Roman"/>
                <w:lang w:val="en-AU"/>
              </w:rPr>
              <w:t>nit</w:t>
            </w:r>
          </w:p>
        </w:tc>
        <w:tc>
          <w:tcPr>
            <w:tcW w:w="992"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Depth to </w:t>
            </w:r>
            <w:r w:rsidR="009B4ECD">
              <w:rPr>
                <w:rFonts w:eastAsia="Times New Roman"/>
                <w:lang w:val="en-AU"/>
              </w:rPr>
              <w:t>b</w:t>
            </w:r>
            <w:r w:rsidRPr="00CB4C10">
              <w:rPr>
                <w:rFonts w:eastAsia="Times New Roman"/>
                <w:lang w:val="en-AU"/>
              </w:rPr>
              <w:t xml:space="preserve">ottom of </w:t>
            </w:r>
            <w:r w:rsidR="009B4ECD">
              <w:rPr>
                <w:rFonts w:eastAsia="Times New Roman"/>
                <w:lang w:val="en-AU"/>
              </w:rPr>
              <w:t>u</w:t>
            </w:r>
            <w:r w:rsidRPr="00CB4C10">
              <w:rPr>
                <w:rFonts w:eastAsia="Times New Roman"/>
                <w:lang w:val="en-AU"/>
              </w:rPr>
              <w:t>nit (mbgl)*</w:t>
            </w:r>
          </w:p>
        </w:tc>
        <w:tc>
          <w:tcPr>
            <w:tcW w:w="992"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0A76A0" w:rsidP="000A76A0">
            <w:pPr>
              <w:pStyle w:val="Tableheading"/>
              <w:rPr>
                <w:rFonts w:eastAsia="Times New Roman"/>
                <w:lang w:val="en-AU"/>
              </w:rPr>
            </w:pPr>
            <w:r>
              <w:rPr>
                <w:rFonts w:eastAsia="Times New Roman"/>
                <w:lang w:val="en-AU"/>
              </w:rPr>
              <w:t>Thick</w:t>
            </w:r>
            <w:r w:rsidR="00E0564A">
              <w:rPr>
                <w:rFonts w:eastAsia="Times New Roman"/>
                <w:lang w:val="en-AU"/>
              </w:rPr>
              <w:t>-</w:t>
            </w:r>
            <w:r w:rsidR="00CB4C10" w:rsidRPr="00CB4C10">
              <w:rPr>
                <w:rFonts w:eastAsia="Times New Roman"/>
                <w:lang w:val="en-AU"/>
              </w:rPr>
              <w:t>ness (m)</w:t>
            </w:r>
          </w:p>
        </w:tc>
        <w:tc>
          <w:tcPr>
            <w:tcW w:w="850"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E (GPa)</w:t>
            </w:r>
          </w:p>
        </w:tc>
        <w:tc>
          <w:tcPr>
            <w:tcW w:w="709"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ascii="Symbol" w:eastAsia="Times New Roman" w:hAnsi="Symbol"/>
                <w:lang w:val="en-AU"/>
              </w:rPr>
            </w:pPr>
            <w:r w:rsidRPr="00CB4C10">
              <w:rPr>
                <w:rFonts w:ascii="Symbol" w:eastAsia="Times New Roman" w:hAnsi="Symbol"/>
                <w:lang w:val="en-AU"/>
              </w:rPr>
              <w:t></w:t>
            </w:r>
            <w:r w:rsidR="00BD01F0">
              <w:rPr>
                <w:rFonts w:eastAsia="Times New Roman"/>
                <w:lang w:val="en-AU"/>
              </w:rPr>
              <w:br/>
            </w:r>
            <w:r w:rsidRPr="00CB4C10">
              <w:rPr>
                <w:rFonts w:eastAsia="Times New Roman"/>
                <w:lang w:val="en-AU"/>
              </w:rPr>
              <w:t>(-)</w:t>
            </w:r>
          </w:p>
        </w:tc>
        <w:tc>
          <w:tcPr>
            <w:tcW w:w="1134"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m</w:t>
            </w:r>
            <w:r w:rsidRPr="00CB4C10">
              <w:rPr>
                <w:rFonts w:eastAsia="Times New Roman"/>
                <w:vertAlign w:val="subscript"/>
                <w:lang w:val="en-AU"/>
              </w:rPr>
              <w:t>v</w:t>
            </w:r>
            <w:r w:rsidR="00BD01F0">
              <w:rPr>
                <w:rFonts w:eastAsia="Times New Roman"/>
                <w:lang w:val="en-AU"/>
              </w:rPr>
              <w:br/>
            </w:r>
            <w:r w:rsidRPr="00CB4C10">
              <w:rPr>
                <w:rFonts w:eastAsia="Times New Roman"/>
                <w:lang w:val="en-AU"/>
              </w:rPr>
              <w:t>(MPa</w:t>
            </w:r>
            <w:r w:rsidRPr="00CB4C10">
              <w:rPr>
                <w:rFonts w:eastAsia="Times New Roman"/>
                <w:vertAlign w:val="superscript"/>
                <w:lang w:val="en-AU"/>
              </w:rPr>
              <w:t>-1</w:t>
            </w:r>
            <w:r w:rsidRPr="00CB4C10">
              <w:rPr>
                <w:rFonts w:eastAsia="Times New Roman"/>
                <w:lang w:val="en-AU"/>
              </w:rPr>
              <w:t>)</w:t>
            </w:r>
          </w:p>
        </w:tc>
        <w:tc>
          <w:tcPr>
            <w:tcW w:w="992"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k</w:t>
            </w:r>
            <w:r w:rsidRPr="00CB4C10">
              <w:rPr>
                <w:rFonts w:eastAsia="Times New Roman"/>
                <w:vertAlign w:val="subscript"/>
                <w:lang w:val="en-AU"/>
              </w:rPr>
              <w:t>v</w:t>
            </w:r>
            <w:r w:rsidR="00BD01F0">
              <w:rPr>
                <w:rFonts w:eastAsia="Times New Roman"/>
                <w:lang w:val="en-AU"/>
              </w:rPr>
              <w:br/>
            </w:r>
            <w:r w:rsidRPr="00CB4C10">
              <w:rPr>
                <w:rFonts w:eastAsia="Times New Roman"/>
                <w:lang w:val="en-AU"/>
              </w:rPr>
              <w:t>(m/day)</w:t>
            </w:r>
          </w:p>
        </w:tc>
        <w:tc>
          <w:tcPr>
            <w:tcW w:w="992"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H</w:t>
            </w:r>
            <w:r w:rsidRPr="00CB4C10">
              <w:rPr>
                <w:rFonts w:eastAsia="Times New Roman"/>
                <w:vertAlign w:val="subscript"/>
                <w:lang w:val="en-AU"/>
              </w:rPr>
              <w:t>i</w:t>
            </w:r>
            <w:r w:rsidRPr="00CB4C10">
              <w:rPr>
                <w:rFonts w:eastAsia="Times New Roman"/>
                <w:lang w:val="en-AU"/>
              </w:rPr>
              <w:t>/k</w:t>
            </w:r>
            <w:r w:rsidRPr="00CB4C10">
              <w:rPr>
                <w:rFonts w:eastAsia="Times New Roman"/>
                <w:vertAlign w:val="subscript"/>
                <w:lang w:val="en-AU"/>
              </w:rPr>
              <w:t>i</w:t>
            </w:r>
            <w:r w:rsidR="00BD01F0">
              <w:rPr>
                <w:rFonts w:eastAsia="Times New Roman"/>
                <w:vertAlign w:val="subscript"/>
                <w:lang w:val="en-AU"/>
              </w:rPr>
              <w:br/>
            </w:r>
            <w:r w:rsidRPr="00CB4C10">
              <w:rPr>
                <w:rFonts w:eastAsia="Times New Roman"/>
                <w:lang w:val="en-AU"/>
              </w:rPr>
              <w:t>(day</w:t>
            </w:r>
            <w:r w:rsidRPr="00CB4C10">
              <w:rPr>
                <w:rFonts w:eastAsia="Times New Roman"/>
                <w:vertAlign w:val="superscript"/>
                <w:lang w:val="en-AU"/>
              </w:rPr>
              <w:t>-1</w:t>
            </w:r>
            <w:r w:rsidRPr="00CB4C10">
              <w:rPr>
                <w:rFonts w:eastAsia="Times New Roman"/>
                <w:lang w:val="en-AU"/>
              </w:rPr>
              <w:t>)</w:t>
            </w:r>
          </w:p>
        </w:tc>
        <w:tc>
          <w:tcPr>
            <w:tcW w:w="1134"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Total </w:t>
            </w:r>
            <w:r w:rsidR="009B4ECD">
              <w:rPr>
                <w:rFonts w:eastAsia="Times New Roman"/>
                <w:lang w:val="en-AU"/>
              </w:rPr>
              <w:t>h</w:t>
            </w:r>
            <w:r w:rsidRPr="00CB4C10">
              <w:rPr>
                <w:rFonts w:eastAsia="Times New Roman"/>
                <w:lang w:val="en-AU"/>
              </w:rPr>
              <w:t xml:space="preserve">ead </w:t>
            </w:r>
            <w:r w:rsidR="009B4ECD">
              <w:rPr>
                <w:rFonts w:eastAsia="Times New Roman"/>
                <w:lang w:val="en-AU"/>
              </w:rPr>
              <w:t>c</w:t>
            </w:r>
            <w:r w:rsidRPr="00CB4C10">
              <w:rPr>
                <w:rFonts w:eastAsia="Times New Roman"/>
                <w:lang w:val="en-AU"/>
              </w:rPr>
              <w:t xml:space="preserve">hange, </w:t>
            </w:r>
            <w:r w:rsidRPr="00CB4C10">
              <w:rPr>
                <w:rFonts w:ascii="Symbol" w:eastAsia="Times New Roman" w:hAnsi="Symbol"/>
                <w:lang w:val="en-AU"/>
              </w:rPr>
              <w:t></w:t>
            </w:r>
            <w:r w:rsidRPr="00CB4C10">
              <w:rPr>
                <w:rFonts w:eastAsia="Times New Roman"/>
                <w:lang w:val="en-AU"/>
              </w:rPr>
              <w:t xml:space="preserve">ϕ, </w:t>
            </w:r>
            <w:r w:rsidR="009B4ECD">
              <w:rPr>
                <w:rFonts w:eastAsia="Times New Roman"/>
                <w:lang w:val="en-AU"/>
              </w:rPr>
              <w:t>a</w:t>
            </w:r>
            <w:r w:rsidRPr="00CB4C10">
              <w:rPr>
                <w:rFonts w:eastAsia="Times New Roman"/>
                <w:lang w:val="en-AU"/>
              </w:rPr>
              <w:t xml:space="preserve">cross </w:t>
            </w:r>
            <w:r w:rsidR="009B4ECD">
              <w:rPr>
                <w:rFonts w:eastAsia="Times New Roman"/>
                <w:lang w:val="en-AU"/>
              </w:rPr>
              <w:t>u</w:t>
            </w:r>
            <w:r w:rsidRPr="00CB4C10">
              <w:rPr>
                <w:rFonts w:eastAsia="Times New Roman"/>
                <w:lang w:val="en-AU"/>
              </w:rPr>
              <w:t>nit (m)</w:t>
            </w:r>
          </w:p>
        </w:tc>
        <w:tc>
          <w:tcPr>
            <w:tcW w:w="1135"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Initial </w:t>
            </w:r>
            <w:r w:rsidR="009B4ECD">
              <w:rPr>
                <w:rFonts w:eastAsia="Times New Roman"/>
                <w:lang w:val="en-AU"/>
              </w:rPr>
              <w:t>p</w:t>
            </w:r>
            <w:r w:rsidRPr="00CB4C10">
              <w:rPr>
                <w:rFonts w:eastAsia="Times New Roman"/>
                <w:lang w:val="en-AU"/>
              </w:rPr>
              <w:t xml:space="preserve">ressure </w:t>
            </w:r>
            <w:r w:rsidR="009B4ECD">
              <w:rPr>
                <w:rFonts w:eastAsia="Times New Roman"/>
                <w:lang w:val="en-AU"/>
              </w:rPr>
              <w:t>h</w:t>
            </w:r>
            <w:r w:rsidRPr="00CB4C10">
              <w:rPr>
                <w:rFonts w:eastAsia="Times New Roman"/>
                <w:lang w:val="en-AU"/>
              </w:rPr>
              <w:t xml:space="preserve">ead at </w:t>
            </w:r>
            <w:r w:rsidR="009B4ECD">
              <w:rPr>
                <w:rFonts w:eastAsia="Times New Roman"/>
                <w:lang w:val="en-AU"/>
              </w:rPr>
              <w:t>b</w:t>
            </w:r>
            <w:r w:rsidRPr="00CB4C10">
              <w:rPr>
                <w:rFonts w:eastAsia="Times New Roman"/>
                <w:lang w:val="en-AU"/>
              </w:rPr>
              <w:t xml:space="preserve">ase of </w:t>
            </w:r>
            <w:r w:rsidR="009B4ECD">
              <w:rPr>
                <w:rFonts w:eastAsia="Times New Roman"/>
                <w:lang w:val="en-AU"/>
              </w:rPr>
              <w:t>u</w:t>
            </w:r>
            <w:r w:rsidRPr="00CB4C10">
              <w:rPr>
                <w:rFonts w:eastAsia="Times New Roman"/>
                <w:lang w:val="en-AU"/>
              </w:rPr>
              <w:t>nit (m)</w:t>
            </w:r>
          </w:p>
        </w:tc>
        <w:tc>
          <w:tcPr>
            <w:tcW w:w="1134"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Final </w:t>
            </w:r>
            <w:r w:rsidR="009B4ECD">
              <w:rPr>
                <w:rFonts w:eastAsia="Times New Roman"/>
                <w:lang w:val="en-AU"/>
              </w:rPr>
              <w:t>p</w:t>
            </w:r>
            <w:r w:rsidRPr="00CB4C10">
              <w:rPr>
                <w:rFonts w:eastAsia="Times New Roman"/>
                <w:lang w:val="en-AU"/>
              </w:rPr>
              <w:t xml:space="preserve">ressure </w:t>
            </w:r>
            <w:r w:rsidR="009B4ECD">
              <w:rPr>
                <w:rFonts w:eastAsia="Times New Roman"/>
                <w:lang w:val="en-AU"/>
              </w:rPr>
              <w:t>h</w:t>
            </w:r>
            <w:r w:rsidRPr="00CB4C10">
              <w:rPr>
                <w:rFonts w:eastAsia="Times New Roman"/>
                <w:lang w:val="en-AU"/>
              </w:rPr>
              <w:t xml:space="preserve">ead at </w:t>
            </w:r>
            <w:r w:rsidR="009B4ECD">
              <w:rPr>
                <w:rFonts w:eastAsia="Times New Roman"/>
                <w:lang w:val="en-AU"/>
              </w:rPr>
              <w:t>b</w:t>
            </w:r>
            <w:r w:rsidRPr="00CB4C10">
              <w:rPr>
                <w:rFonts w:eastAsia="Times New Roman"/>
                <w:lang w:val="en-AU"/>
              </w:rPr>
              <w:t xml:space="preserve">ase of </w:t>
            </w:r>
            <w:r w:rsidR="009B4ECD">
              <w:rPr>
                <w:rFonts w:eastAsia="Times New Roman"/>
                <w:lang w:val="en-AU"/>
              </w:rPr>
              <w:t>u</w:t>
            </w:r>
            <w:r w:rsidRPr="00CB4C10">
              <w:rPr>
                <w:rFonts w:eastAsia="Times New Roman"/>
                <w:lang w:val="en-AU"/>
              </w:rPr>
              <w:t>nit (m)</w:t>
            </w:r>
          </w:p>
        </w:tc>
        <w:tc>
          <w:tcPr>
            <w:tcW w:w="1100"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Change in </w:t>
            </w:r>
            <w:r w:rsidR="009B4ECD">
              <w:rPr>
                <w:rFonts w:eastAsia="Times New Roman"/>
                <w:lang w:val="en-AU"/>
              </w:rPr>
              <w:t>p</w:t>
            </w:r>
            <w:r w:rsidRPr="00CB4C10">
              <w:rPr>
                <w:rFonts w:eastAsia="Times New Roman"/>
                <w:lang w:val="en-AU"/>
              </w:rPr>
              <w:t xml:space="preserve">ressure </w:t>
            </w:r>
            <w:r w:rsidR="009B4ECD">
              <w:rPr>
                <w:rFonts w:eastAsia="Times New Roman"/>
                <w:lang w:val="en-AU"/>
              </w:rPr>
              <w:t>h</w:t>
            </w:r>
            <w:r w:rsidRPr="00CB4C10">
              <w:rPr>
                <w:rFonts w:eastAsia="Times New Roman"/>
                <w:lang w:val="en-AU"/>
              </w:rPr>
              <w:t xml:space="preserve">ead at </w:t>
            </w:r>
            <w:r w:rsidR="009B4ECD">
              <w:rPr>
                <w:rFonts w:eastAsia="Times New Roman"/>
                <w:lang w:val="en-AU"/>
              </w:rPr>
              <w:t>b</w:t>
            </w:r>
            <w:r w:rsidRPr="00CB4C10">
              <w:rPr>
                <w:rFonts w:eastAsia="Times New Roman"/>
                <w:lang w:val="en-AU"/>
              </w:rPr>
              <w:t xml:space="preserve">ase of </w:t>
            </w:r>
            <w:r w:rsidR="009B4ECD">
              <w:rPr>
                <w:rFonts w:eastAsia="Times New Roman"/>
                <w:lang w:val="en-AU"/>
              </w:rPr>
              <w:t>u</w:t>
            </w:r>
            <w:r w:rsidRPr="00CB4C10">
              <w:rPr>
                <w:rFonts w:eastAsia="Times New Roman"/>
                <w:lang w:val="en-AU"/>
              </w:rPr>
              <w:t>nit (m)</w:t>
            </w:r>
          </w:p>
        </w:tc>
        <w:tc>
          <w:tcPr>
            <w:tcW w:w="1178"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0A76A0">
            <w:pPr>
              <w:pStyle w:val="Tableheading"/>
              <w:rPr>
                <w:rFonts w:eastAsia="Times New Roman"/>
                <w:lang w:val="en-AU"/>
              </w:rPr>
            </w:pPr>
            <w:r w:rsidRPr="00CB4C10">
              <w:rPr>
                <w:rFonts w:eastAsia="Times New Roman"/>
                <w:lang w:val="en-AU"/>
              </w:rPr>
              <w:t xml:space="preserve">Average </w:t>
            </w:r>
            <w:r w:rsidR="009B4ECD">
              <w:rPr>
                <w:rFonts w:eastAsia="Times New Roman"/>
                <w:lang w:val="en-AU"/>
              </w:rPr>
              <w:t>c</w:t>
            </w:r>
            <w:r w:rsidRPr="00CB4C10">
              <w:rPr>
                <w:rFonts w:eastAsia="Times New Roman"/>
                <w:lang w:val="en-AU"/>
              </w:rPr>
              <w:t xml:space="preserve">hange in </w:t>
            </w:r>
            <w:r w:rsidR="009B4ECD">
              <w:rPr>
                <w:rFonts w:eastAsia="Times New Roman"/>
                <w:lang w:val="en-AU"/>
              </w:rPr>
              <w:t>p</w:t>
            </w:r>
            <w:r w:rsidRPr="00CB4C10">
              <w:rPr>
                <w:rFonts w:eastAsia="Times New Roman"/>
                <w:lang w:val="en-AU"/>
              </w:rPr>
              <w:t xml:space="preserve">ressure </w:t>
            </w:r>
            <w:r w:rsidR="009B4ECD">
              <w:rPr>
                <w:rFonts w:eastAsia="Times New Roman"/>
                <w:lang w:val="en-AU"/>
              </w:rPr>
              <w:t>h</w:t>
            </w:r>
            <w:r w:rsidRPr="00CB4C10">
              <w:rPr>
                <w:rFonts w:eastAsia="Times New Roman"/>
                <w:lang w:val="en-AU"/>
              </w:rPr>
              <w:t xml:space="preserve">ead in </w:t>
            </w:r>
            <w:r w:rsidR="009B4ECD">
              <w:rPr>
                <w:rFonts w:eastAsia="Times New Roman"/>
                <w:lang w:val="en-AU"/>
              </w:rPr>
              <w:t>u</w:t>
            </w:r>
            <w:r w:rsidRPr="00CB4C10">
              <w:rPr>
                <w:rFonts w:eastAsia="Times New Roman"/>
                <w:lang w:val="en-AU"/>
              </w:rPr>
              <w:t>nit (m)</w:t>
            </w:r>
          </w:p>
        </w:tc>
        <w:tc>
          <w:tcPr>
            <w:tcW w:w="1124" w:type="dxa"/>
            <w:tcBorders>
              <w:top w:val="single" w:sz="4" w:space="0" w:color="auto"/>
              <w:left w:val="nil"/>
              <w:bottom w:val="single" w:sz="4" w:space="0" w:color="auto"/>
              <w:right w:val="single" w:sz="4" w:space="0" w:color="auto"/>
            </w:tcBorders>
            <w:shd w:val="clear" w:color="auto" w:fill="C6D9F1" w:themeFill="text2" w:themeFillTint="33"/>
            <w:hideMark/>
          </w:tcPr>
          <w:p w:rsidR="00CB4C10" w:rsidRPr="00CB4C10" w:rsidRDefault="00CB4C10" w:rsidP="00E0564A">
            <w:pPr>
              <w:pStyle w:val="Tableheading"/>
              <w:rPr>
                <w:rFonts w:eastAsia="Times New Roman"/>
                <w:lang w:val="en-AU"/>
              </w:rPr>
            </w:pPr>
            <w:r w:rsidRPr="00CB4C10">
              <w:rPr>
                <w:rFonts w:eastAsia="Times New Roman"/>
                <w:lang w:val="en-AU"/>
              </w:rPr>
              <w:t>Com</w:t>
            </w:r>
            <w:r w:rsidR="00E0564A">
              <w:rPr>
                <w:rFonts w:eastAsia="Times New Roman"/>
                <w:lang w:val="en-AU"/>
              </w:rPr>
              <w:t>-</w:t>
            </w:r>
            <w:r w:rsidRPr="00CB4C10">
              <w:rPr>
                <w:rFonts w:eastAsia="Times New Roman"/>
                <w:lang w:val="en-AU"/>
              </w:rPr>
              <w:t xml:space="preserve">pression of </w:t>
            </w:r>
            <w:r w:rsidR="009B4ECD">
              <w:rPr>
                <w:rFonts w:eastAsia="Times New Roman"/>
                <w:lang w:val="en-AU"/>
              </w:rPr>
              <w:t>u</w:t>
            </w:r>
            <w:r w:rsidRPr="00CB4C10">
              <w:rPr>
                <w:rFonts w:eastAsia="Times New Roman"/>
                <w:lang w:val="en-AU"/>
              </w:rPr>
              <w:t>nit, S</w:t>
            </w:r>
            <w:r w:rsidRPr="00CB4C10">
              <w:rPr>
                <w:rFonts w:eastAsia="Times New Roman"/>
                <w:vertAlign w:val="subscript"/>
                <w:lang w:val="en-AU"/>
              </w:rPr>
              <w:t>i</w:t>
            </w:r>
            <w:r w:rsidRPr="00CB4C10">
              <w:rPr>
                <w:rFonts w:eastAsia="Times New Roman"/>
                <w:lang w:val="en-AU"/>
              </w:rPr>
              <w:t xml:space="preserve"> (mm)</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Alluvium (unsaturated)</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20</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20</w:t>
            </w:r>
          </w:p>
        </w:tc>
        <w:tc>
          <w:tcPr>
            <w:tcW w:w="850"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w:t>
            </w:r>
          </w:p>
        </w:tc>
        <w:tc>
          <w:tcPr>
            <w:tcW w:w="709"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0.3</w:t>
            </w:r>
          </w:p>
        </w:tc>
        <w:tc>
          <w:tcPr>
            <w:tcW w:w="1134" w:type="dxa"/>
            <w:tcBorders>
              <w:top w:val="nil"/>
              <w:left w:val="nil"/>
              <w:bottom w:val="nil"/>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 </w:t>
            </w:r>
            <w:r w:rsidR="003D4205">
              <w:rPr>
                <w:rFonts w:eastAsia="Times New Roman"/>
                <w:lang w:val="en-AU" w:eastAsia="en-AU"/>
              </w:rPr>
              <w:t>-</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1.0E-03</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0.0E+00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0.0</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Alluvium (saturated)</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0.3</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 </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1.0E-03</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4.0E+04</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40</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0.0</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Sedimentary Rock Unit 1</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8</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0.25</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B4C10" w:rsidRPr="00CB4C10" w:rsidRDefault="00CB4C10" w:rsidP="003D4205">
            <w:pPr>
              <w:pStyle w:val="Tabletext"/>
              <w:rPr>
                <w:rFonts w:eastAsia="Times New Roman"/>
                <w:lang w:val="en-AU" w:eastAsia="en-AU"/>
              </w:rPr>
            </w:pPr>
            <w:r w:rsidRPr="00CB4C10">
              <w:rPr>
                <w:rFonts w:eastAsia="Times New Roman"/>
                <w:lang w:val="en-AU" w:eastAsia="en-AU"/>
              </w:rPr>
              <w:t>5.38E-05</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1.0E-03</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1.0E+05</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21</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119</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-21</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11</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0.6</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Sedimentary Rock Unit 2</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14</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0.25</w:t>
            </w:r>
          </w:p>
        </w:tc>
        <w:tc>
          <w:tcPr>
            <w:tcW w:w="1134" w:type="dxa"/>
            <w:vMerge/>
            <w:tcBorders>
              <w:top w:val="nil"/>
              <w:left w:val="single" w:sz="4" w:space="0" w:color="auto"/>
              <w:bottom w:val="single" w:sz="4" w:space="0" w:color="000000"/>
              <w:right w:val="single" w:sz="4" w:space="0" w:color="auto"/>
            </w:tcBorders>
            <w:hideMark/>
          </w:tcPr>
          <w:p w:rsidR="00CB4C10" w:rsidRPr="00CB4C10" w:rsidRDefault="00CB4C10" w:rsidP="000A76A0">
            <w:pPr>
              <w:pStyle w:val="Tabletext"/>
              <w:rPr>
                <w:rFonts w:eastAsia="Times New Roman"/>
                <w:lang w:val="en-AU" w:eastAsia="en-AU"/>
              </w:rPr>
            </w:pP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3.0E-04</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3.3E+05</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71</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148</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-92</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57</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Sedimentary Rock Unit 3</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20</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0.25</w:t>
            </w:r>
          </w:p>
        </w:tc>
        <w:tc>
          <w:tcPr>
            <w:tcW w:w="1134" w:type="dxa"/>
            <w:vMerge/>
            <w:tcBorders>
              <w:top w:val="nil"/>
              <w:left w:val="single" w:sz="4" w:space="0" w:color="auto"/>
              <w:bottom w:val="single" w:sz="4" w:space="0" w:color="000000"/>
              <w:right w:val="single" w:sz="4" w:space="0" w:color="auto"/>
            </w:tcBorders>
            <w:hideMark/>
          </w:tcPr>
          <w:p w:rsidR="00CB4C10" w:rsidRPr="00CB4C10" w:rsidRDefault="00CB4C10" w:rsidP="000A76A0">
            <w:pPr>
              <w:pStyle w:val="Tabletext"/>
              <w:rPr>
                <w:rFonts w:eastAsia="Times New Roman"/>
                <w:lang w:val="en-AU" w:eastAsia="en-AU"/>
              </w:rPr>
            </w:pP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1.0E-04</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1.0E+06</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213</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35</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199</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10.5</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CSG Bearing Formation</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14</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0.23</w:t>
            </w:r>
          </w:p>
        </w:tc>
        <w:tc>
          <w:tcPr>
            <w:tcW w:w="1134" w:type="dxa"/>
            <w:vMerge/>
            <w:tcBorders>
              <w:top w:val="nil"/>
              <w:left w:val="single" w:sz="4" w:space="0" w:color="auto"/>
              <w:bottom w:val="single" w:sz="4" w:space="0" w:color="000000"/>
              <w:right w:val="single" w:sz="4" w:space="0" w:color="auto"/>
            </w:tcBorders>
            <w:hideMark/>
          </w:tcPr>
          <w:p w:rsidR="00CB4C10" w:rsidRPr="00CB4C10" w:rsidRDefault="00CB4C10" w:rsidP="000A76A0">
            <w:pPr>
              <w:pStyle w:val="Tabletext"/>
              <w:rPr>
                <w:rFonts w:eastAsia="Times New Roman"/>
                <w:lang w:val="en-AU" w:eastAsia="en-AU"/>
              </w:rPr>
            </w:pP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1.0E-03</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1.0E+05</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440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135</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16.1</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Sedimentary Rock Unit 4</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560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28</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0.25</w:t>
            </w:r>
          </w:p>
        </w:tc>
        <w:tc>
          <w:tcPr>
            <w:tcW w:w="1134" w:type="dxa"/>
            <w:vMerge/>
            <w:tcBorders>
              <w:top w:val="nil"/>
              <w:left w:val="single" w:sz="4" w:space="0" w:color="auto"/>
              <w:bottom w:val="single" w:sz="4" w:space="0" w:color="000000"/>
              <w:right w:val="single" w:sz="4" w:space="0" w:color="auto"/>
            </w:tcBorders>
            <w:hideMark/>
          </w:tcPr>
          <w:p w:rsidR="00CB4C10" w:rsidRPr="00CB4C10" w:rsidRDefault="00CB4C10" w:rsidP="000A76A0">
            <w:pPr>
              <w:pStyle w:val="Tabletext"/>
              <w:rPr>
                <w:rFonts w:eastAsia="Times New Roman"/>
                <w:lang w:val="en-AU" w:eastAsia="en-AU"/>
              </w:rPr>
            </w:pP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1.0E-04</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1.0E+06</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540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235</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16.1</w:t>
            </w:r>
          </w:p>
        </w:tc>
      </w:tr>
      <w:tr w:rsidR="000517B2" w:rsidRPr="00CB4C10" w:rsidTr="003D4205">
        <w:trPr>
          <w:trHeight w:val="240"/>
        </w:trPr>
        <w:tc>
          <w:tcPr>
            <w:tcW w:w="1419" w:type="dxa"/>
            <w:tcBorders>
              <w:top w:val="nil"/>
              <w:left w:val="single" w:sz="4" w:space="0" w:color="auto"/>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Sedimentary Rock Unit 5</w:t>
            </w:r>
          </w:p>
        </w:tc>
        <w:tc>
          <w:tcPr>
            <w:tcW w:w="992" w:type="dxa"/>
            <w:tcBorders>
              <w:top w:val="nil"/>
              <w:left w:val="nil"/>
              <w:bottom w:val="single" w:sz="4" w:space="0" w:color="auto"/>
              <w:right w:val="single" w:sz="4" w:space="0" w:color="auto"/>
            </w:tcBorders>
            <w:shd w:val="clear" w:color="auto" w:fill="auto"/>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660</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100</w:t>
            </w:r>
          </w:p>
        </w:tc>
        <w:tc>
          <w:tcPr>
            <w:tcW w:w="85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32</w:t>
            </w:r>
          </w:p>
        </w:tc>
        <w:tc>
          <w:tcPr>
            <w:tcW w:w="709"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0.25</w:t>
            </w:r>
          </w:p>
        </w:tc>
        <w:tc>
          <w:tcPr>
            <w:tcW w:w="1134" w:type="dxa"/>
            <w:vMerge/>
            <w:tcBorders>
              <w:top w:val="nil"/>
              <w:left w:val="single" w:sz="4" w:space="0" w:color="auto"/>
              <w:bottom w:val="single" w:sz="4" w:space="0" w:color="000000"/>
              <w:right w:val="single" w:sz="4" w:space="0" w:color="auto"/>
            </w:tcBorders>
            <w:hideMark/>
          </w:tcPr>
          <w:p w:rsidR="00CB4C10" w:rsidRPr="00CB4C10" w:rsidRDefault="00CB4C10" w:rsidP="000A76A0">
            <w:pPr>
              <w:pStyle w:val="Tabletext"/>
              <w:rPr>
                <w:rFonts w:eastAsia="Times New Roman"/>
                <w:lang w:val="en-AU" w:eastAsia="en-AU"/>
              </w:rPr>
            </w:pP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1.0E-04</w:t>
            </w:r>
          </w:p>
        </w:tc>
        <w:tc>
          <w:tcPr>
            <w:tcW w:w="992"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1.0E+06</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0</w:t>
            </w:r>
          </w:p>
        </w:tc>
        <w:tc>
          <w:tcPr>
            <w:tcW w:w="1135"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640</w:t>
            </w:r>
          </w:p>
        </w:tc>
        <w:tc>
          <w:tcPr>
            <w:tcW w:w="113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335</w:t>
            </w:r>
          </w:p>
        </w:tc>
        <w:tc>
          <w:tcPr>
            <w:tcW w:w="1100"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78"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305</w:t>
            </w:r>
          </w:p>
        </w:tc>
        <w:tc>
          <w:tcPr>
            <w:tcW w:w="1124" w:type="dxa"/>
            <w:tcBorders>
              <w:top w:val="nil"/>
              <w:left w:val="nil"/>
              <w:bottom w:val="single" w:sz="4" w:space="0" w:color="auto"/>
              <w:right w:val="single" w:sz="4" w:space="0" w:color="auto"/>
            </w:tcBorders>
            <w:shd w:val="clear" w:color="auto" w:fill="auto"/>
            <w:noWrap/>
            <w:hideMark/>
          </w:tcPr>
          <w:p w:rsidR="00CB4C10" w:rsidRPr="00CB4C10" w:rsidRDefault="00CB4C10" w:rsidP="000A76A0">
            <w:pPr>
              <w:pStyle w:val="Tabletext"/>
              <w:rPr>
                <w:rFonts w:eastAsia="Times New Roman"/>
                <w:lang w:val="en-AU" w:eastAsia="en-AU"/>
              </w:rPr>
            </w:pPr>
            <w:r w:rsidRPr="00CB4C10">
              <w:rPr>
                <w:rFonts w:eastAsia="Times New Roman"/>
                <w:lang w:val="en-AU" w:eastAsia="en-AU"/>
              </w:rPr>
              <w:t>16.1</w:t>
            </w:r>
          </w:p>
        </w:tc>
      </w:tr>
    </w:tbl>
    <w:p w:rsidR="009B4ECD" w:rsidRDefault="009B4ECD" w:rsidP="00E0564A">
      <w:pPr>
        <w:pStyle w:val="Listintrotext"/>
        <w:ind w:left="-284"/>
        <w:rPr>
          <w:sz w:val="18"/>
          <w:szCs w:val="18"/>
        </w:rPr>
      </w:pPr>
      <w:r w:rsidRPr="009B4ECD">
        <w:rPr>
          <w:sz w:val="18"/>
          <w:szCs w:val="18"/>
          <w:lang w:val="en-AU" w:eastAsia="en-AU"/>
        </w:rPr>
        <w:t>* denotes metres below ground level</w:t>
      </w:r>
    </w:p>
    <w:p w:rsidR="00BD01F0" w:rsidRDefault="00BD01F0" w:rsidP="00A90F48">
      <w:pPr>
        <w:pStyle w:val="Listintrotext"/>
        <w:rPr>
          <w:sz w:val="18"/>
          <w:szCs w:val="18"/>
        </w:rPr>
      </w:pPr>
    </w:p>
    <w:p w:rsidR="009B4ECD" w:rsidRPr="009B4ECD" w:rsidRDefault="009B4ECD" w:rsidP="004852AD">
      <w:pPr>
        <w:pStyle w:val="Para0"/>
        <w:rPr>
          <w:rFonts w:ascii="Arial" w:hAnsi="Arial"/>
          <w:color w:val="auto"/>
          <w:sz w:val="18"/>
          <w:szCs w:val="18"/>
        </w:rPr>
        <w:sectPr w:rsidR="009B4ECD" w:rsidRPr="009B4ECD" w:rsidSect="000A76A0">
          <w:headerReference w:type="first" r:id="rId89"/>
          <w:footerReference w:type="first" r:id="rId90"/>
          <w:pgSz w:w="16840" w:h="11900" w:orient="landscape" w:code="9"/>
          <w:pgMar w:top="1418" w:right="1389" w:bottom="1418" w:left="1418" w:header="142" w:footer="567" w:gutter="0"/>
          <w:cols w:space="284"/>
          <w:noEndnote/>
          <w:titlePg/>
          <w:docGrid w:linePitch="326"/>
        </w:sectPr>
      </w:pPr>
    </w:p>
    <w:p w:rsidR="00D35D3E" w:rsidRPr="004C28AD" w:rsidRDefault="00D35D3E" w:rsidP="000C70AD">
      <w:pPr>
        <w:pStyle w:val="Heading3"/>
      </w:pPr>
      <w:bookmarkStart w:id="578" w:name="_Toc338078430"/>
      <w:bookmarkStart w:id="579" w:name="_Toc387410263"/>
      <w:r w:rsidRPr="004C28AD">
        <w:t xml:space="preserve">Variable </w:t>
      </w:r>
      <w:r w:rsidR="00FD23B8">
        <w:t>g</w:t>
      </w:r>
      <w:r w:rsidRPr="004C28AD">
        <w:t xml:space="preserve">round </w:t>
      </w:r>
      <w:r w:rsidR="00FD23B8">
        <w:t>m</w:t>
      </w:r>
      <w:r w:rsidRPr="004C28AD">
        <w:t>odel (</w:t>
      </w:r>
      <w:r w:rsidR="00FD23B8">
        <w:t>s</w:t>
      </w:r>
      <w:r w:rsidRPr="004C28AD">
        <w:t xml:space="preserve">teady </w:t>
      </w:r>
      <w:r w:rsidR="00FD23B8">
        <w:t>s</w:t>
      </w:r>
      <w:r w:rsidRPr="004C28AD">
        <w:t xml:space="preserve">tate, </w:t>
      </w:r>
      <w:r w:rsidR="00CF5DF1">
        <w:t>one-dimensional</w:t>
      </w:r>
      <w:r w:rsidRPr="004C28AD">
        <w:t>)</w:t>
      </w:r>
      <w:bookmarkEnd w:id="578"/>
      <w:bookmarkEnd w:id="579"/>
    </w:p>
    <w:p w:rsidR="00D35D3E" w:rsidRPr="004C28AD" w:rsidRDefault="00D35D3E" w:rsidP="00781EF7">
      <w:pPr>
        <w:pStyle w:val="Heading4"/>
      </w:pPr>
      <w:bookmarkStart w:id="580" w:name="_Toc338078431"/>
      <w:r w:rsidRPr="004C28AD">
        <w:t>Approach</w:t>
      </w:r>
      <w:bookmarkEnd w:id="580"/>
    </w:p>
    <w:p w:rsidR="00D35D3E" w:rsidRPr="004C28AD" w:rsidRDefault="00D35D3E" w:rsidP="00D35D3E">
      <w:pPr>
        <w:pStyle w:val="BRNormal11pt0"/>
        <w:rPr>
          <w:lang w:val="en-AU"/>
        </w:rPr>
      </w:pPr>
      <w:r w:rsidRPr="004C28AD">
        <w:rPr>
          <w:lang w:val="en-AU"/>
        </w:rPr>
        <w:t xml:space="preserve">The simplifications of the </w:t>
      </w:r>
      <w:r w:rsidR="00A24086">
        <w:rPr>
          <w:lang w:val="en-AU"/>
        </w:rPr>
        <w:t>u</w:t>
      </w:r>
      <w:r w:rsidRPr="004C28AD">
        <w:rPr>
          <w:lang w:val="en-AU"/>
        </w:rPr>
        <w:t xml:space="preserve">niform </w:t>
      </w:r>
      <w:r w:rsidR="00A24086">
        <w:rPr>
          <w:lang w:val="en-AU"/>
        </w:rPr>
        <w:t>g</w:t>
      </w:r>
      <w:r w:rsidRPr="004C28AD">
        <w:rPr>
          <w:lang w:val="en-AU"/>
        </w:rPr>
        <w:t xml:space="preserve">eology </w:t>
      </w:r>
      <w:r w:rsidR="00A24086">
        <w:rPr>
          <w:lang w:val="en-AU"/>
        </w:rPr>
        <w:t>m</w:t>
      </w:r>
      <w:r w:rsidRPr="004C28AD">
        <w:rPr>
          <w:lang w:val="en-AU"/>
        </w:rPr>
        <w:t>odel may be further reduced by accounting for both the variable hydraulic conductivities and the variable coefficients of compressibility of hydrogeological units.</w:t>
      </w:r>
    </w:p>
    <w:p w:rsidR="00D35D3E" w:rsidRPr="004C28AD" w:rsidRDefault="00D35D3E" w:rsidP="00D35D3E">
      <w:pPr>
        <w:pStyle w:val="BRNormal11pt0"/>
        <w:rPr>
          <w:lang w:val="en-AU"/>
        </w:rPr>
      </w:pPr>
      <w:r w:rsidRPr="004C28AD">
        <w:rPr>
          <w:lang w:val="en-AU"/>
        </w:rPr>
        <w:t xml:space="preserve">The accuracy of the potential subsidence assessment may be improved by inclusion of both </w:t>
      </w:r>
      <w:r w:rsidR="00A24086">
        <w:rPr>
          <w:lang w:val="en-AU"/>
        </w:rPr>
        <w:t>compaction</w:t>
      </w:r>
      <w:r w:rsidRPr="004C28AD">
        <w:rPr>
          <w:lang w:val="en-AU"/>
        </w:rPr>
        <w:t xml:space="preserve"> and hydraulic information. This method is therefore considered an improvement on the </w:t>
      </w:r>
      <w:r w:rsidR="00A24086">
        <w:rPr>
          <w:lang w:val="en-AU"/>
        </w:rPr>
        <w:t>v</w:t>
      </w:r>
      <w:r w:rsidRPr="004C28AD">
        <w:rPr>
          <w:lang w:val="en-AU"/>
        </w:rPr>
        <w:t xml:space="preserve">ariable </w:t>
      </w:r>
      <w:r w:rsidR="00A24086">
        <w:rPr>
          <w:lang w:val="en-AU"/>
        </w:rPr>
        <w:t>p</w:t>
      </w:r>
      <w:r w:rsidRPr="004C28AD">
        <w:rPr>
          <w:lang w:val="en-AU"/>
        </w:rPr>
        <w:t xml:space="preserve">ermeability </w:t>
      </w:r>
      <w:r w:rsidR="00A24086">
        <w:rPr>
          <w:lang w:val="en-AU"/>
        </w:rPr>
        <w:t>m</w:t>
      </w:r>
      <w:r w:rsidRPr="004C28AD">
        <w:rPr>
          <w:lang w:val="en-AU"/>
        </w:rPr>
        <w:t>odel approach. However, due to its limitations (listed below) this method may not be appropriate beyond screening-level assessment.</w:t>
      </w:r>
    </w:p>
    <w:p w:rsidR="00D35D3E" w:rsidRPr="004C28AD" w:rsidRDefault="00D35D3E" w:rsidP="00781EF7">
      <w:pPr>
        <w:pStyle w:val="Heading4"/>
      </w:pPr>
      <w:bookmarkStart w:id="581" w:name="_Toc338078432"/>
      <w:r w:rsidRPr="004C28AD">
        <w:t>Requirements</w:t>
      </w:r>
      <w:bookmarkEnd w:id="581"/>
    </w:p>
    <w:p w:rsidR="00D35D3E" w:rsidRPr="004C28AD" w:rsidRDefault="00D35D3E" w:rsidP="00D35D3E">
      <w:pPr>
        <w:pStyle w:val="Listintrotext"/>
      </w:pPr>
      <w:r w:rsidRPr="004C28AD">
        <w:t>This approach requires data relating to the:</w:t>
      </w:r>
    </w:p>
    <w:p w:rsidR="00D35D3E" w:rsidRPr="004C28AD" w:rsidRDefault="00506E65" w:rsidP="007702DF">
      <w:pPr>
        <w:pStyle w:val="BRdotpoints"/>
      </w:pPr>
      <w:r>
        <w:t>t</w:t>
      </w:r>
      <w:r w:rsidR="00D35D3E" w:rsidRPr="004C28AD">
        <w:t>h</w:t>
      </w:r>
      <w:r w:rsidR="00D35D3E">
        <w:t>ickness of each geological unit</w:t>
      </w:r>
    </w:p>
    <w:p w:rsidR="00D35D3E" w:rsidRPr="004C28AD" w:rsidRDefault="00506E65" w:rsidP="007702DF">
      <w:pPr>
        <w:pStyle w:val="BRdotpoints"/>
      </w:pPr>
      <w:r>
        <w:t>h</w:t>
      </w:r>
      <w:r w:rsidR="00D35D3E" w:rsidRPr="004C28AD">
        <w:t>ydraulic conductivi</w:t>
      </w:r>
      <w:r w:rsidR="00D35D3E">
        <w:t>ty of each hydrogeological unit</w:t>
      </w:r>
    </w:p>
    <w:p w:rsidR="00D35D3E" w:rsidRPr="004C28AD" w:rsidRDefault="00506E65" w:rsidP="007702DF">
      <w:pPr>
        <w:pStyle w:val="BRdotpoints"/>
      </w:pPr>
      <w:proofErr w:type="gramStart"/>
      <w:r>
        <w:t>c</w:t>
      </w:r>
      <w:r w:rsidR="00D35D3E" w:rsidRPr="004C28AD">
        <w:t>oefficient</w:t>
      </w:r>
      <w:proofErr w:type="gramEnd"/>
      <w:r w:rsidR="00D35D3E" w:rsidRPr="004C28AD">
        <w:t xml:space="preserve"> of volume compressibility of each hydrogeological unit.</w:t>
      </w:r>
    </w:p>
    <w:p w:rsidR="00D35D3E" w:rsidRPr="004C28AD" w:rsidRDefault="00D35D3E" w:rsidP="00781EF7">
      <w:pPr>
        <w:pStyle w:val="Heading4"/>
      </w:pPr>
      <w:bookmarkStart w:id="582" w:name="_Toc338078433"/>
      <w:r w:rsidRPr="00D35D3E">
        <w:t>Limitations</w:t>
      </w:r>
      <w:bookmarkEnd w:id="582"/>
    </w:p>
    <w:p w:rsidR="00D35D3E" w:rsidRPr="004C28AD" w:rsidRDefault="00D35D3E" w:rsidP="00D35D3E">
      <w:pPr>
        <w:pStyle w:val="Listintrotext"/>
        <w:rPr>
          <w:lang w:val="en-AU"/>
        </w:rPr>
      </w:pPr>
      <w:r w:rsidRPr="004C28AD">
        <w:rPr>
          <w:lang w:val="en-AU"/>
        </w:rPr>
        <w:t>This approach:</w:t>
      </w:r>
    </w:p>
    <w:p w:rsidR="00D35D3E" w:rsidRPr="004C28AD" w:rsidRDefault="00506E65" w:rsidP="007702DF">
      <w:pPr>
        <w:pStyle w:val="BRdotpoints"/>
      </w:pPr>
      <w:r>
        <w:rPr>
          <w:lang w:val="en-AU"/>
        </w:rPr>
        <w:t>d</w:t>
      </w:r>
      <w:r w:rsidR="00D35D3E" w:rsidRPr="004C28AD">
        <w:rPr>
          <w:lang w:val="en-AU"/>
        </w:rPr>
        <w:t xml:space="preserve">isregards lateral variations in conditions but is applicable where conditions do not change </w:t>
      </w:r>
      <w:r w:rsidR="000170F4">
        <w:rPr>
          <w:lang w:val="en-AU"/>
        </w:rPr>
        <w:t xml:space="preserve">substantially </w:t>
      </w:r>
      <w:r w:rsidR="00D35D3E">
        <w:rPr>
          <w:lang w:val="en-AU"/>
        </w:rPr>
        <w:t>in the horizontal direction</w:t>
      </w:r>
    </w:p>
    <w:p w:rsidR="00D35D3E" w:rsidRPr="004C28AD" w:rsidRDefault="00506E65" w:rsidP="007702DF">
      <w:pPr>
        <w:pStyle w:val="BRdotpoints"/>
      </w:pPr>
      <w:proofErr w:type="gramStart"/>
      <w:r>
        <w:rPr>
          <w:lang w:val="en-AU"/>
        </w:rPr>
        <w:t>d</w:t>
      </w:r>
      <w:r w:rsidR="00D35D3E" w:rsidRPr="004C28AD">
        <w:rPr>
          <w:lang w:val="en-AU"/>
        </w:rPr>
        <w:t>oes</w:t>
      </w:r>
      <w:proofErr w:type="gramEnd"/>
      <w:r w:rsidR="00D35D3E" w:rsidRPr="004C28AD">
        <w:rPr>
          <w:lang w:val="en-AU"/>
        </w:rPr>
        <w:t xml:space="preserve"> not account for interaction between groundwater flow (</w:t>
      </w:r>
      <w:r>
        <w:rPr>
          <w:lang w:val="en-AU"/>
        </w:rPr>
        <w:t xml:space="preserve">e.g. </w:t>
      </w:r>
      <w:r w:rsidR="00D35D3E" w:rsidRPr="004C28AD">
        <w:rPr>
          <w:lang w:val="en-AU"/>
        </w:rPr>
        <w:t xml:space="preserve">due to </w:t>
      </w:r>
      <w:r w:rsidR="00C723CB">
        <w:rPr>
          <w:lang w:val="en-GB"/>
        </w:rPr>
        <w:t>coal seam gas</w:t>
      </w:r>
      <w:r w:rsidR="00C723CB" w:rsidRPr="00973D19">
        <w:rPr>
          <w:lang w:val="en-GB"/>
        </w:rPr>
        <w:t xml:space="preserve"> </w:t>
      </w:r>
      <w:r w:rsidR="00D35D3E" w:rsidRPr="004C28AD">
        <w:rPr>
          <w:lang w:val="en-AU"/>
        </w:rPr>
        <w:t>well pumping) and geomechanical effects such as compression.</w:t>
      </w:r>
    </w:p>
    <w:p w:rsidR="00D35D3E" w:rsidRPr="004C28AD" w:rsidRDefault="00D35D3E" w:rsidP="00781EF7">
      <w:pPr>
        <w:pStyle w:val="Heading4"/>
      </w:pPr>
      <w:bookmarkStart w:id="583" w:name="_Toc338078434"/>
      <w:r w:rsidRPr="004C28AD">
        <w:t>Example</w:t>
      </w:r>
      <w:bookmarkEnd w:id="583"/>
    </w:p>
    <w:p w:rsidR="00D35D3E" w:rsidRPr="004C28AD" w:rsidRDefault="00D35D3E" w:rsidP="00D35D3E">
      <w:pPr>
        <w:pStyle w:val="BRNormal11pt0"/>
        <w:rPr>
          <w:lang w:val="en-AU"/>
        </w:rPr>
      </w:pPr>
      <w:r w:rsidRPr="004C28AD">
        <w:rPr>
          <w:lang w:val="en-AU"/>
        </w:rPr>
        <w:t>Figure</w:t>
      </w:r>
      <w:r w:rsidR="008A0B55">
        <w:rPr>
          <w:lang w:val="en-AU"/>
        </w:rPr>
        <w:t xml:space="preserve"> 30</w:t>
      </w:r>
      <w:r w:rsidR="00506E65" w:rsidRPr="004C28AD">
        <w:rPr>
          <w:lang w:val="en-AU"/>
        </w:rPr>
        <w:t xml:space="preserve"> </w:t>
      </w:r>
      <w:r w:rsidRPr="004C28AD">
        <w:rPr>
          <w:lang w:val="en-AU"/>
        </w:rPr>
        <w:t>provide</w:t>
      </w:r>
      <w:r w:rsidR="008A0B55">
        <w:rPr>
          <w:lang w:val="en-AU"/>
        </w:rPr>
        <w:t>s</w:t>
      </w:r>
      <w:r w:rsidRPr="004C28AD">
        <w:rPr>
          <w:lang w:val="en-AU"/>
        </w:rPr>
        <w:t xml:space="preserve"> an example of potential subsidence assessment based on this approach</w:t>
      </w:r>
      <w:r w:rsidR="008A0B55">
        <w:rPr>
          <w:lang w:val="en-AU"/>
        </w:rPr>
        <w:t xml:space="preserve">, with the associated calculations presented in Table </w:t>
      </w:r>
      <w:r w:rsidR="002C43B4">
        <w:rPr>
          <w:lang w:val="en-AU"/>
        </w:rPr>
        <w:t>12</w:t>
      </w:r>
      <w:r w:rsidR="008A0B55">
        <w:rPr>
          <w:lang w:val="en-AU"/>
        </w:rPr>
        <w:t>.</w:t>
      </w:r>
    </w:p>
    <w:p w:rsidR="00D35D3E" w:rsidRPr="004C28AD" w:rsidRDefault="00D35D3E" w:rsidP="00D35D3E">
      <w:pPr>
        <w:pStyle w:val="BRNormal11pt0"/>
        <w:rPr>
          <w:lang w:val="en-AU"/>
        </w:rPr>
      </w:pPr>
      <w:r w:rsidRPr="004C28AD">
        <w:rPr>
          <w:lang w:val="en-AU"/>
        </w:rPr>
        <w:t xml:space="preserve">Both geomechanical properties and hydraulic properties vary in this example. The values adopted are consistent with the previous examples. The </w:t>
      </w:r>
      <w:r w:rsidR="00A24086">
        <w:rPr>
          <w:lang w:val="en-AU"/>
        </w:rPr>
        <w:t>compaction</w:t>
      </w:r>
      <w:r w:rsidRPr="004C28AD">
        <w:rPr>
          <w:lang w:val="en-AU"/>
        </w:rPr>
        <w:t xml:space="preserve"> due directly to groundwater pressure changes is calculated for each geological unit, and is different from unit to unit because both the geomech</w:t>
      </w:r>
      <w:r w:rsidR="00506E65">
        <w:rPr>
          <w:lang w:val="en-AU"/>
        </w:rPr>
        <w:t>a</w:t>
      </w:r>
      <w:r w:rsidRPr="004C28AD">
        <w:rPr>
          <w:lang w:val="en-AU"/>
        </w:rPr>
        <w:t xml:space="preserve">nical and hydraulic properties are different in each unit. The sum of </w:t>
      </w:r>
      <w:r w:rsidR="00A24086">
        <w:rPr>
          <w:lang w:val="en-AU"/>
        </w:rPr>
        <w:t>compaction</w:t>
      </w:r>
      <w:r w:rsidRPr="004C28AD">
        <w:rPr>
          <w:lang w:val="en-AU"/>
        </w:rPr>
        <w:t xml:space="preserve"> of all the geological units, plus the </w:t>
      </w:r>
      <w:r w:rsidR="00A24086">
        <w:rPr>
          <w:lang w:val="en-AU"/>
        </w:rPr>
        <w:t>compaction</w:t>
      </w:r>
      <w:r w:rsidRPr="004C28AD">
        <w:rPr>
          <w:lang w:val="en-AU"/>
        </w:rPr>
        <w:t xml:space="preserve"> of the coal due to degassing, yields the total ground subsidence.</w:t>
      </w:r>
    </w:p>
    <w:p w:rsidR="00D35D3E" w:rsidRPr="004C28AD" w:rsidRDefault="00D35D3E" w:rsidP="00D35D3E">
      <w:pPr>
        <w:pStyle w:val="BRNormal11pt0"/>
        <w:rPr>
          <w:lang w:val="en-AU"/>
        </w:rPr>
      </w:pPr>
      <w:r w:rsidRPr="004C28AD">
        <w:rPr>
          <w:lang w:val="en-AU"/>
        </w:rPr>
        <w:t>Comparing the example models for the different illustrative examples, this modelling approach may over</w:t>
      </w:r>
      <w:r w:rsidRPr="004C28AD">
        <w:rPr>
          <w:lang w:val="en-AU"/>
        </w:rPr>
        <w:noBreakHyphen/>
        <w:t>estimate or under-estimate predicted subsidence (settlement) relative to other models due to its simplification of the hydraulic and geomechanical properti</w:t>
      </w:r>
      <w:r w:rsidR="00BD01F0">
        <w:rPr>
          <w:lang w:val="en-AU"/>
        </w:rPr>
        <w:t>es of the geological materials.</w:t>
      </w:r>
    </w:p>
    <w:p w:rsidR="00D35D3E" w:rsidRDefault="00D35D3E" w:rsidP="00D35D3E">
      <w:pPr>
        <w:pStyle w:val="BRNormal11pt0"/>
        <w:rPr>
          <w:lang w:val="en-AU"/>
        </w:rPr>
      </w:pPr>
      <w:r w:rsidRPr="004C28AD">
        <w:rPr>
          <w:lang w:val="en-AU"/>
        </w:rPr>
        <w:t>For example, the variation in coefficient of volume compressibility values adopted in this approach provides a more accurate representation of the material properties, thus resulting in a potentially more accurate estimate of subsidence.</w:t>
      </w:r>
    </w:p>
    <w:p w:rsidR="00086CB5" w:rsidRDefault="00086CB5" w:rsidP="00D35D3E">
      <w:pPr>
        <w:pStyle w:val="BRNormal11pt0"/>
        <w:rPr>
          <w:lang w:val="en-AU"/>
        </w:rPr>
      </w:pPr>
    </w:p>
    <w:p w:rsidR="00E0564A" w:rsidRDefault="00E0564A" w:rsidP="00E0564A">
      <w:pPr>
        <w:pStyle w:val="BelowTableFigureText9pt"/>
      </w:pPr>
    </w:p>
    <w:p w:rsidR="00906141" w:rsidRDefault="00906141" w:rsidP="00906141">
      <w:pPr>
        <w:pStyle w:val="BRNormal11pt0"/>
      </w:pPr>
      <w:r>
        <w:rPr>
          <w:noProof/>
          <w:lang w:val="en-AU" w:eastAsia="en-AU"/>
        </w:rPr>
        <w:drawing>
          <wp:inline distT="0" distB="0" distL="0" distR="0">
            <wp:extent cx="5192110" cy="38597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197963" cy="38641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6141" w:rsidRDefault="00906141" w:rsidP="00906141">
      <w:pPr>
        <w:pStyle w:val="BelowTableFigureText9pt"/>
      </w:pPr>
      <w:r>
        <w:t>*</w:t>
      </w:r>
      <w:r w:rsidRPr="00BD01F0">
        <w:t xml:space="preserve"> de</w:t>
      </w:r>
      <w:r>
        <w:t>notes metres below ground level</w:t>
      </w:r>
    </w:p>
    <w:p w:rsidR="00587EC4" w:rsidRDefault="00E71472" w:rsidP="003D4205">
      <w:pPr>
        <w:pStyle w:val="Caption"/>
      </w:pPr>
      <w:r>
        <w:t xml:space="preserve">Figure </w:t>
      </w:r>
      <w:r w:rsidR="00E252C4">
        <w:fldChar w:fldCharType="begin"/>
      </w:r>
      <w:r>
        <w:instrText xml:space="preserve"> SEQ Figure \* ARABIC </w:instrText>
      </w:r>
      <w:r w:rsidR="00E252C4">
        <w:fldChar w:fldCharType="separate"/>
      </w:r>
      <w:r w:rsidR="00906141">
        <w:rPr>
          <w:noProof/>
        </w:rPr>
        <w:t>30</w:t>
      </w:r>
      <w:r w:rsidR="00E252C4">
        <w:fldChar w:fldCharType="end"/>
      </w:r>
      <w:r>
        <w:t xml:space="preserve"> </w:t>
      </w:r>
      <w:r w:rsidR="00FB1E4C">
        <w:t>V</w:t>
      </w:r>
      <w:r w:rsidR="009E67A2">
        <w:t>ariable ground model</w:t>
      </w:r>
      <w:r w:rsidR="00FB1E4C">
        <w:t xml:space="preserve"> example</w:t>
      </w:r>
      <w:bookmarkStart w:id="584" w:name="_GoBack"/>
      <w:bookmarkEnd w:id="584"/>
    </w:p>
    <w:p w:rsidR="00086CB5" w:rsidRDefault="00086CB5" w:rsidP="00D35D3E">
      <w:pPr>
        <w:pStyle w:val="BRNormal11pt0"/>
        <w:rPr>
          <w:lang w:val="en-AU"/>
        </w:rPr>
      </w:pPr>
    </w:p>
    <w:p w:rsidR="00243473" w:rsidRDefault="00243473" w:rsidP="00D35D3E">
      <w:pPr>
        <w:pStyle w:val="BRNormal11pt0"/>
        <w:rPr>
          <w:lang w:val="en-AU"/>
        </w:rPr>
        <w:sectPr w:rsidR="00243473" w:rsidSect="00E0564A">
          <w:headerReference w:type="default" r:id="rId92"/>
          <w:footerReference w:type="default" r:id="rId93"/>
          <w:headerReference w:type="first" r:id="rId94"/>
          <w:footerReference w:type="first" r:id="rId95"/>
          <w:pgSz w:w="11900" w:h="16840" w:code="9"/>
          <w:pgMar w:top="2104" w:right="1418" w:bottom="1963" w:left="1418" w:header="142" w:footer="567" w:gutter="0"/>
          <w:cols w:space="284"/>
          <w:noEndnote/>
          <w:titlePg/>
          <w:docGrid w:linePitch="326"/>
        </w:sectPr>
      </w:pPr>
    </w:p>
    <w:p w:rsidR="00E0564A" w:rsidRDefault="00E0564A" w:rsidP="00E0564A">
      <w:pPr>
        <w:pStyle w:val="Caption"/>
      </w:pPr>
      <w:r>
        <w:t xml:space="preserve">Table </w:t>
      </w:r>
      <w:r w:rsidR="00E252C4">
        <w:fldChar w:fldCharType="begin"/>
      </w:r>
      <w:r>
        <w:instrText xml:space="preserve"> SEQ Table \* ARABIC </w:instrText>
      </w:r>
      <w:r w:rsidR="00E252C4">
        <w:fldChar w:fldCharType="separate"/>
      </w:r>
      <w:r w:rsidR="00906141">
        <w:rPr>
          <w:noProof/>
        </w:rPr>
        <w:t>12</w:t>
      </w:r>
      <w:r w:rsidR="00E252C4">
        <w:fldChar w:fldCharType="end"/>
      </w:r>
      <w:r>
        <w:t xml:space="preserve"> Conceptual model calculation table for the variable ground model approach example shown in Figure 30. The total compaction due to groundwater pressure changes (S) is 47.7 mm</w:t>
      </w:r>
    </w:p>
    <w:tbl>
      <w:tblPr>
        <w:tblStyle w:val="TableGrid"/>
        <w:tblW w:w="14324" w:type="dxa"/>
        <w:tblLook w:val="04A0"/>
      </w:tblPr>
      <w:tblGrid>
        <w:gridCol w:w="1407"/>
        <w:gridCol w:w="1111"/>
        <w:gridCol w:w="812"/>
        <w:gridCol w:w="750"/>
        <w:gridCol w:w="709"/>
        <w:gridCol w:w="1030"/>
        <w:gridCol w:w="992"/>
        <w:gridCol w:w="992"/>
        <w:gridCol w:w="992"/>
        <w:gridCol w:w="1061"/>
        <w:gridCol w:w="1066"/>
        <w:gridCol w:w="1061"/>
        <w:gridCol w:w="1207"/>
        <w:gridCol w:w="1134"/>
      </w:tblGrid>
      <w:tr w:rsidR="00E0564A" w:rsidTr="00846F8C">
        <w:tc>
          <w:tcPr>
            <w:tcW w:w="1407"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Geological </w:t>
            </w:r>
            <w:r>
              <w:rPr>
                <w:rFonts w:eastAsia="Times New Roman"/>
                <w:lang w:val="en-AU"/>
              </w:rPr>
              <w:t>u</w:t>
            </w:r>
            <w:r w:rsidRPr="00086CB5">
              <w:rPr>
                <w:rFonts w:eastAsia="Times New Roman"/>
                <w:lang w:val="en-AU"/>
              </w:rPr>
              <w:t>nit</w:t>
            </w:r>
          </w:p>
        </w:tc>
        <w:tc>
          <w:tcPr>
            <w:tcW w:w="1111"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Depth to </w:t>
            </w:r>
            <w:r>
              <w:rPr>
                <w:rFonts w:eastAsia="Times New Roman"/>
                <w:lang w:val="en-AU"/>
              </w:rPr>
              <w:t>b</w:t>
            </w:r>
            <w:r w:rsidRPr="00086CB5">
              <w:rPr>
                <w:rFonts w:eastAsia="Times New Roman"/>
                <w:lang w:val="en-AU"/>
              </w:rPr>
              <w:t xml:space="preserve">ottom of </w:t>
            </w:r>
            <w:r>
              <w:rPr>
                <w:rFonts w:eastAsia="Times New Roman"/>
                <w:lang w:val="en-AU"/>
              </w:rPr>
              <w:t>u</w:t>
            </w:r>
            <w:r w:rsidRPr="00086CB5">
              <w:rPr>
                <w:rFonts w:eastAsia="Times New Roman"/>
                <w:lang w:val="en-AU"/>
              </w:rPr>
              <w:t>nit (mbgl)*</w:t>
            </w:r>
          </w:p>
        </w:tc>
        <w:tc>
          <w:tcPr>
            <w:tcW w:w="812"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Thick-ness (m)</w:t>
            </w:r>
          </w:p>
        </w:tc>
        <w:tc>
          <w:tcPr>
            <w:tcW w:w="750"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E</w:t>
            </w:r>
            <w:r>
              <w:rPr>
                <w:rFonts w:eastAsia="Times New Roman"/>
                <w:lang w:val="en-AU"/>
              </w:rPr>
              <w:br/>
            </w:r>
            <w:r w:rsidRPr="00086CB5">
              <w:rPr>
                <w:rFonts w:eastAsia="Times New Roman"/>
                <w:lang w:val="en-AU"/>
              </w:rPr>
              <w:t>(GPa)</w:t>
            </w:r>
          </w:p>
        </w:tc>
        <w:tc>
          <w:tcPr>
            <w:tcW w:w="709" w:type="dxa"/>
            <w:shd w:val="clear" w:color="auto" w:fill="C6D9F1" w:themeFill="text2" w:themeFillTint="33"/>
          </w:tcPr>
          <w:p w:rsidR="00E0564A" w:rsidRPr="00086CB5" w:rsidRDefault="00E0564A" w:rsidP="00E0564A">
            <w:pPr>
              <w:pStyle w:val="Tableheading"/>
              <w:rPr>
                <w:rFonts w:ascii="Symbol" w:eastAsia="Times New Roman" w:hAnsi="Symbol"/>
                <w:lang w:val="en-AU"/>
              </w:rPr>
            </w:pPr>
            <w:r w:rsidRPr="00086CB5">
              <w:rPr>
                <w:rFonts w:ascii="Symbol" w:eastAsia="Times New Roman" w:hAnsi="Symbol"/>
                <w:lang w:val="en-AU"/>
              </w:rPr>
              <w:t></w:t>
            </w:r>
            <w:r>
              <w:rPr>
                <w:rFonts w:eastAsia="Times New Roman"/>
                <w:lang w:val="en-AU"/>
              </w:rPr>
              <w:br/>
            </w:r>
            <w:r w:rsidRPr="00086CB5">
              <w:rPr>
                <w:rFonts w:eastAsia="Times New Roman"/>
                <w:lang w:val="en-AU"/>
              </w:rPr>
              <w:t>(-)</w:t>
            </w:r>
          </w:p>
        </w:tc>
        <w:tc>
          <w:tcPr>
            <w:tcW w:w="1030"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m</w:t>
            </w:r>
            <w:r w:rsidRPr="00086CB5">
              <w:rPr>
                <w:rFonts w:eastAsia="Times New Roman"/>
                <w:vertAlign w:val="subscript"/>
                <w:lang w:val="en-AU"/>
              </w:rPr>
              <w:t>v</w:t>
            </w:r>
            <w:r>
              <w:rPr>
                <w:rFonts w:eastAsia="Times New Roman"/>
                <w:lang w:val="en-AU"/>
              </w:rPr>
              <w:br/>
            </w:r>
            <w:r w:rsidRPr="00086CB5">
              <w:rPr>
                <w:rFonts w:eastAsia="Times New Roman"/>
                <w:lang w:val="en-AU"/>
              </w:rPr>
              <w:t>(MPa</w:t>
            </w:r>
            <w:r w:rsidRPr="00086CB5">
              <w:rPr>
                <w:rFonts w:eastAsia="Times New Roman"/>
                <w:vertAlign w:val="superscript"/>
                <w:lang w:val="en-AU"/>
              </w:rPr>
              <w:t>-1</w:t>
            </w:r>
            <w:r w:rsidRPr="00086CB5">
              <w:rPr>
                <w:rFonts w:eastAsia="Times New Roman"/>
                <w:lang w:val="en-AU"/>
              </w:rPr>
              <w:t>)</w:t>
            </w:r>
          </w:p>
        </w:tc>
        <w:tc>
          <w:tcPr>
            <w:tcW w:w="992"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k</w:t>
            </w:r>
            <w:r w:rsidRPr="00086CB5">
              <w:rPr>
                <w:rFonts w:eastAsia="Times New Roman"/>
                <w:vertAlign w:val="subscript"/>
                <w:lang w:val="en-AU"/>
              </w:rPr>
              <w:t>v</w:t>
            </w:r>
            <w:r>
              <w:rPr>
                <w:rFonts w:eastAsia="Times New Roman"/>
                <w:lang w:val="en-AU"/>
              </w:rPr>
              <w:br/>
            </w:r>
            <w:r w:rsidRPr="00086CB5">
              <w:rPr>
                <w:rFonts w:eastAsia="Times New Roman"/>
                <w:lang w:val="en-AU"/>
              </w:rPr>
              <w:t>(m/day)</w:t>
            </w:r>
          </w:p>
        </w:tc>
        <w:tc>
          <w:tcPr>
            <w:tcW w:w="992"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H</w:t>
            </w:r>
            <w:r w:rsidRPr="00086CB5">
              <w:rPr>
                <w:rFonts w:eastAsia="Times New Roman"/>
                <w:vertAlign w:val="subscript"/>
                <w:lang w:val="en-AU"/>
              </w:rPr>
              <w:t>i</w:t>
            </w:r>
            <w:r w:rsidRPr="00086CB5">
              <w:rPr>
                <w:rFonts w:eastAsia="Times New Roman"/>
                <w:lang w:val="en-AU"/>
              </w:rPr>
              <w:t>/k</w:t>
            </w:r>
            <w:r w:rsidRPr="00086CB5">
              <w:rPr>
                <w:rFonts w:eastAsia="Times New Roman"/>
                <w:vertAlign w:val="subscript"/>
                <w:lang w:val="en-AU"/>
              </w:rPr>
              <w:t>i</w:t>
            </w:r>
            <w:r>
              <w:rPr>
                <w:rFonts w:eastAsia="Times New Roman"/>
                <w:vertAlign w:val="subscript"/>
                <w:lang w:val="en-AU"/>
              </w:rPr>
              <w:br/>
            </w:r>
            <w:r w:rsidRPr="00086CB5">
              <w:rPr>
                <w:rFonts w:eastAsia="Times New Roman"/>
                <w:lang w:val="en-AU"/>
              </w:rPr>
              <w:t>(day</w:t>
            </w:r>
            <w:r w:rsidRPr="00086CB5">
              <w:rPr>
                <w:rFonts w:eastAsia="Times New Roman"/>
                <w:vertAlign w:val="superscript"/>
                <w:lang w:val="en-AU"/>
              </w:rPr>
              <w:t>-1</w:t>
            </w:r>
            <w:r w:rsidRPr="00086CB5">
              <w:rPr>
                <w:rFonts w:eastAsia="Times New Roman"/>
                <w:lang w:val="en-AU"/>
              </w:rPr>
              <w:t>)</w:t>
            </w:r>
          </w:p>
        </w:tc>
        <w:tc>
          <w:tcPr>
            <w:tcW w:w="992"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Total </w:t>
            </w:r>
            <w:r>
              <w:rPr>
                <w:rFonts w:eastAsia="Times New Roman"/>
                <w:lang w:val="en-AU"/>
              </w:rPr>
              <w:t>h</w:t>
            </w:r>
            <w:r w:rsidRPr="00086CB5">
              <w:rPr>
                <w:rFonts w:eastAsia="Times New Roman"/>
                <w:lang w:val="en-AU"/>
              </w:rPr>
              <w:t xml:space="preserve">ead </w:t>
            </w:r>
            <w:r>
              <w:rPr>
                <w:rFonts w:eastAsia="Times New Roman"/>
                <w:lang w:val="en-AU"/>
              </w:rPr>
              <w:t>c</w:t>
            </w:r>
            <w:r w:rsidRPr="00086CB5">
              <w:rPr>
                <w:rFonts w:eastAsia="Times New Roman"/>
                <w:lang w:val="en-AU"/>
              </w:rPr>
              <w:t xml:space="preserve">hange, </w:t>
            </w:r>
            <w:r w:rsidRPr="00086CB5">
              <w:rPr>
                <w:rFonts w:ascii="Symbol" w:eastAsia="Times New Roman" w:hAnsi="Symbol"/>
                <w:lang w:val="en-AU"/>
              </w:rPr>
              <w:t></w:t>
            </w:r>
            <w:r w:rsidRPr="00086CB5">
              <w:rPr>
                <w:rFonts w:eastAsia="Times New Roman"/>
                <w:lang w:val="en-AU"/>
              </w:rPr>
              <w:t xml:space="preserve">ϕ, </w:t>
            </w:r>
            <w:r>
              <w:rPr>
                <w:rFonts w:eastAsia="Times New Roman"/>
                <w:lang w:val="en-AU"/>
              </w:rPr>
              <w:t>a</w:t>
            </w:r>
            <w:r w:rsidRPr="00086CB5">
              <w:rPr>
                <w:rFonts w:eastAsia="Times New Roman"/>
                <w:lang w:val="en-AU"/>
              </w:rPr>
              <w:t xml:space="preserve">cross </w:t>
            </w:r>
            <w:r>
              <w:rPr>
                <w:rFonts w:eastAsia="Times New Roman"/>
                <w:lang w:val="en-AU"/>
              </w:rPr>
              <w:t>u</w:t>
            </w:r>
            <w:r w:rsidRPr="00086CB5">
              <w:rPr>
                <w:rFonts w:eastAsia="Times New Roman"/>
                <w:lang w:val="en-AU"/>
              </w:rPr>
              <w:t>nit (m)</w:t>
            </w:r>
          </w:p>
        </w:tc>
        <w:tc>
          <w:tcPr>
            <w:tcW w:w="1061"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Initial </w:t>
            </w:r>
            <w:r>
              <w:rPr>
                <w:rFonts w:eastAsia="Times New Roman"/>
                <w:lang w:val="en-AU"/>
              </w:rPr>
              <w:t>p</w:t>
            </w:r>
            <w:r w:rsidRPr="00086CB5">
              <w:rPr>
                <w:rFonts w:eastAsia="Times New Roman"/>
                <w:lang w:val="en-AU"/>
              </w:rPr>
              <w:t xml:space="preserve">ressure </w:t>
            </w:r>
            <w:r>
              <w:rPr>
                <w:rFonts w:eastAsia="Times New Roman"/>
                <w:lang w:val="en-AU"/>
              </w:rPr>
              <w:t>h</w:t>
            </w:r>
            <w:r w:rsidRPr="00086CB5">
              <w:rPr>
                <w:rFonts w:eastAsia="Times New Roman"/>
                <w:lang w:val="en-AU"/>
              </w:rPr>
              <w:t xml:space="preserve">ead at </w:t>
            </w:r>
            <w:r>
              <w:rPr>
                <w:rFonts w:eastAsia="Times New Roman"/>
                <w:lang w:val="en-AU"/>
              </w:rPr>
              <w:t>b</w:t>
            </w:r>
            <w:r w:rsidRPr="00086CB5">
              <w:rPr>
                <w:rFonts w:eastAsia="Times New Roman"/>
                <w:lang w:val="en-AU"/>
              </w:rPr>
              <w:t xml:space="preserve">ase of </w:t>
            </w:r>
            <w:r>
              <w:rPr>
                <w:rFonts w:eastAsia="Times New Roman"/>
                <w:lang w:val="en-AU"/>
              </w:rPr>
              <w:t>u</w:t>
            </w:r>
            <w:r w:rsidRPr="00086CB5">
              <w:rPr>
                <w:rFonts w:eastAsia="Times New Roman"/>
                <w:lang w:val="en-AU"/>
              </w:rPr>
              <w:t>nit (m)</w:t>
            </w:r>
          </w:p>
        </w:tc>
        <w:tc>
          <w:tcPr>
            <w:tcW w:w="1066"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Final </w:t>
            </w:r>
            <w:r>
              <w:rPr>
                <w:rFonts w:eastAsia="Times New Roman"/>
                <w:lang w:val="en-AU"/>
              </w:rPr>
              <w:t>p</w:t>
            </w:r>
            <w:r w:rsidRPr="00086CB5">
              <w:rPr>
                <w:rFonts w:eastAsia="Times New Roman"/>
                <w:lang w:val="en-AU"/>
              </w:rPr>
              <w:t xml:space="preserve">ressure </w:t>
            </w:r>
            <w:r>
              <w:rPr>
                <w:rFonts w:eastAsia="Times New Roman"/>
                <w:lang w:val="en-AU"/>
              </w:rPr>
              <w:t>h</w:t>
            </w:r>
            <w:r w:rsidRPr="00086CB5">
              <w:rPr>
                <w:rFonts w:eastAsia="Times New Roman"/>
                <w:lang w:val="en-AU"/>
              </w:rPr>
              <w:t xml:space="preserve">ead at </w:t>
            </w:r>
            <w:r>
              <w:rPr>
                <w:rFonts w:eastAsia="Times New Roman"/>
                <w:lang w:val="en-AU"/>
              </w:rPr>
              <w:t>b</w:t>
            </w:r>
            <w:r w:rsidRPr="00086CB5">
              <w:rPr>
                <w:rFonts w:eastAsia="Times New Roman"/>
                <w:lang w:val="en-AU"/>
              </w:rPr>
              <w:t xml:space="preserve">ase of </w:t>
            </w:r>
            <w:r>
              <w:rPr>
                <w:rFonts w:eastAsia="Times New Roman"/>
                <w:lang w:val="en-AU"/>
              </w:rPr>
              <w:t>u</w:t>
            </w:r>
            <w:r w:rsidRPr="00086CB5">
              <w:rPr>
                <w:rFonts w:eastAsia="Times New Roman"/>
                <w:lang w:val="en-AU"/>
              </w:rPr>
              <w:t>nit (m)</w:t>
            </w:r>
          </w:p>
        </w:tc>
        <w:tc>
          <w:tcPr>
            <w:tcW w:w="1061"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Change in </w:t>
            </w:r>
            <w:r>
              <w:rPr>
                <w:rFonts w:eastAsia="Times New Roman"/>
                <w:lang w:val="en-AU"/>
              </w:rPr>
              <w:t>p</w:t>
            </w:r>
            <w:r w:rsidRPr="00086CB5">
              <w:rPr>
                <w:rFonts w:eastAsia="Times New Roman"/>
                <w:lang w:val="en-AU"/>
              </w:rPr>
              <w:t xml:space="preserve">ressure </w:t>
            </w:r>
            <w:r>
              <w:rPr>
                <w:rFonts w:eastAsia="Times New Roman"/>
                <w:lang w:val="en-AU"/>
              </w:rPr>
              <w:t>h</w:t>
            </w:r>
            <w:r w:rsidRPr="00086CB5">
              <w:rPr>
                <w:rFonts w:eastAsia="Times New Roman"/>
                <w:lang w:val="en-AU"/>
              </w:rPr>
              <w:t xml:space="preserve">ead at </w:t>
            </w:r>
            <w:r>
              <w:rPr>
                <w:rFonts w:eastAsia="Times New Roman"/>
                <w:lang w:val="en-AU"/>
              </w:rPr>
              <w:t>b</w:t>
            </w:r>
            <w:r w:rsidRPr="00086CB5">
              <w:rPr>
                <w:rFonts w:eastAsia="Times New Roman"/>
                <w:lang w:val="en-AU"/>
              </w:rPr>
              <w:t xml:space="preserve">ase of </w:t>
            </w:r>
            <w:r>
              <w:rPr>
                <w:rFonts w:eastAsia="Times New Roman"/>
                <w:lang w:val="en-AU"/>
              </w:rPr>
              <w:t>u</w:t>
            </w:r>
            <w:r w:rsidRPr="00086CB5">
              <w:rPr>
                <w:rFonts w:eastAsia="Times New Roman"/>
                <w:lang w:val="en-AU"/>
              </w:rPr>
              <w:t>nit (m)</w:t>
            </w:r>
          </w:p>
        </w:tc>
        <w:tc>
          <w:tcPr>
            <w:tcW w:w="1207"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Average </w:t>
            </w:r>
            <w:r>
              <w:rPr>
                <w:rFonts w:eastAsia="Times New Roman"/>
                <w:lang w:val="en-AU"/>
              </w:rPr>
              <w:t>c</w:t>
            </w:r>
            <w:r w:rsidRPr="00086CB5">
              <w:rPr>
                <w:rFonts w:eastAsia="Times New Roman"/>
                <w:lang w:val="en-AU"/>
              </w:rPr>
              <w:t xml:space="preserve">hange in </w:t>
            </w:r>
            <w:r>
              <w:rPr>
                <w:rFonts w:eastAsia="Times New Roman"/>
                <w:lang w:val="en-AU"/>
              </w:rPr>
              <w:t>p</w:t>
            </w:r>
            <w:r w:rsidRPr="00086CB5">
              <w:rPr>
                <w:rFonts w:eastAsia="Times New Roman"/>
                <w:lang w:val="en-AU"/>
              </w:rPr>
              <w:t xml:space="preserve">ressure </w:t>
            </w:r>
            <w:r>
              <w:rPr>
                <w:rFonts w:eastAsia="Times New Roman"/>
                <w:lang w:val="en-AU"/>
              </w:rPr>
              <w:t>h</w:t>
            </w:r>
            <w:r w:rsidRPr="00086CB5">
              <w:rPr>
                <w:rFonts w:eastAsia="Times New Roman"/>
                <w:lang w:val="en-AU"/>
              </w:rPr>
              <w:t xml:space="preserve">ead in </w:t>
            </w:r>
            <w:r>
              <w:rPr>
                <w:rFonts w:eastAsia="Times New Roman"/>
                <w:lang w:val="en-AU"/>
              </w:rPr>
              <w:t>g</w:t>
            </w:r>
            <w:r w:rsidRPr="00086CB5">
              <w:rPr>
                <w:rFonts w:eastAsia="Times New Roman"/>
                <w:lang w:val="en-AU"/>
              </w:rPr>
              <w:t xml:space="preserve">eological </w:t>
            </w:r>
            <w:r>
              <w:rPr>
                <w:rFonts w:eastAsia="Times New Roman"/>
                <w:lang w:val="en-AU"/>
              </w:rPr>
              <w:t>u</w:t>
            </w:r>
            <w:r w:rsidRPr="00086CB5">
              <w:rPr>
                <w:rFonts w:eastAsia="Times New Roman"/>
                <w:lang w:val="en-AU"/>
              </w:rPr>
              <w:t>nit (m)</w:t>
            </w:r>
          </w:p>
        </w:tc>
        <w:tc>
          <w:tcPr>
            <w:tcW w:w="1134" w:type="dxa"/>
            <w:shd w:val="clear" w:color="auto" w:fill="C6D9F1" w:themeFill="text2" w:themeFillTint="33"/>
          </w:tcPr>
          <w:p w:rsidR="00E0564A" w:rsidRPr="00086CB5" w:rsidRDefault="00E0564A" w:rsidP="00E0564A">
            <w:pPr>
              <w:pStyle w:val="Tableheading"/>
              <w:rPr>
                <w:rFonts w:eastAsia="Times New Roman"/>
                <w:lang w:val="en-AU"/>
              </w:rPr>
            </w:pPr>
            <w:r w:rsidRPr="00086CB5">
              <w:rPr>
                <w:rFonts w:eastAsia="Times New Roman"/>
                <w:lang w:val="en-AU"/>
              </w:rPr>
              <w:t xml:space="preserve">Compr-ession of </w:t>
            </w:r>
            <w:r>
              <w:rPr>
                <w:rFonts w:eastAsia="Times New Roman"/>
                <w:lang w:val="en-AU"/>
              </w:rPr>
              <w:t>u</w:t>
            </w:r>
            <w:r w:rsidRPr="00086CB5">
              <w:rPr>
                <w:rFonts w:eastAsia="Times New Roman"/>
                <w:lang w:val="en-AU"/>
              </w:rPr>
              <w:t>nit, S</w:t>
            </w:r>
            <w:r w:rsidRPr="00086CB5">
              <w:rPr>
                <w:rFonts w:eastAsia="Times New Roman"/>
                <w:vertAlign w:val="subscript"/>
                <w:lang w:val="en-AU"/>
              </w:rPr>
              <w:t>i</w:t>
            </w:r>
            <w:r w:rsidRPr="00086CB5">
              <w:rPr>
                <w:rFonts w:eastAsia="Times New Roman"/>
                <w:lang w:val="en-AU"/>
              </w:rPr>
              <w:t xml:space="preserve"> (mm)</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Alluvium (unsaturated)</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0.3</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3.71E-03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0.0E+00</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0.0</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Alluvium (saturated)</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0.3</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3.71E-03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4.0E+04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0.0</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Sedimentary Rock Unit 1</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8</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0.25</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1.04E-04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21</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119</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-21</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-11</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1.1</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Sedimentary Rock Unit 2</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14</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0.25</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5.95E-05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3.3E+05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71</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148</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-92</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-57</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3.3</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Sedimentary Rock Unit 3</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20</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0.25</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4.17E-05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1.0E+06</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213</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35</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-199</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8.1</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CSG Bearing Formation</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14</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0.23</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6.16E-05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1.0E-03</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440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135</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18.4</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Sedimentary Rock Unit 4</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560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28</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0.25</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2.98E-05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1.0E+06</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540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235</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8.9</w:t>
            </w:r>
          </w:p>
        </w:tc>
      </w:tr>
      <w:tr w:rsidR="00E0564A" w:rsidTr="00846F8C">
        <w:tc>
          <w:tcPr>
            <w:tcW w:w="14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Sedimentary Rock Unit 5</w:t>
            </w:r>
          </w:p>
        </w:tc>
        <w:tc>
          <w:tcPr>
            <w:tcW w:w="111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660</w:t>
            </w:r>
          </w:p>
        </w:tc>
        <w:tc>
          <w:tcPr>
            <w:tcW w:w="81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100</w:t>
            </w:r>
          </w:p>
        </w:tc>
        <w:tc>
          <w:tcPr>
            <w:tcW w:w="75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32</w:t>
            </w:r>
          </w:p>
        </w:tc>
        <w:tc>
          <w:tcPr>
            <w:tcW w:w="709"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0.25</w:t>
            </w:r>
          </w:p>
        </w:tc>
        <w:tc>
          <w:tcPr>
            <w:tcW w:w="1030"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2.60E-05</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1.0E-04</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1.0E+06</w:t>
            </w:r>
          </w:p>
        </w:tc>
        <w:tc>
          <w:tcPr>
            <w:tcW w:w="992"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0</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640</w:t>
            </w:r>
          </w:p>
        </w:tc>
        <w:tc>
          <w:tcPr>
            <w:tcW w:w="1066"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335</w:t>
            </w:r>
          </w:p>
        </w:tc>
        <w:tc>
          <w:tcPr>
            <w:tcW w:w="1061"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207"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-305</w:t>
            </w:r>
          </w:p>
        </w:tc>
        <w:tc>
          <w:tcPr>
            <w:tcW w:w="1134" w:type="dxa"/>
          </w:tcPr>
          <w:p w:rsidR="00E0564A" w:rsidRPr="00086CB5" w:rsidRDefault="00E0564A" w:rsidP="00E0564A">
            <w:pPr>
              <w:pStyle w:val="Tabletext"/>
              <w:rPr>
                <w:rFonts w:eastAsia="Times New Roman"/>
                <w:lang w:val="en-AU" w:eastAsia="en-AU"/>
              </w:rPr>
            </w:pPr>
            <w:r w:rsidRPr="00086CB5">
              <w:rPr>
                <w:rFonts w:eastAsia="Times New Roman"/>
                <w:lang w:val="en-AU" w:eastAsia="en-AU"/>
              </w:rPr>
              <w:t>7.8</w:t>
            </w:r>
          </w:p>
        </w:tc>
      </w:tr>
    </w:tbl>
    <w:p w:rsidR="00846F8C" w:rsidRDefault="00846F8C" w:rsidP="001062F6">
      <w:pPr>
        <w:rPr>
          <w:sz w:val="18"/>
          <w:szCs w:val="18"/>
        </w:rPr>
      </w:pPr>
    </w:p>
    <w:p w:rsidR="00D74600" w:rsidRPr="00D74600" w:rsidRDefault="00D74600" w:rsidP="00846F8C">
      <w:pPr>
        <w:pStyle w:val="BelowTableFigureText9pt"/>
      </w:pPr>
      <w:r w:rsidRPr="001062F6">
        <w:rPr>
          <w:lang w:val="en-AU" w:eastAsia="en-AU"/>
        </w:rPr>
        <w:t>* denotes metres below ground level</w:t>
      </w:r>
    </w:p>
    <w:p w:rsidR="001062F6" w:rsidRPr="001062F6" w:rsidRDefault="001062F6" w:rsidP="001062F6">
      <w:pPr>
        <w:pStyle w:val="Para0"/>
      </w:pPr>
    </w:p>
    <w:p w:rsidR="00E13ED7" w:rsidRDefault="00E13ED7" w:rsidP="00A90F48">
      <w:pPr>
        <w:pStyle w:val="Listintrotext"/>
        <w:sectPr w:rsidR="00E13ED7" w:rsidSect="00E0564A">
          <w:headerReference w:type="first" r:id="rId96"/>
          <w:footerReference w:type="first" r:id="rId97"/>
          <w:pgSz w:w="16840" w:h="11900" w:orient="landscape" w:code="9"/>
          <w:pgMar w:top="1840" w:right="1418" w:bottom="1418" w:left="1418" w:header="142" w:footer="567" w:gutter="0"/>
          <w:cols w:space="284"/>
          <w:noEndnote/>
          <w:titlePg/>
          <w:docGrid w:linePitch="326"/>
        </w:sectPr>
      </w:pPr>
    </w:p>
    <w:p w:rsidR="00E13ED7" w:rsidRPr="00E13ED7" w:rsidRDefault="00E13ED7" w:rsidP="000C70AD">
      <w:pPr>
        <w:pStyle w:val="Heading3"/>
      </w:pPr>
      <w:bookmarkStart w:id="585" w:name="_Toc338078435"/>
      <w:bookmarkStart w:id="586" w:name="_Toc387410264"/>
      <w:r w:rsidRPr="00E13ED7">
        <w:t xml:space="preserve">Transient </w:t>
      </w:r>
      <w:r w:rsidR="00FD23B8">
        <w:t>g</w:t>
      </w:r>
      <w:r w:rsidRPr="00E13ED7">
        <w:t xml:space="preserve">roundwater </w:t>
      </w:r>
      <w:r w:rsidR="00FD23B8">
        <w:t>r</w:t>
      </w:r>
      <w:r w:rsidRPr="00E13ED7">
        <w:t xml:space="preserve">esponse </w:t>
      </w:r>
      <w:r w:rsidR="00FD23B8">
        <w:t>m</w:t>
      </w:r>
      <w:r w:rsidRPr="00E13ED7">
        <w:t>odel</w:t>
      </w:r>
      <w:bookmarkEnd w:id="585"/>
      <w:r w:rsidRPr="00E13ED7">
        <w:t xml:space="preserve"> (</w:t>
      </w:r>
      <w:r w:rsidR="00FD23B8">
        <w:t>t</w:t>
      </w:r>
      <w:r w:rsidRPr="00E13ED7">
        <w:t xml:space="preserve">ransient </w:t>
      </w:r>
      <w:r w:rsidR="00FD23B8">
        <w:t>f</w:t>
      </w:r>
      <w:r w:rsidRPr="00E13ED7">
        <w:t>low)</w:t>
      </w:r>
      <w:bookmarkEnd w:id="586"/>
    </w:p>
    <w:p w:rsidR="00E13ED7" w:rsidRPr="00E13ED7" w:rsidRDefault="00E13ED7" w:rsidP="00781EF7">
      <w:pPr>
        <w:pStyle w:val="Heading4"/>
      </w:pPr>
      <w:bookmarkStart w:id="587" w:name="_Toc338078436"/>
      <w:r w:rsidRPr="00E13ED7">
        <w:t>Approach</w:t>
      </w:r>
      <w:bookmarkEnd w:id="587"/>
    </w:p>
    <w:p w:rsidR="00E13ED7" w:rsidRPr="00E13ED7" w:rsidRDefault="00E13ED7" w:rsidP="00E13ED7">
      <w:pPr>
        <w:pStyle w:val="BRNormal11pt0"/>
        <w:rPr>
          <w:lang w:val="en-AU"/>
        </w:rPr>
      </w:pPr>
      <w:r w:rsidRPr="00E13ED7">
        <w:rPr>
          <w:lang w:val="en-AU"/>
        </w:rPr>
        <w:t xml:space="preserve">This modelling approach considers the transient (temporal) groundwater pressure response due to water extraction under </w:t>
      </w:r>
      <w:r w:rsidR="00C723CB">
        <w:rPr>
          <w:lang w:val="en-GB"/>
        </w:rPr>
        <w:t>coal seam gas</w:t>
      </w:r>
      <w:r w:rsidR="00C723CB" w:rsidRPr="00973D19">
        <w:rPr>
          <w:lang w:val="en-GB"/>
        </w:rPr>
        <w:t xml:space="preserve"> </w:t>
      </w:r>
      <w:r w:rsidRPr="00E13ED7">
        <w:rPr>
          <w:lang w:val="en-AU"/>
        </w:rPr>
        <w:t>production.</w:t>
      </w:r>
    </w:p>
    <w:p w:rsidR="00E13ED7" w:rsidRPr="00E13ED7" w:rsidRDefault="00E13ED7" w:rsidP="00E13ED7">
      <w:pPr>
        <w:pStyle w:val="BRNormal11pt0"/>
        <w:rPr>
          <w:lang w:val="en-AU"/>
        </w:rPr>
      </w:pPr>
      <w:r w:rsidRPr="00E13ED7">
        <w:rPr>
          <w:lang w:val="en-AU"/>
        </w:rPr>
        <w:t xml:space="preserve">Detailed numerical modelling of the changes in groundwater pressure in the vicinity of proposed </w:t>
      </w:r>
      <w:r w:rsidR="00C723CB">
        <w:rPr>
          <w:lang w:val="en-GB"/>
        </w:rPr>
        <w:t>coal seam gas</w:t>
      </w:r>
      <w:r w:rsidR="00C723CB" w:rsidRPr="00973D19">
        <w:rPr>
          <w:lang w:val="en-GB"/>
        </w:rPr>
        <w:t xml:space="preserve"> </w:t>
      </w:r>
      <w:r w:rsidRPr="00E13ED7">
        <w:rPr>
          <w:lang w:val="en-AU"/>
        </w:rPr>
        <w:t xml:space="preserve">operations take account of the hydraulic properties of the profile and the details of the </w:t>
      </w:r>
      <w:r w:rsidR="003721DE">
        <w:rPr>
          <w:lang w:val="en-AU"/>
        </w:rPr>
        <w:t>coal seam gas</w:t>
      </w:r>
      <w:r w:rsidRPr="00E13ED7">
        <w:rPr>
          <w:lang w:val="en-AU"/>
        </w:rPr>
        <w:t xml:space="preserve"> extraction development (such as well spacing). </w:t>
      </w:r>
      <w:r w:rsidR="00B84225">
        <w:rPr>
          <w:lang w:val="en-AU"/>
        </w:rPr>
        <w:t>The</w:t>
      </w:r>
      <w:r w:rsidRPr="00E13ED7">
        <w:rPr>
          <w:lang w:val="en-AU"/>
        </w:rPr>
        <w:t xml:space="preserve"> modelling approach explicitly models a series of hydrogeological layers with adopted parameters, </w:t>
      </w:r>
      <w:r w:rsidR="00506E65">
        <w:rPr>
          <w:lang w:val="en-AU"/>
        </w:rPr>
        <w:t>which</w:t>
      </w:r>
      <w:r w:rsidR="00506E65" w:rsidRPr="00E13ED7">
        <w:rPr>
          <w:lang w:val="en-AU"/>
        </w:rPr>
        <w:t xml:space="preserve"> </w:t>
      </w:r>
      <w:r w:rsidRPr="00E13ED7">
        <w:rPr>
          <w:lang w:val="en-AU"/>
        </w:rPr>
        <w:t>represent real geological strata.</w:t>
      </w:r>
    </w:p>
    <w:p w:rsidR="00E13ED7" w:rsidRPr="00E13ED7" w:rsidRDefault="00E13ED7" w:rsidP="00E13ED7">
      <w:pPr>
        <w:pStyle w:val="BRNormal11pt0"/>
        <w:rPr>
          <w:lang w:val="en-AU"/>
        </w:rPr>
      </w:pPr>
      <w:r w:rsidRPr="00E13ED7">
        <w:rPr>
          <w:lang w:val="en-AU"/>
        </w:rPr>
        <w:t xml:space="preserve">Modelling of potential subsidence in the vicinity of </w:t>
      </w:r>
      <w:r w:rsidR="00B84225">
        <w:rPr>
          <w:lang w:val="en-AU"/>
        </w:rPr>
        <w:t>a</w:t>
      </w:r>
      <w:r w:rsidRPr="00E13ED7">
        <w:rPr>
          <w:lang w:val="en-AU"/>
        </w:rPr>
        <w:t xml:space="preserve"> well field is carried out using a localised groundwater flow model (using numerical modelling software such as ECLIPSE and SEEP/W). The flow and pressure regime in the vicinity of a single well may be modelled as representative of wells in the well field, for which a radial flow model may be adopted.</w:t>
      </w:r>
    </w:p>
    <w:p w:rsidR="00E13ED7" w:rsidRPr="00E13ED7" w:rsidRDefault="00E13ED7" w:rsidP="00E13ED7">
      <w:pPr>
        <w:pStyle w:val="BRNormal11pt0"/>
        <w:rPr>
          <w:lang w:val="en-AU"/>
        </w:rPr>
      </w:pPr>
      <w:r w:rsidRPr="00E13ED7">
        <w:rPr>
          <w:lang w:val="en-AU"/>
        </w:rPr>
        <w:t xml:space="preserve">Modelling of wider regional impacts is carried out using three-dimensional regional groundwater flow models (using numerical modelling software such as MODFLOW or FEFLOW). The </w:t>
      </w:r>
      <w:r w:rsidR="003721DE">
        <w:rPr>
          <w:lang w:val="en-AU"/>
        </w:rPr>
        <w:t>coal seam gas</w:t>
      </w:r>
      <w:r w:rsidR="003721DE" w:rsidRPr="00E13ED7">
        <w:rPr>
          <w:lang w:val="en-AU"/>
        </w:rPr>
        <w:t xml:space="preserve"> </w:t>
      </w:r>
      <w:r w:rsidRPr="00E13ED7">
        <w:rPr>
          <w:lang w:val="en-AU"/>
        </w:rPr>
        <w:t>extraction process is typically represented by either a specified rate of water extraction or a specified pressure change in the target coal seam.</w:t>
      </w:r>
    </w:p>
    <w:p w:rsidR="00E13ED7" w:rsidRPr="00E13ED7" w:rsidRDefault="00E13ED7" w:rsidP="00E13ED7">
      <w:pPr>
        <w:pStyle w:val="BRNormal11pt0"/>
        <w:rPr>
          <w:lang w:val="en-AU"/>
        </w:rPr>
      </w:pPr>
      <w:r w:rsidRPr="00E13ED7">
        <w:rPr>
          <w:lang w:val="en-AU"/>
        </w:rPr>
        <w:t xml:space="preserve">Calculation of the </w:t>
      </w:r>
      <w:r w:rsidR="00B84225">
        <w:rPr>
          <w:lang w:val="en-AU"/>
        </w:rPr>
        <w:t>compaction</w:t>
      </w:r>
      <w:r w:rsidRPr="00E13ED7">
        <w:rPr>
          <w:lang w:val="en-AU"/>
        </w:rPr>
        <w:t xml:space="preserve"> of geological strata typically considers one dimensional </w:t>
      </w:r>
      <w:r w:rsidR="00B84225">
        <w:rPr>
          <w:lang w:val="en-AU"/>
        </w:rPr>
        <w:t>compaction</w:t>
      </w:r>
      <w:r w:rsidRPr="00E13ED7">
        <w:rPr>
          <w:lang w:val="en-AU"/>
        </w:rPr>
        <w:t xml:space="preserve">, based on the groundwater pressure changes predicted by the groundwater flow model, and the variability of material </w:t>
      </w:r>
      <w:r w:rsidR="00B84225">
        <w:rPr>
          <w:lang w:val="en-AU"/>
        </w:rPr>
        <w:t>compressibility</w:t>
      </w:r>
      <w:r w:rsidRPr="00E13ED7">
        <w:rPr>
          <w:lang w:val="en-AU"/>
        </w:rPr>
        <w:t>.</w:t>
      </w:r>
    </w:p>
    <w:p w:rsidR="00E13ED7" w:rsidRPr="00E13ED7" w:rsidRDefault="00E13ED7" w:rsidP="00781EF7">
      <w:pPr>
        <w:pStyle w:val="Heading4"/>
      </w:pPr>
      <w:bookmarkStart w:id="588" w:name="_Toc338078437"/>
      <w:r w:rsidRPr="00E13ED7">
        <w:t>Requirements</w:t>
      </w:r>
      <w:bookmarkEnd w:id="588"/>
    </w:p>
    <w:p w:rsidR="00E13ED7" w:rsidRPr="00E13ED7" w:rsidRDefault="00E13ED7" w:rsidP="00E13ED7">
      <w:pPr>
        <w:pStyle w:val="Listintrotext"/>
        <w:rPr>
          <w:lang w:val="en-GB"/>
        </w:rPr>
      </w:pPr>
      <w:r w:rsidRPr="00E13ED7">
        <w:rPr>
          <w:lang w:val="en-GB"/>
        </w:rPr>
        <w:t xml:space="preserve">This approach </w:t>
      </w:r>
      <w:r w:rsidRPr="00E13ED7">
        <w:t>requires</w:t>
      </w:r>
      <w:r w:rsidRPr="00E13ED7">
        <w:rPr>
          <w:lang w:val="en-GB"/>
        </w:rPr>
        <w:t xml:space="preserve"> data relating to the:</w:t>
      </w:r>
    </w:p>
    <w:p w:rsidR="00E13ED7" w:rsidRPr="00E13ED7" w:rsidRDefault="00506E65" w:rsidP="007702DF">
      <w:pPr>
        <w:pStyle w:val="BRdotpoints"/>
        <w:rPr>
          <w:lang w:val="en-GB"/>
        </w:rPr>
      </w:pPr>
      <w:r>
        <w:rPr>
          <w:lang w:val="en-GB"/>
        </w:rPr>
        <w:t>g</w:t>
      </w:r>
      <w:r w:rsidR="00E13ED7" w:rsidRPr="00E13ED7">
        <w:rPr>
          <w:lang w:val="en-GB"/>
        </w:rPr>
        <w:t>eometry of each geological unit</w:t>
      </w:r>
    </w:p>
    <w:p w:rsidR="00E13ED7" w:rsidRPr="00E13ED7" w:rsidRDefault="00506E65" w:rsidP="007702DF">
      <w:pPr>
        <w:pStyle w:val="BRdotpoints"/>
        <w:rPr>
          <w:lang w:val="en-GB"/>
        </w:rPr>
      </w:pPr>
      <w:r>
        <w:rPr>
          <w:lang w:val="en-GB"/>
        </w:rPr>
        <w:t>h</w:t>
      </w:r>
      <w:r w:rsidR="00E13ED7" w:rsidRPr="00E13ED7">
        <w:rPr>
          <w:lang w:val="en-GB"/>
        </w:rPr>
        <w:t>ydraulic properties (permeability, storativity) of each geological unit</w:t>
      </w:r>
    </w:p>
    <w:p w:rsidR="00E13ED7" w:rsidRPr="00E13ED7" w:rsidRDefault="00506E65" w:rsidP="007702DF">
      <w:pPr>
        <w:pStyle w:val="BRdotpoints"/>
        <w:rPr>
          <w:lang w:val="en-GB"/>
        </w:rPr>
      </w:pPr>
      <w:proofErr w:type="gramStart"/>
      <w:r>
        <w:rPr>
          <w:lang w:val="en-GB"/>
        </w:rPr>
        <w:t>c</w:t>
      </w:r>
      <w:r w:rsidR="00E13ED7" w:rsidRPr="00E13ED7">
        <w:rPr>
          <w:lang w:val="en-GB"/>
        </w:rPr>
        <w:t>oefficient</w:t>
      </w:r>
      <w:proofErr w:type="gramEnd"/>
      <w:r w:rsidR="00E13ED7" w:rsidRPr="00E13ED7">
        <w:rPr>
          <w:lang w:val="en-GB"/>
        </w:rPr>
        <w:t xml:space="preserve"> of volume compressibility of each geological unit.</w:t>
      </w:r>
    </w:p>
    <w:p w:rsidR="00E13ED7" w:rsidRPr="00E13ED7" w:rsidRDefault="00E13ED7" w:rsidP="00781EF7">
      <w:pPr>
        <w:pStyle w:val="Heading4"/>
      </w:pPr>
      <w:bookmarkStart w:id="589" w:name="_Toc338078438"/>
      <w:r w:rsidRPr="00E13ED7">
        <w:t>Limitations</w:t>
      </w:r>
      <w:bookmarkEnd w:id="589"/>
    </w:p>
    <w:p w:rsidR="00E13ED7" w:rsidRPr="00E13ED7" w:rsidRDefault="00E13ED7" w:rsidP="00E13ED7">
      <w:pPr>
        <w:pStyle w:val="Listintrotext"/>
        <w:rPr>
          <w:lang w:val="en-AU"/>
        </w:rPr>
      </w:pPr>
      <w:r w:rsidRPr="00E13ED7">
        <w:rPr>
          <w:lang w:val="en-AU"/>
        </w:rPr>
        <w:t xml:space="preserve">This </w:t>
      </w:r>
      <w:r w:rsidRPr="00E13ED7">
        <w:t>approach</w:t>
      </w:r>
      <w:r w:rsidRPr="00E13ED7">
        <w:rPr>
          <w:lang w:val="en-AU"/>
        </w:rPr>
        <w:t>:</w:t>
      </w:r>
    </w:p>
    <w:p w:rsidR="00E13ED7" w:rsidRPr="00E13ED7" w:rsidRDefault="00506E65" w:rsidP="007702DF">
      <w:pPr>
        <w:pStyle w:val="BRdotpoints"/>
        <w:rPr>
          <w:lang w:val="en-GB"/>
        </w:rPr>
      </w:pPr>
      <w:r>
        <w:rPr>
          <w:lang w:val="en-AU"/>
        </w:rPr>
        <w:t>d</w:t>
      </w:r>
      <w:r w:rsidR="00E13ED7" w:rsidRPr="00E13ED7">
        <w:rPr>
          <w:lang w:val="en-AU"/>
        </w:rPr>
        <w:t>oes not account for interaction between groundwater flow (</w:t>
      </w:r>
      <w:r>
        <w:rPr>
          <w:lang w:val="en-AU"/>
        </w:rPr>
        <w:t xml:space="preserve">e.g. </w:t>
      </w:r>
      <w:r w:rsidR="00E13ED7" w:rsidRPr="00E13ED7">
        <w:rPr>
          <w:lang w:val="en-AU"/>
        </w:rPr>
        <w:t xml:space="preserve">due to </w:t>
      </w:r>
      <w:r w:rsidR="003721DE">
        <w:rPr>
          <w:lang w:val="en-AU"/>
        </w:rPr>
        <w:t>coal seam gas</w:t>
      </w:r>
      <w:r w:rsidR="003721DE" w:rsidRPr="00E13ED7">
        <w:rPr>
          <w:lang w:val="en-AU"/>
        </w:rPr>
        <w:t xml:space="preserve"> </w:t>
      </w:r>
      <w:r w:rsidR="00E13ED7" w:rsidRPr="00E13ED7">
        <w:rPr>
          <w:lang w:val="en-AU"/>
        </w:rPr>
        <w:t>well pumping) and geomechanical effects such as horizontal movement</w:t>
      </w:r>
    </w:p>
    <w:p w:rsidR="00E13ED7" w:rsidRPr="00E13ED7" w:rsidRDefault="00506E65" w:rsidP="007702DF">
      <w:pPr>
        <w:pStyle w:val="BRdotpoints"/>
        <w:rPr>
          <w:lang w:val="en-GB"/>
        </w:rPr>
      </w:pPr>
      <w:r>
        <w:rPr>
          <w:lang w:val="en-AU"/>
        </w:rPr>
        <w:t>d</w:t>
      </w:r>
      <w:r w:rsidR="00E13ED7" w:rsidRPr="00E13ED7">
        <w:rPr>
          <w:lang w:val="en-AU"/>
        </w:rPr>
        <w:t>isregards lateral variations in conditions but is applicable where conditions change very slowly in the horizontal direction</w:t>
      </w:r>
    </w:p>
    <w:p w:rsidR="00E13ED7" w:rsidRPr="00E13ED7" w:rsidRDefault="00506E65" w:rsidP="007702DF">
      <w:pPr>
        <w:pStyle w:val="BRdotpoints"/>
        <w:rPr>
          <w:lang w:val="en-GB"/>
        </w:rPr>
      </w:pPr>
      <w:proofErr w:type="gramStart"/>
      <w:r>
        <w:rPr>
          <w:lang w:val="en-AU"/>
        </w:rPr>
        <w:t>s</w:t>
      </w:r>
      <w:r w:rsidR="00E13ED7" w:rsidRPr="00E13ED7">
        <w:rPr>
          <w:lang w:val="en-AU"/>
        </w:rPr>
        <w:t>ome</w:t>
      </w:r>
      <w:proofErr w:type="gramEnd"/>
      <w:r w:rsidR="00E13ED7" w:rsidRPr="00E13ED7">
        <w:rPr>
          <w:lang w:val="en-AU"/>
        </w:rPr>
        <w:t xml:space="preserve"> groundwater models over-predict groundwater depressurisation, thereby over</w:t>
      </w:r>
      <w:r>
        <w:rPr>
          <w:lang w:val="en-AU"/>
        </w:rPr>
        <w:noBreakHyphen/>
      </w:r>
      <w:r w:rsidR="00E13ED7" w:rsidRPr="00E13ED7">
        <w:rPr>
          <w:lang w:val="en-AU"/>
        </w:rPr>
        <w:t>predicting subsidence, in the immediate vicinity of the production well(s).</w:t>
      </w:r>
    </w:p>
    <w:p w:rsidR="00E13ED7" w:rsidRPr="00E13ED7" w:rsidRDefault="00E13ED7" w:rsidP="00781EF7">
      <w:pPr>
        <w:pStyle w:val="Heading4"/>
      </w:pPr>
      <w:bookmarkStart w:id="590" w:name="_Toc338078439"/>
      <w:r w:rsidRPr="00E13ED7">
        <w:t>Example</w:t>
      </w:r>
      <w:bookmarkEnd w:id="590"/>
    </w:p>
    <w:p w:rsidR="00E13ED7" w:rsidRPr="00E13ED7" w:rsidRDefault="00E13ED7" w:rsidP="00E13ED7">
      <w:pPr>
        <w:pStyle w:val="BRNormal11pt0"/>
        <w:rPr>
          <w:lang w:val="en-AU"/>
        </w:rPr>
      </w:pPr>
      <w:r w:rsidRPr="00E13ED7">
        <w:rPr>
          <w:lang w:val="en-AU"/>
        </w:rPr>
        <w:t xml:space="preserve">This example illustrates transient groundwater flow and associated subsidence in the vicinity of a </w:t>
      </w:r>
      <w:r w:rsidR="003721DE">
        <w:rPr>
          <w:lang w:val="en-AU"/>
        </w:rPr>
        <w:t>coal seam gas</w:t>
      </w:r>
      <w:r w:rsidR="003721DE" w:rsidRPr="00E13ED7">
        <w:rPr>
          <w:lang w:val="en-AU"/>
        </w:rPr>
        <w:t xml:space="preserve"> </w:t>
      </w:r>
      <w:r w:rsidRPr="00E13ED7">
        <w:rPr>
          <w:lang w:val="en-AU"/>
        </w:rPr>
        <w:t xml:space="preserve">production well. The groundwater flow in a </w:t>
      </w:r>
      <w:r w:rsidR="003721DE">
        <w:rPr>
          <w:lang w:val="en-AU"/>
        </w:rPr>
        <w:t>coal seam gas</w:t>
      </w:r>
      <w:r w:rsidR="003721DE" w:rsidRPr="00E13ED7">
        <w:rPr>
          <w:lang w:val="en-AU"/>
        </w:rPr>
        <w:t xml:space="preserve"> </w:t>
      </w:r>
      <w:r w:rsidRPr="00E13ED7">
        <w:rPr>
          <w:lang w:val="en-AU"/>
        </w:rPr>
        <w:t>well field is explicitly modelled using numerical groundwater flow software.</w:t>
      </w:r>
    </w:p>
    <w:p w:rsidR="00E13ED7" w:rsidRPr="00E13ED7" w:rsidRDefault="00E13ED7" w:rsidP="00E13ED7">
      <w:pPr>
        <w:pStyle w:val="BRNormal11pt0"/>
        <w:rPr>
          <w:lang w:val="en-AU"/>
        </w:rPr>
      </w:pPr>
      <w:r w:rsidRPr="00E13ED7">
        <w:rPr>
          <w:lang w:val="en-AU"/>
        </w:rPr>
        <w:t xml:space="preserve">A well spacing of 800 m is considered, which lies within the range of spacings typical of Australian </w:t>
      </w:r>
      <w:r w:rsidR="003721DE">
        <w:rPr>
          <w:lang w:val="en-AU"/>
        </w:rPr>
        <w:t>coal seam gas</w:t>
      </w:r>
      <w:r w:rsidR="003721DE" w:rsidRPr="00E13ED7">
        <w:rPr>
          <w:lang w:val="en-AU"/>
        </w:rPr>
        <w:t xml:space="preserve"> </w:t>
      </w:r>
      <w:r w:rsidRPr="00E13ED7">
        <w:rPr>
          <w:lang w:val="en-AU"/>
        </w:rPr>
        <w:t>well fields. Wells in the well field are assumed to be maintained such that consistent extraction is carried out across the well field. Thus, there is no net groundwater flow at the mid-point between two wells (i.e. at 400 m distance from the well in this example).</w:t>
      </w:r>
    </w:p>
    <w:p w:rsidR="00E13ED7" w:rsidRDefault="00E13ED7" w:rsidP="00E13ED7">
      <w:pPr>
        <w:pStyle w:val="BRNormal11pt0"/>
        <w:rPr>
          <w:lang w:val="en-AU"/>
        </w:rPr>
      </w:pPr>
      <w:r w:rsidRPr="00E13ED7">
        <w:rPr>
          <w:lang w:val="en-AU"/>
        </w:rPr>
        <w:t xml:space="preserve">The numerical model domain is shown in Figure </w:t>
      </w:r>
      <w:r w:rsidR="0033793D">
        <w:rPr>
          <w:lang w:val="en-AU"/>
        </w:rPr>
        <w:t>31</w:t>
      </w:r>
      <w:r w:rsidRPr="00E13ED7">
        <w:rPr>
          <w:lang w:val="en-AU"/>
        </w:rPr>
        <w:t xml:space="preserve">. The domain is axisymmetric (about the left hand side) and considers transient groundwater flow (flow may change with time) radially towards a single </w:t>
      </w:r>
      <w:r w:rsidR="003721DE">
        <w:rPr>
          <w:lang w:val="en-AU"/>
        </w:rPr>
        <w:t>coal seam gas</w:t>
      </w:r>
      <w:r w:rsidR="003721DE" w:rsidRPr="00E13ED7">
        <w:rPr>
          <w:lang w:val="en-AU"/>
        </w:rPr>
        <w:t xml:space="preserve"> </w:t>
      </w:r>
      <w:r w:rsidRPr="00E13ED7">
        <w:rPr>
          <w:lang w:val="en-AU"/>
        </w:rPr>
        <w:t xml:space="preserve">production well. As shown in Figure </w:t>
      </w:r>
      <w:r w:rsidR="0033793D">
        <w:rPr>
          <w:lang w:val="en-AU"/>
        </w:rPr>
        <w:t>31</w:t>
      </w:r>
      <w:r w:rsidRPr="00E13ED7">
        <w:rPr>
          <w:lang w:val="en-AU"/>
        </w:rPr>
        <w:t>, the adopted model domain extends 400 m in the lateral direction, with no flow at the right-hand extremity, and a well is located at the left-hand extremity of the domain.</w:t>
      </w:r>
    </w:p>
    <w:p w:rsidR="002E058E" w:rsidRPr="00E13ED7" w:rsidRDefault="002E058E" w:rsidP="00E13ED7">
      <w:pPr>
        <w:pStyle w:val="BRNormal11pt0"/>
        <w:rPr>
          <w:lang w:val="en-AU"/>
        </w:rPr>
      </w:pPr>
      <w:r>
        <w:rPr>
          <w:noProof/>
          <w:lang w:val="en-AU" w:eastAsia="en-AU"/>
        </w:rPr>
        <w:drawing>
          <wp:inline distT="0" distB="0" distL="0" distR="0">
            <wp:extent cx="4638675" cy="59573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640724" cy="59599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E058E" w:rsidRPr="004C28AD" w:rsidRDefault="00506E65"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31</w:t>
      </w:r>
      <w:r w:rsidR="00E252C4" w:rsidRPr="005A4936">
        <w:fldChar w:fldCharType="end"/>
      </w:r>
      <w:proofErr w:type="gramStart"/>
      <w:r>
        <w:t xml:space="preserve"> </w:t>
      </w:r>
      <w:r w:rsidR="002E058E" w:rsidRPr="004C28AD">
        <w:t xml:space="preserve">Transient </w:t>
      </w:r>
      <w:r>
        <w:t>g</w:t>
      </w:r>
      <w:r w:rsidR="002E058E" w:rsidRPr="004C28AD">
        <w:t xml:space="preserve">roundwater </w:t>
      </w:r>
      <w:r>
        <w:t>r</w:t>
      </w:r>
      <w:r w:rsidR="002E058E" w:rsidRPr="004C28AD">
        <w:t xml:space="preserve">esponse </w:t>
      </w:r>
      <w:r>
        <w:t>m</w:t>
      </w:r>
      <w:r w:rsidR="002E058E" w:rsidRPr="004C28AD">
        <w:t xml:space="preserve">odel </w:t>
      </w:r>
      <w:r>
        <w:t>e</w:t>
      </w:r>
      <w:r w:rsidR="002E058E" w:rsidRPr="004C28AD">
        <w:t>xample</w:t>
      </w:r>
      <w:proofErr w:type="gramEnd"/>
    </w:p>
    <w:p w:rsidR="002E058E" w:rsidRPr="002E058E" w:rsidRDefault="002E058E" w:rsidP="002E058E">
      <w:pPr>
        <w:pStyle w:val="BRNormal11pt0"/>
        <w:rPr>
          <w:lang w:val="en-AU"/>
        </w:rPr>
      </w:pPr>
      <w:r w:rsidRPr="002E058E">
        <w:rPr>
          <w:lang w:val="en-AU"/>
        </w:rPr>
        <w:t xml:space="preserve">In this example, as in the other examples, groundwater was assumed to be depressurised to a groundwater head level 35 m above the top of the </w:t>
      </w:r>
      <w:r w:rsidR="003721DE">
        <w:rPr>
          <w:lang w:val="en-AU"/>
        </w:rPr>
        <w:t>coal seam gas</w:t>
      </w:r>
      <w:r w:rsidR="00910FC9">
        <w:rPr>
          <w:lang w:val="en-AU"/>
        </w:rPr>
        <w:t xml:space="preserve"> </w:t>
      </w:r>
      <w:r w:rsidRPr="002E058E">
        <w:rPr>
          <w:lang w:val="en-AU"/>
        </w:rPr>
        <w:t>bearing unit.</w:t>
      </w:r>
    </w:p>
    <w:p w:rsidR="002E058E" w:rsidRPr="002E058E" w:rsidRDefault="002E058E" w:rsidP="002E058E">
      <w:pPr>
        <w:pStyle w:val="BRNormal11pt0"/>
        <w:rPr>
          <w:lang w:val="en-AU"/>
        </w:rPr>
      </w:pPr>
      <w:r w:rsidRPr="002E058E">
        <w:rPr>
          <w:lang w:val="en-AU"/>
        </w:rPr>
        <w:t xml:space="preserve">The groundwater pressure within the Alluvium geological unit is considered to remain constant, consistent with the other examples discussed here. In cases where soils are potentially subject to groundwater pressure changes due to </w:t>
      </w:r>
      <w:r w:rsidR="003721DE">
        <w:rPr>
          <w:lang w:val="en-AU"/>
        </w:rPr>
        <w:t>coal seam gas</w:t>
      </w:r>
      <w:r w:rsidR="003721DE" w:rsidRPr="00E13ED7">
        <w:rPr>
          <w:lang w:val="en-AU"/>
        </w:rPr>
        <w:t xml:space="preserve"> </w:t>
      </w:r>
      <w:r w:rsidRPr="002E058E">
        <w:rPr>
          <w:lang w:val="en-AU"/>
        </w:rPr>
        <w:t xml:space="preserve">production, this should be accounted for and the </w:t>
      </w:r>
      <w:r w:rsidR="00532A1B">
        <w:rPr>
          <w:lang w:val="en-AU"/>
        </w:rPr>
        <w:t>compaction</w:t>
      </w:r>
      <w:r w:rsidRPr="002E058E">
        <w:rPr>
          <w:lang w:val="en-AU"/>
        </w:rPr>
        <w:t xml:space="preserve"> of the soils assessed (including non-linear comp</w:t>
      </w:r>
      <w:r w:rsidR="00532A1B">
        <w:rPr>
          <w:lang w:val="en-AU"/>
        </w:rPr>
        <w:t>action</w:t>
      </w:r>
      <w:r w:rsidRPr="002E058E">
        <w:rPr>
          <w:lang w:val="en-AU"/>
        </w:rPr>
        <w:t>).</w:t>
      </w:r>
    </w:p>
    <w:p w:rsidR="002E058E" w:rsidRPr="002E058E" w:rsidRDefault="002E058E" w:rsidP="002E058E">
      <w:pPr>
        <w:pStyle w:val="BRNormal11pt0"/>
        <w:rPr>
          <w:lang w:val="en-AU"/>
        </w:rPr>
      </w:pPr>
      <w:r w:rsidRPr="002E058E">
        <w:rPr>
          <w:lang w:val="en-AU"/>
        </w:rPr>
        <w:t xml:space="preserve">As pumping of groundwater from the production well progresses with time, dewatering causes a reduction in the groundwater pressure. Figure </w:t>
      </w:r>
      <w:r w:rsidR="0033793D">
        <w:rPr>
          <w:lang w:val="en-AU"/>
        </w:rPr>
        <w:t>32</w:t>
      </w:r>
      <w:r w:rsidR="00910FC9" w:rsidRPr="002E058E">
        <w:rPr>
          <w:lang w:val="en-AU"/>
        </w:rPr>
        <w:t xml:space="preserve"> </w:t>
      </w:r>
      <w:r w:rsidRPr="002E058E">
        <w:rPr>
          <w:lang w:val="en-AU"/>
        </w:rPr>
        <w:t xml:space="preserve">displays model results showing the pore water pressure reduction over the full ground profile modelled after three months and after one year of pumping for the ground profile shown in Figure </w:t>
      </w:r>
      <w:r w:rsidR="0033793D">
        <w:rPr>
          <w:lang w:val="en-AU"/>
        </w:rPr>
        <w:t>32</w:t>
      </w:r>
      <w:r w:rsidRPr="002E058E">
        <w:rPr>
          <w:lang w:val="en-AU"/>
        </w:rPr>
        <w:t>.</w:t>
      </w:r>
    </w:p>
    <w:p w:rsidR="002E058E" w:rsidRPr="002E058E" w:rsidRDefault="002E058E" w:rsidP="002E058E">
      <w:pPr>
        <w:pStyle w:val="BRNormal11pt0"/>
        <w:rPr>
          <w:lang w:val="en-AU"/>
        </w:rPr>
      </w:pPr>
      <w:r w:rsidRPr="002E058E">
        <w:rPr>
          <w:lang w:val="en-AU"/>
        </w:rPr>
        <w:t>Subsidence can be calculated based on those pressure changes in the ground predicted by the numerical groundwater flow model. One</w:t>
      </w:r>
      <w:r w:rsidR="00910FC9">
        <w:rPr>
          <w:lang w:val="en-AU"/>
        </w:rPr>
        <w:t xml:space="preserve"> </w:t>
      </w:r>
      <w:r w:rsidRPr="002E058E">
        <w:rPr>
          <w:lang w:val="en-AU"/>
        </w:rPr>
        <w:t xml:space="preserve">dimensional (vertical) </w:t>
      </w:r>
      <w:r w:rsidR="00532A1B">
        <w:rPr>
          <w:lang w:val="en-AU"/>
        </w:rPr>
        <w:t>compaction</w:t>
      </w:r>
      <w:r w:rsidRPr="002E058E">
        <w:rPr>
          <w:lang w:val="en-AU"/>
        </w:rPr>
        <w:t xml:space="preserve"> is calculated in the same way as detailed in the above model examples, with the changes in pore water pressure taken from the groundwater model used in the calculation. By calculating the vertical </w:t>
      </w:r>
      <w:r w:rsidR="00532A1B">
        <w:rPr>
          <w:lang w:val="en-AU"/>
        </w:rPr>
        <w:t>compaction</w:t>
      </w:r>
      <w:r w:rsidRPr="002E058E">
        <w:rPr>
          <w:lang w:val="en-AU"/>
        </w:rPr>
        <w:t xml:space="preserve"> for all geological units in the profile at various distances from the well, a subsidence profile (</w:t>
      </w:r>
      <w:r w:rsidR="00910FC9">
        <w:rPr>
          <w:lang w:val="en-AU"/>
        </w:rPr>
        <w:t xml:space="preserve">i.e. </w:t>
      </w:r>
      <w:r w:rsidRPr="002E058E">
        <w:rPr>
          <w:lang w:val="en-AU"/>
        </w:rPr>
        <w:t>magnitude of subsidence with distance from the well) can be produced at any given time (</w:t>
      </w:r>
      <w:r w:rsidR="00910FC9">
        <w:rPr>
          <w:lang w:val="en-AU"/>
        </w:rPr>
        <w:t xml:space="preserve">i.e. </w:t>
      </w:r>
      <w:r w:rsidRPr="002E058E">
        <w:rPr>
          <w:lang w:val="en-AU"/>
        </w:rPr>
        <w:t>duration since dewatering began).</w:t>
      </w:r>
    </w:p>
    <w:p w:rsidR="002E058E" w:rsidRPr="002E058E" w:rsidRDefault="002E058E" w:rsidP="002E058E">
      <w:pPr>
        <w:pStyle w:val="BRNormal11pt0"/>
        <w:rPr>
          <w:lang w:val="en-AU"/>
        </w:rPr>
      </w:pPr>
      <w:r w:rsidRPr="002E058E">
        <w:rPr>
          <w:lang w:val="en-AU"/>
        </w:rPr>
        <w:t xml:space="preserve">Figure </w:t>
      </w:r>
      <w:r w:rsidR="00FB0200">
        <w:rPr>
          <w:lang w:val="en-AU"/>
        </w:rPr>
        <w:t>33</w:t>
      </w:r>
      <w:r w:rsidR="00910FC9" w:rsidRPr="002E058E">
        <w:rPr>
          <w:lang w:val="en-AU"/>
        </w:rPr>
        <w:t xml:space="preserve"> </w:t>
      </w:r>
      <w:r w:rsidRPr="002E058E">
        <w:rPr>
          <w:lang w:val="en-AU"/>
        </w:rPr>
        <w:t xml:space="preserve">shows the calculation process for </w:t>
      </w:r>
      <w:r w:rsidR="005532A3">
        <w:rPr>
          <w:lang w:val="en-AU"/>
        </w:rPr>
        <w:t xml:space="preserve">equating </w:t>
      </w:r>
      <w:r w:rsidRPr="002E058E">
        <w:rPr>
          <w:lang w:val="en-AU"/>
        </w:rPr>
        <w:t>subsidence directly due to groundwater depressurisation over the vertical profile at a single location (specific distance) from the well.</w:t>
      </w:r>
    </w:p>
    <w:p w:rsidR="002E058E" w:rsidRPr="002E058E" w:rsidRDefault="002E058E" w:rsidP="002E058E">
      <w:pPr>
        <w:pStyle w:val="BRNormal11pt0"/>
        <w:rPr>
          <w:lang w:val="en-AU"/>
        </w:rPr>
      </w:pPr>
      <w:r w:rsidRPr="002E058E">
        <w:rPr>
          <w:lang w:val="en-AU"/>
        </w:rPr>
        <w:t xml:space="preserve">The </w:t>
      </w:r>
      <w:r w:rsidR="00532A1B">
        <w:rPr>
          <w:lang w:val="en-AU"/>
        </w:rPr>
        <w:t>compaction</w:t>
      </w:r>
      <w:r w:rsidRPr="002E058E">
        <w:rPr>
          <w:lang w:val="en-AU"/>
        </w:rPr>
        <w:t xml:space="preserve"> directly due to groundwater pressure changes, </w:t>
      </w:r>
      <w:r w:rsidRPr="002E058E">
        <w:rPr>
          <w:i/>
          <w:lang w:val="en-AU"/>
        </w:rPr>
        <w:t>S</w:t>
      </w:r>
      <w:r w:rsidRPr="002E058E">
        <w:rPr>
          <w:lang w:val="en-AU"/>
        </w:rPr>
        <w:t xml:space="preserve">, for the geological unit, </w:t>
      </w:r>
      <w:r w:rsidRPr="002E058E">
        <w:rPr>
          <w:i/>
          <w:lang w:val="en-AU"/>
        </w:rPr>
        <w:t>i</w:t>
      </w:r>
      <w:r w:rsidRPr="002E058E">
        <w:rPr>
          <w:lang w:val="en-AU"/>
        </w:rPr>
        <w:t>, is:</w:t>
      </w:r>
    </w:p>
    <w:p w:rsidR="002E058E" w:rsidRPr="002E058E" w:rsidRDefault="002E058E" w:rsidP="002E058E">
      <w:pPr>
        <w:pStyle w:val="Listintrotext"/>
        <w:rPr>
          <w:lang w:val="en-AU"/>
        </w:rPr>
      </w:pPr>
      <w:r w:rsidRPr="002E058E">
        <w:rPr>
          <w:noProof/>
          <w:lang w:val="en-AU" w:eastAsia="en-AU"/>
        </w:rPr>
        <w:drawing>
          <wp:inline distT="0" distB="0" distL="0" distR="0">
            <wp:extent cx="1371600" cy="2820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7899" cy="285361"/>
                    </a:xfrm>
                    <a:prstGeom prst="rect">
                      <a:avLst/>
                    </a:prstGeom>
                    <a:noFill/>
                    <a:ln>
                      <a:noFill/>
                    </a:ln>
                  </pic:spPr>
                </pic:pic>
              </a:graphicData>
            </a:graphic>
          </wp:inline>
        </w:drawing>
      </w:r>
    </w:p>
    <w:p w:rsidR="002E058E" w:rsidRPr="002E058E" w:rsidRDefault="002E058E" w:rsidP="002E058E">
      <w:pPr>
        <w:pStyle w:val="BRNormal11pt0"/>
        <w:rPr>
          <w:lang w:val="en-AU"/>
        </w:rPr>
      </w:pPr>
      <w:proofErr w:type="gramStart"/>
      <w:r w:rsidRPr="002E058E">
        <w:rPr>
          <w:lang w:val="en-AU"/>
        </w:rPr>
        <w:t>where</w:t>
      </w:r>
      <w:proofErr w:type="gramEnd"/>
      <w:r w:rsidRPr="002E058E">
        <w:rPr>
          <w:lang w:val="en-AU"/>
        </w:rPr>
        <w:t xml:space="preserve"> </w:t>
      </w:r>
      <w:r w:rsidRPr="002E058E">
        <w:rPr>
          <w:i/>
          <w:lang w:val="en-AU"/>
        </w:rPr>
        <w:t>m</w:t>
      </w:r>
      <w:r w:rsidRPr="002E058E">
        <w:rPr>
          <w:i/>
          <w:vertAlign w:val="subscript"/>
          <w:lang w:val="en-AU"/>
        </w:rPr>
        <w:t>v</w:t>
      </w:r>
      <w:r w:rsidRPr="002E058E">
        <w:rPr>
          <w:lang w:val="en-AU"/>
        </w:rPr>
        <w:t xml:space="preserve"> is the coefficient of volume compressibility,</w:t>
      </w:r>
      <w:r w:rsidRPr="002E058E">
        <w:rPr>
          <w:i/>
          <w:lang w:val="en-AU"/>
        </w:rPr>
        <w:t xml:space="preserve"> </w:t>
      </w:r>
      <w:r w:rsidRPr="002E058E">
        <w:rPr>
          <w:i/>
          <w:lang w:val="en-AU"/>
        </w:rPr>
        <w:sym w:font="Symbol" w:char="F044"/>
      </w:r>
      <w:r w:rsidRPr="002E058E">
        <w:rPr>
          <w:i/>
          <w:lang w:val="en-AU"/>
        </w:rPr>
        <w:sym w:font="Symbol" w:char="F073"/>
      </w:r>
      <w:r w:rsidRPr="002E058E">
        <w:rPr>
          <w:i/>
          <w:vertAlign w:val="superscript"/>
          <w:lang w:val="en-AU"/>
        </w:rPr>
        <w:t>'</w:t>
      </w:r>
      <w:r w:rsidRPr="002E058E">
        <w:rPr>
          <w:i/>
          <w:vertAlign w:val="subscript"/>
          <w:lang w:val="en-AU"/>
        </w:rPr>
        <w:t>i</w:t>
      </w:r>
      <w:r w:rsidRPr="002E058E">
        <w:rPr>
          <w:lang w:val="en-AU"/>
        </w:rPr>
        <w:t xml:space="preserve"> is the change in vertical effective stress and </w:t>
      </w:r>
      <w:r w:rsidRPr="002E058E">
        <w:rPr>
          <w:i/>
          <w:lang w:val="en-AU"/>
        </w:rPr>
        <w:t>H</w:t>
      </w:r>
      <w:r w:rsidRPr="002E058E">
        <w:rPr>
          <w:i/>
          <w:vertAlign w:val="subscript"/>
          <w:lang w:val="en-AU"/>
        </w:rPr>
        <w:t>i</w:t>
      </w:r>
      <w:r w:rsidRPr="002E058E">
        <w:rPr>
          <w:lang w:val="en-AU"/>
        </w:rPr>
        <w:t xml:space="preserve"> is the thickness of geological unit </w:t>
      </w:r>
      <w:r w:rsidRPr="002E058E">
        <w:rPr>
          <w:i/>
          <w:lang w:val="en-AU"/>
        </w:rPr>
        <w:t>i</w:t>
      </w:r>
      <w:r w:rsidRPr="002E058E">
        <w:rPr>
          <w:lang w:val="en-AU"/>
        </w:rPr>
        <w:t xml:space="preserve">, </w:t>
      </w:r>
      <w:r w:rsidRPr="002E058E">
        <w:rPr>
          <w:i/>
          <w:lang w:val="en-AU"/>
        </w:rPr>
        <w:t>n</w:t>
      </w:r>
      <w:r w:rsidRPr="002E058E">
        <w:rPr>
          <w:lang w:val="en-AU"/>
        </w:rPr>
        <w:t xml:space="preserve"> is the total number of geological units experiencing a change in ground pressure.</w:t>
      </w:r>
    </w:p>
    <w:p w:rsidR="002E058E" w:rsidRPr="002E058E" w:rsidRDefault="002E058E" w:rsidP="002E058E">
      <w:pPr>
        <w:pStyle w:val="BRNormal11pt0"/>
        <w:rPr>
          <w:lang w:val="en-AU"/>
        </w:rPr>
      </w:pPr>
      <w:r w:rsidRPr="002E058E">
        <w:rPr>
          <w:lang w:val="en-AU"/>
        </w:rPr>
        <w:t xml:space="preserve">By dividing each geological unit into a number of layers (as shown in Figure </w:t>
      </w:r>
      <w:r w:rsidR="00FB0200">
        <w:rPr>
          <w:lang w:val="en-AU"/>
        </w:rPr>
        <w:t>33</w:t>
      </w:r>
      <w:r w:rsidRPr="002E058E">
        <w:rPr>
          <w:lang w:val="en-AU"/>
        </w:rPr>
        <w:t>) can provide improved accuracy in the calculation of subsidence, because the vertical variation in pressure change across each geological unit is accounted for.</w:t>
      </w:r>
    </w:p>
    <w:p w:rsidR="002E058E" w:rsidRPr="002E058E" w:rsidRDefault="002E058E" w:rsidP="002E058E">
      <w:pPr>
        <w:pStyle w:val="BRNormal11pt0"/>
        <w:rPr>
          <w:lang w:val="en-AU"/>
        </w:rPr>
      </w:pPr>
      <w:r w:rsidRPr="002E058E">
        <w:rPr>
          <w:lang w:val="en-AU"/>
        </w:rPr>
        <w:t xml:space="preserve">Figure </w:t>
      </w:r>
      <w:r w:rsidR="00FB0200">
        <w:rPr>
          <w:lang w:val="en-AU"/>
        </w:rPr>
        <w:t>34</w:t>
      </w:r>
      <w:r w:rsidR="00910FC9" w:rsidRPr="002E058E">
        <w:rPr>
          <w:lang w:val="en-AU"/>
        </w:rPr>
        <w:t xml:space="preserve"> </w:t>
      </w:r>
      <w:r w:rsidRPr="002E058E">
        <w:rPr>
          <w:lang w:val="en-AU"/>
        </w:rPr>
        <w:t xml:space="preserve">shows the predicted subsidence profile with distance from the well for this example, based on the subsidence calculated at each of those horizontal distances, after various periods of </w:t>
      </w:r>
      <w:r w:rsidR="003721DE">
        <w:rPr>
          <w:lang w:val="en-AU"/>
        </w:rPr>
        <w:t>coal seam gas</w:t>
      </w:r>
      <w:r w:rsidR="003721DE" w:rsidRPr="00E13ED7">
        <w:rPr>
          <w:lang w:val="en-AU"/>
        </w:rPr>
        <w:t xml:space="preserve"> </w:t>
      </w:r>
      <w:r w:rsidRPr="002E058E">
        <w:rPr>
          <w:lang w:val="en-AU"/>
        </w:rPr>
        <w:t>extraction.</w:t>
      </w:r>
    </w:p>
    <w:p w:rsidR="002E058E" w:rsidRPr="002E058E" w:rsidRDefault="002E058E" w:rsidP="002E058E">
      <w:pPr>
        <w:pStyle w:val="BRNormal11pt0"/>
        <w:rPr>
          <w:lang w:val="en-AU"/>
        </w:rPr>
      </w:pPr>
      <w:r w:rsidRPr="002E058E">
        <w:rPr>
          <w:lang w:val="en-AU"/>
        </w:rPr>
        <w:t xml:space="preserve">Figure </w:t>
      </w:r>
      <w:r w:rsidR="00FB0200">
        <w:rPr>
          <w:lang w:val="en-AU"/>
        </w:rPr>
        <w:t>34</w:t>
      </w:r>
      <w:r w:rsidR="00910FC9" w:rsidRPr="002E058E">
        <w:rPr>
          <w:lang w:val="en-AU"/>
        </w:rPr>
        <w:t xml:space="preserve"> </w:t>
      </w:r>
      <w:r w:rsidRPr="002E058E">
        <w:rPr>
          <w:lang w:val="en-AU"/>
        </w:rPr>
        <w:t>presents a three</w:t>
      </w:r>
      <w:r w:rsidR="00910FC9">
        <w:rPr>
          <w:lang w:val="en-AU"/>
        </w:rPr>
        <w:t xml:space="preserve"> </w:t>
      </w:r>
      <w:r w:rsidRPr="002E058E">
        <w:rPr>
          <w:lang w:val="en-AU"/>
        </w:rPr>
        <w:t>dimensional orthographic projection of the predicted ground profile after five years of operation in the vicinity of two production wells (for this example case). Subsidence is greatest near to the wells, where ground depressurisation is greatest.</w:t>
      </w:r>
      <w:r w:rsidRPr="002E058E">
        <w:rPr>
          <w:lang w:val="en-GB"/>
        </w:rPr>
        <w:t xml:space="preserve"> The ground profile was obtained </w:t>
      </w:r>
      <w:r w:rsidRPr="002E058E">
        <w:rPr>
          <w:lang w:val="en-AU"/>
        </w:rPr>
        <w:t xml:space="preserve">by superposition of two solutions calculated by an axisymmetric </w:t>
      </w:r>
      <w:r w:rsidR="0032535F">
        <w:rPr>
          <w:lang w:val="en-AU"/>
        </w:rPr>
        <w:t>two-dimensional</w:t>
      </w:r>
      <w:r w:rsidRPr="002E058E">
        <w:rPr>
          <w:lang w:val="en-AU"/>
        </w:rPr>
        <w:t xml:space="preserve"> model.</w:t>
      </w:r>
    </w:p>
    <w:p w:rsidR="002E058E" w:rsidRPr="002E058E" w:rsidRDefault="002E058E" w:rsidP="002E058E">
      <w:pPr>
        <w:pStyle w:val="BRNormal11pt0"/>
        <w:rPr>
          <w:lang w:val="en-GB"/>
        </w:rPr>
      </w:pPr>
      <w:r w:rsidRPr="002E058E">
        <w:rPr>
          <w:lang w:val="en-AU"/>
        </w:rPr>
        <w:t>In the previous modelling approaches</w:t>
      </w:r>
      <w:r w:rsidR="00910FC9">
        <w:rPr>
          <w:lang w:val="en-AU"/>
        </w:rPr>
        <w:t>,</w:t>
      </w:r>
      <w:r w:rsidRPr="002E058E">
        <w:rPr>
          <w:lang w:val="en-AU"/>
        </w:rPr>
        <w:t xml:space="preserve"> the specified pressure within the </w:t>
      </w:r>
      <w:r w:rsidR="003721DE">
        <w:rPr>
          <w:lang w:val="en-AU"/>
        </w:rPr>
        <w:t>coal seam gas</w:t>
      </w:r>
      <w:r w:rsidR="003721DE" w:rsidRPr="00E13ED7">
        <w:rPr>
          <w:lang w:val="en-AU"/>
        </w:rPr>
        <w:t xml:space="preserve"> </w:t>
      </w:r>
      <w:r w:rsidRPr="002E058E">
        <w:rPr>
          <w:lang w:val="en-AU"/>
        </w:rPr>
        <w:t xml:space="preserve">bearing formation was assumed to be identical vertically across that unit. This provides consistency with the previous examples, permitting comparison. In reality, however, the pressure may vary across the unit. </w:t>
      </w:r>
      <w:r w:rsidRPr="002E058E">
        <w:rPr>
          <w:lang w:val="en-GB"/>
        </w:rPr>
        <w:t xml:space="preserve">Applying a constant head boundary condition uniformly over the </w:t>
      </w:r>
      <w:r w:rsidR="003721DE">
        <w:rPr>
          <w:lang w:val="en-AU"/>
        </w:rPr>
        <w:t>coal seam gas</w:t>
      </w:r>
      <w:r w:rsidR="003721DE" w:rsidRPr="00E13ED7">
        <w:rPr>
          <w:lang w:val="en-AU"/>
        </w:rPr>
        <w:t xml:space="preserve"> </w:t>
      </w:r>
      <w:r w:rsidRPr="002E058E">
        <w:rPr>
          <w:lang w:val="en-GB"/>
        </w:rPr>
        <w:t xml:space="preserve">bearing formation may yield different predicted groundwater pressures and therefore different subsidence estimates relative to applying a varying head condition over the </w:t>
      </w:r>
      <w:r w:rsidR="003721DE">
        <w:rPr>
          <w:lang w:val="en-AU"/>
        </w:rPr>
        <w:t>coal seam gas</w:t>
      </w:r>
      <w:r w:rsidR="003721DE" w:rsidRPr="00E13ED7">
        <w:rPr>
          <w:lang w:val="en-AU"/>
        </w:rPr>
        <w:t xml:space="preserve"> </w:t>
      </w:r>
      <w:r w:rsidRPr="002E058E">
        <w:rPr>
          <w:lang w:val="en-GB"/>
        </w:rPr>
        <w:t>bearing formation.</w:t>
      </w:r>
    </w:p>
    <w:p w:rsidR="002E058E" w:rsidRPr="002E058E" w:rsidRDefault="002E058E" w:rsidP="002E058E">
      <w:pPr>
        <w:pStyle w:val="Listintrotext"/>
        <w:rPr>
          <w:lang w:val="en-GB"/>
        </w:rPr>
      </w:pPr>
    </w:p>
    <w:p w:rsidR="002E058E" w:rsidRPr="002E058E" w:rsidRDefault="002E058E" w:rsidP="002E058E">
      <w:pPr>
        <w:pStyle w:val="Listintrotext"/>
        <w:rPr>
          <w:lang w:val="en-GB"/>
        </w:rPr>
      </w:pPr>
      <w:r w:rsidRPr="002E058E">
        <w:rPr>
          <w:noProof/>
          <w:lang w:val="en-AU" w:eastAsia="en-AU"/>
        </w:rPr>
        <w:drawing>
          <wp:inline distT="0" distB="0" distL="0" distR="0">
            <wp:extent cx="5670817" cy="4733365"/>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1.jpg"/>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70817" cy="4733365"/>
                    </a:xfrm>
                    <a:prstGeom prst="rect">
                      <a:avLst/>
                    </a:prstGeom>
                  </pic:spPr>
                </pic:pic>
              </a:graphicData>
            </a:graphic>
          </wp:inline>
        </w:drawing>
      </w:r>
    </w:p>
    <w:p w:rsidR="001E6DBD" w:rsidRDefault="00910FC9" w:rsidP="008F3D91">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32</w:t>
      </w:r>
      <w:r w:rsidR="00E252C4" w:rsidRPr="005A4936">
        <w:fldChar w:fldCharType="end"/>
      </w:r>
      <w:r>
        <w:t xml:space="preserve"> </w:t>
      </w:r>
      <w:r w:rsidR="002E058E" w:rsidRPr="002E058E">
        <w:t xml:space="preserve">Transient </w:t>
      </w:r>
      <w:r>
        <w:t>g</w:t>
      </w:r>
      <w:r w:rsidR="002E058E" w:rsidRPr="002E058E">
        <w:t xml:space="preserve">roundwater </w:t>
      </w:r>
      <w:r>
        <w:t>r</w:t>
      </w:r>
      <w:r w:rsidR="002E058E" w:rsidRPr="002E058E">
        <w:t xml:space="preserve">esponse </w:t>
      </w:r>
      <w:r>
        <w:t>m</w:t>
      </w:r>
      <w:r w:rsidR="002E058E" w:rsidRPr="002E058E">
        <w:t xml:space="preserve">odel </w:t>
      </w:r>
      <w:r>
        <w:t>r</w:t>
      </w:r>
      <w:r w:rsidR="002E058E" w:rsidRPr="002E058E">
        <w:t xml:space="preserve">esults: </w:t>
      </w:r>
      <w:r>
        <w:t>g</w:t>
      </w:r>
      <w:r w:rsidR="002E058E" w:rsidRPr="002E058E">
        <w:t xml:space="preserve">roundwater </w:t>
      </w:r>
      <w:r>
        <w:t>d</w:t>
      </w:r>
      <w:r w:rsidR="002E058E" w:rsidRPr="002E058E">
        <w:t xml:space="preserve">rawdown </w:t>
      </w:r>
      <w:r w:rsidR="0098017F">
        <w:t xml:space="preserve">(in m) </w:t>
      </w:r>
      <w:r>
        <w:t>a</w:t>
      </w:r>
      <w:r w:rsidR="002E058E" w:rsidRPr="002E058E">
        <w:t xml:space="preserve">fter (a) </w:t>
      </w:r>
      <w:r>
        <w:t>t</w:t>
      </w:r>
      <w:r w:rsidR="002E058E" w:rsidRPr="002E058E">
        <w:t xml:space="preserve">hree </w:t>
      </w:r>
      <w:r>
        <w:t>m</w:t>
      </w:r>
      <w:r w:rsidR="002E058E" w:rsidRPr="002E058E">
        <w:t xml:space="preserve">onths of </w:t>
      </w:r>
      <w:r>
        <w:t>p</w:t>
      </w:r>
      <w:r w:rsidR="002E058E" w:rsidRPr="002E058E">
        <w:t xml:space="preserve">umping, and (b) </w:t>
      </w:r>
      <w:r>
        <w:t>t</w:t>
      </w:r>
      <w:r w:rsidR="002E058E" w:rsidRPr="002E058E">
        <w:t xml:space="preserve">wo </w:t>
      </w:r>
      <w:r>
        <w:t>y</w:t>
      </w:r>
      <w:r w:rsidR="002E058E" w:rsidRPr="002E058E">
        <w:t xml:space="preserve">ears of </w:t>
      </w:r>
      <w:r>
        <w:t>p</w:t>
      </w:r>
      <w:r w:rsidR="00DD6833">
        <w:t>umping</w:t>
      </w:r>
    </w:p>
    <w:p w:rsidR="008F3D91" w:rsidRDefault="008F3D91" w:rsidP="00A90F48">
      <w:pPr>
        <w:pStyle w:val="Listintrotext"/>
      </w:pPr>
    </w:p>
    <w:p w:rsidR="008F3D91" w:rsidRDefault="008F3D91" w:rsidP="00A90F48">
      <w:pPr>
        <w:pStyle w:val="Listintrotext"/>
        <w:sectPr w:rsidR="008F3D91" w:rsidSect="00846F8C">
          <w:headerReference w:type="default" r:id="rId101"/>
          <w:footerReference w:type="default" r:id="rId102"/>
          <w:headerReference w:type="first" r:id="rId103"/>
          <w:footerReference w:type="first" r:id="rId104"/>
          <w:pgSz w:w="11900" w:h="16840" w:code="9"/>
          <w:pgMar w:top="2101" w:right="1418" w:bottom="1963" w:left="1418" w:header="142" w:footer="567" w:gutter="0"/>
          <w:cols w:space="284"/>
          <w:noEndnote/>
          <w:titlePg/>
          <w:docGrid w:linePitch="326"/>
        </w:sectPr>
      </w:pPr>
    </w:p>
    <w:p w:rsidR="001E6DBD" w:rsidRDefault="00093D1C" w:rsidP="00DD6833">
      <w:pPr>
        <w:pStyle w:val="Listintrotext"/>
        <w:jc w:val="center"/>
      </w:pPr>
      <w:r>
        <w:rPr>
          <w:noProof/>
          <w:lang w:val="en-AU" w:eastAsia="en-AU"/>
        </w:rPr>
        <w:drawing>
          <wp:inline distT="0" distB="0" distL="0" distR="0">
            <wp:extent cx="7754587" cy="505981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7764450" cy="50662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6DBD" w:rsidRDefault="00910FC9" w:rsidP="00D90926">
      <w:pPr>
        <w:pStyle w:val="Caption-figure"/>
        <w:sectPr w:rsidR="001E6DBD" w:rsidSect="00DD6833">
          <w:headerReference w:type="first" r:id="rId106"/>
          <w:footerReference w:type="first" r:id="rId107"/>
          <w:pgSz w:w="16840" w:h="11900" w:orient="landscape" w:code="9"/>
          <w:pgMar w:top="1840" w:right="1418" w:bottom="1418" w:left="1963" w:header="142" w:footer="567" w:gutter="0"/>
          <w:cols w:space="284"/>
          <w:noEndnote/>
          <w:titlePg/>
          <w:docGrid w:linePitch="326"/>
        </w:sectPr>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33</w:t>
      </w:r>
      <w:r w:rsidR="00E252C4" w:rsidRPr="005A4936">
        <w:fldChar w:fldCharType="end"/>
      </w:r>
      <w:r>
        <w:t xml:space="preserve"> </w:t>
      </w:r>
      <w:r w:rsidR="001E6DBD" w:rsidRPr="004C28AD">
        <w:t xml:space="preserve">Illustration of the </w:t>
      </w:r>
      <w:r>
        <w:t>c</w:t>
      </w:r>
      <w:r w:rsidR="001E6DBD" w:rsidRPr="004C28AD">
        <w:t xml:space="preserve">alculation </w:t>
      </w:r>
      <w:r>
        <w:t>p</w:t>
      </w:r>
      <w:r w:rsidR="001E6DBD" w:rsidRPr="004C28AD">
        <w:t xml:space="preserve">rocess for </w:t>
      </w:r>
      <w:r w:rsidR="00532A1B">
        <w:t>compaction</w:t>
      </w:r>
      <w:r w:rsidR="001E6DBD" w:rsidRPr="004C28AD">
        <w:t xml:space="preserve"> due </w:t>
      </w:r>
      <w:r>
        <w:t>d</w:t>
      </w:r>
      <w:r w:rsidR="001E6DBD" w:rsidRPr="004C28AD">
        <w:t xml:space="preserve">irectly to </w:t>
      </w:r>
      <w:r>
        <w:t>g</w:t>
      </w:r>
      <w:r w:rsidR="001E6DBD" w:rsidRPr="004C28AD">
        <w:t xml:space="preserve">roundwater </w:t>
      </w:r>
      <w:r>
        <w:t>p</w:t>
      </w:r>
      <w:r w:rsidR="001E6DBD" w:rsidRPr="004C28AD">
        <w:t xml:space="preserve">ressure </w:t>
      </w:r>
      <w:r>
        <w:t>c</w:t>
      </w:r>
      <w:r w:rsidR="001E6DBD" w:rsidRPr="004C28AD">
        <w:t xml:space="preserve">hanges at a </w:t>
      </w:r>
      <w:r>
        <w:t>s</w:t>
      </w:r>
      <w:r w:rsidR="001E6DBD" w:rsidRPr="004C28AD">
        <w:t xml:space="preserve">pecific </w:t>
      </w:r>
      <w:r>
        <w:t>l</w:t>
      </w:r>
      <w:r w:rsidR="001E6DBD" w:rsidRPr="004C28AD">
        <w:t>ocation</w:t>
      </w:r>
    </w:p>
    <w:p w:rsidR="00973D19" w:rsidRDefault="001E6DBD" w:rsidP="00A90F48">
      <w:pPr>
        <w:pStyle w:val="Listintrotext"/>
      </w:pPr>
      <w:r w:rsidRPr="00AF36C8">
        <w:rPr>
          <w:noProof/>
          <w:lang w:val="en-AU" w:eastAsia="en-AU"/>
        </w:rPr>
        <w:drawing>
          <wp:inline distT="0" distB="0" distL="0" distR="0">
            <wp:extent cx="5755640" cy="297024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640" cy="2970244"/>
                    </a:xfrm>
                    <a:prstGeom prst="rect">
                      <a:avLst/>
                    </a:prstGeom>
                    <a:noFill/>
                    <a:ln>
                      <a:noFill/>
                    </a:ln>
                  </pic:spPr>
                </pic:pic>
              </a:graphicData>
            </a:graphic>
          </wp:inline>
        </w:drawing>
      </w:r>
    </w:p>
    <w:p w:rsidR="001E6DBD" w:rsidRDefault="00910FC9"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34</w:t>
      </w:r>
      <w:r w:rsidR="00E252C4" w:rsidRPr="005A4936">
        <w:fldChar w:fldCharType="end"/>
      </w:r>
      <w:r>
        <w:t xml:space="preserve"> </w:t>
      </w:r>
      <w:r w:rsidR="001E6DBD" w:rsidRPr="004C28AD">
        <w:t xml:space="preserve">Example </w:t>
      </w:r>
      <w:r>
        <w:t>p</w:t>
      </w:r>
      <w:r w:rsidR="001E6DBD" w:rsidRPr="004C28AD">
        <w:t xml:space="preserve">redicted </w:t>
      </w:r>
      <w:r>
        <w:t>s</w:t>
      </w:r>
      <w:r w:rsidR="001E6DBD" w:rsidRPr="004C28AD">
        <w:t xml:space="preserve">ubsidence </w:t>
      </w:r>
      <w:r>
        <w:t>w</w:t>
      </w:r>
      <w:r w:rsidR="001E6DBD" w:rsidRPr="004C28AD">
        <w:t xml:space="preserve">ith </w:t>
      </w:r>
      <w:r>
        <w:t>d</w:t>
      </w:r>
      <w:r w:rsidR="001E6DBD" w:rsidRPr="004C28AD">
        <w:t xml:space="preserve">istance </w:t>
      </w:r>
      <w:r>
        <w:t>f</w:t>
      </w:r>
      <w:r w:rsidR="001E6DBD" w:rsidRPr="004C28AD">
        <w:t xml:space="preserve">rom </w:t>
      </w:r>
      <w:r>
        <w:t>p</w:t>
      </w:r>
      <w:r w:rsidR="001E6DBD" w:rsidRPr="004C28AD">
        <w:t xml:space="preserve">roduction </w:t>
      </w:r>
      <w:r>
        <w:t>w</w:t>
      </w:r>
      <w:r w:rsidR="001E6DBD" w:rsidRPr="004C28AD">
        <w:t xml:space="preserve">ell </w:t>
      </w:r>
      <w:r>
        <w:t>a</w:t>
      </w:r>
      <w:r w:rsidR="001E6DBD" w:rsidRPr="004C28AD">
        <w:t xml:space="preserve">fter </w:t>
      </w:r>
      <w:r>
        <w:t>v</w:t>
      </w:r>
      <w:r w:rsidR="001E6DBD" w:rsidRPr="004C28AD">
        <w:t xml:space="preserve">arious </w:t>
      </w:r>
      <w:r>
        <w:t>p</w:t>
      </w:r>
      <w:r w:rsidR="001E6DBD" w:rsidRPr="004C28AD">
        <w:t xml:space="preserve">eriods of </w:t>
      </w:r>
      <w:r w:rsidR="003721DE">
        <w:rPr>
          <w:lang w:val="en-AU"/>
        </w:rPr>
        <w:t>coal seam gas</w:t>
      </w:r>
      <w:r w:rsidR="003721DE" w:rsidRPr="00E13ED7">
        <w:rPr>
          <w:lang w:val="en-AU"/>
        </w:rPr>
        <w:t xml:space="preserve"> </w:t>
      </w:r>
      <w:r>
        <w:t>e</w:t>
      </w:r>
      <w:r w:rsidR="001E6DBD" w:rsidRPr="004C28AD">
        <w:t>xtraction</w:t>
      </w:r>
    </w:p>
    <w:p w:rsidR="00B84468" w:rsidRPr="008F3D91" w:rsidRDefault="00B84468" w:rsidP="008F3D91">
      <w:pPr>
        <w:pStyle w:val="BRNormal11pt0"/>
        <w:rPr>
          <w:lang w:val="en-AU"/>
        </w:rPr>
      </w:pPr>
    </w:p>
    <w:p w:rsidR="001E6DBD" w:rsidRDefault="00093D1C" w:rsidP="00A90F48">
      <w:pPr>
        <w:pStyle w:val="Listintrotext"/>
      </w:pPr>
      <w:r>
        <w:rPr>
          <w:noProof/>
          <w:lang w:val="en-AU" w:eastAsia="en-AU"/>
        </w:rPr>
        <w:drawing>
          <wp:inline distT="0" distB="0" distL="0" distR="0">
            <wp:extent cx="5747657" cy="299851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6.jpg"/>
                    <pic:cNvPicPr/>
                  </pic:nvPicPr>
                  <pic:blipFill rotWithShape="1">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55640" cy="30026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6DBD" w:rsidRPr="004C28AD" w:rsidRDefault="00910FC9"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35</w:t>
      </w:r>
      <w:r w:rsidR="00E252C4" w:rsidRPr="005A4936">
        <w:fldChar w:fldCharType="end"/>
      </w:r>
      <w:r>
        <w:t xml:space="preserve"> </w:t>
      </w:r>
      <w:r w:rsidR="001E6DBD" w:rsidRPr="004C28AD">
        <w:t xml:space="preserve">Example of </w:t>
      </w:r>
      <w:r>
        <w:t>l</w:t>
      </w:r>
      <w:r w:rsidR="001E6DBD" w:rsidRPr="004C28AD">
        <w:t>ong-</w:t>
      </w:r>
      <w:r>
        <w:t>t</w:t>
      </w:r>
      <w:r w:rsidR="001E6DBD" w:rsidRPr="004C28AD">
        <w:t xml:space="preserve">erm </w:t>
      </w:r>
      <w:r>
        <w:t>p</w:t>
      </w:r>
      <w:r w:rsidR="001E6DBD" w:rsidRPr="004C28AD">
        <w:t xml:space="preserve">redicted </w:t>
      </w:r>
      <w:r>
        <w:t>g</w:t>
      </w:r>
      <w:r w:rsidR="001E6DBD" w:rsidRPr="004C28AD">
        <w:t xml:space="preserve">round </w:t>
      </w:r>
      <w:r>
        <w:t>s</w:t>
      </w:r>
      <w:r w:rsidR="001E6DBD" w:rsidRPr="004C28AD">
        <w:t xml:space="preserve">ubsidence in the </w:t>
      </w:r>
      <w:r>
        <w:t>v</w:t>
      </w:r>
      <w:r w:rsidR="001E6DBD" w:rsidRPr="004C28AD">
        <w:t xml:space="preserve">icinity of </w:t>
      </w:r>
      <w:r>
        <w:t>t</w:t>
      </w:r>
      <w:r w:rsidR="001E6DBD" w:rsidRPr="004C28AD">
        <w:t xml:space="preserve">wo </w:t>
      </w:r>
      <w:r>
        <w:t>p</w:t>
      </w:r>
      <w:r w:rsidR="001E6DBD" w:rsidRPr="004C28AD">
        <w:t xml:space="preserve">roduction </w:t>
      </w:r>
      <w:r>
        <w:t>w</w:t>
      </w:r>
      <w:r w:rsidR="001E6DBD" w:rsidRPr="004C28AD">
        <w:t>ells</w:t>
      </w:r>
      <w:r w:rsidR="00260F1E">
        <w:t xml:space="preserve"> </w:t>
      </w:r>
      <w:r w:rsidR="00260F1E" w:rsidRPr="006D540A">
        <w:t>(</w:t>
      </w:r>
      <w:r w:rsidR="00260F1E">
        <w:rPr>
          <w:rFonts w:cs="Arial"/>
        </w:rPr>
        <w:t>©</w:t>
      </w:r>
      <w:r w:rsidR="00260F1E">
        <w:t> Copyright, Gray et al. 2013; Rotter &amp; Best</w:t>
      </w:r>
      <w:r w:rsidR="00260F1E" w:rsidRPr="006D540A">
        <w:t xml:space="preserve"> 2013</w:t>
      </w:r>
      <w:r w:rsidR="00260F1E">
        <w:t>)</w:t>
      </w:r>
    </w:p>
    <w:p w:rsidR="001E6DBD" w:rsidRPr="008F3D91" w:rsidRDefault="001E6DBD" w:rsidP="008F3D91">
      <w:pPr>
        <w:pStyle w:val="BRNormal11pt0"/>
        <w:rPr>
          <w:lang w:val="en-AU"/>
        </w:rPr>
      </w:pPr>
    </w:p>
    <w:p w:rsidR="001E6DBD" w:rsidRPr="001E6DBD" w:rsidRDefault="001E6DBD" w:rsidP="001E6DBD">
      <w:pPr>
        <w:pStyle w:val="Heading1"/>
      </w:pPr>
      <w:bookmarkStart w:id="591" w:name="_Toc387410265"/>
      <w:bookmarkStart w:id="592" w:name="_Toc402425337"/>
      <w:r w:rsidRPr="001E6DBD">
        <w:t xml:space="preserve">Selection of </w:t>
      </w:r>
      <w:r w:rsidR="00FD23B8">
        <w:t>m</w:t>
      </w:r>
      <w:r w:rsidRPr="001E6DBD">
        <w:t xml:space="preserve">aterial </w:t>
      </w:r>
      <w:r w:rsidR="00FD23B8">
        <w:t>p</w:t>
      </w:r>
      <w:r w:rsidRPr="001E6DBD">
        <w:t xml:space="preserve">arameters for </w:t>
      </w:r>
      <w:r w:rsidR="00FD23B8">
        <w:t>n</w:t>
      </w:r>
      <w:r w:rsidRPr="001E6DBD">
        <w:t xml:space="preserve">umerical </w:t>
      </w:r>
      <w:r w:rsidR="00FD23B8">
        <w:t>m</w:t>
      </w:r>
      <w:r w:rsidRPr="001E6DBD">
        <w:t>odels</w:t>
      </w:r>
      <w:bookmarkEnd w:id="591"/>
      <w:bookmarkEnd w:id="592"/>
    </w:p>
    <w:p w:rsidR="001E6DBD" w:rsidRPr="001E6DBD" w:rsidRDefault="008B5758" w:rsidP="001E6DBD">
      <w:pPr>
        <w:pStyle w:val="BRNormal11pt0"/>
        <w:rPr>
          <w:rFonts w:eastAsia="Times New Roman"/>
        </w:rPr>
      </w:pPr>
      <w:r>
        <w:rPr>
          <w:rFonts w:eastAsia="Times New Roman"/>
        </w:rPr>
        <w:t>T</w:t>
      </w:r>
      <w:r w:rsidR="001E6DBD" w:rsidRPr="001E6DBD">
        <w:rPr>
          <w:rFonts w:eastAsia="Times New Roman"/>
        </w:rPr>
        <w:t xml:space="preserve">o accurately model the behaviour of the ground, numerical models require various parameters describing the mechanical and hydrogeological properties </w:t>
      </w:r>
      <w:r w:rsidR="00CA66D1">
        <w:rPr>
          <w:rFonts w:eastAsia="Times New Roman"/>
        </w:rPr>
        <w:t>throughout the profile</w:t>
      </w:r>
      <w:r w:rsidR="001E6DBD" w:rsidRPr="001E6DBD">
        <w:rPr>
          <w:rFonts w:eastAsia="Times New Roman"/>
        </w:rPr>
        <w:t>.</w:t>
      </w:r>
    </w:p>
    <w:p w:rsidR="001E6DBD" w:rsidRDefault="001E6DBD" w:rsidP="001E6DBD">
      <w:pPr>
        <w:pStyle w:val="BRNormal11pt0"/>
        <w:rPr>
          <w:rFonts w:eastAsia="Times New Roman"/>
        </w:rPr>
      </w:pPr>
      <w:r w:rsidRPr="001E6DBD">
        <w:rPr>
          <w:rFonts w:eastAsia="Times New Roman"/>
        </w:rPr>
        <w:t>For an elastic analysis, the parameters required include Young’s modulus, Poisson’s ratio and hydraulic conductivity. There will often be some degree of uncertainty in assigning values for material parameters, due to the difficulty in their measurement and the variability of the ground. Often a sensitivity analysis will be undertaken to understand how model outcomes respond to changes in the values of the various input parameters. In some cases, conservative values of certain input parameters may be selected to provide upper or lower bound model results to a particular problem.</w:t>
      </w:r>
    </w:p>
    <w:p w:rsidR="001E6DBD" w:rsidRPr="001E6DBD" w:rsidRDefault="001E6DBD" w:rsidP="001E6DBD">
      <w:pPr>
        <w:pStyle w:val="Heading2"/>
        <w:rPr>
          <w:rFonts w:eastAsia="Times New Roman"/>
        </w:rPr>
      </w:pPr>
      <w:bookmarkStart w:id="593" w:name="_Toc387410266"/>
      <w:bookmarkStart w:id="594" w:name="_Toc402425338"/>
      <w:r w:rsidRPr="001E6DBD">
        <w:rPr>
          <w:rFonts w:eastAsia="Times New Roman"/>
        </w:rPr>
        <w:t xml:space="preserve">Young’s </w:t>
      </w:r>
      <w:r w:rsidR="00FD23B8">
        <w:rPr>
          <w:rFonts w:eastAsia="Times New Roman"/>
        </w:rPr>
        <w:t>m</w:t>
      </w:r>
      <w:r w:rsidRPr="001E6DBD">
        <w:rPr>
          <w:rFonts w:eastAsia="Times New Roman"/>
        </w:rPr>
        <w:t>odulus (</w:t>
      </w:r>
      <w:r w:rsidRPr="001E6DBD">
        <w:rPr>
          <w:rFonts w:eastAsia="Times New Roman"/>
          <w:i/>
        </w:rPr>
        <w:t>E</w:t>
      </w:r>
      <w:r w:rsidRPr="001E6DBD">
        <w:rPr>
          <w:rFonts w:eastAsia="Times New Roman"/>
        </w:rPr>
        <w:t>)</w:t>
      </w:r>
      <w:bookmarkEnd w:id="593"/>
      <w:bookmarkEnd w:id="594"/>
    </w:p>
    <w:p w:rsidR="001E6DBD" w:rsidRPr="001E6DBD" w:rsidRDefault="001E6DBD" w:rsidP="001E6DBD">
      <w:pPr>
        <w:pStyle w:val="BRNormal11pt0"/>
        <w:rPr>
          <w:rFonts w:eastAsia="Times New Roman"/>
        </w:rPr>
      </w:pPr>
      <w:r w:rsidRPr="001E6DBD">
        <w:rPr>
          <w:rFonts w:eastAsia="Times New Roman"/>
        </w:rPr>
        <w:t>Young’s modulus is an elastic property of rock and soil. It is also known as the deformation modulus or the elastic modulus. For fractured rock masses, the Young’s modulus represents the combination of intact rock and fracture deformability. Normal stress applied to rock fractures increases the stiffness of the fracture as the aperture reduces, which in turn results in the Young’s modulus itself increasing. Under ideal conditions, the closure of fractures will increase the Young’s modulus of a rock mass to a maximum value</w:t>
      </w:r>
      <w:r w:rsidR="00910FC9">
        <w:rPr>
          <w:rFonts w:eastAsia="Times New Roman"/>
        </w:rPr>
        <w:t>,</w:t>
      </w:r>
      <w:r w:rsidRPr="001E6DBD">
        <w:rPr>
          <w:rFonts w:eastAsia="Times New Roman"/>
        </w:rPr>
        <w:t xml:space="preserve"> which is equal to that of the intact rock. </w:t>
      </w:r>
    </w:p>
    <w:p w:rsidR="001E6DBD" w:rsidRPr="001E6DBD" w:rsidRDefault="001E6DBD" w:rsidP="001E6DBD">
      <w:pPr>
        <w:pStyle w:val="BRNormal11pt0"/>
        <w:rPr>
          <w:rFonts w:eastAsia="Times New Roman"/>
        </w:rPr>
      </w:pPr>
      <w:r w:rsidRPr="001E6DBD">
        <w:rPr>
          <w:rFonts w:eastAsia="Times New Roman"/>
        </w:rPr>
        <w:t>Young’s modulus values may be selected based on published data for a range of Australian rock types and depths. Gale and Fabjanczyk (1993) provide an overview of the range of Young’s modulus values and unconfined compressive strengths (</w:t>
      </w:r>
      <w:r w:rsidRPr="001E6DBD">
        <w:rPr>
          <w:rFonts w:eastAsia="Times New Roman"/>
          <w:i/>
        </w:rPr>
        <w:t>q</w:t>
      </w:r>
      <w:r w:rsidRPr="001E6DBD">
        <w:rPr>
          <w:rFonts w:eastAsia="Times New Roman"/>
          <w:i/>
          <w:vertAlign w:val="subscript"/>
        </w:rPr>
        <w:t>u</w:t>
      </w:r>
      <w:r w:rsidRPr="001E6DBD">
        <w:rPr>
          <w:rFonts w:eastAsia="Times New Roman"/>
        </w:rPr>
        <w:t xml:space="preserve">) for a range of Australian rock types, shown in Figure </w:t>
      </w:r>
      <w:r w:rsidR="00B84468">
        <w:rPr>
          <w:rFonts w:eastAsia="Times New Roman"/>
        </w:rPr>
        <w:t>36</w:t>
      </w:r>
      <w:r w:rsidRPr="001E6DBD">
        <w:rPr>
          <w:rFonts w:eastAsia="Times New Roman"/>
        </w:rPr>
        <w:t xml:space="preserve">, with lines indicating ratios of </w:t>
      </w:r>
      <w:r w:rsidRPr="001E6DBD">
        <w:rPr>
          <w:rFonts w:eastAsia="Times New Roman"/>
          <w:i/>
        </w:rPr>
        <w:t>E</w:t>
      </w:r>
      <w:r w:rsidRPr="001E6DBD">
        <w:rPr>
          <w:rFonts w:eastAsia="Times New Roman"/>
        </w:rPr>
        <w:t>/</w:t>
      </w:r>
      <w:r w:rsidRPr="001E6DBD">
        <w:rPr>
          <w:rFonts w:eastAsia="Times New Roman"/>
          <w:i/>
        </w:rPr>
        <w:t>q</w:t>
      </w:r>
      <w:r w:rsidRPr="001E6DBD">
        <w:rPr>
          <w:rFonts w:eastAsia="Times New Roman"/>
          <w:i/>
          <w:vertAlign w:val="subscript"/>
        </w:rPr>
        <w:t>u</w:t>
      </w:r>
      <w:r w:rsidR="008F3D91">
        <w:rPr>
          <w:rFonts w:eastAsia="Times New Roman"/>
        </w:rPr>
        <w:t xml:space="preserve">. </w:t>
      </w:r>
      <w:r w:rsidRPr="001E6DBD">
        <w:rPr>
          <w:rFonts w:eastAsia="Times New Roman"/>
        </w:rPr>
        <w:t xml:space="preserve">In Figure </w:t>
      </w:r>
      <w:r w:rsidR="00B84468">
        <w:rPr>
          <w:rFonts w:eastAsia="Times New Roman"/>
        </w:rPr>
        <w:t>36</w:t>
      </w:r>
      <w:r w:rsidRPr="001E6DBD">
        <w:rPr>
          <w:rFonts w:eastAsia="Times New Roman"/>
        </w:rPr>
        <w:t>, no differentiation is made between values for intact rock and values for a fractured rock mass.</w:t>
      </w:r>
    </w:p>
    <w:p w:rsidR="001E6DBD" w:rsidRPr="001E6DBD" w:rsidRDefault="001E6DBD" w:rsidP="001E6DBD">
      <w:pPr>
        <w:pStyle w:val="BRNormal11pt0"/>
        <w:rPr>
          <w:rFonts w:eastAsia="Times New Roman"/>
        </w:rPr>
      </w:pPr>
      <w:r w:rsidRPr="001E6DBD">
        <w:rPr>
          <w:rFonts w:eastAsia="Times New Roman"/>
        </w:rPr>
        <w:t>Brown and Windsor (1990) provide a table of 146 measurements of the modulus of elasticity (</w:t>
      </w:r>
      <w:r w:rsidR="00611B2A" w:rsidRPr="00611B2A">
        <w:rPr>
          <w:rFonts w:eastAsia="Times New Roman"/>
          <w:i/>
        </w:rPr>
        <w:t>E</w:t>
      </w:r>
      <w:r w:rsidRPr="001E6DBD">
        <w:rPr>
          <w:rFonts w:eastAsia="Times New Roman"/>
        </w:rPr>
        <w:t>) from a number of locations, depths and rock types in Australia. Of these, three are derived from laboratory tests, two are derived from other tests, and three are averages from several values. The origin of the remaining 138 measurements is not explicitly stated but they are believed to have been made during in</w:t>
      </w:r>
      <w:r w:rsidR="00B8780A">
        <w:rPr>
          <w:rFonts w:eastAsia="Times New Roman"/>
        </w:rPr>
        <w:t xml:space="preserve"> </w:t>
      </w:r>
      <w:r w:rsidRPr="001E6DBD">
        <w:rPr>
          <w:rFonts w:eastAsia="Times New Roman"/>
        </w:rPr>
        <w:t>situ stress measurements.</w:t>
      </w:r>
    </w:p>
    <w:p w:rsidR="001E6DBD" w:rsidRPr="001E6DBD" w:rsidRDefault="001E6DBD" w:rsidP="001E6DBD">
      <w:pPr>
        <w:pStyle w:val="BodyCopy"/>
        <w:rPr>
          <w:rFonts w:asciiTheme="majorHAnsi" w:hAnsiTheme="majorHAnsi" w:cstheme="majorHAnsi"/>
          <w:sz w:val="18"/>
          <w:szCs w:val="18"/>
        </w:rPr>
      </w:pPr>
      <w:r w:rsidRPr="001E6DBD">
        <w:rPr>
          <w:rFonts w:asciiTheme="majorHAnsi" w:hAnsiTheme="majorHAnsi" w:cstheme="majorHAnsi"/>
          <w:noProof/>
          <w:sz w:val="18"/>
          <w:szCs w:val="18"/>
          <w:lang w:val="en-AU" w:eastAsia="en-AU"/>
        </w:rPr>
        <w:drawing>
          <wp:inline distT="0" distB="0" distL="0" distR="0">
            <wp:extent cx="5828030" cy="2592070"/>
            <wp:effectExtent l="0" t="0" r="127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8030" cy="2592070"/>
                    </a:xfrm>
                    <a:prstGeom prst="rect">
                      <a:avLst/>
                    </a:prstGeom>
                    <a:noFill/>
                    <a:ln>
                      <a:noFill/>
                    </a:ln>
                  </pic:spPr>
                </pic:pic>
              </a:graphicData>
            </a:graphic>
          </wp:inline>
        </w:drawing>
      </w:r>
    </w:p>
    <w:p w:rsidR="001E6DBD" w:rsidRPr="001E6DBD" w:rsidRDefault="00B8780A"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36</w:t>
      </w:r>
      <w:r w:rsidR="00E252C4" w:rsidRPr="005A4936">
        <w:fldChar w:fldCharType="end"/>
      </w:r>
      <w:r>
        <w:t xml:space="preserve"> </w:t>
      </w:r>
      <w:r w:rsidR="001E6DBD" w:rsidRPr="001E6DBD">
        <w:t xml:space="preserve">Young’s </w:t>
      </w:r>
      <w:r>
        <w:t>m</w:t>
      </w:r>
      <w:r w:rsidR="001E6DBD" w:rsidRPr="001E6DBD">
        <w:t xml:space="preserve">odulus and </w:t>
      </w:r>
      <w:r>
        <w:t>u</w:t>
      </w:r>
      <w:r w:rsidR="001E6DBD" w:rsidRPr="001E6DBD">
        <w:t xml:space="preserve">nconfined </w:t>
      </w:r>
      <w:r>
        <w:t>c</w:t>
      </w:r>
      <w:r w:rsidR="001E6DBD" w:rsidRPr="001E6DBD">
        <w:t xml:space="preserve">ompressive </w:t>
      </w:r>
      <w:r>
        <w:t>s</w:t>
      </w:r>
      <w:r w:rsidR="001E6DBD" w:rsidRPr="001E6DBD">
        <w:t xml:space="preserve">trength for Australian </w:t>
      </w:r>
      <w:r>
        <w:t>r</w:t>
      </w:r>
      <w:r w:rsidR="001E6DBD" w:rsidRPr="001E6DBD">
        <w:t xml:space="preserve">ock </w:t>
      </w:r>
      <w:r>
        <w:t>t</w:t>
      </w:r>
      <w:r w:rsidR="001E6DBD" w:rsidRPr="001E6DBD">
        <w:t>ypes (</w:t>
      </w:r>
      <w:r>
        <w:rPr>
          <w:rFonts w:cs="Arial"/>
        </w:rPr>
        <w:t>©</w:t>
      </w:r>
      <w:r>
        <w:t xml:space="preserve"> Copyright, </w:t>
      </w:r>
      <w:r w:rsidR="001E6DBD" w:rsidRPr="001E6DBD">
        <w:t xml:space="preserve">Gale </w:t>
      </w:r>
      <w:r>
        <w:t>&amp;</w:t>
      </w:r>
      <w:r w:rsidRPr="001E6DBD">
        <w:t xml:space="preserve"> </w:t>
      </w:r>
      <w:r w:rsidR="001E6DBD" w:rsidRPr="001E6DBD">
        <w:t>Fabjanczyk 1993)</w:t>
      </w:r>
    </w:p>
    <w:p w:rsidR="001E6DBD" w:rsidRPr="001E6DBD" w:rsidRDefault="001E6DBD" w:rsidP="001E6DBD">
      <w:pPr>
        <w:pStyle w:val="BRNormal11pt0"/>
        <w:rPr>
          <w:rFonts w:eastAsia="Times New Roman"/>
        </w:rPr>
      </w:pPr>
      <w:r w:rsidRPr="001E6DBD">
        <w:rPr>
          <w:rFonts w:eastAsia="Times New Roman"/>
        </w:rPr>
        <w:t xml:space="preserve">From Figure </w:t>
      </w:r>
      <w:r w:rsidR="00B84468">
        <w:rPr>
          <w:rFonts w:eastAsia="Times New Roman"/>
        </w:rPr>
        <w:t>36</w:t>
      </w:r>
      <w:r w:rsidRPr="001E6DBD">
        <w:rPr>
          <w:rFonts w:eastAsia="Times New Roman"/>
        </w:rPr>
        <w:t xml:space="preserve">, as a first estimate for subsidence calculations, an </w:t>
      </w:r>
      <w:r w:rsidRPr="001E6DBD">
        <w:rPr>
          <w:rFonts w:eastAsia="Times New Roman"/>
          <w:i/>
        </w:rPr>
        <w:t>E</w:t>
      </w:r>
      <w:r w:rsidRPr="001E6DBD">
        <w:rPr>
          <w:rFonts w:eastAsia="Times New Roman"/>
        </w:rPr>
        <w:t xml:space="preserve"> value of 200</w:t>
      </w:r>
      <w:r w:rsidR="009B2A13">
        <w:rPr>
          <w:rFonts w:eastAsia="Times New Roman"/>
        </w:rPr>
        <w:t> </w:t>
      </w:r>
      <w:r w:rsidRPr="001E6DBD">
        <w:rPr>
          <w:rFonts w:eastAsia="Times New Roman"/>
        </w:rPr>
        <w:t>q</w:t>
      </w:r>
      <w:r w:rsidRPr="001E6DBD">
        <w:rPr>
          <w:rFonts w:eastAsia="Times New Roman"/>
          <w:vertAlign w:val="subscript"/>
        </w:rPr>
        <w:t>u</w:t>
      </w:r>
      <w:r w:rsidRPr="001E6DBD">
        <w:rPr>
          <w:rFonts w:eastAsia="Times New Roman"/>
        </w:rPr>
        <w:t xml:space="preserve"> represents a typical value for Australian sandstones, siltstones, shales and coals.</w:t>
      </w:r>
    </w:p>
    <w:p w:rsidR="001E6DBD" w:rsidRPr="001E6DBD" w:rsidRDefault="001E6DBD" w:rsidP="001E6DBD">
      <w:pPr>
        <w:pStyle w:val="BRNormal11pt0"/>
        <w:rPr>
          <w:rFonts w:eastAsia="Times New Roman"/>
        </w:rPr>
      </w:pPr>
      <w:r w:rsidRPr="001E6DBD">
        <w:rPr>
          <w:rFonts w:eastAsia="Times New Roman"/>
        </w:rPr>
        <w:t>Alternatively, Young’s modulus may also be calculated from a formula relating the unconfined compressive strength (</w:t>
      </w:r>
      <w:r w:rsidRPr="001E6DBD">
        <w:rPr>
          <w:rFonts w:eastAsia="Times New Roman"/>
          <w:i/>
        </w:rPr>
        <w:t>q</w:t>
      </w:r>
      <w:r w:rsidRPr="001E6DBD">
        <w:rPr>
          <w:rFonts w:eastAsia="Times New Roman"/>
          <w:i/>
          <w:vertAlign w:val="subscript"/>
        </w:rPr>
        <w:t>u</w:t>
      </w:r>
      <w:r w:rsidRPr="001E6DBD">
        <w:rPr>
          <w:rFonts w:eastAsia="Times New Roman"/>
        </w:rPr>
        <w:t>) and Geological Strength Index (GSI) from, respectively, the intact rock and rock mass. The Young’s modulus may be calculated by the formula, based on the Hoek Brown rock mass strength criterion</w:t>
      </w:r>
      <w:r w:rsidR="009B2A13">
        <w:rPr>
          <w:rFonts w:eastAsia="Times New Roman"/>
        </w:rPr>
        <w:t xml:space="preserve"> (Galera et al. 2007)</w:t>
      </w:r>
      <w:r w:rsidRPr="001E6DBD">
        <w:rPr>
          <w:rFonts w:eastAsia="Times New Roman"/>
        </w:rPr>
        <w:t>:</w:t>
      </w:r>
    </w:p>
    <w:p w:rsidR="001E6DBD" w:rsidRPr="00C9719D" w:rsidRDefault="00E252C4" w:rsidP="001E6DBD">
      <w:pPr>
        <w:pStyle w:val="BodyCopy"/>
        <w:rPr>
          <w:rFonts w:asciiTheme="majorHAnsi" w:hAnsiTheme="majorHAnsi" w:cstheme="majorHAnsi"/>
          <w:sz w:val="22"/>
          <w:szCs w:val="22"/>
        </w:rPr>
      </w:pPr>
      <m:oMathPara>
        <m:oMath>
          <m:sSub>
            <m:sSubPr>
              <m:ctrlPr>
                <w:rPr>
                  <w:rFonts w:ascii="Cambria Math" w:hAnsi="Cambria Math" w:cstheme="majorHAnsi"/>
                  <w:i/>
                  <w:sz w:val="22"/>
                  <w:szCs w:val="22"/>
                </w:rPr>
              </m:ctrlPr>
            </m:sSubPr>
            <m:e>
              <m:r>
                <w:rPr>
                  <w:rFonts w:ascii="Cambria Math" w:hAnsi="Cambria Math" w:cstheme="majorHAnsi"/>
                  <w:sz w:val="22"/>
                  <w:szCs w:val="22"/>
                </w:rPr>
                <m:t>E</m:t>
              </m:r>
            </m:e>
            <m:sub>
              <m:r>
                <w:rPr>
                  <w:rFonts w:ascii="Cambria Math" w:hAnsi="Cambria Math" w:cstheme="majorHAnsi"/>
                  <w:sz w:val="22"/>
                  <w:szCs w:val="22"/>
                </w:rPr>
                <m:t>m</m:t>
              </m:r>
            </m:sub>
          </m:sSub>
          <m:d>
            <m:dPr>
              <m:ctrlPr>
                <w:rPr>
                  <w:rFonts w:ascii="Cambria Math" w:hAnsi="Cambria Math" w:cstheme="majorHAnsi"/>
                  <w:i/>
                  <w:sz w:val="22"/>
                  <w:szCs w:val="22"/>
                </w:rPr>
              </m:ctrlPr>
            </m:dPr>
            <m:e>
              <m:r>
                <w:rPr>
                  <w:rFonts w:ascii="Cambria Math" w:hAnsi="Cambria Math" w:cstheme="majorHAnsi"/>
                  <w:sz w:val="22"/>
                  <w:szCs w:val="22"/>
                </w:rPr>
                <m:t>GPa</m:t>
              </m:r>
            </m:e>
          </m:d>
          <m:r>
            <w:rPr>
              <w:rFonts w:ascii="Cambria Math" w:hAnsi="Cambria Math" w:cstheme="majorHAnsi"/>
              <w:sz w:val="22"/>
              <w:szCs w:val="22"/>
            </w:rPr>
            <m:t xml:space="preserve">= </m:t>
          </m:r>
          <m:rad>
            <m:radPr>
              <m:degHide m:val="on"/>
              <m:ctrlPr>
                <w:rPr>
                  <w:rFonts w:ascii="Cambria Math" w:hAnsi="Cambria Math" w:cstheme="majorHAnsi"/>
                  <w:i/>
                  <w:sz w:val="22"/>
                  <w:szCs w:val="22"/>
                </w:rPr>
              </m:ctrlPr>
            </m:radPr>
            <m:deg/>
            <m:e>
              <m:f>
                <m:fPr>
                  <m:ctrlPr>
                    <w:rPr>
                      <w:rFonts w:ascii="Cambria Math" w:hAnsi="Cambria Math" w:cstheme="majorHAnsi"/>
                      <w:i/>
                      <w:sz w:val="22"/>
                      <w:szCs w:val="22"/>
                    </w:rPr>
                  </m:ctrlPr>
                </m:fPr>
                <m:num>
                  <m:sSub>
                    <m:sSubPr>
                      <m:ctrlPr>
                        <w:rPr>
                          <w:rFonts w:ascii="Cambria Math" w:hAnsi="Cambria Math" w:cstheme="majorHAnsi"/>
                          <w:i/>
                          <w:sz w:val="22"/>
                          <w:szCs w:val="22"/>
                        </w:rPr>
                      </m:ctrlPr>
                    </m:sSubPr>
                    <m:e>
                      <m:r>
                        <w:rPr>
                          <w:rFonts w:ascii="Cambria Math" w:hAnsi="Cambria Math" w:cstheme="majorHAnsi"/>
                          <w:sz w:val="22"/>
                          <w:szCs w:val="22"/>
                        </w:rPr>
                        <m:t>q</m:t>
                      </m:r>
                    </m:e>
                    <m:sub>
                      <m:r>
                        <w:rPr>
                          <w:rFonts w:ascii="Cambria Math" w:hAnsi="Cambria Math" w:cstheme="majorHAnsi"/>
                          <w:sz w:val="22"/>
                          <w:szCs w:val="22"/>
                        </w:rPr>
                        <m:t>u (MPa)</m:t>
                      </m:r>
                    </m:sub>
                  </m:sSub>
                </m:num>
                <m:den>
                  <m:r>
                    <w:rPr>
                      <w:rFonts w:ascii="Cambria Math" w:hAnsi="Cambria Math" w:cstheme="majorHAnsi"/>
                      <w:sz w:val="22"/>
                      <w:szCs w:val="22"/>
                    </w:rPr>
                    <m:t>100</m:t>
                  </m:r>
                </m:den>
              </m:f>
            </m:e>
          </m:rad>
          <m:r>
            <w:rPr>
              <w:rFonts w:ascii="Cambria Math" w:hAnsi="Cambria Math" w:cstheme="majorHAnsi"/>
              <w:sz w:val="22"/>
              <w:szCs w:val="22"/>
            </w:rPr>
            <m:t xml:space="preserve"> . </m:t>
          </m:r>
          <m:sSup>
            <m:sSupPr>
              <m:ctrlPr>
                <w:rPr>
                  <w:rFonts w:ascii="Cambria Math" w:hAnsi="Cambria Math" w:cstheme="majorHAnsi"/>
                  <w:i/>
                  <w:sz w:val="22"/>
                  <w:szCs w:val="22"/>
                </w:rPr>
              </m:ctrlPr>
            </m:sSupPr>
            <m:e>
              <m:r>
                <w:rPr>
                  <w:rFonts w:ascii="Cambria Math" w:hAnsi="Cambria Math" w:cstheme="majorHAnsi"/>
                  <w:sz w:val="22"/>
                  <w:szCs w:val="22"/>
                </w:rPr>
                <m:t>10</m:t>
              </m:r>
            </m:e>
            <m:sup>
              <m:f>
                <m:fPr>
                  <m:ctrlPr>
                    <w:rPr>
                      <w:rFonts w:ascii="Cambria Math" w:hAnsi="Cambria Math" w:cstheme="majorHAnsi"/>
                      <w:i/>
                      <w:sz w:val="22"/>
                      <w:szCs w:val="22"/>
                    </w:rPr>
                  </m:ctrlPr>
                </m:fPr>
                <m:num>
                  <m:r>
                    <w:rPr>
                      <w:rFonts w:ascii="Cambria Math" w:hAnsi="Cambria Math" w:cstheme="majorHAnsi"/>
                      <w:sz w:val="22"/>
                      <w:szCs w:val="22"/>
                    </w:rPr>
                    <m:t>(GSI-100)</m:t>
                  </m:r>
                </m:num>
                <m:den>
                  <m:r>
                    <w:rPr>
                      <w:rFonts w:ascii="Cambria Math" w:hAnsi="Cambria Math" w:cstheme="majorHAnsi"/>
                      <w:sz w:val="22"/>
                      <w:szCs w:val="22"/>
                    </w:rPr>
                    <m:t>40</m:t>
                  </m:r>
                </m:den>
              </m:f>
            </m:sup>
          </m:sSup>
        </m:oMath>
      </m:oMathPara>
    </w:p>
    <w:p w:rsidR="001E6DBD" w:rsidRPr="001E6DBD" w:rsidRDefault="001E6DBD" w:rsidP="001E6DBD">
      <w:pPr>
        <w:pStyle w:val="BRNormal11pt0"/>
        <w:rPr>
          <w:rFonts w:eastAsia="Times New Roman"/>
        </w:rPr>
      </w:pPr>
      <w:r w:rsidRPr="001E6DBD">
        <w:rPr>
          <w:rFonts w:eastAsia="Times New Roman"/>
        </w:rPr>
        <w:t xml:space="preserve">Using this formula, </w:t>
      </w:r>
      <w:r w:rsidR="00E800AE">
        <w:rPr>
          <w:rFonts w:eastAsia="Times New Roman"/>
        </w:rPr>
        <w:t xml:space="preserve">Table </w:t>
      </w:r>
      <w:r w:rsidR="002C43B4">
        <w:rPr>
          <w:rFonts w:eastAsia="Times New Roman"/>
        </w:rPr>
        <w:t>13</w:t>
      </w:r>
      <w:r w:rsidR="002C43B4" w:rsidRPr="001E6DBD">
        <w:rPr>
          <w:rFonts w:eastAsia="Times New Roman"/>
        </w:rPr>
        <w:t xml:space="preserve"> </w:t>
      </w:r>
      <w:r w:rsidRPr="001E6DBD">
        <w:rPr>
          <w:rFonts w:eastAsia="Times New Roman"/>
        </w:rPr>
        <w:t xml:space="preserve">shows how </w:t>
      </w:r>
      <w:r w:rsidRPr="001E6DBD">
        <w:rPr>
          <w:rFonts w:eastAsia="Times New Roman"/>
          <w:i/>
        </w:rPr>
        <w:t>E</w:t>
      </w:r>
      <w:r w:rsidRPr="001E6DBD">
        <w:rPr>
          <w:rFonts w:eastAsia="Times New Roman"/>
        </w:rPr>
        <w:t xml:space="preserve"> varies with varying </w:t>
      </w:r>
      <w:r w:rsidRPr="001E6DBD">
        <w:rPr>
          <w:rFonts w:eastAsia="Times New Roman"/>
          <w:i/>
        </w:rPr>
        <w:t>q</w:t>
      </w:r>
      <w:r w:rsidRPr="001E6DBD">
        <w:rPr>
          <w:rFonts w:eastAsia="Times New Roman"/>
          <w:i/>
          <w:vertAlign w:val="subscript"/>
        </w:rPr>
        <w:t>u</w:t>
      </w:r>
      <w:r w:rsidRPr="001E6DBD">
        <w:rPr>
          <w:rFonts w:eastAsia="Times New Roman"/>
        </w:rPr>
        <w:t xml:space="preserve"> and GSI.</w:t>
      </w:r>
    </w:p>
    <w:p w:rsidR="00093D1C" w:rsidRDefault="009B2A13">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13</w:t>
      </w:r>
      <w:r w:rsidR="00E252C4" w:rsidRPr="001E0FA8">
        <w:fldChar w:fldCharType="end"/>
      </w:r>
      <w:r w:rsidRPr="007C3A6D">
        <w:t xml:space="preserve"> </w:t>
      </w:r>
      <w:r w:rsidR="001E6DBD" w:rsidRPr="001E6DBD">
        <w:t xml:space="preserve">Young’s </w:t>
      </w:r>
      <w:r>
        <w:t>m</w:t>
      </w:r>
      <w:r w:rsidR="001E6DBD" w:rsidRPr="001E6DBD">
        <w:t>odulus (</w:t>
      </w:r>
      <w:r w:rsidR="001E6DBD" w:rsidRPr="001E6DBD">
        <w:rPr>
          <w:i/>
        </w:rPr>
        <w:t>E</w:t>
      </w:r>
      <w:r w:rsidR="001E6DBD" w:rsidRPr="001E6DBD">
        <w:t xml:space="preserve">) </w:t>
      </w:r>
      <w:r>
        <w:t>c</w:t>
      </w:r>
      <w:r w:rsidR="001E6DBD" w:rsidRPr="001E6DBD">
        <w:t xml:space="preserve">alculated from </w:t>
      </w:r>
      <w:r>
        <w:t>u</w:t>
      </w:r>
      <w:r w:rsidR="001E6DBD" w:rsidRPr="001E6DBD">
        <w:t xml:space="preserve">nconfined </w:t>
      </w:r>
      <w:r>
        <w:t>c</w:t>
      </w:r>
      <w:r w:rsidR="001E6DBD" w:rsidRPr="001E6DBD">
        <w:t xml:space="preserve">ompressive </w:t>
      </w:r>
      <w:r>
        <w:t>s</w:t>
      </w:r>
      <w:r w:rsidR="001E6DBD" w:rsidRPr="001E6DBD">
        <w:t>trength (</w:t>
      </w:r>
      <w:r w:rsidR="001E6DBD" w:rsidRPr="001E6DBD">
        <w:rPr>
          <w:i/>
        </w:rPr>
        <w:t>q</w:t>
      </w:r>
      <w:r w:rsidR="001E6DBD" w:rsidRPr="001E6DBD">
        <w:rPr>
          <w:i/>
          <w:vertAlign w:val="subscript"/>
        </w:rPr>
        <w:t>u</w:t>
      </w:r>
      <w:r w:rsidR="001E6DBD" w:rsidRPr="001E6DBD">
        <w:t xml:space="preserve">) and </w:t>
      </w:r>
      <w:r>
        <w:t>g</w:t>
      </w:r>
      <w:r w:rsidR="001E6DBD" w:rsidRPr="001E6DBD">
        <w:t xml:space="preserve">eological </w:t>
      </w:r>
      <w:r>
        <w:t>s</w:t>
      </w:r>
      <w:r w:rsidR="001E6DBD" w:rsidRPr="001E6DBD">
        <w:t xml:space="preserve">trength </w:t>
      </w:r>
      <w:r>
        <w:t>i</w:t>
      </w:r>
      <w:r w:rsidR="001E6DBD" w:rsidRPr="001E6DBD">
        <w:t xml:space="preserve">ndex </w:t>
      </w:r>
      <w:r w:rsidR="001E6DBD">
        <w:t>(</w:t>
      </w:r>
      <w:r w:rsidR="001E6DBD" w:rsidRPr="001E6DBD">
        <w:t>GSI</w:t>
      </w:r>
      <w:r w:rsidR="001E6DBD">
        <w:t>)</w:t>
      </w:r>
    </w:p>
    <w:tbl>
      <w:tblPr>
        <w:tblW w:w="70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7"/>
        <w:gridCol w:w="1418"/>
        <w:gridCol w:w="1417"/>
        <w:gridCol w:w="1418"/>
        <w:gridCol w:w="1418"/>
      </w:tblGrid>
      <w:tr w:rsidR="00BF04EE" w:rsidRPr="001E6DBD" w:rsidTr="00DD6833">
        <w:trPr>
          <w:trHeight w:val="300"/>
          <w:tblHeader/>
        </w:trPr>
        <w:tc>
          <w:tcPr>
            <w:tcW w:w="1417" w:type="dxa"/>
            <w:tcBorders>
              <w:top w:val="single" w:sz="4" w:space="0" w:color="auto"/>
            </w:tcBorders>
            <w:shd w:val="clear" w:color="auto" w:fill="C6D9F1" w:themeFill="text2" w:themeFillTint="33"/>
            <w:noWrap/>
            <w:vAlign w:val="bottom"/>
          </w:tcPr>
          <w:p w:rsidR="00BF04EE" w:rsidRPr="001E6DBD" w:rsidRDefault="00BF04EE" w:rsidP="00BF04EE">
            <w:pPr>
              <w:pStyle w:val="Tableheading"/>
              <w:rPr>
                <w:rFonts w:asciiTheme="majorHAnsi" w:hAnsiTheme="majorHAnsi" w:cstheme="majorHAnsi"/>
                <w:bCs/>
                <w:sz w:val="18"/>
                <w:szCs w:val="18"/>
              </w:rPr>
            </w:pPr>
            <w:r w:rsidRPr="001E6DBD">
              <w:rPr>
                <w:rFonts w:eastAsia="Times New Roman"/>
                <w:i/>
              </w:rPr>
              <w:t>q</w:t>
            </w:r>
            <w:r w:rsidRPr="001E6DBD">
              <w:rPr>
                <w:rFonts w:eastAsia="Times New Roman"/>
                <w:i/>
                <w:vertAlign w:val="subscript"/>
              </w:rPr>
              <w:t>u</w:t>
            </w:r>
            <w:r w:rsidRPr="001E6DBD">
              <w:rPr>
                <w:rFonts w:eastAsia="Times New Roman"/>
              </w:rPr>
              <w:t xml:space="preserve"> (Mpa)</w:t>
            </w:r>
          </w:p>
        </w:tc>
        <w:tc>
          <w:tcPr>
            <w:tcW w:w="1418" w:type="dxa"/>
            <w:shd w:val="clear" w:color="auto" w:fill="C6D9F1" w:themeFill="text2" w:themeFillTint="33"/>
            <w:noWrap/>
          </w:tcPr>
          <w:p w:rsidR="00BF04EE" w:rsidRPr="001E6DBD" w:rsidRDefault="00BF04EE" w:rsidP="00565387">
            <w:pPr>
              <w:pStyle w:val="Tableheading"/>
              <w:rPr>
                <w:rFonts w:eastAsia="Times New Roman"/>
                <w:bCs/>
              </w:rPr>
            </w:pPr>
            <w:r>
              <w:rPr>
                <w:rFonts w:eastAsia="Times New Roman"/>
                <w:bCs/>
              </w:rPr>
              <w:t>GSI</w:t>
            </w:r>
            <w:r w:rsidR="00565387">
              <w:rPr>
                <w:rFonts w:eastAsia="Times New Roman"/>
                <w:bCs/>
              </w:rPr>
              <w:t xml:space="preserve"> </w:t>
            </w:r>
            <w:r w:rsidRPr="001E6DBD">
              <w:rPr>
                <w:rFonts w:eastAsia="Times New Roman"/>
                <w:bCs/>
              </w:rPr>
              <w:t>80</w:t>
            </w:r>
          </w:p>
        </w:tc>
        <w:tc>
          <w:tcPr>
            <w:tcW w:w="1417" w:type="dxa"/>
            <w:shd w:val="clear" w:color="auto" w:fill="C6D9F1" w:themeFill="text2" w:themeFillTint="33"/>
            <w:noWrap/>
          </w:tcPr>
          <w:p w:rsidR="00BF04EE" w:rsidRPr="001E6DBD" w:rsidRDefault="00BF04EE" w:rsidP="00565387">
            <w:pPr>
              <w:pStyle w:val="Tableheading"/>
              <w:rPr>
                <w:rFonts w:eastAsia="Times New Roman"/>
                <w:bCs/>
              </w:rPr>
            </w:pPr>
            <w:r>
              <w:rPr>
                <w:rFonts w:eastAsia="Times New Roman"/>
                <w:bCs/>
              </w:rPr>
              <w:t>GSI</w:t>
            </w:r>
            <w:r w:rsidR="00565387">
              <w:rPr>
                <w:rFonts w:eastAsia="Times New Roman"/>
                <w:bCs/>
              </w:rPr>
              <w:t xml:space="preserve"> </w:t>
            </w:r>
            <w:r w:rsidRPr="001E6DBD">
              <w:rPr>
                <w:rFonts w:eastAsia="Times New Roman"/>
                <w:bCs/>
              </w:rPr>
              <w:t>60</w:t>
            </w:r>
          </w:p>
        </w:tc>
        <w:tc>
          <w:tcPr>
            <w:tcW w:w="1418" w:type="dxa"/>
            <w:shd w:val="clear" w:color="auto" w:fill="C6D9F1" w:themeFill="text2" w:themeFillTint="33"/>
            <w:noWrap/>
          </w:tcPr>
          <w:p w:rsidR="00BF04EE" w:rsidRPr="001E6DBD" w:rsidRDefault="00BF04EE" w:rsidP="00BF04EE">
            <w:pPr>
              <w:pStyle w:val="Tableheading"/>
              <w:rPr>
                <w:rFonts w:eastAsia="Times New Roman"/>
                <w:bCs/>
              </w:rPr>
            </w:pPr>
            <w:r>
              <w:rPr>
                <w:rFonts w:eastAsia="Times New Roman"/>
                <w:bCs/>
              </w:rPr>
              <w:t xml:space="preserve">GSI </w:t>
            </w:r>
            <w:r w:rsidRPr="001E6DBD">
              <w:rPr>
                <w:rFonts w:eastAsia="Times New Roman"/>
                <w:bCs/>
              </w:rPr>
              <w:t>40</w:t>
            </w:r>
          </w:p>
        </w:tc>
        <w:tc>
          <w:tcPr>
            <w:tcW w:w="1418" w:type="dxa"/>
            <w:shd w:val="clear" w:color="auto" w:fill="C6D9F1" w:themeFill="text2" w:themeFillTint="33"/>
            <w:noWrap/>
          </w:tcPr>
          <w:p w:rsidR="00BF04EE" w:rsidRPr="001E6DBD" w:rsidRDefault="00BF04EE" w:rsidP="00BF04EE">
            <w:pPr>
              <w:pStyle w:val="Tableheading"/>
              <w:rPr>
                <w:rFonts w:eastAsia="Times New Roman"/>
                <w:bCs/>
              </w:rPr>
            </w:pPr>
            <w:r>
              <w:rPr>
                <w:rFonts w:eastAsia="Times New Roman"/>
                <w:bCs/>
              </w:rPr>
              <w:t xml:space="preserve">GSI </w:t>
            </w:r>
            <w:r w:rsidRPr="001E6DBD">
              <w:rPr>
                <w:rFonts w:eastAsia="Times New Roman"/>
                <w:bCs/>
              </w:rPr>
              <w:t>20</w:t>
            </w:r>
          </w:p>
        </w:tc>
      </w:tr>
      <w:tr w:rsidR="00BF04EE" w:rsidRPr="001E6DBD" w:rsidTr="00BF04EE">
        <w:trPr>
          <w:trHeight w:val="300"/>
        </w:trPr>
        <w:tc>
          <w:tcPr>
            <w:tcW w:w="1417" w:type="dxa"/>
            <w:tcBorders>
              <w:top w:val="single" w:sz="4" w:space="0" w:color="auto"/>
            </w:tcBorders>
            <w:shd w:val="clear" w:color="auto" w:fill="auto"/>
            <w:noWrap/>
            <w:vAlign w:val="bottom"/>
            <w:hideMark/>
          </w:tcPr>
          <w:p w:rsidR="00BF04EE" w:rsidRPr="001E6DBD" w:rsidRDefault="00BF04EE" w:rsidP="00BF04EE">
            <w:pPr>
              <w:pStyle w:val="Tabletext"/>
            </w:pPr>
            <w:r w:rsidRPr="001E6DBD">
              <w:t>100</w:t>
            </w:r>
          </w:p>
        </w:tc>
        <w:tc>
          <w:tcPr>
            <w:tcW w:w="1418" w:type="dxa"/>
            <w:shd w:val="clear" w:color="auto" w:fill="auto"/>
            <w:noWrap/>
            <w:vAlign w:val="bottom"/>
            <w:hideMark/>
          </w:tcPr>
          <w:p w:rsidR="00BF04EE" w:rsidRPr="001E6DBD" w:rsidRDefault="00BF04EE" w:rsidP="00BF04EE">
            <w:pPr>
              <w:pStyle w:val="Tabletext"/>
            </w:pPr>
            <w:r w:rsidRPr="001E6DBD">
              <w:t>56.2</w:t>
            </w:r>
          </w:p>
        </w:tc>
        <w:tc>
          <w:tcPr>
            <w:tcW w:w="1417" w:type="dxa"/>
            <w:shd w:val="clear" w:color="auto" w:fill="auto"/>
            <w:noWrap/>
            <w:vAlign w:val="bottom"/>
            <w:hideMark/>
          </w:tcPr>
          <w:p w:rsidR="00BF04EE" w:rsidRPr="001E6DBD" w:rsidRDefault="00BF04EE" w:rsidP="00BF04EE">
            <w:pPr>
              <w:pStyle w:val="Tabletext"/>
            </w:pPr>
            <w:r w:rsidRPr="001E6DBD">
              <w:t>17.8</w:t>
            </w:r>
          </w:p>
        </w:tc>
        <w:tc>
          <w:tcPr>
            <w:tcW w:w="1418" w:type="dxa"/>
            <w:shd w:val="clear" w:color="auto" w:fill="auto"/>
            <w:noWrap/>
            <w:vAlign w:val="bottom"/>
            <w:hideMark/>
          </w:tcPr>
          <w:p w:rsidR="00BF04EE" w:rsidRPr="001E6DBD" w:rsidRDefault="00BF04EE" w:rsidP="00BF04EE">
            <w:pPr>
              <w:pStyle w:val="Tabletext"/>
            </w:pPr>
            <w:r w:rsidRPr="001E6DBD">
              <w:t>5.6</w:t>
            </w:r>
          </w:p>
        </w:tc>
        <w:tc>
          <w:tcPr>
            <w:tcW w:w="1418" w:type="dxa"/>
            <w:shd w:val="clear" w:color="auto" w:fill="auto"/>
            <w:noWrap/>
            <w:vAlign w:val="bottom"/>
            <w:hideMark/>
          </w:tcPr>
          <w:p w:rsidR="00BF04EE" w:rsidRPr="001E6DBD" w:rsidRDefault="00BF04EE" w:rsidP="00BF04EE">
            <w:pPr>
              <w:pStyle w:val="Tabletext"/>
            </w:pPr>
            <w:r w:rsidRPr="001E6DBD">
              <w:t>1.8</w:t>
            </w:r>
          </w:p>
        </w:tc>
      </w:tr>
      <w:tr w:rsidR="00BF04EE" w:rsidRPr="001E6DBD" w:rsidTr="00BF04EE">
        <w:trPr>
          <w:trHeight w:val="300"/>
        </w:trPr>
        <w:tc>
          <w:tcPr>
            <w:tcW w:w="1417" w:type="dxa"/>
            <w:shd w:val="clear" w:color="auto" w:fill="auto"/>
            <w:noWrap/>
            <w:vAlign w:val="bottom"/>
            <w:hideMark/>
          </w:tcPr>
          <w:p w:rsidR="00BF04EE" w:rsidRPr="001E6DBD" w:rsidRDefault="00BF04EE" w:rsidP="00BF04EE">
            <w:pPr>
              <w:pStyle w:val="Tabletext"/>
            </w:pPr>
            <w:r w:rsidRPr="001E6DBD">
              <w:t>80</w:t>
            </w:r>
          </w:p>
        </w:tc>
        <w:tc>
          <w:tcPr>
            <w:tcW w:w="1418" w:type="dxa"/>
            <w:shd w:val="clear" w:color="auto" w:fill="auto"/>
            <w:noWrap/>
            <w:vAlign w:val="bottom"/>
            <w:hideMark/>
          </w:tcPr>
          <w:p w:rsidR="00BF04EE" w:rsidRPr="001E6DBD" w:rsidRDefault="00BF04EE" w:rsidP="00BF04EE">
            <w:pPr>
              <w:pStyle w:val="Tabletext"/>
            </w:pPr>
            <w:r w:rsidRPr="001E6DBD">
              <w:t>50.3</w:t>
            </w:r>
          </w:p>
        </w:tc>
        <w:tc>
          <w:tcPr>
            <w:tcW w:w="1417" w:type="dxa"/>
            <w:shd w:val="clear" w:color="auto" w:fill="auto"/>
            <w:noWrap/>
            <w:vAlign w:val="bottom"/>
            <w:hideMark/>
          </w:tcPr>
          <w:p w:rsidR="00BF04EE" w:rsidRPr="001E6DBD" w:rsidRDefault="00BF04EE" w:rsidP="00BF04EE">
            <w:pPr>
              <w:pStyle w:val="Tabletext"/>
            </w:pPr>
            <w:r w:rsidRPr="001E6DBD">
              <w:t>15.9</w:t>
            </w:r>
          </w:p>
        </w:tc>
        <w:tc>
          <w:tcPr>
            <w:tcW w:w="1418" w:type="dxa"/>
            <w:shd w:val="clear" w:color="auto" w:fill="auto"/>
            <w:noWrap/>
            <w:vAlign w:val="bottom"/>
            <w:hideMark/>
          </w:tcPr>
          <w:p w:rsidR="00BF04EE" w:rsidRPr="001E6DBD" w:rsidRDefault="00BF04EE" w:rsidP="00BF04EE">
            <w:pPr>
              <w:pStyle w:val="Tabletext"/>
            </w:pPr>
            <w:r w:rsidRPr="001E6DBD">
              <w:t>5.0</w:t>
            </w:r>
          </w:p>
        </w:tc>
        <w:tc>
          <w:tcPr>
            <w:tcW w:w="1418" w:type="dxa"/>
            <w:shd w:val="clear" w:color="auto" w:fill="auto"/>
            <w:noWrap/>
            <w:vAlign w:val="bottom"/>
            <w:hideMark/>
          </w:tcPr>
          <w:p w:rsidR="00BF04EE" w:rsidRPr="001E6DBD" w:rsidRDefault="00BF04EE" w:rsidP="00BF04EE">
            <w:pPr>
              <w:pStyle w:val="Tabletext"/>
            </w:pPr>
            <w:r w:rsidRPr="001E6DBD">
              <w:t>1.6</w:t>
            </w:r>
          </w:p>
        </w:tc>
      </w:tr>
      <w:tr w:rsidR="00BF04EE" w:rsidRPr="001E6DBD" w:rsidTr="00BF04EE">
        <w:trPr>
          <w:trHeight w:val="300"/>
        </w:trPr>
        <w:tc>
          <w:tcPr>
            <w:tcW w:w="1417" w:type="dxa"/>
            <w:shd w:val="clear" w:color="auto" w:fill="auto"/>
            <w:noWrap/>
            <w:vAlign w:val="bottom"/>
            <w:hideMark/>
          </w:tcPr>
          <w:p w:rsidR="00BF04EE" w:rsidRPr="001E6DBD" w:rsidRDefault="00BF04EE" w:rsidP="00BF04EE">
            <w:pPr>
              <w:pStyle w:val="Tabletext"/>
            </w:pPr>
            <w:r w:rsidRPr="001E6DBD">
              <w:t>50</w:t>
            </w:r>
          </w:p>
        </w:tc>
        <w:tc>
          <w:tcPr>
            <w:tcW w:w="1418" w:type="dxa"/>
            <w:shd w:val="clear" w:color="auto" w:fill="auto"/>
            <w:noWrap/>
            <w:vAlign w:val="bottom"/>
            <w:hideMark/>
          </w:tcPr>
          <w:p w:rsidR="00BF04EE" w:rsidRPr="001E6DBD" w:rsidRDefault="00BF04EE" w:rsidP="00BF04EE">
            <w:pPr>
              <w:pStyle w:val="Tabletext"/>
            </w:pPr>
            <w:r w:rsidRPr="001E6DBD">
              <w:t>39.8</w:t>
            </w:r>
          </w:p>
        </w:tc>
        <w:tc>
          <w:tcPr>
            <w:tcW w:w="1417" w:type="dxa"/>
            <w:shd w:val="clear" w:color="auto" w:fill="auto"/>
            <w:noWrap/>
            <w:vAlign w:val="bottom"/>
            <w:hideMark/>
          </w:tcPr>
          <w:p w:rsidR="00BF04EE" w:rsidRPr="001E6DBD" w:rsidRDefault="00BF04EE" w:rsidP="00BF04EE">
            <w:pPr>
              <w:pStyle w:val="Tabletext"/>
            </w:pPr>
            <w:r w:rsidRPr="001E6DBD">
              <w:t>12.6</w:t>
            </w:r>
          </w:p>
        </w:tc>
        <w:tc>
          <w:tcPr>
            <w:tcW w:w="1418" w:type="dxa"/>
            <w:shd w:val="clear" w:color="auto" w:fill="auto"/>
            <w:noWrap/>
            <w:vAlign w:val="bottom"/>
            <w:hideMark/>
          </w:tcPr>
          <w:p w:rsidR="00BF04EE" w:rsidRPr="001E6DBD" w:rsidRDefault="00BF04EE" w:rsidP="00BF04EE">
            <w:pPr>
              <w:pStyle w:val="Tabletext"/>
            </w:pPr>
            <w:r w:rsidRPr="001E6DBD">
              <w:t>4.0</w:t>
            </w:r>
          </w:p>
        </w:tc>
        <w:tc>
          <w:tcPr>
            <w:tcW w:w="1418" w:type="dxa"/>
            <w:shd w:val="clear" w:color="auto" w:fill="auto"/>
            <w:noWrap/>
            <w:vAlign w:val="bottom"/>
            <w:hideMark/>
          </w:tcPr>
          <w:p w:rsidR="00BF04EE" w:rsidRPr="001E6DBD" w:rsidRDefault="00BF04EE" w:rsidP="00BF04EE">
            <w:pPr>
              <w:pStyle w:val="Tabletext"/>
            </w:pPr>
            <w:r w:rsidRPr="001E6DBD">
              <w:t>1.3</w:t>
            </w:r>
          </w:p>
        </w:tc>
      </w:tr>
      <w:tr w:rsidR="00BF04EE" w:rsidRPr="001E6DBD" w:rsidTr="00BF04EE">
        <w:trPr>
          <w:trHeight w:val="300"/>
        </w:trPr>
        <w:tc>
          <w:tcPr>
            <w:tcW w:w="1417" w:type="dxa"/>
            <w:shd w:val="clear" w:color="auto" w:fill="auto"/>
            <w:noWrap/>
            <w:vAlign w:val="bottom"/>
            <w:hideMark/>
          </w:tcPr>
          <w:p w:rsidR="00BF04EE" w:rsidRPr="001E6DBD" w:rsidRDefault="00BF04EE" w:rsidP="00BF04EE">
            <w:pPr>
              <w:pStyle w:val="Tabletext"/>
            </w:pPr>
            <w:r w:rsidRPr="001E6DBD">
              <w:t>20</w:t>
            </w:r>
          </w:p>
        </w:tc>
        <w:tc>
          <w:tcPr>
            <w:tcW w:w="1418" w:type="dxa"/>
            <w:shd w:val="clear" w:color="auto" w:fill="auto"/>
            <w:noWrap/>
            <w:vAlign w:val="bottom"/>
            <w:hideMark/>
          </w:tcPr>
          <w:p w:rsidR="00BF04EE" w:rsidRPr="001E6DBD" w:rsidRDefault="00BF04EE" w:rsidP="00BF04EE">
            <w:pPr>
              <w:pStyle w:val="Tabletext"/>
            </w:pPr>
            <w:r w:rsidRPr="001E6DBD">
              <w:t>25.1</w:t>
            </w:r>
          </w:p>
        </w:tc>
        <w:tc>
          <w:tcPr>
            <w:tcW w:w="1417" w:type="dxa"/>
            <w:shd w:val="clear" w:color="auto" w:fill="auto"/>
            <w:noWrap/>
            <w:vAlign w:val="bottom"/>
            <w:hideMark/>
          </w:tcPr>
          <w:p w:rsidR="00BF04EE" w:rsidRPr="001E6DBD" w:rsidRDefault="00BF04EE" w:rsidP="00BF04EE">
            <w:pPr>
              <w:pStyle w:val="Tabletext"/>
            </w:pPr>
            <w:r w:rsidRPr="001E6DBD">
              <w:t>8.0</w:t>
            </w:r>
          </w:p>
        </w:tc>
        <w:tc>
          <w:tcPr>
            <w:tcW w:w="1418" w:type="dxa"/>
            <w:shd w:val="clear" w:color="auto" w:fill="auto"/>
            <w:noWrap/>
            <w:vAlign w:val="bottom"/>
            <w:hideMark/>
          </w:tcPr>
          <w:p w:rsidR="00BF04EE" w:rsidRPr="001E6DBD" w:rsidRDefault="00BF04EE" w:rsidP="00BF04EE">
            <w:pPr>
              <w:pStyle w:val="Tabletext"/>
            </w:pPr>
            <w:r w:rsidRPr="001E6DBD">
              <w:t>2.5</w:t>
            </w:r>
          </w:p>
        </w:tc>
        <w:tc>
          <w:tcPr>
            <w:tcW w:w="1418" w:type="dxa"/>
            <w:shd w:val="clear" w:color="auto" w:fill="auto"/>
            <w:noWrap/>
            <w:vAlign w:val="bottom"/>
            <w:hideMark/>
          </w:tcPr>
          <w:p w:rsidR="00BF04EE" w:rsidRPr="001E6DBD" w:rsidRDefault="00BF04EE" w:rsidP="00BF04EE">
            <w:pPr>
              <w:pStyle w:val="Tabletext"/>
            </w:pPr>
            <w:r w:rsidRPr="001E6DBD">
              <w:t>0.8</w:t>
            </w:r>
          </w:p>
        </w:tc>
      </w:tr>
    </w:tbl>
    <w:p w:rsidR="00ED7703" w:rsidRDefault="00ED7703" w:rsidP="00DD3336">
      <w:pPr>
        <w:pStyle w:val="BRNormal11pt0"/>
      </w:pPr>
    </w:p>
    <w:p w:rsidR="001E6DBD" w:rsidRPr="001E6DBD" w:rsidRDefault="001E6DBD" w:rsidP="00DD3336">
      <w:pPr>
        <w:pStyle w:val="BRNormal11pt0"/>
      </w:pPr>
      <w:r w:rsidRPr="001E6DBD">
        <w:t xml:space="preserve">A hydrogeological unit may consist of numerous layers or regions with differing moduli. Based on the theory of elasticity, the equivalent Young’s modulus of a horizontally layered unit undergoing vertical compression, with total thickness </w:t>
      </w:r>
      <w:r w:rsidRPr="001E6DBD">
        <w:rPr>
          <w:i/>
        </w:rPr>
        <w:t>D</w:t>
      </w:r>
      <w:r w:rsidRPr="001E6DBD">
        <w:t xml:space="preserve">, containing </w:t>
      </w:r>
      <w:r w:rsidRPr="001E6DBD">
        <w:rPr>
          <w:i/>
        </w:rPr>
        <w:t>n</w:t>
      </w:r>
      <w:r w:rsidRPr="001E6DBD">
        <w:t xml:space="preserve"> layers each with thickness </w:t>
      </w:r>
      <w:r w:rsidRPr="001E6DBD">
        <w:rPr>
          <w:i/>
        </w:rPr>
        <w:t>d</w:t>
      </w:r>
      <w:r w:rsidRPr="001E6DBD">
        <w:rPr>
          <w:vertAlign w:val="subscript"/>
        </w:rPr>
        <w:t>i</w:t>
      </w:r>
      <w:r w:rsidRPr="001E6DBD">
        <w:t xml:space="preserve"> and Young’s modulus </w:t>
      </w:r>
      <w:r w:rsidRPr="001E6DBD">
        <w:rPr>
          <w:i/>
        </w:rPr>
        <w:t>E</w:t>
      </w:r>
      <w:r w:rsidRPr="001E6DBD">
        <w:rPr>
          <w:vertAlign w:val="subscript"/>
        </w:rPr>
        <w:t xml:space="preserve">i </w:t>
      </w:r>
      <w:r w:rsidRPr="001E6DBD">
        <w:t xml:space="preserve">is given by the equation shown in Figure </w:t>
      </w:r>
      <w:r w:rsidR="00E800AE">
        <w:t>37</w:t>
      </w:r>
      <w:r w:rsidRPr="001E6DBD">
        <w:t>.</w:t>
      </w:r>
    </w:p>
    <w:p w:rsidR="001E6DBD" w:rsidRPr="001E6DBD" w:rsidRDefault="001E6DBD" w:rsidP="001E6DBD">
      <w:pPr>
        <w:pStyle w:val="BodyCopy"/>
        <w:rPr>
          <w:rFonts w:asciiTheme="majorHAnsi" w:hAnsiTheme="majorHAnsi" w:cstheme="majorHAnsi"/>
          <w:sz w:val="18"/>
          <w:szCs w:val="18"/>
        </w:rPr>
      </w:pPr>
      <w:r w:rsidRPr="001E6DBD">
        <w:rPr>
          <w:rFonts w:asciiTheme="majorHAnsi" w:hAnsiTheme="majorHAnsi" w:cstheme="majorHAnsi"/>
          <w:noProof/>
          <w:sz w:val="18"/>
          <w:szCs w:val="18"/>
          <w:lang w:val="en-AU" w:eastAsia="en-AU"/>
        </w:rPr>
        <w:drawing>
          <wp:inline distT="0" distB="0" distL="0" distR="0">
            <wp:extent cx="3895994" cy="248194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7898" cy="2483156"/>
                    </a:xfrm>
                    <a:prstGeom prst="rect">
                      <a:avLst/>
                    </a:prstGeom>
                    <a:noFill/>
                    <a:ln>
                      <a:noFill/>
                    </a:ln>
                  </pic:spPr>
                </pic:pic>
              </a:graphicData>
            </a:graphic>
          </wp:inline>
        </w:drawing>
      </w:r>
    </w:p>
    <w:p w:rsidR="001E6DBD" w:rsidRPr="001E6DBD" w:rsidRDefault="00591074"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37</w:t>
      </w:r>
      <w:r w:rsidR="00E252C4" w:rsidRPr="005A4936">
        <w:fldChar w:fldCharType="end"/>
      </w:r>
      <w:r>
        <w:t xml:space="preserve"> </w:t>
      </w:r>
      <w:r w:rsidR="001E6DBD" w:rsidRPr="001E6DBD">
        <w:t xml:space="preserve">Equivalent Young’s </w:t>
      </w:r>
      <w:r>
        <w:t>m</w:t>
      </w:r>
      <w:r w:rsidR="001E6DBD" w:rsidRPr="001E6DBD">
        <w:t xml:space="preserve">odulus for a </w:t>
      </w:r>
      <w:r>
        <w:t>h</w:t>
      </w:r>
      <w:r w:rsidR="001E6DBD" w:rsidRPr="001E6DBD">
        <w:t xml:space="preserve">orizontally </w:t>
      </w:r>
      <w:r>
        <w:t>l</w:t>
      </w:r>
      <w:r w:rsidR="001E6DBD" w:rsidRPr="001E6DBD">
        <w:t xml:space="preserve">ayered </w:t>
      </w:r>
      <w:r>
        <w:t>u</w:t>
      </w:r>
      <w:r w:rsidR="001E6DBD" w:rsidRPr="001E6DBD">
        <w:t>nit</w:t>
      </w:r>
      <w:r w:rsidR="00FF2874">
        <w:t xml:space="preserve"> (</w:t>
      </w:r>
      <w:r w:rsidR="00FF2874">
        <w:rPr>
          <w:rFonts w:cs="Arial"/>
        </w:rPr>
        <w:t>©</w:t>
      </w:r>
      <w:r w:rsidR="00FF2874">
        <w:t> Copyright,</w:t>
      </w:r>
      <w:r w:rsidR="0051642E" w:rsidRPr="0051642E">
        <w:t xml:space="preserve"> </w:t>
      </w:r>
      <w:r w:rsidR="0051642E" w:rsidRPr="001E6DBD">
        <w:t xml:space="preserve">Gale </w:t>
      </w:r>
      <w:r w:rsidR="0051642E">
        <w:t>&amp;</w:t>
      </w:r>
      <w:r w:rsidR="0051642E" w:rsidRPr="001E6DBD">
        <w:t xml:space="preserve"> Fabjanczyk</w:t>
      </w:r>
      <w:r w:rsidR="0051642E">
        <w:t> </w:t>
      </w:r>
      <w:r w:rsidR="0051642E" w:rsidRPr="001E6DBD">
        <w:t>1993</w:t>
      </w:r>
      <w:r w:rsidR="00FF2874">
        <w:t>)</w:t>
      </w:r>
    </w:p>
    <w:p w:rsidR="001E6DBD" w:rsidRPr="001E6DBD" w:rsidRDefault="001E6DBD" w:rsidP="00DD3336">
      <w:pPr>
        <w:pStyle w:val="Heading2"/>
      </w:pPr>
      <w:bookmarkStart w:id="595" w:name="_Toc387410267"/>
      <w:bookmarkStart w:id="596" w:name="_Toc402425339"/>
      <w:r w:rsidRPr="001E6DBD">
        <w:t xml:space="preserve">Poisson’s </w:t>
      </w:r>
      <w:r w:rsidR="00FD23B8">
        <w:t>r</w:t>
      </w:r>
      <w:r w:rsidRPr="001E6DBD">
        <w:t>atio (</w:t>
      </w:r>
      <w:r w:rsidRPr="001E6DBD">
        <w:rPr>
          <w:i/>
        </w:rPr>
        <w:t>ν</w:t>
      </w:r>
      <w:r w:rsidRPr="001E6DBD">
        <w:t>)</w:t>
      </w:r>
      <w:bookmarkEnd w:id="595"/>
      <w:bookmarkEnd w:id="596"/>
    </w:p>
    <w:p w:rsidR="00093D1C" w:rsidRDefault="001E6DBD">
      <w:pPr>
        <w:pStyle w:val="BRNormal11pt0"/>
      </w:pPr>
      <w:r w:rsidRPr="001E6DBD">
        <w:t>Axial compression of a substance produces a lateral strain.</w:t>
      </w:r>
      <w:r w:rsidR="00591074">
        <w:t xml:space="preserve"> </w:t>
      </w:r>
      <w:r w:rsidRPr="001E6DBD">
        <w:t xml:space="preserve">The ratio of axial compression to lateral strain is called Poisson’s ratio. Poisson’s ratio for rocks is often assumed to be 0.25 (Goodman 1989). Table </w:t>
      </w:r>
      <w:r w:rsidR="002C43B4">
        <w:t>14</w:t>
      </w:r>
      <w:r w:rsidR="002C43B4" w:rsidRPr="001E6DBD">
        <w:t xml:space="preserve"> </w:t>
      </w:r>
      <w:r w:rsidRPr="001E6DBD">
        <w:t xml:space="preserve">shows Poisson’s ratio, unconfined compressive strength, and Young’s modulus divided by unconfined compressive strength for a variety of rocks in the </w:t>
      </w:r>
      <w:r w:rsidR="00591074">
        <w:t>US</w:t>
      </w:r>
      <w:r w:rsidRPr="001E6DBD">
        <w:t>. Poisson’s ratio can be seen to vary between 0.11 and 0.46 for the rock samples in the table. A Poisson’s ratio of 0.5 is an upper limit and signifies isotropic compressibility of the substance.</w:t>
      </w:r>
    </w:p>
    <w:p w:rsidR="00093D1C" w:rsidRDefault="00591074">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14</w:t>
      </w:r>
      <w:r w:rsidR="00E252C4" w:rsidRPr="001E0FA8">
        <w:fldChar w:fldCharType="end"/>
      </w:r>
      <w:proofErr w:type="gramStart"/>
      <w:r>
        <w:t xml:space="preserve"> </w:t>
      </w:r>
      <w:r w:rsidR="001E6DBD" w:rsidRPr="001E6DBD">
        <w:t xml:space="preserve">Unconfined </w:t>
      </w:r>
      <w:r>
        <w:t>c</w:t>
      </w:r>
      <w:r w:rsidR="001E6DBD" w:rsidRPr="001E6DBD">
        <w:t xml:space="preserve">ompressive </w:t>
      </w:r>
      <w:r>
        <w:t>s</w:t>
      </w:r>
      <w:r w:rsidR="001E6DBD" w:rsidRPr="001E6DBD">
        <w:t>trength (</w:t>
      </w:r>
      <w:r w:rsidR="001E6DBD" w:rsidRPr="001E6DBD">
        <w:rPr>
          <w:i/>
        </w:rPr>
        <w:t>q</w:t>
      </w:r>
      <w:r w:rsidR="001E6DBD" w:rsidRPr="001E6DBD">
        <w:rPr>
          <w:i/>
          <w:vertAlign w:val="subscript"/>
        </w:rPr>
        <w:t>u</w:t>
      </w:r>
      <w:r w:rsidR="001E6DBD" w:rsidRPr="001E6DBD">
        <w:t xml:space="preserve">), </w:t>
      </w:r>
      <w:r>
        <w:t>m</w:t>
      </w:r>
      <w:r w:rsidR="001E6DBD" w:rsidRPr="001E6DBD">
        <w:t xml:space="preserve">odulus </w:t>
      </w:r>
      <w:r>
        <w:t>r</w:t>
      </w:r>
      <w:r w:rsidR="001E6DBD" w:rsidRPr="001E6DBD">
        <w:t>atio (</w:t>
      </w:r>
      <w:r w:rsidR="001E6DBD" w:rsidRPr="001E6DBD">
        <w:rPr>
          <w:i/>
        </w:rPr>
        <w:t>E</w:t>
      </w:r>
      <w:r w:rsidR="001E6DBD" w:rsidRPr="001E6DBD">
        <w:t>/</w:t>
      </w:r>
      <w:r w:rsidR="001E6DBD" w:rsidRPr="001E6DBD">
        <w:rPr>
          <w:i/>
        </w:rPr>
        <w:t>q</w:t>
      </w:r>
      <w:r w:rsidR="001E6DBD" w:rsidRPr="001E6DBD">
        <w:rPr>
          <w:i/>
          <w:vertAlign w:val="subscript"/>
        </w:rPr>
        <w:t>u</w:t>
      </w:r>
      <w:r w:rsidR="001E6DBD" w:rsidRPr="001E6DBD">
        <w:t>)</w:t>
      </w:r>
      <w:proofErr w:type="gramEnd"/>
      <w:r w:rsidR="001E6DBD" w:rsidRPr="001E6DBD">
        <w:t xml:space="preserve"> and Poisson’s </w:t>
      </w:r>
      <w:r>
        <w:t>r</w:t>
      </w:r>
      <w:r w:rsidR="001E6DBD" w:rsidRPr="001E6DBD">
        <w:t>atio (</w:t>
      </w:r>
      <w:r w:rsidR="001E6DBD" w:rsidRPr="001E6DBD">
        <w:rPr>
          <w:i/>
        </w:rPr>
        <w:t>ν</w:t>
      </w:r>
      <w:r w:rsidR="001E6DBD" w:rsidRPr="001E6DBD">
        <w:t xml:space="preserve">) for </w:t>
      </w:r>
      <w:r>
        <w:t>s</w:t>
      </w:r>
      <w:r w:rsidR="001E6DBD" w:rsidRPr="001E6DBD">
        <w:t xml:space="preserve">ome </w:t>
      </w:r>
      <w:r>
        <w:t>r</w:t>
      </w:r>
      <w:r w:rsidR="001E6DBD" w:rsidRPr="001E6DBD">
        <w:t xml:space="preserve">ock </w:t>
      </w:r>
      <w:r>
        <w:t>t</w:t>
      </w:r>
      <w:r w:rsidR="001E6DBD" w:rsidRPr="001E6DBD">
        <w:t xml:space="preserve">ypes, as </w:t>
      </w:r>
      <w:r>
        <w:t>m</w:t>
      </w:r>
      <w:r w:rsidR="001E6DBD" w:rsidRPr="001E6DBD">
        <w:t xml:space="preserve">easured in the </w:t>
      </w:r>
      <w:r>
        <w:t>US</w:t>
      </w:r>
      <w:r w:rsidR="001E6DBD" w:rsidRPr="001E6DBD">
        <w:t xml:space="preserve"> (</w:t>
      </w:r>
      <w:r>
        <w:rPr>
          <w:rFonts w:cs="Arial"/>
        </w:rPr>
        <w:t>©</w:t>
      </w:r>
      <w:r>
        <w:t xml:space="preserve"> Copyright, </w:t>
      </w:r>
      <w:r w:rsidR="001E6DBD" w:rsidRPr="001E6DBD">
        <w:t>Goodman 1989)</w:t>
      </w:r>
    </w:p>
    <w:tbl>
      <w:tblPr>
        <w:tblStyle w:val="TableGrid"/>
        <w:tblW w:w="0" w:type="auto"/>
        <w:tblInd w:w="108" w:type="dxa"/>
        <w:tblLook w:val="04A0"/>
      </w:tblPr>
      <w:tblGrid>
        <w:gridCol w:w="3822"/>
        <w:gridCol w:w="1703"/>
        <w:gridCol w:w="1703"/>
        <w:gridCol w:w="1703"/>
      </w:tblGrid>
      <w:tr w:rsidR="00DD3336" w:rsidRPr="00DD3336" w:rsidTr="00DD6833">
        <w:trPr>
          <w:tblHeader/>
        </w:trPr>
        <w:tc>
          <w:tcPr>
            <w:tcW w:w="3822" w:type="dxa"/>
            <w:shd w:val="clear" w:color="auto" w:fill="C6D9F1" w:themeFill="text2" w:themeFillTint="33"/>
          </w:tcPr>
          <w:p w:rsidR="00DD3336" w:rsidRPr="00DD3336" w:rsidRDefault="00DD3336" w:rsidP="00DD3336">
            <w:pPr>
              <w:pStyle w:val="Tableheading"/>
            </w:pPr>
            <w:r w:rsidRPr="00DD3336">
              <w:t>Description</w:t>
            </w:r>
          </w:p>
        </w:tc>
        <w:tc>
          <w:tcPr>
            <w:tcW w:w="1703" w:type="dxa"/>
            <w:shd w:val="clear" w:color="auto" w:fill="C6D9F1" w:themeFill="text2" w:themeFillTint="33"/>
          </w:tcPr>
          <w:p w:rsidR="00DD3336" w:rsidRPr="00DD3336" w:rsidRDefault="00DD3336" w:rsidP="00DD3336">
            <w:pPr>
              <w:pStyle w:val="Tableheading"/>
            </w:pPr>
            <w:r w:rsidRPr="00DD3336">
              <w:rPr>
                <w:i/>
              </w:rPr>
              <w:t>q</w:t>
            </w:r>
            <w:r w:rsidRPr="005F2DD7">
              <w:rPr>
                <w:i/>
                <w:vertAlign w:val="subscript"/>
              </w:rPr>
              <w:t>u</w:t>
            </w:r>
            <w:r w:rsidRPr="00DD3336">
              <w:t xml:space="preserve"> (MPa)</w:t>
            </w:r>
          </w:p>
        </w:tc>
        <w:tc>
          <w:tcPr>
            <w:tcW w:w="1703" w:type="dxa"/>
            <w:shd w:val="clear" w:color="auto" w:fill="C6D9F1" w:themeFill="text2" w:themeFillTint="33"/>
          </w:tcPr>
          <w:p w:rsidR="00DD3336" w:rsidRPr="00DD3336" w:rsidRDefault="00DD3336" w:rsidP="00DD3336">
            <w:pPr>
              <w:pStyle w:val="Tableheading"/>
            </w:pPr>
            <w:r w:rsidRPr="00DD3336">
              <w:rPr>
                <w:i/>
              </w:rPr>
              <w:t>E</w:t>
            </w:r>
            <w:r w:rsidRPr="00DD3336">
              <w:t>/</w:t>
            </w:r>
            <w:r w:rsidRPr="00DD3336">
              <w:rPr>
                <w:i/>
              </w:rPr>
              <w:t>q</w:t>
            </w:r>
            <w:r w:rsidRPr="00DD3336">
              <w:rPr>
                <w:i/>
                <w:vertAlign w:val="subscript"/>
              </w:rPr>
              <w:t>u</w:t>
            </w:r>
          </w:p>
        </w:tc>
        <w:tc>
          <w:tcPr>
            <w:tcW w:w="1703" w:type="dxa"/>
            <w:shd w:val="clear" w:color="auto" w:fill="C6D9F1" w:themeFill="text2" w:themeFillTint="33"/>
          </w:tcPr>
          <w:p w:rsidR="00DD3336" w:rsidRPr="00DD3336" w:rsidRDefault="00DD3336" w:rsidP="00DD3336">
            <w:pPr>
              <w:pStyle w:val="Tableheading"/>
            </w:pPr>
            <w:r w:rsidRPr="00DD3336">
              <w:rPr>
                <w:i/>
              </w:rPr>
              <w:t>ν</w:t>
            </w:r>
          </w:p>
        </w:tc>
      </w:tr>
      <w:tr w:rsidR="00DD3336" w:rsidTr="00C9719D">
        <w:tc>
          <w:tcPr>
            <w:tcW w:w="3822" w:type="dxa"/>
          </w:tcPr>
          <w:p w:rsidR="00DD3336" w:rsidRDefault="00DD3336" w:rsidP="005F2DD7">
            <w:pPr>
              <w:pStyle w:val="Tabletext"/>
            </w:pPr>
            <w:r>
              <w:t>Berea sandstone</w:t>
            </w:r>
          </w:p>
        </w:tc>
        <w:tc>
          <w:tcPr>
            <w:tcW w:w="1703" w:type="dxa"/>
          </w:tcPr>
          <w:p w:rsidR="00DD3336" w:rsidRDefault="00DD3336" w:rsidP="005F2DD7">
            <w:pPr>
              <w:pStyle w:val="Tabletext"/>
            </w:pPr>
            <w:r>
              <w:t>73.8</w:t>
            </w:r>
          </w:p>
        </w:tc>
        <w:tc>
          <w:tcPr>
            <w:tcW w:w="1703" w:type="dxa"/>
          </w:tcPr>
          <w:p w:rsidR="00DD3336" w:rsidRDefault="00DD3336" w:rsidP="005F2DD7">
            <w:pPr>
              <w:pStyle w:val="Tabletext"/>
            </w:pPr>
            <w:r>
              <w:t>261</w:t>
            </w:r>
          </w:p>
        </w:tc>
        <w:tc>
          <w:tcPr>
            <w:tcW w:w="1703" w:type="dxa"/>
          </w:tcPr>
          <w:p w:rsidR="00DD3336" w:rsidRDefault="00DD3336" w:rsidP="005F2DD7">
            <w:pPr>
              <w:pStyle w:val="Tabletext"/>
            </w:pPr>
            <w:r>
              <w:t>0.38</w:t>
            </w:r>
          </w:p>
        </w:tc>
      </w:tr>
      <w:tr w:rsidR="00DD3336" w:rsidTr="00C9719D">
        <w:tc>
          <w:tcPr>
            <w:tcW w:w="3822" w:type="dxa"/>
          </w:tcPr>
          <w:p w:rsidR="00DD3336" w:rsidRDefault="00DD3336" w:rsidP="005F2DD7">
            <w:pPr>
              <w:pStyle w:val="Tabletext"/>
            </w:pPr>
            <w:r>
              <w:t>Navajo sandstone</w:t>
            </w:r>
          </w:p>
        </w:tc>
        <w:tc>
          <w:tcPr>
            <w:tcW w:w="1703" w:type="dxa"/>
          </w:tcPr>
          <w:p w:rsidR="00DD3336" w:rsidRDefault="00DD3336" w:rsidP="005F2DD7">
            <w:pPr>
              <w:pStyle w:val="Tabletext"/>
            </w:pPr>
            <w:r>
              <w:t>214.0</w:t>
            </w:r>
          </w:p>
        </w:tc>
        <w:tc>
          <w:tcPr>
            <w:tcW w:w="1703" w:type="dxa"/>
          </w:tcPr>
          <w:p w:rsidR="00DD3336" w:rsidRDefault="00DD3336" w:rsidP="005F2DD7">
            <w:pPr>
              <w:pStyle w:val="Tabletext"/>
            </w:pPr>
            <w:r>
              <w:t>183</w:t>
            </w:r>
          </w:p>
        </w:tc>
        <w:tc>
          <w:tcPr>
            <w:tcW w:w="1703" w:type="dxa"/>
          </w:tcPr>
          <w:p w:rsidR="00DD3336" w:rsidRDefault="00DD3336" w:rsidP="005F2DD7">
            <w:pPr>
              <w:pStyle w:val="Tabletext"/>
            </w:pPr>
            <w:r>
              <w:t>0.46</w:t>
            </w:r>
          </w:p>
        </w:tc>
      </w:tr>
      <w:tr w:rsidR="00DD3336" w:rsidTr="00C9719D">
        <w:tc>
          <w:tcPr>
            <w:tcW w:w="3822" w:type="dxa"/>
          </w:tcPr>
          <w:p w:rsidR="00DD3336" w:rsidRDefault="00DD3336" w:rsidP="005F2DD7">
            <w:pPr>
              <w:pStyle w:val="Tabletext"/>
            </w:pPr>
            <w:r>
              <w:t>Tensleep sandstone</w:t>
            </w:r>
          </w:p>
        </w:tc>
        <w:tc>
          <w:tcPr>
            <w:tcW w:w="1703" w:type="dxa"/>
          </w:tcPr>
          <w:p w:rsidR="00DD3336" w:rsidRDefault="00DD3336" w:rsidP="005F2DD7">
            <w:pPr>
              <w:pStyle w:val="Tabletext"/>
            </w:pPr>
            <w:r>
              <w:t>72.4</w:t>
            </w:r>
          </w:p>
        </w:tc>
        <w:tc>
          <w:tcPr>
            <w:tcW w:w="1703" w:type="dxa"/>
          </w:tcPr>
          <w:p w:rsidR="00DD3336" w:rsidRDefault="00DD3336" w:rsidP="005F2DD7">
            <w:pPr>
              <w:pStyle w:val="Tabletext"/>
            </w:pPr>
            <w:r>
              <w:t>264</w:t>
            </w:r>
          </w:p>
        </w:tc>
        <w:tc>
          <w:tcPr>
            <w:tcW w:w="1703" w:type="dxa"/>
          </w:tcPr>
          <w:p w:rsidR="00DD3336" w:rsidRDefault="00DD3336" w:rsidP="005F2DD7">
            <w:pPr>
              <w:pStyle w:val="Tabletext"/>
            </w:pPr>
            <w:r>
              <w:t>0.11</w:t>
            </w:r>
          </w:p>
        </w:tc>
      </w:tr>
      <w:tr w:rsidR="00DD3336" w:rsidTr="00C9719D">
        <w:tc>
          <w:tcPr>
            <w:tcW w:w="3822" w:type="dxa"/>
          </w:tcPr>
          <w:p w:rsidR="00DD3336" w:rsidRDefault="00DD3336" w:rsidP="005F2DD7">
            <w:pPr>
              <w:pStyle w:val="Tabletext"/>
            </w:pPr>
            <w:r>
              <w:t>Hackensack siltstone</w:t>
            </w:r>
          </w:p>
        </w:tc>
        <w:tc>
          <w:tcPr>
            <w:tcW w:w="1703" w:type="dxa"/>
          </w:tcPr>
          <w:p w:rsidR="00DD3336" w:rsidRDefault="00DD3336" w:rsidP="005F2DD7">
            <w:pPr>
              <w:pStyle w:val="Tabletext"/>
            </w:pPr>
            <w:r>
              <w:t>122.7</w:t>
            </w:r>
          </w:p>
        </w:tc>
        <w:tc>
          <w:tcPr>
            <w:tcW w:w="1703" w:type="dxa"/>
          </w:tcPr>
          <w:p w:rsidR="00DD3336" w:rsidRDefault="00DD3336" w:rsidP="005F2DD7">
            <w:pPr>
              <w:pStyle w:val="Tabletext"/>
            </w:pPr>
            <w:r>
              <w:t>214</w:t>
            </w:r>
          </w:p>
        </w:tc>
        <w:tc>
          <w:tcPr>
            <w:tcW w:w="1703" w:type="dxa"/>
          </w:tcPr>
          <w:p w:rsidR="00DD3336" w:rsidRDefault="00DD3336" w:rsidP="005F2DD7">
            <w:pPr>
              <w:pStyle w:val="Tabletext"/>
            </w:pPr>
            <w:r>
              <w:t>0.22</w:t>
            </w:r>
          </w:p>
        </w:tc>
      </w:tr>
      <w:tr w:rsidR="00DD3336" w:rsidTr="00C9719D">
        <w:tc>
          <w:tcPr>
            <w:tcW w:w="3822" w:type="dxa"/>
          </w:tcPr>
          <w:p w:rsidR="00DD3336" w:rsidRDefault="00DD3336" w:rsidP="005F2DD7">
            <w:pPr>
              <w:pStyle w:val="Tabletext"/>
            </w:pPr>
            <w:r>
              <w:t>Solenhofen limestone</w:t>
            </w:r>
          </w:p>
        </w:tc>
        <w:tc>
          <w:tcPr>
            <w:tcW w:w="1703" w:type="dxa"/>
          </w:tcPr>
          <w:p w:rsidR="00DD3336" w:rsidRDefault="00DD3336" w:rsidP="005F2DD7">
            <w:pPr>
              <w:pStyle w:val="Tabletext"/>
            </w:pPr>
            <w:r>
              <w:t>245.0</w:t>
            </w:r>
          </w:p>
        </w:tc>
        <w:tc>
          <w:tcPr>
            <w:tcW w:w="1703" w:type="dxa"/>
          </w:tcPr>
          <w:p w:rsidR="00DD3336" w:rsidRDefault="00DD3336" w:rsidP="005F2DD7">
            <w:pPr>
              <w:pStyle w:val="Tabletext"/>
            </w:pPr>
            <w:r>
              <w:t>260</w:t>
            </w:r>
          </w:p>
        </w:tc>
        <w:tc>
          <w:tcPr>
            <w:tcW w:w="1703" w:type="dxa"/>
          </w:tcPr>
          <w:p w:rsidR="00DD3336" w:rsidRDefault="00DD3336" w:rsidP="005F2DD7">
            <w:pPr>
              <w:pStyle w:val="Tabletext"/>
            </w:pPr>
            <w:r>
              <w:t>0.29</w:t>
            </w:r>
          </w:p>
        </w:tc>
      </w:tr>
      <w:tr w:rsidR="00DD3336" w:rsidTr="00C9719D">
        <w:tc>
          <w:tcPr>
            <w:tcW w:w="3822" w:type="dxa"/>
          </w:tcPr>
          <w:p w:rsidR="00DD3336" w:rsidRDefault="00DD3336" w:rsidP="005F2DD7">
            <w:pPr>
              <w:pStyle w:val="Tabletext"/>
            </w:pPr>
            <w:r>
              <w:t>Bedford limestone</w:t>
            </w:r>
          </w:p>
        </w:tc>
        <w:tc>
          <w:tcPr>
            <w:tcW w:w="1703" w:type="dxa"/>
          </w:tcPr>
          <w:p w:rsidR="00DD3336" w:rsidRDefault="00DD3336" w:rsidP="005F2DD7">
            <w:pPr>
              <w:pStyle w:val="Tabletext"/>
            </w:pPr>
            <w:r>
              <w:t>51.0</w:t>
            </w:r>
          </w:p>
        </w:tc>
        <w:tc>
          <w:tcPr>
            <w:tcW w:w="1703" w:type="dxa"/>
          </w:tcPr>
          <w:p w:rsidR="00DD3336" w:rsidRDefault="00DD3336" w:rsidP="005F2DD7">
            <w:pPr>
              <w:pStyle w:val="Tabletext"/>
            </w:pPr>
            <w:r>
              <w:t>559</w:t>
            </w:r>
          </w:p>
        </w:tc>
        <w:tc>
          <w:tcPr>
            <w:tcW w:w="1703" w:type="dxa"/>
          </w:tcPr>
          <w:p w:rsidR="00DD3336" w:rsidRDefault="00DD3336" w:rsidP="005F2DD7">
            <w:pPr>
              <w:pStyle w:val="Tabletext"/>
            </w:pPr>
            <w:r>
              <w:t>0.29</w:t>
            </w:r>
          </w:p>
        </w:tc>
      </w:tr>
      <w:tr w:rsidR="00DD3336" w:rsidTr="00C9719D">
        <w:tc>
          <w:tcPr>
            <w:tcW w:w="3822" w:type="dxa"/>
          </w:tcPr>
          <w:p w:rsidR="00DD3336" w:rsidRDefault="00DD3336" w:rsidP="005F2DD7">
            <w:pPr>
              <w:pStyle w:val="Tabletext"/>
            </w:pPr>
            <w:r>
              <w:t>Tavernalle limestone</w:t>
            </w:r>
          </w:p>
        </w:tc>
        <w:tc>
          <w:tcPr>
            <w:tcW w:w="1703" w:type="dxa"/>
          </w:tcPr>
          <w:p w:rsidR="00DD3336" w:rsidRDefault="00DD3336" w:rsidP="005F2DD7">
            <w:pPr>
              <w:pStyle w:val="Tabletext"/>
            </w:pPr>
            <w:r>
              <w:t>97.9</w:t>
            </w:r>
          </w:p>
        </w:tc>
        <w:tc>
          <w:tcPr>
            <w:tcW w:w="1703" w:type="dxa"/>
          </w:tcPr>
          <w:p w:rsidR="00DD3336" w:rsidRDefault="00DD3336" w:rsidP="005F2DD7">
            <w:pPr>
              <w:pStyle w:val="Tabletext"/>
            </w:pPr>
            <w:r>
              <w:t>570</w:t>
            </w:r>
          </w:p>
        </w:tc>
        <w:tc>
          <w:tcPr>
            <w:tcW w:w="1703" w:type="dxa"/>
          </w:tcPr>
          <w:p w:rsidR="00DD3336" w:rsidRDefault="00DD3336" w:rsidP="005F2DD7">
            <w:pPr>
              <w:pStyle w:val="Tabletext"/>
            </w:pPr>
            <w:r>
              <w:t>0.30</w:t>
            </w:r>
          </w:p>
        </w:tc>
      </w:tr>
      <w:tr w:rsidR="00DD3336" w:rsidTr="00C9719D">
        <w:tc>
          <w:tcPr>
            <w:tcW w:w="3822" w:type="dxa"/>
          </w:tcPr>
          <w:p w:rsidR="00DD3336" w:rsidRDefault="00DD3336" w:rsidP="005F2DD7">
            <w:pPr>
              <w:pStyle w:val="Tabletext"/>
            </w:pPr>
            <w:r>
              <w:t>Flaming Gorge shale</w:t>
            </w:r>
          </w:p>
        </w:tc>
        <w:tc>
          <w:tcPr>
            <w:tcW w:w="1703" w:type="dxa"/>
          </w:tcPr>
          <w:p w:rsidR="00DD3336" w:rsidRDefault="00DD3336" w:rsidP="005F2DD7">
            <w:pPr>
              <w:pStyle w:val="Tabletext"/>
            </w:pPr>
            <w:r>
              <w:t>35.2</w:t>
            </w:r>
          </w:p>
        </w:tc>
        <w:tc>
          <w:tcPr>
            <w:tcW w:w="1703" w:type="dxa"/>
          </w:tcPr>
          <w:p w:rsidR="00DD3336" w:rsidRDefault="00DD3336" w:rsidP="005F2DD7">
            <w:pPr>
              <w:pStyle w:val="Tabletext"/>
            </w:pPr>
            <w:r>
              <w:t>157</w:t>
            </w:r>
          </w:p>
        </w:tc>
        <w:tc>
          <w:tcPr>
            <w:tcW w:w="1703" w:type="dxa"/>
          </w:tcPr>
          <w:p w:rsidR="00DD3336" w:rsidRDefault="00DD3336" w:rsidP="005F2DD7">
            <w:pPr>
              <w:pStyle w:val="Tabletext"/>
            </w:pPr>
            <w:r>
              <w:t>0.25</w:t>
            </w:r>
          </w:p>
        </w:tc>
      </w:tr>
      <w:tr w:rsidR="00DD3336" w:rsidTr="00C9719D">
        <w:tc>
          <w:tcPr>
            <w:tcW w:w="3822" w:type="dxa"/>
          </w:tcPr>
          <w:p w:rsidR="00DD3336" w:rsidRDefault="00DD3336" w:rsidP="005F2DD7">
            <w:pPr>
              <w:pStyle w:val="Tabletext"/>
            </w:pPr>
            <w:r>
              <w:t>Micaceous shale</w:t>
            </w:r>
          </w:p>
        </w:tc>
        <w:tc>
          <w:tcPr>
            <w:tcW w:w="1703" w:type="dxa"/>
          </w:tcPr>
          <w:p w:rsidR="00DD3336" w:rsidRDefault="00DD3336" w:rsidP="005F2DD7">
            <w:pPr>
              <w:pStyle w:val="Tabletext"/>
            </w:pPr>
            <w:r>
              <w:t>75.2</w:t>
            </w:r>
          </w:p>
        </w:tc>
        <w:tc>
          <w:tcPr>
            <w:tcW w:w="1703" w:type="dxa"/>
          </w:tcPr>
          <w:p w:rsidR="00DD3336" w:rsidRDefault="00DD3336" w:rsidP="005F2DD7">
            <w:pPr>
              <w:pStyle w:val="Tabletext"/>
            </w:pPr>
            <w:r>
              <w:t>148</w:t>
            </w:r>
          </w:p>
        </w:tc>
        <w:tc>
          <w:tcPr>
            <w:tcW w:w="1703" w:type="dxa"/>
          </w:tcPr>
          <w:p w:rsidR="00DD3336" w:rsidRDefault="00DD3336" w:rsidP="005F2DD7">
            <w:pPr>
              <w:pStyle w:val="Tabletext"/>
            </w:pPr>
            <w:r>
              <w:t>0.29</w:t>
            </w:r>
          </w:p>
        </w:tc>
      </w:tr>
    </w:tbl>
    <w:p w:rsidR="00DD6833" w:rsidRDefault="00DD6833" w:rsidP="00DD6833">
      <w:pPr>
        <w:pStyle w:val="BRNormal11pt0"/>
      </w:pPr>
      <w:bookmarkStart w:id="597" w:name="_Toc391554313"/>
      <w:bookmarkStart w:id="598" w:name="_Toc394649832"/>
      <w:bookmarkStart w:id="599" w:name="_Toc387410268"/>
      <w:bookmarkEnd w:id="597"/>
      <w:bookmarkEnd w:id="598"/>
    </w:p>
    <w:p w:rsidR="00DD6833" w:rsidRDefault="00DD6833">
      <w:pPr>
        <w:autoSpaceDE/>
        <w:autoSpaceDN/>
        <w:rPr>
          <w:rFonts w:cs="Arial"/>
          <w:b/>
          <w:bCs/>
          <w:color w:val="1F497D" w:themeColor="text2"/>
          <w:sz w:val="30"/>
          <w:szCs w:val="30"/>
          <w:lang w:val="en-GB"/>
        </w:rPr>
      </w:pPr>
      <w:r>
        <w:br w:type="page"/>
      </w:r>
    </w:p>
    <w:p w:rsidR="001E6DBD" w:rsidRPr="001E6DBD" w:rsidRDefault="001E6DBD" w:rsidP="005C357D">
      <w:pPr>
        <w:pStyle w:val="Heading2"/>
      </w:pPr>
      <w:bookmarkStart w:id="600" w:name="_Toc402425340"/>
      <w:r w:rsidRPr="001E6DBD">
        <w:t xml:space="preserve">Coefficient of </w:t>
      </w:r>
      <w:r w:rsidR="00FD23B8">
        <w:t>v</w:t>
      </w:r>
      <w:r w:rsidRPr="001E6DBD">
        <w:t xml:space="preserve">olume </w:t>
      </w:r>
      <w:r w:rsidR="00FD23B8">
        <w:t>c</w:t>
      </w:r>
      <w:r w:rsidRPr="001E6DBD">
        <w:t>ompressibility (</w:t>
      </w:r>
      <w:r w:rsidRPr="001E6DBD">
        <w:rPr>
          <w:i/>
        </w:rPr>
        <w:t>m</w:t>
      </w:r>
      <w:r w:rsidRPr="001E6DBD">
        <w:rPr>
          <w:i/>
          <w:vertAlign w:val="subscript"/>
        </w:rPr>
        <w:t>v</w:t>
      </w:r>
      <w:r w:rsidRPr="001E6DBD">
        <w:t>)</w:t>
      </w:r>
      <w:bookmarkEnd w:id="599"/>
      <w:bookmarkEnd w:id="600"/>
    </w:p>
    <w:p w:rsidR="001E6DBD" w:rsidRPr="001E6DBD" w:rsidRDefault="001E6DBD" w:rsidP="005C357D">
      <w:pPr>
        <w:pStyle w:val="BRNormal11pt0"/>
      </w:pPr>
      <w:r w:rsidRPr="001E6DBD">
        <w:t>It can be shown that, for elastic deformation, where rock is constrained laterally and thus compression is one</w:t>
      </w:r>
      <w:r w:rsidR="00C9719D">
        <w:t xml:space="preserve"> </w:t>
      </w:r>
      <w:r w:rsidRPr="001E6DBD">
        <w:t xml:space="preserve">dimensional, the coefficient of volume compressibility, or constrained modulus, </w:t>
      </w:r>
      <w:r w:rsidRPr="001E6DBD">
        <w:rPr>
          <w:i/>
        </w:rPr>
        <w:t>m</w:t>
      </w:r>
      <w:r w:rsidRPr="001E6DBD">
        <w:rPr>
          <w:i/>
          <w:vertAlign w:val="subscript"/>
        </w:rPr>
        <w:t>v</w:t>
      </w:r>
      <w:r w:rsidRPr="001E6DBD">
        <w:rPr>
          <w:vertAlign w:val="subscript"/>
        </w:rPr>
        <w:t>,</w:t>
      </w:r>
      <w:r w:rsidRPr="001E6DBD">
        <w:t xml:space="preserve"> is related to the Young’s modulus and Poisson’s ratio of the hydrogeological unit by the formula:</w:t>
      </w:r>
    </w:p>
    <w:p w:rsidR="001E6DBD" w:rsidRPr="001E6DBD" w:rsidRDefault="00E252C4" w:rsidP="005C357D">
      <w:pPr>
        <w:pStyle w:val="BRNormal11pt0"/>
        <w:rPr>
          <w:rFonts w:asciiTheme="majorHAnsi" w:hAnsiTheme="majorHAnsi"/>
        </w:rPr>
      </w:pPr>
      <m:oMathPara>
        <m:oMath>
          <m:sSub>
            <m:sSubPr>
              <m:ctrlPr>
                <w:rPr>
                  <w:rFonts w:ascii="Cambria Math" w:hAnsi="Cambria Math"/>
                </w:rPr>
              </m:ctrlPr>
            </m:sSubPr>
            <m:e>
              <m:r>
                <w:rPr>
                  <w:rFonts w:ascii="Cambria Math" w:hAnsi="Cambria Math"/>
                </w:rPr>
                <m:t>m</m:t>
              </m:r>
            </m:e>
            <m:sub>
              <m:r>
                <w:rPr>
                  <w:rFonts w:ascii="Cambria Math" w:hAnsi="Cambria Math"/>
                </w:rPr>
                <m:t>v</m:t>
              </m:r>
            </m:sub>
          </m:sSub>
          <m:r>
            <m:rPr>
              <m:sty m:val="p"/>
            </m:rPr>
            <w:rPr>
              <w:rFonts w:ascii="Cambria Math" w:hAnsi="Cambria Math"/>
            </w:rPr>
            <m:t>=</m:t>
          </m:r>
          <m:f>
            <m:fPr>
              <m:ctrlPr>
                <w:rPr>
                  <w:rFonts w:ascii="Cambria Math" w:hAnsi="Cambria Math"/>
                </w:rPr>
              </m:ctrlPr>
            </m:fPr>
            <m:num>
              <m:r>
                <m:rPr>
                  <m:sty m:val="p"/>
                </m:rPr>
                <w:rPr>
                  <w:rFonts w:ascii="Cambria Math" w:hAnsi="Cambria Math"/>
                </w:rPr>
                <m:t>(1-2</m:t>
              </m:r>
              <m:r>
                <w:rPr>
                  <w:rFonts w:ascii="Cambria Math" w:hAnsi="Cambria Math"/>
                </w:rPr>
                <m:t>ν</m:t>
              </m:r>
              <m:r>
                <m:rPr>
                  <m:sty m:val="p"/>
                </m:rPr>
                <w:rPr>
                  <w:rFonts w:ascii="Cambria Math" w:hAnsi="Cambria Math"/>
                </w:rPr>
                <m:t>)(1+</m:t>
              </m:r>
              <m:r>
                <w:rPr>
                  <w:rFonts w:ascii="Cambria Math" w:hAnsi="Cambria Math"/>
                </w:rPr>
                <m:t>ν</m:t>
              </m:r>
              <m:r>
                <m:rPr>
                  <m:sty m:val="p"/>
                </m:rPr>
                <w:rPr>
                  <w:rFonts w:ascii="Cambria Math" w:hAnsi="Cambria Math"/>
                </w:rPr>
                <m:t>)</m:t>
              </m:r>
            </m:num>
            <m:den>
              <m:r>
                <w:rPr>
                  <w:rFonts w:ascii="Cambria Math" w:hAnsi="Cambria Math"/>
                </w:rPr>
                <m:t>E</m:t>
              </m:r>
              <m:r>
                <m:rPr>
                  <m:sty m:val="p"/>
                </m:rPr>
                <w:rPr>
                  <w:rFonts w:ascii="Cambria Math" w:hAnsi="Cambria Math"/>
                </w:rPr>
                <m:t>(1-</m:t>
              </m:r>
              <m:r>
                <w:rPr>
                  <w:rFonts w:ascii="Cambria Math" w:hAnsi="Cambria Math"/>
                </w:rPr>
                <m:t>ν</m:t>
              </m:r>
              <m:r>
                <m:rPr>
                  <m:sty m:val="p"/>
                </m:rPr>
                <w:rPr>
                  <w:rFonts w:ascii="Cambria Math" w:hAnsi="Cambria Math"/>
                </w:rPr>
                <m:t>)</m:t>
              </m:r>
            </m:den>
          </m:f>
        </m:oMath>
      </m:oMathPara>
    </w:p>
    <w:p w:rsidR="00093D1C" w:rsidRDefault="001E6DBD">
      <w:pPr>
        <w:pStyle w:val="BRNormal11pt0"/>
      </w:pPr>
      <w:r w:rsidRPr="001E6DBD">
        <w:t xml:space="preserve">Thus, for a Poisson’s ratio of 0.20, </w:t>
      </w:r>
      <w:r w:rsidRPr="001E6DBD">
        <w:rPr>
          <w:i/>
        </w:rPr>
        <w:t>m</w:t>
      </w:r>
      <w:r w:rsidRPr="001E6DBD">
        <w:rPr>
          <w:i/>
          <w:vertAlign w:val="subscript"/>
        </w:rPr>
        <w:t>v</w:t>
      </w:r>
      <w:r w:rsidRPr="001E6DBD">
        <w:rPr>
          <w:vertAlign w:val="subscript"/>
        </w:rPr>
        <w:t xml:space="preserve"> </w:t>
      </w:r>
      <w:r w:rsidRPr="001E6DBD">
        <w:t xml:space="preserve">= 0.9 / </w:t>
      </w:r>
      <w:r w:rsidRPr="001E6DBD">
        <w:rPr>
          <w:i/>
        </w:rPr>
        <w:t>E</w:t>
      </w:r>
      <w:r w:rsidRPr="001E6DBD">
        <w:t xml:space="preserve">. This formula permits exploration of the sensitivity of </w:t>
      </w:r>
      <w:r w:rsidRPr="001E6DBD">
        <w:rPr>
          <w:i/>
        </w:rPr>
        <w:t>m</w:t>
      </w:r>
      <w:r w:rsidRPr="001E6DBD">
        <w:rPr>
          <w:i/>
          <w:vertAlign w:val="subscript"/>
        </w:rPr>
        <w:t>v</w:t>
      </w:r>
      <w:r w:rsidRPr="001E6DBD">
        <w:t xml:space="preserve"> to Poisson’s ratio for a fixed Young’s modulus. This is shown in Figure</w:t>
      </w:r>
      <w:r w:rsidR="005F2DD7">
        <w:t> </w:t>
      </w:r>
      <w:r w:rsidR="00E800AE">
        <w:t>38</w:t>
      </w:r>
      <w:r w:rsidR="00C9719D" w:rsidRPr="001E6DBD">
        <w:t xml:space="preserve"> </w:t>
      </w:r>
      <w:r w:rsidRPr="001E6DBD">
        <w:t xml:space="preserve">and it can be observed that calculated </w:t>
      </w:r>
      <w:r w:rsidRPr="001E6DBD">
        <w:rPr>
          <w:i/>
        </w:rPr>
        <w:t>m</w:t>
      </w:r>
      <w:r w:rsidRPr="001E6DBD">
        <w:rPr>
          <w:i/>
          <w:vertAlign w:val="subscript"/>
        </w:rPr>
        <w:t>v</w:t>
      </w:r>
      <w:r w:rsidRPr="001E6DBD">
        <w:t xml:space="preserve"> values for Poisson’s ratios between 0.1 and 0.3 vary by less than 30</w:t>
      </w:r>
      <w:r w:rsidR="00C9719D">
        <w:t xml:space="preserve"> per cent</w:t>
      </w:r>
      <w:r w:rsidRPr="001E6DBD">
        <w:t xml:space="preserve">. </w:t>
      </w:r>
    </w:p>
    <w:p w:rsidR="001E6DBD" w:rsidRPr="001E6DBD" w:rsidRDefault="001E6DBD" w:rsidP="001E6DBD">
      <w:pPr>
        <w:pStyle w:val="BodyCopy"/>
        <w:rPr>
          <w:rFonts w:asciiTheme="majorHAnsi" w:hAnsiTheme="majorHAnsi" w:cstheme="majorHAnsi"/>
          <w:sz w:val="18"/>
          <w:szCs w:val="18"/>
        </w:rPr>
      </w:pPr>
      <w:r w:rsidRPr="001E6DBD">
        <w:rPr>
          <w:rFonts w:asciiTheme="majorHAnsi" w:hAnsiTheme="majorHAnsi" w:cstheme="majorHAnsi"/>
          <w:noProof/>
          <w:sz w:val="18"/>
          <w:szCs w:val="18"/>
          <w:lang w:val="en-AU" w:eastAsia="en-AU"/>
        </w:rPr>
        <w:drawing>
          <wp:inline distT="0" distB="0" distL="0" distR="0">
            <wp:extent cx="4156364" cy="2357791"/>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1292" cy="2360586"/>
                    </a:xfrm>
                    <a:prstGeom prst="rect">
                      <a:avLst/>
                    </a:prstGeom>
                    <a:noFill/>
                    <a:ln>
                      <a:noFill/>
                    </a:ln>
                  </pic:spPr>
                </pic:pic>
              </a:graphicData>
            </a:graphic>
          </wp:inline>
        </w:drawing>
      </w:r>
    </w:p>
    <w:p w:rsidR="001E6DBD" w:rsidRPr="001E6DBD" w:rsidRDefault="00C9719D"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38</w:t>
      </w:r>
      <w:r w:rsidR="00E252C4" w:rsidRPr="005A4936">
        <w:fldChar w:fldCharType="end"/>
      </w:r>
      <w:r>
        <w:t xml:space="preserve"> </w:t>
      </w:r>
      <w:r w:rsidR="001E6DBD" w:rsidRPr="001E6DBD">
        <w:t xml:space="preserve">Sensitivity of </w:t>
      </w:r>
      <w:r w:rsidR="001E6DBD" w:rsidRPr="001E6DBD">
        <w:rPr>
          <w:i/>
        </w:rPr>
        <w:t>m</w:t>
      </w:r>
      <w:r w:rsidR="001E6DBD" w:rsidRPr="001E6DBD">
        <w:rPr>
          <w:i/>
          <w:vertAlign w:val="subscript"/>
        </w:rPr>
        <w:t>v</w:t>
      </w:r>
      <w:r w:rsidR="001E6DBD" w:rsidRPr="001E6DBD">
        <w:t xml:space="preserve"> to Poisson’s </w:t>
      </w:r>
      <w:r>
        <w:t>r</w:t>
      </w:r>
      <w:r w:rsidR="001E6DBD" w:rsidRPr="001E6DBD">
        <w:t xml:space="preserve">atio for a </w:t>
      </w:r>
      <w:r>
        <w:t>f</w:t>
      </w:r>
      <w:r w:rsidR="001E6DBD" w:rsidRPr="001E6DBD">
        <w:t xml:space="preserve">ixed Young’s </w:t>
      </w:r>
      <w:r>
        <w:t>m</w:t>
      </w:r>
      <w:r w:rsidR="001E6DBD" w:rsidRPr="001E6DBD">
        <w:t>odulus</w:t>
      </w:r>
    </w:p>
    <w:p w:rsidR="001E6DBD" w:rsidRPr="001E6DBD" w:rsidRDefault="001E6DBD" w:rsidP="005C357D">
      <w:pPr>
        <w:pStyle w:val="Heading2"/>
      </w:pPr>
      <w:bookmarkStart w:id="601" w:name="_Toc387410269"/>
      <w:bookmarkStart w:id="602" w:name="_Toc402425341"/>
      <w:r w:rsidRPr="001E6DBD">
        <w:t xml:space="preserve">Hydraulic </w:t>
      </w:r>
      <w:r w:rsidR="00FD23B8">
        <w:t>c</w:t>
      </w:r>
      <w:r w:rsidRPr="001E6DBD">
        <w:t>onductivity</w:t>
      </w:r>
      <w:bookmarkEnd w:id="601"/>
      <w:bookmarkEnd w:id="602"/>
    </w:p>
    <w:p w:rsidR="001E6DBD" w:rsidRPr="001E6DBD" w:rsidRDefault="001E6DBD" w:rsidP="005C357D">
      <w:pPr>
        <w:pStyle w:val="BRNormal11pt0"/>
        <w:rPr>
          <w:lang w:val="en-AU"/>
        </w:rPr>
      </w:pPr>
      <w:r w:rsidRPr="001E6DBD">
        <w:rPr>
          <w:lang w:val="en-AU"/>
        </w:rPr>
        <w:t>Hydraulic conductivity is a measure of the rate at which groundwater moves through soil or rock. The hydraulic conductivity of soils depends on soil texture and structure and generally varies between 10</w:t>
      </w:r>
      <w:r w:rsidR="00532A1B">
        <w:rPr>
          <w:lang w:val="en-AU"/>
        </w:rPr>
        <w:t> </w:t>
      </w:r>
      <w:r w:rsidRPr="001E6DBD">
        <w:rPr>
          <w:lang w:val="en-AU"/>
        </w:rPr>
        <w:t>m/s (clean gravel) to 10</w:t>
      </w:r>
      <w:r w:rsidRPr="001E6DBD">
        <w:rPr>
          <w:vertAlign w:val="superscript"/>
          <w:lang w:val="en-AU"/>
        </w:rPr>
        <w:noBreakHyphen/>
        <w:t>11</w:t>
      </w:r>
      <w:r w:rsidRPr="001E6DBD">
        <w:rPr>
          <w:lang w:val="en-AU"/>
        </w:rPr>
        <w:t> m/s (homogen</w:t>
      </w:r>
      <w:r w:rsidR="005532A3">
        <w:rPr>
          <w:lang w:val="en-AU"/>
        </w:rPr>
        <w:t>e</w:t>
      </w:r>
      <w:r w:rsidRPr="001E6DBD">
        <w:rPr>
          <w:lang w:val="en-AU"/>
        </w:rPr>
        <w:t xml:space="preserve">ous clay). Rock masses also exhibit a broad range of hydraulic conductivities. The hydraulic conductivity of a rock mass is controlled by fractures which provide flow paths for water and the hydraulic conductivity of the intact rock. For rock formed by sedimentary processes, the hydraulic conductivity in the horizontal direction is usually higher than the hydraulic conductivity in the vertical direction, due to the layering associated with the geological development of the material. Depth also plays a role and, as a general rule, the hydraulic conductivity of soil and rock declines with depth, due to the fact that increasing stress (pressure) reduces the secondary (fracture) porosity of the material. This effect can be seen in Figure </w:t>
      </w:r>
      <w:r w:rsidR="00E800AE">
        <w:rPr>
          <w:lang w:val="en-AU"/>
        </w:rPr>
        <w:t>39</w:t>
      </w:r>
      <w:r w:rsidRPr="001E6DBD">
        <w:rPr>
          <w:lang w:val="en-AU"/>
        </w:rPr>
        <w:t>.</w:t>
      </w:r>
    </w:p>
    <w:p w:rsidR="001E6DBD" w:rsidRPr="001E6DBD" w:rsidRDefault="001E6DBD" w:rsidP="005C357D">
      <w:pPr>
        <w:pStyle w:val="BRNormal11pt0"/>
        <w:rPr>
          <w:lang w:val="en-AU"/>
        </w:rPr>
      </w:pPr>
      <w:r w:rsidRPr="001E6DBD">
        <w:rPr>
          <w:lang w:val="en-AU"/>
        </w:rPr>
        <w:t>A hydrogeological unit may contain many sub-units of differing hydraulic conductivity</w:t>
      </w:r>
      <w:r w:rsidR="00263F82">
        <w:rPr>
          <w:lang w:val="en-AU"/>
        </w:rPr>
        <w:t xml:space="preserve"> (Table </w:t>
      </w:r>
      <w:r w:rsidR="002C43B4">
        <w:rPr>
          <w:lang w:val="en-AU"/>
        </w:rPr>
        <w:t>15</w:t>
      </w:r>
      <w:r w:rsidR="00263F82">
        <w:rPr>
          <w:lang w:val="en-AU"/>
        </w:rPr>
        <w:t>)</w:t>
      </w:r>
      <w:r w:rsidRPr="001E6DBD">
        <w:rPr>
          <w:lang w:val="en-AU"/>
        </w:rPr>
        <w:t xml:space="preserve">. For example, the Condamine alluvium in the Surat </w:t>
      </w:r>
      <w:r w:rsidR="00263F82">
        <w:rPr>
          <w:lang w:val="en-AU"/>
        </w:rPr>
        <w:t>B</w:t>
      </w:r>
      <w:r w:rsidRPr="001E6DBD">
        <w:rPr>
          <w:lang w:val="en-AU"/>
        </w:rPr>
        <w:t>asin contains sub-units with horizontal hydraulic conductivity varying between 3x10</w:t>
      </w:r>
      <w:r w:rsidRPr="001E6DBD">
        <w:rPr>
          <w:vertAlign w:val="superscript"/>
          <w:lang w:val="en-AU"/>
        </w:rPr>
        <w:t>-2</w:t>
      </w:r>
      <w:r w:rsidRPr="001E6DBD">
        <w:rPr>
          <w:lang w:val="en-AU"/>
        </w:rPr>
        <w:t xml:space="preserve"> m/day (3.5x10</w:t>
      </w:r>
      <w:r w:rsidRPr="001E6DBD">
        <w:rPr>
          <w:vertAlign w:val="superscript"/>
          <w:lang w:val="en-AU"/>
        </w:rPr>
        <w:t>-7</w:t>
      </w:r>
      <w:r w:rsidRPr="001E6DBD">
        <w:rPr>
          <w:lang w:val="en-AU"/>
        </w:rPr>
        <w:t xml:space="preserve"> m/s) and 8.6 m/day (1x10</w:t>
      </w:r>
      <w:r w:rsidRPr="001E6DBD">
        <w:rPr>
          <w:vertAlign w:val="superscript"/>
          <w:lang w:val="en-AU"/>
        </w:rPr>
        <w:t>-4</w:t>
      </w:r>
      <w:r w:rsidRPr="001E6DBD">
        <w:rPr>
          <w:lang w:val="en-AU"/>
        </w:rPr>
        <w:t xml:space="preserve"> m/s). Figure </w:t>
      </w:r>
      <w:r w:rsidR="00E800AE">
        <w:rPr>
          <w:lang w:val="en-AU"/>
        </w:rPr>
        <w:t>40</w:t>
      </w:r>
      <w:r w:rsidR="006008B2" w:rsidRPr="001E6DBD">
        <w:rPr>
          <w:lang w:val="en-AU"/>
        </w:rPr>
        <w:t xml:space="preserve"> </w:t>
      </w:r>
      <w:r w:rsidRPr="001E6DBD">
        <w:rPr>
          <w:lang w:val="en-AU"/>
        </w:rPr>
        <w:t xml:space="preserve">displays measured values of horizontal hydraulic conductivity in different formations within the Surat Basin, based on assessments provided in published </w:t>
      </w:r>
      <w:r w:rsidR="003721DE">
        <w:rPr>
          <w:lang w:val="en-AU"/>
        </w:rPr>
        <w:t>coal seam gas</w:t>
      </w:r>
      <w:r w:rsidRPr="001E6DBD">
        <w:rPr>
          <w:lang w:val="en-AU"/>
        </w:rPr>
        <w:t>-related studies. A relatively wide range of hydraulic conductivity is reported for of each formation. In selecting a value for modelling, judgement is required if field-measured or calibrated magnitudes are unavailable.</w:t>
      </w:r>
    </w:p>
    <w:p w:rsidR="001E6DBD" w:rsidRPr="001E6DBD" w:rsidRDefault="001E6DBD" w:rsidP="005C357D">
      <w:pPr>
        <w:pStyle w:val="BRNormal11pt0"/>
      </w:pPr>
      <w:r w:rsidRPr="001E6DBD">
        <w:t>For the Surat Basin, University of Southern Queensland (2011) provide</w:t>
      </w:r>
      <w:r w:rsidR="006008B2">
        <w:t>d</w:t>
      </w:r>
      <w:r w:rsidRPr="001E6DBD">
        <w:t xml:space="preserve"> discussion of horizontal and vertical hydraulic conductivity values</w:t>
      </w:r>
      <w:r w:rsidR="003475AC">
        <w:t xml:space="preserve"> for each hydrogeological unit.</w:t>
      </w:r>
    </w:p>
    <w:p w:rsidR="001E6DBD" w:rsidRPr="001E6DBD" w:rsidRDefault="001E6DBD" w:rsidP="001E6DBD">
      <w:pPr>
        <w:pStyle w:val="BodyCopy"/>
        <w:rPr>
          <w:rFonts w:asciiTheme="majorHAnsi" w:hAnsiTheme="majorHAnsi" w:cstheme="majorHAnsi"/>
          <w:sz w:val="18"/>
          <w:szCs w:val="18"/>
          <w:lang w:val="en-AU"/>
        </w:rPr>
      </w:pPr>
    </w:p>
    <w:p w:rsidR="005C357D" w:rsidRDefault="001E6DBD" w:rsidP="005C357D">
      <w:pPr>
        <w:pStyle w:val="BodyCopy"/>
      </w:pPr>
      <w:r w:rsidRPr="001E6DBD">
        <w:rPr>
          <w:rFonts w:asciiTheme="majorHAnsi" w:hAnsiTheme="majorHAnsi" w:cstheme="majorHAnsi"/>
          <w:noProof/>
          <w:sz w:val="18"/>
          <w:szCs w:val="18"/>
          <w:lang w:val="en-AU" w:eastAsia="en-AU"/>
        </w:rPr>
        <w:drawing>
          <wp:inline distT="0" distB="0" distL="0" distR="0">
            <wp:extent cx="5416250" cy="5334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3708" cy="5341345"/>
                    </a:xfrm>
                    <a:prstGeom prst="rect">
                      <a:avLst/>
                    </a:prstGeom>
                    <a:noFill/>
                    <a:ln>
                      <a:noFill/>
                    </a:ln>
                  </pic:spPr>
                </pic:pic>
              </a:graphicData>
            </a:graphic>
          </wp:inline>
        </w:drawing>
      </w:r>
    </w:p>
    <w:p w:rsidR="005C357D" w:rsidRPr="001E6DBD" w:rsidRDefault="0016084C" w:rsidP="00D90926">
      <w:pPr>
        <w:pStyle w:val="Caption-figure"/>
      </w:pPr>
      <w:r>
        <w:t>F</w:t>
      </w:r>
      <w:r w:rsidRPr="005A4936">
        <w:t xml:space="preserve">igure </w:t>
      </w:r>
      <w:r w:rsidR="00E252C4">
        <w:fldChar w:fldCharType="begin"/>
      </w:r>
      <w:r w:rsidR="00484FBC">
        <w:instrText xml:space="preserve"> SEQ Figure \* ARABIC </w:instrText>
      </w:r>
      <w:r w:rsidR="00E252C4">
        <w:fldChar w:fldCharType="separate"/>
      </w:r>
      <w:r w:rsidR="00906141">
        <w:rPr>
          <w:noProof/>
        </w:rPr>
        <w:t>39</w:t>
      </w:r>
      <w:r w:rsidR="00E252C4">
        <w:fldChar w:fldCharType="end"/>
      </w:r>
      <w:r>
        <w:t xml:space="preserve"> </w:t>
      </w:r>
      <w:r w:rsidRPr="001E6DBD">
        <w:t xml:space="preserve">Reduction in </w:t>
      </w:r>
      <w:r>
        <w:t>h</w:t>
      </w:r>
      <w:r w:rsidRPr="001E6DBD">
        <w:t xml:space="preserve">ydraulic </w:t>
      </w:r>
      <w:r>
        <w:t>c</w:t>
      </w:r>
      <w:r w:rsidRPr="001E6DBD">
        <w:t xml:space="preserve">onductivity with </w:t>
      </w:r>
      <w:r>
        <w:t>d</w:t>
      </w:r>
      <w:r w:rsidRPr="001E6DBD">
        <w:t>epth (</w:t>
      </w:r>
      <w:r>
        <w:rPr>
          <w:rFonts w:cs="Arial"/>
        </w:rPr>
        <w:t>©</w:t>
      </w:r>
      <w:r>
        <w:t xml:space="preserve"> Copyr</w:t>
      </w:r>
      <w:r w:rsidR="00DD6833">
        <w:t>ight Aquaterra Consulting 2009)</w:t>
      </w:r>
    </w:p>
    <w:p w:rsidR="001E6DBD" w:rsidRPr="001E6DBD" w:rsidRDefault="001E6DBD" w:rsidP="001E6DBD">
      <w:pPr>
        <w:pStyle w:val="BodyCopy"/>
        <w:rPr>
          <w:rFonts w:asciiTheme="majorHAnsi" w:hAnsiTheme="majorHAnsi" w:cstheme="majorHAnsi"/>
          <w:sz w:val="18"/>
          <w:szCs w:val="18"/>
          <w:lang w:val="en-AU"/>
        </w:rPr>
      </w:pPr>
      <w:r w:rsidRPr="001E6DBD">
        <w:rPr>
          <w:rFonts w:asciiTheme="majorHAnsi" w:hAnsiTheme="majorHAnsi" w:cstheme="majorHAnsi"/>
          <w:noProof/>
          <w:sz w:val="18"/>
          <w:szCs w:val="18"/>
          <w:lang w:val="en-AU" w:eastAsia="en-AU"/>
        </w:rPr>
        <w:drawing>
          <wp:inline distT="0" distB="0" distL="0" distR="0">
            <wp:extent cx="5826760" cy="3370580"/>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6760" cy="3370580"/>
                    </a:xfrm>
                    <a:prstGeom prst="rect">
                      <a:avLst/>
                    </a:prstGeom>
                    <a:noFill/>
                    <a:ln>
                      <a:noFill/>
                    </a:ln>
                  </pic:spPr>
                </pic:pic>
              </a:graphicData>
            </a:graphic>
          </wp:inline>
        </w:drawing>
      </w:r>
    </w:p>
    <w:p w:rsidR="001E6DBD" w:rsidRPr="001E6DBD" w:rsidRDefault="00C00DF3"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40</w:t>
      </w:r>
      <w:r w:rsidR="00E252C4" w:rsidRPr="005A4936">
        <w:fldChar w:fldCharType="end"/>
      </w:r>
      <w:r>
        <w:t xml:space="preserve"> </w:t>
      </w:r>
      <w:r w:rsidR="001E6DBD" w:rsidRPr="001E6DBD">
        <w:t xml:space="preserve">Measured </w:t>
      </w:r>
      <w:r>
        <w:t>h</w:t>
      </w:r>
      <w:r w:rsidR="001E6DBD" w:rsidRPr="001E6DBD">
        <w:t xml:space="preserve">orizontal </w:t>
      </w:r>
      <w:r>
        <w:t>h</w:t>
      </w:r>
      <w:r w:rsidR="001E6DBD" w:rsidRPr="001E6DBD">
        <w:t xml:space="preserve">ydraulic </w:t>
      </w:r>
      <w:r>
        <w:t>c</w:t>
      </w:r>
      <w:r w:rsidR="001E6DBD" w:rsidRPr="001E6DBD">
        <w:t xml:space="preserve">onductivity for </w:t>
      </w:r>
      <w:r>
        <w:t>f</w:t>
      </w:r>
      <w:r w:rsidR="001E6DBD" w:rsidRPr="001E6DBD">
        <w:t xml:space="preserve">ormations in the Surat Basin (Queensland Water </w:t>
      </w:r>
      <w:r w:rsidRPr="001E6DBD">
        <w:t>Commission</w:t>
      </w:r>
      <w:r w:rsidR="001E6DBD" w:rsidRPr="001E6DBD">
        <w:t xml:space="preserve"> 2012)</w:t>
      </w:r>
    </w:p>
    <w:p w:rsidR="00093D1C" w:rsidRDefault="00093D1C" w:rsidP="0016084C">
      <w:pPr>
        <w:pStyle w:val="BRNormal11pt0"/>
      </w:pPr>
    </w:p>
    <w:p w:rsidR="00093D1C" w:rsidRDefault="00C00DF3">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15</w:t>
      </w:r>
      <w:r w:rsidR="00E252C4" w:rsidRPr="001E0FA8">
        <w:fldChar w:fldCharType="end"/>
      </w:r>
      <w:r>
        <w:t xml:space="preserve"> </w:t>
      </w:r>
      <w:r w:rsidR="001E6DBD" w:rsidRPr="001E6DBD">
        <w:t xml:space="preserve">Hydraulic </w:t>
      </w:r>
      <w:r>
        <w:t>c</w:t>
      </w:r>
      <w:r w:rsidR="001E6DBD" w:rsidRPr="001E6DBD">
        <w:t xml:space="preserve">onductivity of </w:t>
      </w:r>
      <w:r>
        <w:t>f</w:t>
      </w:r>
      <w:r w:rsidR="001E6DBD" w:rsidRPr="001E6DBD">
        <w:t>ormations in the Surat Basin (Coffey Environments 2012)</w:t>
      </w:r>
    </w:p>
    <w:tbl>
      <w:tblPr>
        <w:tblStyle w:val="TableGrid"/>
        <w:tblW w:w="0" w:type="auto"/>
        <w:tblInd w:w="108" w:type="dxa"/>
        <w:tblLook w:val="04A0"/>
      </w:tblPr>
      <w:tblGrid>
        <w:gridCol w:w="2977"/>
        <w:gridCol w:w="2410"/>
        <w:gridCol w:w="1465"/>
        <w:gridCol w:w="2320"/>
      </w:tblGrid>
      <w:tr w:rsidR="005C357D" w:rsidTr="00CA33A1">
        <w:trPr>
          <w:tblHeader/>
        </w:trPr>
        <w:tc>
          <w:tcPr>
            <w:tcW w:w="2977" w:type="dxa"/>
            <w:shd w:val="clear" w:color="auto" w:fill="B8CCE4" w:themeFill="accent1" w:themeFillTint="66"/>
          </w:tcPr>
          <w:p w:rsidR="005C357D" w:rsidRDefault="005C357D" w:rsidP="00CA33A1">
            <w:pPr>
              <w:pStyle w:val="Tableheading"/>
            </w:pPr>
            <w:r>
              <w:t>Hydrogeological unit</w:t>
            </w:r>
          </w:p>
        </w:tc>
        <w:tc>
          <w:tcPr>
            <w:tcW w:w="2410" w:type="dxa"/>
            <w:shd w:val="clear" w:color="auto" w:fill="B8CCE4" w:themeFill="accent1" w:themeFillTint="66"/>
          </w:tcPr>
          <w:p w:rsidR="005C357D" w:rsidRDefault="005C357D" w:rsidP="00CA33A1">
            <w:pPr>
              <w:pStyle w:val="Tableheading"/>
            </w:pPr>
            <w:r>
              <w:t>Horizontal hydraulic conductivity (m/day)</w:t>
            </w:r>
          </w:p>
        </w:tc>
        <w:tc>
          <w:tcPr>
            <w:tcW w:w="1465" w:type="dxa"/>
            <w:shd w:val="clear" w:color="auto" w:fill="B8CCE4" w:themeFill="accent1" w:themeFillTint="66"/>
          </w:tcPr>
          <w:p w:rsidR="005C357D" w:rsidRDefault="005C357D" w:rsidP="00CA33A1">
            <w:pPr>
              <w:pStyle w:val="Tableheading"/>
            </w:pPr>
            <w:r>
              <w:t>Kv:Kh ratio</w:t>
            </w:r>
          </w:p>
        </w:tc>
        <w:tc>
          <w:tcPr>
            <w:tcW w:w="2320" w:type="dxa"/>
            <w:shd w:val="clear" w:color="auto" w:fill="B8CCE4" w:themeFill="accent1" w:themeFillTint="66"/>
          </w:tcPr>
          <w:p w:rsidR="005C357D" w:rsidRDefault="005C357D" w:rsidP="00CA33A1">
            <w:pPr>
              <w:pStyle w:val="Tableheading"/>
            </w:pPr>
            <w:r>
              <w:t>Specific storage (m</w:t>
            </w:r>
            <w:r w:rsidRPr="005C357D">
              <w:rPr>
                <w:vertAlign w:val="superscript"/>
              </w:rPr>
              <w:t>-1</w:t>
            </w:r>
            <w:r>
              <w:t>)</w:t>
            </w:r>
          </w:p>
        </w:tc>
      </w:tr>
      <w:tr w:rsidR="005C357D" w:rsidTr="00CA33A1">
        <w:tc>
          <w:tcPr>
            <w:tcW w:w="2977" w:type="dxa"/>
          </w:tcPr>
          <w:p w:rsidR="005C357D" w:rsidRDefault="005C357D" w:rsidP="00CA33A1">
            <w:pPr>
              <w:pStyle w:val="Tabletext"/>
            </w:pPr>
            <w:r>
              <w:t>Condamine River Alluvium</w:t>
            </w:r>
          </w:p>
        </w:tc>
        <w:tc>
          <w:tcPr>
            <w:tcW w:w="2410" w:type="dxa"/>
          </w:tcPr>
          <w:p w:rsidR="005C357D" w:rsidRDefault="005C357D" w:rsidP="00CA33A1">
            <w:pPr>
              <w:pStyle w:val="Tabletext"/>
            </w:pPr>
            <w:r>
              <w:t>5 (0.01 - &gt;30)</w:t>
            </w:r>
          </w:p>
        </w:tc>
        <w:tc>
          <w:tcPr>
            <w:tcW w:w="1465" w:type="dxa"/>
          </w:tcPr>
          <w:p w:rsidR="005C357D" w:rsidRDefault="005C357D" w:rsidP="00CA33A1">
            <w:pPr>
              <w:pStyle w:val="Tabletext"/>
            </w:pPr>
            <w:r>
              <w:t>1:10</w:t>
            </w:r>
          </w:p>
        </w:tc>
        <w:tc>
          <w:tcPr>
            <w:tcW w:w="2320" w:type="dxa"/>
          </w:tcPr>
          <w:p w:rsidR="005C357D" w:rsidRPr="00CA33A1" w:rsidRDefault="00CA33A1" w:rsidP="00CA33A1">
            <w:pPr>
              <w:pStyle w:val="Tabletext"/>
              <w:rPr>
                <w:vertAlign w:val="superscript"/>
              </w:rPr>
            </w:pPr>
            <w:r>
              <w:t>0.05 (0.04 - 5x10</w:t>
            </w:r>
            <w:r>
              <w:rPr>
                <w:vertAlign w:val="superscript"/>
              </w:rPr>
              <w:t>-8</w:t>
            </w:r>
          </w:p>
        </w:tc>
      </w:tr>
      <w:tr w:rsidR="005C357D" w:rsidTr="00CA33A1">
        <w:tc>
          <w:tcPr>
            <w:tcW w:w="2977" w:type="dxa"/>
          </w:tcPr>
          <w:p w:rsidR="005C357D" w:rsidRDefault="005C357D" w:rsidP="00CA33A1">
            <w:pPr>
              <w:pStyle w:val="Tabletext"/>
            </w:pPr>
            <w:r>
              <w:t>Gubberamunda Sandstone</w:t>
            </w:r>
          </w:p>
        </w:tc>
        <w:tc>
          <w:tcPr>
            <w:tcW w:w="2410" w:type="dxa"/>
          </w:tcPr>
          <w:p w:rsidR="005C357D" w:rsidRDefault="005C357D" w:rsidP="00CA33A1">
            <w:pPr>
              <w:pStyle w:val="Tabletext"/>
            </w:pPr>
            <w:r>
              <w:t>0.5 (0.1 - 5)</w:t>
            </w:r>
          </w:p>
        </w:tc>
        <w:tc>
          <w:tcPr>
            <w:tcW w:w="1465" w:type="dxa"/>
          </w:tcPr>
          <w:p w:rsidR="005C357D" w:rsidRDefault="005C357D" w:rsidP="00CA33A1">
            <w:pPr>
              <w:pStyle w:val="Tabletext"/>
            </w:pPr>
            <w:r>
              <w:t>1:10</w:t>
            </w:r>
          </w:p>
        </w:tc>
        <w:tc>
          <w:tcPr>
            <w:tcW w:w="2320" w:type="dxa"/>
          </w:tcPr>
          <w:p w:rsidR="005C357D" w:rsidRPr="00CA33A1" w:rsidRDefault="00CA33A1" w:rsidP="00CA33A1">
            <w:pPr>
              <w:pStyle w:val="Tabletext"/>
            </w:pPr>
            <w:r>
              <w:t>5x10</w:t>
            </w:r>
            <w:r>
              <w:rPr>
                <w:vertAlign w:val="superscript"/>
              </w:rPr>
              <w:t>-6</w:t>
            </w:r>
            <w:r>
              <w:t xml:space="preserve"> (1x10</w:t>
            </w:r>
            <w:r>
              <w:rPr>
                <w:vertAlign w:val="superscript"/>
              </w:rPr>
              <w:t>-4</w:t>
            </w:r>
            <w:r>
              <w:t xml:space="preserve"> - 10</w:t>
            </w:r>
            <w:r>
              <w:rPr>
                <w:vertAlign w:val="superscript"/>
              </w:rPr>
              <w:t>-7</w:t>
            </w:r>
            <w:r>
              <w:t>)</w:t>
            </w:r>
          </w:p>
        </w:tc>
      </w:tr>
      <w:tr w:rsidR="005C357D" w:rsidTr="00CA33A1">
        <w:tc>
          <w:tcPr>
            <w:tcW w:w="2977" w:type="dxa"/>
          </w:tcPr>
          <w:p w:rsidR="005C357D" w:rsidRDefault="005C357D" w:rsidP="00CA33A1">
            <w:pPr>
              <w:pStyle w:val="Tabletext"/>
            </w:pPr>
            <w:r>
              <w:t>Kumbarilla Beds</w:t>
            </w:r>
          </w:p>
        </w:tc>
        <w:tc>
          <w:tcPr>
            <w:tcW w:w="2410" w:type="dxa"/>
          </w:tcPr>
          <w:p w:rsidR="005C357D" w:rsidRDefault="005C357D" w:rsidP="00CA33A1">
            <w:pPr>
              <w:pStyle w:val="Tabletext"/>
            </w:pPr>
            <w:r>
              <w:t>0.1</w:t>
            </w:r>
          </w:p>
        </w:tc>
        <w:tc>
          <w:tcPr>
            <w:tcW w:w="1465" w:type="dxa"/>
          </w:tcPr>
          <w:p w:rsidR="005C357D" w:rsidRDefault="005C357D" w:rsidP="00CA33A1">
            <w:pPr>
              <w:pStyle w:val="Tabletext"/>
            </w:pPr>
            <w:r>
              <w:t>1:50</w:t>
            </w:r>
          </w:p>
        </w:tc>
        <w:tc>
          <w:tcPr>
            <w:tcW w:w="2320" w:type="dxa"/>
          </w:tcPr>
          <w:p w:rsidR="005C357D" w:rsidRDefault="00CA33A1" w:rsidP="00CA33A1">
            <w:pPr>
              <w:pStyle w:val="Tabletext"/>
            </w:pPr>
            <w:r>
              <w:t>5x10</w:t>
            </w:r>
            <w:r>
              <w:rPr>
                <w:vertAlign w:val="superscript"/>
              </w:rPr>
              <w:t>-6</w:t>
            </w:r>
          </w:p>
        </w:tc>
      </w:tr>
      <w:tr w:rsidR="005C357D" w:rsidTr="00CA33A1">
        <w:tc>
          <w:tcPr>
            <w:tcW w:w="2977" w:type="dxa"/>
          </w:tcPr>
          <w:p w:rsidR="005C357D" w:rsidRDefault="005C357D" w:rsidP="00CA33A1">
            <w:pPr>
              <w:pStyle w:val="Tabletext"/>
            </w:pPr>
            <w:r>
              <w:t>Westbourne Formation</w:t>
            </w:r>
          </w:p>
        </w:tc>
        <w:tc>
          <w:tcPr>
            <w:tcW w:w="2410" w:type="dxa"/>
          </w:tcPr>
          <w:p w:rsidR="005C357D" w:rsidRDefault="005C357D" w:rsidP="00CA33A1">
            <w:pPr>
              <w:pStyle w:val="Tabletext"/>
            </w:pPr>
            <w:r>
              <w:t>0.001</w:t>
            </w:r>
          </w:p>
        </w:tc>
        <w:tc>
          <w:tcPr>
            <w:tcW w:w="1465" w:type="dxa"/>
          </w:tcPr>
          <w:p w:rsidR="005C357D" w:rsidRDefault="005C357D" w:rsidP="00CA33A1">
            <w:pPr>
              <w:pStyle w:val="Tabletext"/>
            </w:pPr>
            <w:r>
              <w:t>1:100</w:t>
            </w:r>
          </w:p>
        </w:tc>
        <w:tc>
          <w:tcPr>
            <w:tcW w:w="2320" w:type="dxa"/>
          </w:tcPr>
          <w:p w:rsidR="005C357D" w:rsidRDefault="00CA33A1" w:rsidP="00CA33A1">
            <w:pPr>
              <w:pStyle w:val="Tabletext"/>
            </w:pPr>
            <w:r>
              <w:t>5x10</w:t>
            </w:r>
            <w:r>
              <w:rPr>
                <w:vertAlign w:val="superscript"/>
              </w:rPr>
              <w:t>-6</w:t>
            </w:r>
          </w:p>
        </w:tc>
      </w:tr>
      <w:tr w:rsidR="005C357D" w:rsidTr="00CA33A1">
        <w:tc>
          <w:tcPr>
            <w:tcW w:w="2977" w:type="dxa"/>
          </w:tcPr>
          <w:p w:rsidR="005C357D" w:rsidRDefault="005C357D" w:rsidP="00CA33A1">
            <w:pPr>
              <w:pStyle w:val="Tabletext"/>
            </w:pPr>
            <w:r>
              <w:t>Springbok Sandstone</w:t>
            </w:r>
          </w:p>
        </w:tc>
        <w:tc>
          <w:tcPr>
            <w:tcW w:w="2410" w:type="dxa"/>
          </w:tcPr>
          <w:p w:rsidR="005C357D" w:rsidRDefault="005C357D" w:rsidP="00CA33A1">
            <w:pPr>
              <w:pStyle w:val="Tabletext"/>
            </w:pPr>
            <w:r>
              <w:t>0.5</w:t>
            </w:r>
          </w:p>
        </w:tc>
        <w:tc>
          <w:tcPr>
            <w:tcW w:w="1465" w:type="dxa"/>
          </w:tcPr>
          <w:p w:rsidR="005C357D" w:rsidRDefault="005C357D" w:rsidP="00CA33A1">
            <w:pPr>
              <w:pStyle w:val="Tabletext"/>
            </w:pPr>
            <w:r>
              <w:t>1:10</w:t>
            </w:r>
          </w:p>
        </w:tc>
        <w:tc>
          <w:tcPr>
            <w:tcW w:w="2320" w:type="dxa"/>
          </w:tcPr>
          <w:p w:rsidR="005C357D" w:rsidRDefault="00CA33A1" w:rsidP="00CA33A1">
            <w:pPr>
              <w:pStyle w:val="Tabletext"/>
            </w:pPr>
            <w:r>
              <w:t>5x10</w:t>
            </w:r>
            <w:r>
              <w:rPr>
                <w:vertAlign w:val="superscript"/>
              </w:rPr>
              <w:t>-6</w:t>
            </w:r>
          </w:p>
        </w:tc>
      </w:tr>
      <w:tr w:rsidR="00CA33A1" w:rsidTr="00CA33A1">
        <w:tc>
          <w:tcPr>
            <w:tcW w:w="2977" w:type="dxa"/>
          </w:tcPr>
          <w:p w:rsidR="00CA33A1" w:rsidRDefault="00CA33A1" w:rsidP="00CA33A1">
            <w:pPr>
              <w:pStyle w:val="Tabletext"/>
            </w:pPr>
            <w:r>
              <w:t>Juandah Coal Measures</w:t>
            </w:r>
          </w:p>
        </w:tc>
        <w:tc>
          <w:tcPr>
            <w:tcW w:w="2410" w:type="dxa"/>
          </w:tcPr>
          <w:p w:rsidR="00CA33A1" w:rsidRDefault="00CA33A1" w:rsidP="00CA33A1">
            <w:pPr>
              <w:pStyle w:val="Tabletext"/>
            </w:pPr>
            <w:r>
              <w:t>0.001 (0.0001 - 1)</w:t>
            </w:r>
          </w:p>
        </w:tc>
        <w:tc>
          <w:tcPr>
            <w:tcW w:w="1465" w:type="dxa"/>
          </w:tcPr>
          <w:p w:rsidR="00CA33A1" w:rsidRDefault="00CA33A1" w:rsidP="00CA33A1">
            <w:pPr>
              <w:pStyle w:val="Tabletext"/>
            </w:pPr>
            <w:r>
              <w:t>1:100</w:t>
            </w:r>
          </w:p>
        </w:tc>
        <w:tc>
          <w:tcPr>
            <w:tcW w:w="2320" w:type="dxa"/>
          </w:tcPr>
          <w:p w:rsidR="00CA33A1" w:rsidRPr="00CA33A1" w:rsidRDefault="00CA33A1" w:rsidP="00CA33A1">
            <w:pPr>
              <w:pStyle w:val="Tabletext"/>
            </w:pPr>
            <w:r>
              <w:t>5x10</w:t>
            </w:r>
            <w:r>
              <w:rPr>
                <w:vertAlign w:val="superscript"/>
              </w:rPr>
              <w:t>-6</w:t>
            </w:r>
            <w:r>
              <w:t xml:space="preserve"> (6x10</w:t>
            </w:r>
            <w:r>
              <w:rPr>
                <w:vertAlign w:val="superscript"/>
              </w:rPr>
              <w:t>-6</w:t>
            </w:r>
            <w:r>
              <w:t xml:space="preserve"> - 6x10</w:t>
            </w:r>
            <w:r>
              <w:rPr>
                <w:vertAlign w:val="superscript"/>
              </w:rPr>
              <w:t>-7</w:t>
            </w:r>
            <w:r>
              <w:t>)</w:t>
            </w:r>
          </w:p>
        </w:tc>
      </w:tr>
      <w:tr w:rsidR="00CA33A1" w:rsidTr="00CA33A1">
        <w:tc>
          <w:tcPr>
            <w:tcW w:w="2977" w:type="dxa"/>
          </w:tcPr>
          <w:p w:rsidR="00CA33A1" w:rsidRDefault="00CA33A1" w:rsidP="00CA33A1">
            <w:pPr>
              <w:pStyle w:val="Tabletext"/>
            </w:pPr>
            <w:r>
              <w:t>Tangalooma Sandstone</w:t>
            </w:r>
          </w:p>
        </w:tc>
        <w:tc>
          <w:tcPr>
            <w:tcW w:w="2410" w:type="dxa"/>
          </w:tcPr>
          <w:p w:rsidR="00CA33A1" w:rsidRDefault="00CA33A1" w:rsidP="00CA33A1">
            <w:pPr>
              <w:pStyle w:val="Tabletext"/>
            </w:pPr>
            <w:r>
              <w:t>0.1</w:t>
            </w:r>
          </w:p>
        </w:tc>
        <w:tc>
          <w:tcPr>
            <w:tcW w:w="1465" w:type="dxa"/>
          </w:tcPr>
          <w:p w:rsidR="00CA33A1" w:rsidRDefault="00CA33A1" w:rsidP="00CA33A1">
            <w:pPr>
              <w:pStyle w:val="Tabletext"/>
            </w:pPr>
            <w:r>
              <w:t>1:50</w:t>
            </w:r>
          </w:p>
        </w:tc>
        <w:tc>
          <w:tcPr>
            <w:tcW w:w="2320" w:type="dxa"/>
          </w:tcPr>
          <w:p w:rsidR="00CA33A1" w:rsidRDefault="00CA33A1" w:rsidP="00CA33A1">
            <w:pPr>
              <w:pStyle w:val="Tabletext"/>
            </w:pPr>
            <w:r>
              <w:t>5x10</w:t>
            </w:r>
            <w:r>
              <w:rPr>
                <w:vertAlign w:val="superscript"/>
              </w:rPr>
              <w:t>-6</w:t>
            </w:r>
          </w:p>
        </w:tc>
      </w:tr>
      <w:tr w:rsidR="00CA33A1" w:rsidTr="00CA33A1">
        <w:tc>
          <w:tcPr>
            <w:tcW w:w="2977" w:type="dxa"/>
          </w:tcPr>
          <w:p w:rsidR="00CA33A1" w:rsidRDefault="00CA33A1" w:rsidP="00CA33A1">
            <w:pPr>
              <w:pStyle w:val="Tabletext"/>
            </w:pPr>
            <w:r>
              <w:t>Taroom Coal Measures</w:t>
            </w:r>
          </w:p>
        </w:tc>
        <w:tc>
          <w:tcPr>
            <w:tcW w:w="2410" w:type="dxa"/>
          </w:tcPr>
          <w:p w:rsidR="00CA33A1" w:rsidRDefault="00CA33A1" w:rsidP="00CA33A1">
            <w:pPr>
              <w:pStyle w:val="Tabletext"/>
            </w:pPr>
            <w:r>
              <w:t>0.001 (0.0001 - 1)</w:t>
            </w:r>
          </w:p>
        </w:tc>
        <w:tc>
          <w:tcPr>
            <w:tcW w:w="1465" w:type="dxa"/>
          </w:tcPr>
          <w:p w:rsidR="00CA33A1" w:rsidRDefault="00CA33A1" w:rsidP="00CA33A1">
            <w:pPr>
              <w:pStyle w:val="Tabletext"/>
            </w:pPr>
            <w:r>
              <w:t>1:100</w:t>
            </w:r>
          </w:p>
        </w:tc>
        <w:tc>
          <w:tcPr>
            <w:tcW w:w="2320" w:type="dxa"/>
          </w:tcPr>
          <w:p w:rsidR="00CA33A1" w:rsidRDefault="00CA33A1" w:rsidP="00CA33A1">
            <w:pPr>
              <w:pStyle w:val="Tabletext"/>
            </w:pPr>
            <w:r>
              <w:t>5x10</w:t>
            </w:r>
            <w:r>
              <w:rPr>
                <w:vertAlign w:val="superscript"/>
              </w:rPr>
              <w:t>-6</w:t>
            </w:r>
          </w:p>
        </w:tc>
      </w:tr>
      <w:tr w:rsidR="00CA33A1" w:rsidTr="00CA33A1">
        <w:tc>
          <w:tcPr>
            <w:tcW w:w="2977" w:type="dxa"/>
          </w:tcPr>
          <w:p w:rsidR="00CA33A1" w:rsidRDefault="00CA33A1" w:rsidP="00CA33A1">
            <w:pPr>
              <w:pStyle w:val="Tabletext"/>
            </w:pPr>
            <w:r>
              <w:t>Durabilla/Eurombah Formation</w:t>
            </w:r>
          </w:p>
        </w:tc>
        <w:tc>
          <w:tcPr>
            <w:tcW w:w="2410" w:type="dxa"/>
          </w:tcPr>
          <w:p w:rsidR="00CA33A1" w:rsidRDefault="00CA33A1" w:rsidP="00CA33A1">
            <w:pPr>
              <w:pStyle w:val="Tabletext"/>
            </w:pPr>
            <w:r>
              <w:t>0.05 (0.03 - 0.14)</w:t>
            </w:r>
          </w:p>
        </w:tc>
        <w:tc>
          <w:tcPr>
            <w:tcW w:w="1465" w:type="dxa"/>
          </w:tcPr>
          <w:p w:rsidR="00CA33A1" w:rsidRDefault="00CA33A1" w:rsidP="00CA33A1">
            <w:pPr>
              <w:pStyle w:val="Tabletext"/>
            </w:pPr>
            <w:r>
              <w:t>1:50</w:t>
            </w:r>
          </w:p>
        </w:tc>
        <w:tc>
          <w:tcPr>
            <w:tcW w:w="2320" w:type="dxa"/>
          </w:tcPr>
          <w:p w:rsidR="00CA33A1" w:rsidRDefault="00CA33A1" w:rsidP="00CA33A1">
            <w:pPr>
              <w:pStyle w:val="Tabletext"/>
            </w:pPr>
            <w:r>
              <w:t>5x10</w:t>
            </w:r>
            <w:r>
              <w:rPr>
                <w:vertAlign w:val="superscript"/>
              </w:rPr>
              <w:t>-6</w:t>
            </w:r>
          </w:p>
        </w:tc>
      </w:tr>
      <w:tr w:rsidR="00CA33A1" w:rsidTr="00CA33A1">
        <w:tc>
          <w:tcPr>
            <w:tcW w:w="2977" w:type="dxa"/>
          </w:tcPr>
          <w:p w:rsidR="00CA33A1" w:rsidRDefault="00CA33A1" w:rsidP="00CA33A1">
            <w:pPr>
              <w:pStyle w:val="Tabletext"/>
            </w:pPr>
            <w:r>
              <w:t>Hutton Sandstone</w:t>
            </w:r>
          </w:p>
        </w:tc>
        <w:tc>
          <w:tcPr>
            <w:tcW w:w="2410" w:type="dxa"/>
          </w:tcPr>
          <w:p w:rsidR="00CA33A1" w:rsidRDefault="00CA33A1" w:rsidP="00CA33A1">
            <w:pPr>
              <w:pStyle w:val="Tabletext"/>
            </w:pPr>
            <w:r>
              <w:t>0.1 (0.05 - 1.25)</w:t>
            </w:r>
          </w:p>
        </w:tc>
        <w:tc>
          <w:tcPr>
            <w:tcW w:w="1465" w:type="dxa"/>
          </w:tcPr>
          <w:p w:rsidR="00CA33A1" w:rsidRDefault="00CA33A1" w:rsidP="00CA33A1">
            <w:pPr>
              <w:pStyle w:val="Tabletext"/>
            </w:pPr>
            <w:r>
              <w:t>1:50</w:t>
            </w:r>
          </w:p>
        </w:tc>
        <w:tc>
          <w:tcPr>
            <w:tcW w:w="2320" w:type="dxa"/>
          </w:tcPr>
          <w:p w:rsidR="00CA33A1" w:rsidRPr="00CA33A1" w:rsidRDefault="00CA33A1" w:rsidP="00CA33A1">
            <w:pPr>
              <w:pStyle w:val="Tabletext"/>
            </w:pPr>
            <w:r>
              <w:t>5x10</w:t>
            </w:r>
            <w:r>
              <w:rPr>
                <w:vertAlign w:val="superscript"/>
              </w:rPr>
              <w:t>-6</w:t>
            </w:r>
            <w:r>
              <w:t xml:space="preserve"> (3x10</w:t>
            </w:r>
            <w:r>
              <w:rPr>
                <w:vertAlign w:val="superscript"/>
              </w:rPr>
              <w:t>-6</w:t>
            </w:r>
            <w:r>
              <w:t xml:space="preserve"> - 1x10</w:t>
            </w:r>
            <w:r>
              <w:rPr>
                <w:vertAlign w:val="superscript"/>
              </w:rPr>
              <w:t>-8</w:t>
            </w:r>
            <w:r>
              <w:t>)</w:t>
            </w:r>
          </w:p>
        </w:tc>
      </w:tr>
      <w:tr w:rsidR="00CA33A1" w:rsidTr="00CA33A1">
        <w:tc>
          <w:tcPr>
            <w:tcW w:w="2977" w:type="dxa"/>
          </w:tcPr>
          <w:p w:rsidR="00CA33A1" w:rsidRDefault="00CA33A1" w:rsidP="00CA33A1">
            <w:pPr>
              <w:pStyle w:val="Tabletext"/>
            </w:pPr>
            <w:r>
              <w:t>Evergreen Formation</w:t>
            </w:r>
          </w:p>
        </w:tc>
        <w:tc>
          <w:tcPr>
            <w:tcW w:w="2410" w:type="dxa"/>
          </w:tcPr>
          <w:p w:rsidR="00CA33A1" w:rsidRDefault="00CA33A1" w:rsidP="00CA33A1">
            <w:pPr>
              <w:pStyle w:val="Tabletext"/>
            </w:pPr>
            <w:r>
              <w:t>0.001 (0.008)</w:t>
            </w:r>
          </w:p>
        </w:tc>
        <w:tc>
          <w:tcPr>
            <w:tcW w:w="1465" w:type="dxa"/>
          </w:tcPr>
          <w:p w:rsidR="00CA33A1" w:rsidRDefault="00CA33A1" w:rsidP="00CA33A1">
            <w:pPr>
              <w:pStyle w:val="Tabletext"/>
            </w:pPr>
            <w:r>
              <w:t>1:100</w:t>
            </w:r>
          </w:p>
        </w:tc>
        <w:tc>
          <w:tcPr>
            <w:tcW w:w="2320" w:type="dxa"/>
          </w:tcPr>
          <w:p w:rsidR="00CA33A1" w:rsidRDefault="00CA33A1" w:rsidP="00CA33A1">
            <w:pPr>
              <w:pStyle w:val="Tabletext"/>
            </w:pPr>
            <w:r>
              <w:t>5x10</w:t>
            </w:r>
            <w:r>
              <w:rPr>
                <w:vertAlign w:val="superscript"/>
              </w:rPr>
              <w:t>-6</w:t>
            </w:r>
          </w:p>
        </w:tc>
      </w:tr>
      <w:tr w:rsidR="00CA33A1" w:rsidTr="00CA33A1">
        <w:tc>
          <w:tcPr>
            <w:tcW w:w="2977" w:type="dxa"/>
          </w:tcPr>
          <w:p w:rsidR="00CA33A1" w:rsidRDefault="00CA33A1" w:rsidP="00CA33A1">
            <w:pPr>
              <w:pStyle w:val="Tabletext"/>
            </w:pPr>
            <w:r>
              <w:t>Precipice Sandstone</w:t>
            </w:r>
          </w:p>
        </w:tc>
        <w:tc>
          <w:tcPr>
            <w:tcW w:w="2410" w:type="dxa"/>
          </w:tcPr>
          <w:p w:rsidR="00CA33A1" w:rsidRDefault="00CA33A1" w:rsidP="00CA33A1">
            <w:pPr>
              <w:pStyle w:val="Tabletext"/>
            </w:pPr>
            <w:r>
              <w:t>1 (0.1 - 4)</w:t>
            </w:r>
          </w:p>
        </w:tc>
        <w:tc>
          <w:tcPr>
            <w:tcW w:w="1465" w:type="dxa"/>
          </w:tcPr>
          <w:p w:rsidR="00CA33A1" w:rsidRDefault="00CA33A1" w:rsidP="00CA33A1">
            <w:pPr>
              <w:pStyle w:val="Tabletext"/>
            </w:pPr>
            <w:r>
              <w:t>1:10</w:t>
            </w:r>
          </w:p>
        </w:tc>
        <w:tc>
          <w:tcPr>
            <w:tcW w:w="2320" w:type="dxa"/>
          </w:tcPr>
          <w:p w:rsidR="00CA33A1" w:rsidRPr="00CA33A1" w:rsidRDefault="00CA33A1" w:rsidP="00CA33A1">
            <w:pPr>
              <w:pStyle w:val="Tabletext"/>
            </w:pPr>
            <w:r>
              <w:t>5x10</w:t>
            </w:r>
            <w:r>
              <w:rPr>
                <w:vertAlign w:val="superscript"/>
              </w:rPr>
              <w:t>-6</w:t>
            </w:r>
            <w:r>
              <w:t xml:space="preserve"> (5x10</w:t>
            </w:r>
            <w:r>
              <w:rPr>
                <w:vertAlign w:val="superscript"/>
              </w:rPr>
              <w:t>-8</w:t>
            </w:r>
            <w:r>
              <w:t xml:space="preserve"> - 1x10</w:t>
            </w:r>
            <w:r>
              <w:rPr>
                <w:vertAlign w:val="superscript"/>
              </w:rPr>
              <w:t>-7</w:t>
            </w:r>
            <w:r>
              <w:t>)</w:t>
            </w:r>
          </w:p>
        </w:tc>
      </w:tr>
      <w:tr w:rsidR="00CA33A1" w:rsidTr="00CA33A1">
        <w:tc>
          <w:tcPr>
            <w:tcW w:w="2977" w:type="dxa"/>
          </w:tcPr>
          <w:p w:rsidR="00CA33A1" w:rsidRDefault="00CA33A1" w:rsidP="00CA33A1">
            <w:pPr>
              <w:pStyle w:val="Tabletext"/>
            </w:pPr>
            <w:r>
              <w:t>Triassic (upper 200m)</w:t>
            </w:r>
          </w:p>
        </w:tc>
        <w:tc>
          <w:tcPr>
            <w:tcW w:w="2410" w:type="dxa"/>
          </w:tcPr>
          <w:p w:rsidR="00CA33A1" w:rsidRDefault="00CA33A1" w:rsidP="00CA33A1">
            <w:pPr>
              <w:pStyle w:val="Tabletext"/>
            </w:pPr>
            <w:r>
              <w:t>0.0001</w:t>
            </w:r>
          </w:p>
        </w:tc>
        <w:tc>
          <w:tcPr>
            <w:tcW w:w="1465" w:type="dxa"/>
          </w:tcPr>
          <w:p w:rsidR="00CA33A1" w:rsidRDefault="00CA33A1" w:rsidP="00CA33A1">
            <w:pPr>
              <w:pStyle w:val="Tabletext"/>
            </w:pPr>
            <w:r>
              <w:t>1:50</w:t>
            </w:r>
          </w:p>
        </w:tc>
        <w:tc>
          <w:tcPr>
            <w:tcW w:w="2320" w:type="dxa"/>
          </w:tcPr>
          <w:p w:rsidR="00CA33A1" w:rsidRDefault="00CA33A1" w:rsidP="00CA33A1">
            <w:pPr>
              <w:pStyle w:val="Tabletext"/>
            </w:pPr>
            <w:r>
              <w:t>5x10</w:t>
            </w:r>
            <w:r>
              <w:rPr>
                <w:vertAlign w:val="superscript"/>
              </w:rPr>
              <w:t>-6</w:t>
            </w:r>
          </w:p>
        </w:tc>
      </w:tr>
    </w:tbl>
    <w:p w:rsidR="005C357D" w:rsidRDefault="005C357D" w:rsidP="0016084C">
      <w:pPr>
        <w:pStyle w:val="BRNormal11pt0"/>
      </w:pPr>
    </w:p>
    <w:p w:rsidR="001E6DBD" w:rsidRPr="001E6DBD" w:rsidRDefault="001E6DBD" w:rsidP="00CA33A1">
      <w:pPr>
        <w:pStyle w:val="Heading2"/>
      </w:pPr>
      <w:bookmarkStart w:id="603" w:name="_Toc387410270"/>
      <w:bookmarkStart w:id="604" w:name="_Toc402425342"/>
      <w:r w:rsidRPr="001E6DBD">
        <w:t xml:space="preserve">Specific </w:t>
      </w:r>
      <w:r w:rsidR="00FD23B8">
        <w:t>s</w:t>
      </w:r>
      <w:r w:rsidRPr="001E6DBD">
        <w:t>torage (</w:t>
      </w:r>
      <w:r w:rsidRPr="001E6DBD">
        <w:rPr>
          <w:i/>
        </w:rPr>
        <w:t>S</w:t>
      </w:r>
      <w:r w:rsidRPr="001E6DBD">
        <w:rPr>
          <w:i/>
          <w:vertAlign w:val="subscript"/>
        </w:rPr>
        <w:t>s</w:t>
      </w:r>
      <w:r w:rsidRPr="001E6DBD">
        <w:t>)</w:t>
      </w:r>
      <w:bookmarkEnd w:id="603"/>
      <w:bookmarkEnd w:id="604"/>
    </w:p>
    <w:p w:rsidR="001E6DBD" w:rsidRPr="001E6DBD" w:rsidRDefault="001E6DBD" w:rsidP="00CA33A1">
      <w:pPr>
        <w:pStyle w:val="BRNormal11pt0"/>
      </w:pPr>
      <w:r w:rsidRPr="001E6DBD">
        <w:t xml:space="preserve">The specific storage, for a saturated material, is the amount of water expelled per unit volume, due to </w:t>
      </w:r>
      <w:r w:rsidR="00532A1B">
        <w:t>compaction</w:t>
      </w:r>
      <w:r w:rsidRPr="001E6DBD">
        <w:t xml:space="preserve"> of the solid skeleton and expansion of water, resulting from a unit decline in hydraulic head. Specific storage is usually expressed in m</w:t>
      </w:r>
      <w:r w:rsidRPr="001E6DBD">
        <w:rPr>
          <w:vertAlign w:val="superscript"/>
        </w:rPr>
        <w:t>-1</w:t>
      </w:r>
      <w:r w:rsidRPr="001E6DBD">
        <w:t>.</w:t>
      </w:r>
    </w:p>
    <w:p w:rsidR="001E6DBD" w:rsidRPr="001E6DBD" w:rsidRDefault="001E6DBD" w:rsidP="00CA33A1">
      <w:pPr>
        <w:pStyle w:val="BRNormal11pt0"/>
      </w:pPr>
      <w:r w:rsidRPr="001E6DBD">
        <w:t>Specific storage, S</w:t>
      </w:r>
      <w:r w:rsidRPr="001E6DBD">
        <w:rPr>
          <w:vertAlign w:val="subscript"/>
        </w:rPr>
        <w:t>s</w:t>
      </w:r>
      <w:r w:rsidRPr="001E6DBD">
        <w:t>, for a porous medium is described by:</w:t>
      </w:r>
    </w:p>
    <w:p w:rsidR="001E6DBD" w:rsidRPr="001E6DBD" w:rsidRDefault="00E252C4" w:rsidP="00CA33A1">
      <w:pPr>
        <w:pStyle w:val="BRNormal11pt0"/>
        <w:rPr>
          <w:rFonts w:asciiTheme="majorHAnsi" w:hAnsiTheme="majorHAnsi"/>
        </w:rPr>
      </w:pPr>
      <m:oMathPara>
        <m:oMath>
          <m:sSub>
            <m:sSubPr>
              <m:ctrlPr>
                <w:rPr>
                  <w:rFonts w:ascii="Cambria Math" w:hAnsi="Cambria Math"/>
                </w:rPr>
              </m:ctrlPr>
            </m:sSubPr>
            <m:e>
              <m:r>
                <w:rPr>
                  <w:rFonts w:ascii="Cambria Math" w:hAnsi="Cambria Math"/>
                </w:rPr>
                <m:t>S</m:t>
              </m:r>
            </m:e>
            <m:sub>
              <m:r>
                <w:rPr>
                  <w:rFonts w:ascii="Cambria Math" w:hAnsi="Cambria Math"/>
                </w:rPr>
                <m:t>s</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ρ</m:t>
              </m:r>
            </m:e>
            <m:sub>
              <m:r>
                <w:rPr>
                  <w:rFonts w:ascii="Cambria Math" w:hAnsi="Cambria Math"/>
                </w:rPr>
                <m:t>w</m:t>
              </m:r>
              <m:r>
                <m:rPr>
                  <m:sty m:val="p"/>
                </m:rPr>
                <w:rPr>
                  <w:rFonts w:ascii="Cambria Math" w:hAnsi="Cambria Math"/>
                </w:rPr>
                <m:t xml:space="preserve"> </m:t>
              </m:r>
            </m:sub>
          </m:sSub>
          <m:r>
            <w:rPr>
              <w:rFonts w:ascii="Cambria Math" w:hAnsi="Cambria Math"/>
            </w:rPr>
            <m:t>g</m:t>
          </m:r>
          <m:r>
            <m:rPr>
              <m:sty m:val="p"/>
            </m:rPr>
            <w:rPr>
              <w:rFonts w:ascii="Cambria Math" w:hAnsi="Cambria Math"/>
            </w:rPr>
            <m:t>(</m:t>
          </m:r>
          <m:r>
            <w:rPr>
              <w:rFonts w:ascii="Cambria Math" w:hAnsi="Cambria Math"/>
            </w:rPr>
            <m:t>α</m:t>
          </m:r>
          <m:r>
            <m:rPr>
              <m:sty m:val="p"/>
            </m:rPr>
            <w:rPr>
              <w:rFonts w:ascii="Cambria Math" w:hAnsi="Cambria Math"/>
            </w:rPr>
            <m:t>+</m:t>
          </m:r>
          <m:r>
            <w:rPr>
              <w:rFonts w:ascii="Cambria Math" w:hAnsi="Cambria Math"/>
            </w:rPr>
            <m:t>nβ</m:t>
          </m:r>
          <m:r>
            <m:rPr>
              <m:sty m:val="p"/>
            </m:rPr>
            <w:rPr>
              <w:rFonts w:ascii="Cambria Math" w:hAnsi="Cambria Math"/>
            </w:rPr>
            <m:t>)</m:t>
          </m:r>
        </m:oMath>
      </m:oMathPara>
    </w:p>
    <w:p w:rsidR="001E6DBD" w:rsidRPr="001E6DBD" w:rsidRDefault="001E6DBD" w:rsidP="00CA33A1">
      <w:pPr>
        <w:pStyle w:val="BRNormal11pt0"/>
      </w:pPr>
      <w:proofErr w:type="gramStart"/>
      <w:r w:rsidRPr="001E6DBD">
        <w:t>where</w:t>
      </w:r>
      <w:proofErr w:type="gramEnd"/>
      <w:r w:rsidRPr="001E6DBD">
        <w:t>:</w:t>
      </w:r>
    </w:p>
    <w:p w:rsidR="001E6DBD" w:rsidRPr="001E6DBD" w:rsidRDefault="001E6DBD" w:rsidP="00CA33A1">
      <w:pPr>
        <w:pStyle w:val="BRNormal11pt0"/>
      </w:pPr>
      <w:r w:rsidRPr="001E6DBD">
        <w:rPr>
          <w:i/>
        </w:rPr>
        <w:t>Ρ</w:t>
      </w:r>
      <w:r w:rsidRPr="001E6DBD">
        <w:rPr>
          <w:i/>
          <w:vertAlign w:val="subscript"/>
        </w:rPr>
        <w:t>w</w:t>
      </w:r>
      <w:r w:rsidRPr="001E6DBD">
        <w:t xml:space="preserve"> is the density of water (M/L</w:t>
      </w:r>
      <w:r w:rsidRPr="001E6DBD">
        <w:rPr>
          <w:vertAlign w:val="superscript"/>
        </w:rPr>
        <w:t>3</w:t>
      </w:r>
      <w:r w:rsidR="00565387">
        <w:t>)</w:t>
      </w:r>
    </w:p>
    <w:p w:rsidR="001E6DBD" w:rsidRPr="001E6DBD" w:rsidRDefault="001E6DBD" w:rsidP="00CA33A1">
      <w:pPr>
        <w:pStyle w:val="BRNormal11pt0"/>
      </w:pPr>
      <w:proofErr w:type="gramStart"/>
      <w:r w:rsidRPr="001E6DBD">
        <w:rPr>
          <w:i/>
        </w:rPr>
        <w:t>g</w:t>
      </w:r>
      <w:proofErr w:type="gramEnd"/>
      <w:r w:rsidRPr="001E6DBD">
        <w:t xml:space="preserve"> is the acceleration due to gravity (L/T</w:t>
      </w:r>
      <w:r w:rsidRPr="001E6DBD">
        <w:rPr>
          <w:vertAlign w:val="superscript"/>
        </w:rPr>
        <w:t>3</w:t>
      </w:r>
      <w:r w:rsidRPr="001E6DBD">
        <w:t>)</w:t>
      </w:r>
    </w:p>
    <w:p w:rsidR="001E6DBD" w:rsidRPr="001E6DBD" w:rsidRDefault="001E6DBD" w:rsidP="00CA33A1">
      <w:pPr>
        <w:pStyle w:val="BRNormal11pt0"/>
      </w:pPr>
      <w:proofErr w:type="gramStart"/>
      <w:r w:rsidRPr="001E6DBD">
        <w:rPr>
          <w:i/>
        </w:rPr>
        <w:t>α</w:t>
      </w:r>
      <w:proofErr w:type="gramEnd"/>
      <w:r w:rsidRPr="001E6DBD">
        <w:rPr>
          <w:i/>
        </w:rPr>
        <w:t xml:space="preserve"> </w:t>
      </w:r>
      <w:r w:rsidRPr="001E6DBD">
        <w:t>is the compressibility of the aquifer skeleton (LT</w:t>
      </w:r>
      <w:r w:rsidRPr="001E6DBD">
        <w:rPr>
          <w:vertAlign w:val="superscript"/>
        </w:rPr>
        <w:t>2</w:t>
      </w:r>
      <w:r w:rsidRPr="001E6DBD">
        <w:t>/M) and is equal to m</w:t>
      </w:r>
      <w:r w:rsidRPr="001E6DBD">
        <w:rPr>
          <w:vertAlign w:val="subscript"/>
        </w:rPr>
        <w:t>v</w:t>
      </w:r>
      <w:r w:rsidRPr="001E6DBD">
        <w:t>, the coefficient of one</w:t>
      </w:r>
      <w:r w:rsidR="00C00DF3">
        <w:t xml:space="preserve"> </w:t>
      </w:r>
      <w:r w:rsidRPr="001E6DBD">
        <w:t>dimensional consolidation</w:t>
      </w:r>
    </w:p>
    <w:p w:rsidR="001E6DBD" w:rsidRPr="001E6DBD" w:rsidRDefault="001E6DBD" w:rsidP="00CA33A1">
      <w:pPr>
        <w:pStyle w:val="BRNormal11pt0"/>
      </w:pPr>
      <w:proofErr w:type="gramStart"/>
      <w:r w:rsidRPr="001E6DBD">
        <w:rPr>
          <w:i/>
        </w:rPr>
        <w:t>n</w:t>
      </w:r>
      <w:proofErr w:type="gramEnd"/>
      <w:r w:rsidRPr="001E6DBD">
        <w:rPr>
          <w:i/>
        </w:rPr>
        <w:t xml:space="preserve"> </w:t>
      </w:r>
      <w:r w:rsidRPr="001E6DBD">
        <w:t>is the</w:t>
      </w:r>
      <w:r w:rsidRPr="001E6DBD">
        <w:rPr>
          <w:i/>
        </w:rPr>
        <w:t xml:space="preserve"> p</w:t>
      </w:r>
      <w:r w:rsidRPr="001E6DBD">
        <w:t>orosity of the material (dimensionless)</w:t>
      </w:r>
    </w:p>
    <w:p w:rsidR="001E6DBD" w:rsidRPr="001E6DBD" w:rsidRDefault="001E6DBD" w:rsidP="00CA33A1">
      <w:pPr>
        <w:pStyle w:val="BRNormal11pt0"/>
      </w:pPr>
      <w:proofErr w:type="gramStart"/>
      <w:r w:rsidRPr="001E6DBD">
        <w:rPr>
          <w:i/>
        </w:rPr>
        <w:t>β</w:t>
      </w:r>
      <w:proofErr w:type="gramEnd"/>
      <w:r w:rsidRPr="001E6DBD">
        <w:t xml:space="preserve"> is the compressibility of water (LT</w:t>
      </w:r>
      <w:r w:rsidRPr="001E6DBD">
        <w:rPr>
          <w:vertAlign w:val="superscript"/>
        </w:rPr>
        <w:t>2</w:t>
      </w:r>
      <w:r w:rsidRPr="001E6DBD">
        <w:t>/M).</w:t>
      </w:r>
    </w:p>
    <w:p w:rsidR="001E6DBD" w:rsidRPr="001E6DBD" w:rsidRDefault="001E6DBD" w:rsidP="00CA33A1">
      <w:pPr>
        <w:pStyle w:val="BRNormal11pt0"/>
      </w:pPr>
      <w:r w:rsidRPr="001E6DBD">
        <w:t>For the case of fractured rock media, the specific storage of representative elementary volume of the medium has a non</w:t>
      </w:r>
      <w:r w:rsidR="00C00DF3">
        <w:t>-</w:t>
      </w:r>
      <w:r w:rsidRPr="001E6DBD">
        <w:t xml:space="preserve">linear contribution from fractures. The storativity (unitless) for a fracture is given by (Elsworth </w:t>
      </w:r>
      <w:r w:rsidR="00C00DF3">
        <w:t>&amp;</w:t>
      </w:r>
      <w:r w:rsidR="00C00DF3" w:rsidRPr="001E6DBD">
        <w:t xml:space="preserve"> </w:t>
      </w:r>
      <w:r w:rsidRPr="001E6DBD">
        <w:t>Doe 1986):</w:t>
      </w:r>
    </w:p>
    <w:p w:rsidR="001E6DBD" w:rsidRPr="001E6DBD" w:rsidRDefault="001E6DBD" w:rsidP="00CA33A1">
      <w:pPr>
        <w:pStyle w:val="BRNormal11pt0"/>
      </w:pPr>
      <m:oMathPara>
        <m:oMath>
          <m:r>
            <w:rPr>
              <w:rFonts w:ascii="Cambria Math" w:hAnsi="Cambria Math"/>
            </w:rPr>
            <m:t xml:space="preserve">S= </m:t>
          </m:r>
          <m:sSub>
            <m:sSubPr>
              <m:ctrlPr>
                <w:rPr>
                  <w:rFonts w:ascii="Cambria Math" w:hAnsi="Cambria Math"/>
                  <w:i/>
                </w:rPr>
              </m:ctrlPr>
            </m:sSubPr>
            <m:e>
              <m:r>
                <w:rPr>
                  <w:rFonts w:ascii="Cambria Math" w:hAnsi="Cambria Math"/>
                </w:rPr>
                <m:t>ρ</m:t>
              </m:r>
            </m:e>
            <m:sub>
              <m:r>
                <w:rPr>
                  <w:rFonts w:ascii="Cambria Math" w:hAnsi="Cambria Math"/>
                </w:rPr>
                <m:t xml:space="preserve">w </m:t>
              </m:r>
            </m:sub>
          </m:sSub>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n</m:t>
              </m:r>
            </m:sub>
          </m:sSub>
          <m:r>
            <w:rPr>
              <w:rFonts w:ascii="Cambria Math" w:hAnsi="Cambria Math"/>
            </w:rPr>
            <m:t>+bβ)</m:t>
          </m:r>
        </m:oMath>
      </m:oMathPara>
    </w:p>
    <w:p w:rsidR="001E6DBD" w:rsidRPr="001E6DBD" w:rsidRDefault="001E6DBD" w:rsidP="00CA33A1">
      <w:pPr>
        <w:pStyle w:val="BRNormal11pt0"/>
      </w:pPr>
      <w:proofErr w:type="gramStart"/>
      <w:r w:rsidRPr="001E6DBD">
        <w:t>where</w:t>
      </w:r>
      <w:proofErr w:type="gramEnd"/>
      <w:r w:rsidRPr="001E6DBD">
        <w:t>:</w:t>
      </w:r>
    </w:p>
    <w:p w:rsidR="001E6DBD" w:rsidRPr="001E6DBD" w:rsidRDefault="001E6DBD" w:rsidP="00CA33A1">
      <w:pPr>
        <w:pStyle w:val="BRNormal11pt0"/>
      </w:pPr>
      <w:proofErr w:type="gramStart"/>
      <w:r w:rsidRPr="001E6DBD">
        <w:rPr>
          <w:i/>
        </w:rPr>
        <w:t>b</w:t>
      </w:r>
      <w:proofErr w:type="gramEnd"/>
      <w:r w:rsidRPr="001E6DBD">
        <w:rPr>
          <w:i/>
        </w:rPr>
        <w:t xml:space="preserve"> </w:t>
      </w:r>
      <w:r w:rsidRPr="001E6DBD">
        <w:t>is the average fracture aperture (L)</w:t>
      </w:r>
    </w:p>
    <w:p w:rsidR="001E6DBD" w:rsidRPr="001E6DBD" w:rsidRDefault="001E6DBD" w:rsidP="00CA33A1">
      <w:pPr>
        <w:pStyle w:val="BRNormal11pt0"/>
      </w:pPr>
      <w:proofErr w:type="gramStart"/>
      <w:r w:rsidRPr="001E6DBD">
        <w:rPr>
          <w:i/>
        </w:rPr>
        <w:t>k</w:t>
      </w:r>
      <w:r w:rsidRPr="001E6DBD">
        <w:rPr>
          <w:i/>
          <w:vertAlign w:val="subscript"/>
        </w:rPr>
        <w:t>n</w:t>
      </w:r>
      <w:proofErr w:type="gramEnd"/>
      <w:r w:rsidRPr="001E6DBD">
        <w:t xml:space="preserve"> is the fracture normal stiffness (M/LT</w:t>
      </w:r>
      <w:r w:rsidRPr="001E6DBD">
        <w:rPr>
          <w:vertAlign w:val="superscript"/>
        </w:rPr>
        <w:t>2</w:t>
      </w:r>
      <w:r w:rsidRPr="001E6DBD">
        <w:t>)</w:t>
      </w:r>
    </w:p>
    <w:p w:rsidR="001E6DBD" w:rsidRPr="001E6DBD" w:rsidRDefault="001E6DBD" w:rsidP="00CA33A1">
      <w:pPr>
        <w:pStyle w:val="BRNormal11pt0"/>
      </w:pPr>
      <w:r w:rsidRPr="001E6DBD">
        <w:t xml:space="preserve">Younger (1993) provides a table with specific storage values for various soil types which is reproduced as Table </w:t>
      </w:r>
      <w:r w:rsidR="002C43B4">
        <w:t>16</w:t>
      </w:r>
      <w:r w:rsidRPr="001E6DBD">
        <w:t>.</w:t>
      </w:r>
    </w:p>
    <w:p w:rsidR="00093D1C" w:rsidRDefault="00C00DF3">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16</w:t>
      </w:r>
      <w:r w:rsidR="00E252C4" w:rsidRPr="001E0FA8">
        <w:fldChar w:fldCharType="end"/>
      </w:r>
      <w:r>
        <w:t xml:space="preserve"> </w:t>
      </w:r>
      <w:r w:rsidR="001E6DBD" w:rsidRPr="001E6DBD">
        <w:t xml:space="preserve">Values of </w:t>
      </w:r>
      <w:r w:rsidR="008975A3">
        <w:t>s</w:t>
      </w:r>
      <w:r w:rsidR="001E6DBD" w:rsidRPr="00CA33A1">
        <w:t>pecific</w:t>
      </w:r>
      <w:r w:rsidR="001E6DBD" w:rsidRPr="001E6DBD">
        <w:t xml:space="preserve"> </w:t>
      </w:r>
      <w:r w:rsidR="008975A3">
        <w:t>s</w:t>
      </w:r>
      <w:r w:rsidR="001E6DBD" w:rsidRPr="001E6DBD">
        <w:t xml:space="preserve">torage for </w:t>
      </w:r>
      <w:r w:rsidR="008975A3">
        <w:t>g</w:t>
      </w:r>
      <w:r w:rsidR="001E6DBD" w:rsidRPr="001E6DBD">
        <w:t xml:space="preserve">iven </w:t>
      </w:r>
      <w:r w:rsidR="008975A3">
        <w:t>v</w:t>
      </w:r>
      <w:r w:rsidR="001E6DBD" w:rsidRPr="001E6DBD">
        <w:t xml:space="preserve">alues of </w:t>
      </w:r>
      <w:r w:rsidR="008975A3">
        <w:t>a</w:t>
      </w:r>
      <w:r w:rsidR="001E6DBD" w:rsidRPr="001E6DBD">
        <w:t xml:space="preserve">quifer </w:t>
      </w:r>
      <w:r w:rsidR="008975A3">
        <w:t>c</w:t>
      </w:r>
      <w:r w:rsidR="001E6DBD" w:rsidRPr="001E6DBD">
        <w:t xml:space="preserve">ompressibility, </w:t>
      </w:r>
      <w:r w:rsidR="00917E49">
        <w:t>a</w:t>
      </w:r>
      <w:r w:rsidR="001E6DBD" w:rsidRPr="001E6DBD">
        <w:t xml:space="preserve">ssuming </w:t>
      </w:r>
      <w:r w:rsidR="00917E49">
        <w:t>p</w:t>
      </w:r>
      <w:r w:rsidR="001E6DBD" w:rsidRPr="001E6DBD">
        <w:t>orosity of 15</w:t>
      </w:r>
      <w:r w:rsidR="00917E49">
        <w:t> per cent</w:t>
      </w:r>
      <w:r w:rsidR="001E6DBD" w:rsidRPr="001E6DBD">
        <w:t xml:space="preserve"> (</w:t>
      </w:r>
      <w:r w:rsidR="00917E49">
        <w:rPr>
          <w:rFonts w:cs="Arial"/>
        </w:rPr>
        <w:t>©</w:t>
      </w:r>
      <w:r w:rsidR="00917E49">
        <w:t xml:space="preserve"> Copyright, </w:t>
      </w:r>
      <w:r w:rsidR="001E6DBD" w:rsidRPr="001E6DBD">
        <w:t>Younger 1993)</w:t>
      </w:r>
    </w:p>
    <w:tbl>
      <w:tblPr>
        <w:tblStyle w:val="TableGrid"/>
        <w:tblW w:w="0" w:type="auto"/>
        <w:tblInd w:w="108" w:type="dxa"/>
        <w:tblLook w:val="04A0"/>
      </w:tblPr>
      <w:tblGrid>
        <w:gridCol w:w="3969"/>
        <w:gridCol w:w="2601"/>
        <w:gridCol w:w="2602"/>
      </w:tblGrid>
      <w:tr w:rsidR="00CA33A1" w:rsidTr="00DD6833">
        <w:trPr>
          <w:tblHeader/>
        </w:trPr>
        <w:tc>
          <w:tcPr>
            <w:tcW w:w="3969" w:type="dxa"/>
            <w:shd w:val="clear" w:color="auto" w:fill="C6D9F1" w:themeFill="text2" w:themeFillTint="33"/>
          </w:tcPr>
          <w:p w:rsidR="00CA33A1" w:rsidRDefault="00CA33A1" w:rsidP="00DF0DFF">
            <w:pPr>
              <w:pStyle w:val="Tableheading"/>
            </w:pPr>
            <w:r>
              <w:t>Typical lithologies</w:t>
            </w:r>
          </w:p>
        </w:tc>
        <w:tc>
          <w:tcPr>
            <w:tcW w:w="2601" w:type="dxa"/>
            <w:shd w:val="clear" w:color="auto" w:fill="C6D9F1" w:themeFill="text2" w:themeFillTint="33"/>
          </w:tcPr>
          <w:p w:rsidR="00DF0DFF" w:rsidRDefault="00CA33A1" w:rsidP="00DF0DFF">
            <w:pPr>
              <w:pStyle w:val="Tableheading"/>
            </w:pPr>
            <w:r>
              <w:t xml:space="preserve">Aquifer compressibility </w:t>
            </w:r>
          </w:p>
          <w:p w:rsidR="00CA33A1" w:rsidRPr="00DF0DFF" w:rsidRDefault="00CA33A1" w:rsidP="00DF0DFF">
            <w:pPr>
              <w:pStyle w:val="Tableheading"/>
            </w:pPr>
            <w:r>
              <w:t>(</w:t>
            </w:r>
            <w:r w:rsidRPr="001E6DBD">
              <w:rPr>
                <w:i/>
              </w:rPr>
              <w:t>α</w:t>
            </w:r>
            <w:r w:rsidR="00DF0DFF">
              <w:t>) m s</w:t>
            </w:r>
            <w:r w:rsidR="00DF0DFF">
              <w:rPr>
                <w:vertAlign w:val="superscript"/>
              </w:rPr>
              <w:t>2</w:t>
            </w:r>
            <w:r w:rsidR="00DF0DFF">
              <w:t>/kg</w:t>
            </w:r>
          </w:p>
        </w:tc>
        <w:tc>
          <w:tcPr>
            <w:tcW w:w="2602" w:type="dxa"/>
            <w:shd w:val="clear" w:color="auto" w:fill="C6D9F1" w:themeFill="text2" w:themeFillTint="33"/>
          </w:tcPr>
          <w:p w:rsidR="00DF0DFF" w:rsidRDefault="00DF0DFF" w:rsidP="00DF0DFF">
            <w:pPr>
              <w:pStyle w:val="Tableheading"/>
            </w:pPr>
            <w:r>
              <w:t>Specific storage</w:t>
            </w:r>
          </w:p>
          <w:p w:rsidR="00CA33A1" w:rsidRPr="00DF0DFF" w:rsidRDefault="00DF0DFF" w:rsidP="00DF0DFF">
            <w:pPr>
              <w:pStyle w:val="Tableheading"/>
            </w:pPr>
            <w:r>
              <w:t>(m</w:t>
            </w:r>
            <w:r>
              <w:rPr>
                <w:vertAlign w:val="superscript"/>
              </w:rPr>
              <w:t>-1</w:t>
            </w:r>
            <w:r>
              <w:t>)</w:t>
            </w:r>
          </w:p>
        </w:tc>
      </w:tr>
      <w:tr w:rsidR="00CA33A1" w:rsidTr="00DF0DFF">
        <w:tc>
          <w:tcPr>
            <w:tcW w:w="3969" w:type="dxa"/>
          </w:tcPr>
          <w:p w:rsidR="00CA33A1" w:rsidRDefault="00DF0DFF" w:rsidP="00DF0DFF">
            <w:pPr>
              <w:pStyle w:val="Tabletext"/>
            </w:pPr>
            <w:r>
              <w:t>Clay</w:t>
            </w:r>
          </w:p>
        </w:tc>
        <w:tc>
          <w:tcPr>
            <w:tcW w:w="2601" w:type="dxa"/>
          </w:tcPr>
          <w:p w:rsidR="00CA33A1" w:rsidRPr="00DF0DFF" w:rsidRDefault="00DF0DFF" w:rsidP="00DF0DFF">
            <w:pPr>
              <w:pStyle w:val="Tabletext"/>
            </w:pPr>
            <w:r>
              <w:t>10</w:t>
            </w:r>
            <w:r>
              <w:rPr>
                <w:vertAlign w:val="superscript"/>
              </w:rPr>
              <w:t>-6</w:t>
            </w:r>
          </w:p>
        </w:tc>
        <w:tc>
          <w:tcPr>
            <w:tcW w:w="2602" w:type="dxa"/>
          </w:tcPr>
          <w:p w:rsidR="00CA33A1" w:rsidRPr="00DF0DFF" w:rsidRDefault="00DF0DFF" w:rsidP="00DF0DFF">
            <w:pPr>
              <w:pStyle w:val="Tabletext"/>
              <w:rPr>
                <w:vertAlign w:val="superscript"/>
              </w:rPr>
            </w:pPr>
            <w:r>
              <w:t>9.81 x 10</w:t>
            </w:r>
            <w:r>
              <w:rPr>
                <w:vertAlign w:val="superscript"/>
              </w:rPr>
              <w:t>-3</w:t>
            </w:r>
          </w:p>
        </w:tc>
      </w:tr>
      <w:tr w:rsidR="00DF0DFF" w:rsidTr="00DF0DFF">
        <w:tc>
          <w:tcPr>
            <w:tcW w:w="3969" w:type="dxa"/>
          </w:tcPr>
          <w:p w:rsidR="00DF0DFF" w:rsidRDefault="00DF0DFF" w:rsidP="00DF0DFF">
            <w:pPr>
              <w:pStyle w:val="Tabletext"/>
            </w:pPr>
            <w:r>
              <w:t>Silt, fine sand</w:t>
            </w:r>
          </w:p>
        </w:tc>
        <w:tc>
          <w:tcPr>
            <w:tcW w:w="2601" w:type="dxa"/>
          </w:tcPr>
          <w:p w:rsidR="00DF0DFF" w:rsidRPr="00DF0DFF" w:rsidRDefault="00DF0DFF" w:rsidP="00E5413E">
            <w:pPr>
              <w:pStyle w:val="Tabletext"/>
            </w:pPr>
            <w:r>
              <w:t>10</w:t>
            </w:r>
            <w:r>
              <w:rPr>
                <w:vertAlign w:val="superscript"/>
              </w:rPr>
              <w:t>-7</w:t>
            </w:r>
          </w:p>
        </w:tc>
        <w:tc>
          <w:tcPr>
            <w:tcW w:w="2602" w:type="dxa"/>
          </w:tcPr>
          <w:p w:rsidR="00DF0DFF" w:rsidRPr="00DF0DFF" w:rsidRDefault="00DF0DFF" w:rsidP="00E5413E">
            <w:pPr>
              <w:pStyle w:val="Tabletext"/>
              <w:rPr>
                <w:vertAlign w:val="superscript"/>
              </w:rPr>
            </w:pPr>
            <w:r>
              <w:t>9.82 x 10</w:t>
            </w:r>
            <w:r>
              <w:rPr>
                <w:vertAlign w:val="superscript"/>
              </w:rPr>
              <w:t>-4</w:t>
            </w:r>
          </w:p>
        </w:tc>
      </w:tr>
      <w:tr w:rsidR="00DF0DFF" w:rsidTr="00DF0DFF">
        <w:tc>
          <w:tcPr>
            <w:tcW w:w="3969" w:type="dxa"/>
          </w:tcPr>
          <w:p w:rsidR="00DF0DFF" w:rsidRDefault="00DF0DFF" w:rsidP="00DF0DFF">
            <w:pPr>
              <w:pStyle w:val="Tabletext"/>
            </w:pPr>
            <w:r>
              <w:t>Medium sand, fine gravel</w:t>
            </w:r>
          </w:p>
        </w:tc>
        <w:tc>
          <w:tcPr>
            <w:tcW w:w="2601" w:type="dxa"/>
          </w:tcPr>
          <w:p w:rsidR="00DF0DFF" w:rsidRPr="00DF0DFF" w:rsidRDefault="00DF0DFF" w:rsidP="00E5413E">
            <w:pPr>
              <w:pStyle w:val="Tabletext"/>
            </w:pPr>
            <w:r>
              <w:t>10</w:t>
            </w:r>
            <w:r>
              <w:rPr>
                <w:vertAlign w:val="superscript"/>
              </w:rPr>
              <w:t>-8</w:t>
            </w:r>
          </w:p>
        </w:tc>
        <w:tc>
          <w:tcPr>
            <w:tcW w:w="2602" w:type="dxa"/>
          </w:tcPr>
          <w:p w:rsidR="00DF0DFF" w:rsidRPr="00DF0DFF" w:rsidRDefault="00DF0DFF" w:rsidP="00E5413E">
            <w:pPr>
              <w:pStyle w:val="Tabletext"/>
              <w:rPr>
                <w:vertAlign w:val="superscript"/>
              </w:rPr>
            </w:pPr>
            <w:r>
              <w:t>9.87 x 10</w:t>
            </w:r>
            <w:r>
              <w:rPr>
                <w:vertAlign w:val="superscript"/>
              </w:rPr>
              <w:t>-5</w:t>
            </w:r>
          </w:p>
        </w:tc>
      </w:tr>
      <w:tr w:rsidR="00DF0DFF" w:rsidTr="00DF0DFF">
        <w:tc>
          <w:tcPr>
            <w:tcW w:w="3969" w:type="dxa"/>
          </w:tcPr>
          <w:p w:rsidR="00DF0DFF" w:rsidRDefault="00DF0DFF" w:rsidP="00DF0DFF">
            <w:pPr>
              <w:pStyle w:val="Tabletext"/>
            </w:pPr>
            <w:r>
              <w:t>Coarse sand, medium gravel, highly fissured rock</w:t>
            </w:r>
          </w:p>
        </w:tc>
        <w:tc>
          <w:tcPr>
            <w:tcW w:w="2601" w:type="dxa"/>
          </w:tcPr>
          <w:p w:rsidR="00DF0DFF" w:rsidRPr="00DF0DFF" w:rsidRDefault="00DF0DFF" w:rsidP="00E5413E">
            <w:pPr>
              <w:pStyle w:val="Tabletext"/>
            </w:pPr>
            <w:r>
              <w:t>10</w:t>
            </w:r>
            <w:r>
              <w:rPr>
                <w:vertAlign w:val="superscript"/>
              </w:rPr>
              <w:t>-9</w:t>
            </w:r>
          </w:p>
        </w:tc>
        <w:tc>
          <w:tcPr>
            <w:tcW w:w="2602" w:type="dxa"/>
          </w:tcPr>
          <w:p w:rsidR="00DF0DFF" w:rsidRPr="00DF0DFF" w:rsidRDefault="00DF0DFF" w:rsidP="00E5413E">
            <w:pPr>
              <w:pStyle w:val="Tabletext"/>
              <w:rPr>
                <w:vertAlign w:val="superscript"/>
              </w:rPr>
            </w:pPr>
            <w:r>
              <w:t>1.05 x 10</w:t>
            </w:r>
            <w:r>
              <w:rPr>
                <w:vertAlign w:val="superscript"/>
              </w:rPr>
              <w:t>-5</w:t>
            </w:r>
          </w:p>
        </w:tc>
      </w:tr>
      <w:tr w:rsidR="00DF0DFF" w:rsidTr="00DF0DFF">
        <w:tc>
          <w:tcPr>
            <w:tcW w:w="3969" w:type="dxa"/>
          </w:tcPr>
          <w:p w:rsidR="00DF0DFF" w:rsidRDefault="00DF0DFF" w:rsidP="00DF0DFF">
            <w:pPr>
              <w:pStyle w:val="Tabletext"/>
            </w:pPr>
            <w:r>
              <w:t>Coarse gravel, moderately fissured rock</w:t>
            </w:r>
          </w:p>
        </w:tc>
        <w:tc>
          <w:tcPr>
            <w:tcW w:w="2601" w:type="dxa"/>
          </w:tcPr>
          <w:p w:rsidR="00DF0DFF" w:rsidRPr="00DF0DFF" w:rsidRDefault="00DF0DFF" w:rsidP="00E5413E">
            <w:pPr>
              <w:pStyle w:val="Tabletext"/>
            </w:pPr>
            <w:r>
              <w:t>10</w:t>
            </w:r>
            <w:r>
              <w:rPr>
                <w:vertAlign w:val="superscript"/>
              </w:rPr>
              <w:t>-10</w:t>
            </w:r>
          </w:p>
        </w:tc>
        <w:tc>
          <w:tcPr>
            <w:tcW w:w="2602" w:type="dxa"/>
          </w:tcPr>
          <w:p w:rsidR="00DF0DFF" w:rsidRPr="00DF0DFF" w:rsidRDefault="00DF0DFF" w:rsidP="00E5413E">
            <w:pPr>
              <w:pStyle w:val="Tabletext"/>
              <w:rPr>
                <w:vertAlign w:val="superscript"/>
              </w:rPr>
            </w:pPr>
            <w:r>
              <w:t>1.63 x 10</w:t>
            </w:r>
            <w:r>
              <w:rPr>
                <w:vertAlign w:val="superscript"/>
              </w:rPr>
              <w:t>-6</w:t>
            </w:r>
          </w:p>
        </w:tc>
      </w:tr>
      <w:tr w:rsidR="00DF0DFF" w:rsidTr="00DF0DFF">
        <w:tc>
          <w:tcPr>
            <w:tcW w:w="3969" w:type="dxa"/>
          </w:tcPr>
          <w:p w:rsidR="00DF0DFF" w:rsidRDefault="00DF0DFF" w:rsidP="0016084C">
            <w:pPr>
              <w:pStyle w:val="Tabletext"/>
            </w:pPr>
            <w:r>
              <w:t>Unfissured rock</w:t>
            </w:r>
          </w:p>
        </w:tc>
        <w:tc>
          <w:tcPr>
            <w:tcW w:w="2601" w:type="dxa"/>
          </w:tcPr>
          <w:p w:rsidR="00DF0DFF" w:rsidRPr="00DF0DFF" w:rsidRDefault="00DF0DFF" w:rsidP="00E5413E">
            <w:pPr>
              <w:pStyle w:val="Tabletext"/>
            </w:pPr>
            <w:r>
              <w:t>10</w:t>
            </w:r>
            <w:r>
              <w:rPr>
                <w:vertAlign w:val="superscript"/>
              </w:rPr>
              <w:t>-11</w:t>
            </w:r>
          </w:p>
        </w:tc>
        <w:tc>
          <w:tcPr>
            <w:tcW w:w="2602" w:type="dxa"/>
          </w:tcPr>
          <w:p w:rsidR="00DF0DFF" w:rsidRPr="00DF0DFF" w:rsidRDefault="00DF0DFF" w:rsidP="00E5413E">
            <w:pPr>
              <w:pStyle w:val="Tabletext"/>
              <w:rPr>
                <w:vertAlign w:val="superscript"/>
              </w:rPr>
            </w:pPr>
            <w:r>
              <w:t>7.46 x 10</w:t>
            </w:r>
            <w:r>
              <w:rPr>
                <w:vertAlign w:val="superscript"/>
              </w:rPr>
              <w:t>-7</w:t>
            </w:r>
          </w:p>
        </w:tc>
      </w:tr>
    </w:tbl>
    <w:p w:rsidR="00CA33A1" w:rsidRDefault="00CA33A1" w:rsidP="00D90926">
      <w:pPr>
        <w:pStyle w:val="Caption-figure"/>
      </w:pPr>
    </w:p>
    <w:p w:rsidR="001E6DBD" w:rsidRPr="004C28AD" w:rsidRDefault="001E6DBD" w:rsidP="00DF0DFF">
      <w:pPr>
        <w:pStyle w:val="BRNormal11pt0"/>
        <w:rPr>
          <w:lang w:val="en-AU"/>
        </w:rPr>
      </w:pPr>
      <w:r w:rsidRPr="001E6DBD">
        <w:t xml:space="preserve">It is important to recognise the relationship between specific storage and the coefficient </w:t>
      </w:r>
      <w:proofErr w:type="gramStart"/>
      <w:r w:rsidRPr="001E6DBD">
        <w:t>of one</w:t>
      </w:r>
      <w:r w:rsidR="00C00DF3">
        <w:t xml:space="preserve"> </w:t>
      </w:r>
      <w:r w:rsidRPr="001E6DBD">
        <w:t>dimensional compressibility</w:t>
      </w:r>
      <w:proofErr w:type="gramEnd"/>
      <w:r w:rsidRPr="001E6DBD">
        <w:t xml:space="preserve"> of a water bearing formation. These quantities are typically among the data requirements in commercial software programs for analysis of groundwater flow and geomechanical deformation. The software may contain implicit assumptions; for example, water is often considered to behave as an incompressible fluid. It is important to recognise such simplifications so that appropriate parameters can be selected.</w:t>
      </w:r>
    </w:p>
    <w:p w:rsidR="00DF0DFF" w:rsidRDefault="00DF0DFF" w:rsidP="000C70AD">
      <w:pPr>
        <w:pStyle w:val="Heading1"/>
      </w:pPr>
      <w:bookmarkStart w:id="605" w:name="_Toc402425343"/>
      <w:r>
        <w:t xml:space="preserve">Subsidence </w:t>
      </w:r>
      <w:r w:rsidR="00FD23B8">
        <w:t>m</w:t>
      </w:r>
      <w:r>
        <w:t xml:space="preserve">onitoring </w:t>
      </w:r>
      <w:r w:rsidR="00FD23B8">
        <w:t>t</w:t>
      </w:r>
      <w:r>
        <w:t>echniques</w:t>
      </w:r>
      <w:bookmarkEnd w:id="605"/>
    </w:p>
    <w:p w:rsidR="00DF0DFF" w:rsidRDefault="00DF0DFF" w:rsidP="000C70AD">
      <w:pPr>
        <w:pStyle w:val="BRNormal11pt0"/>
      </w:pPr>
      <w:r>
        <w:t xml:space="preserve">Subsidence monitoring is conducted to gain an understanding of the threat subsidence poses to assets and the environment. It can provide early warnings of subsidence approaching levels that pose a risk to the environment or assets such as </w:t>
      </w:r>
      <w:r w:rsidR="00AF3B28">
        <w:t>infrastructure;</w:t>
      </w:r>
      <w:r>
        <w:t xml:space="preserve"> however</w:t>
      </w:r>
      <w:r w:rsidR="00AF3B28">
        <w:t>,</w:t>
      </w:r>
      <w:r>
        <w:t xml:space="preserve"> in many cases it is difficult to define triggers or thresholds for action, since subsidence is a slow, displacement-controlled process. Monitoring is also a means of testing subsidence predictions from numerical modelling. Data obtained from monitoring may be used to predict future subsidence extents and magnitudes.</w:t>
      </w:r>
    </w:p>
    <w:p w:rsidR="00DF0DFF" w:rsidRDefault="00DF0DFF" w:rsidP="000C70AD">
      <w:pPr>
        <w:pStyle w:val="BRNormal11pt0"/>
      </w:pPr>
      <w:r>
        <w:t>Changes to the ground surface that may be measured include changes in elevation, horizontal tensile strain, changes in tilt and an increase in ground curvature. Most important</w:t>
      </w:r>
      <w:r w:rsidR="008D1A60">
        <w:t>ly,</w:t>
      </w:r>
      <w:r>
        <w:t xml:space="preserve"> subsurface or groundwater impacts may not be definable from surface monitoring or displacements alone; for example, groundwater level measurements and water quality analyses may also be needed.</w:t>
      </w:r>
    </w:p>
    <w:p w:rsidR="00DF0DFF" w:rsidRDefault="00DF0DFF" w:rsidP="000C70AD">
      <w:pPr>
        <w:pStyle w:val="BRNormal11pt0"/>
      </w:pPr>
      <w:r>
        <w:t xml:space="preserve">A monitoring program must commence prior to </w:t>
      </w:r>
      <w:r w:rsidR="003721DE">
        <w:rPr>
          <w:lang w:val="en-AU"/>
        </w:rPr>
        <w:t>coal seam gas</w:t>
      </w:r>
      <w:r w:rsidR="003721DE" w:rsidRPr="00E13ED7">
        <w:rPr>
          <w:lang w:val="en-AU"/>
        </w:rPr>
        <w:t xml:space="preserve"> </w:t>
      </w:r>
      <w:r>
        <w:t xml:space="preserve">extraction if it is to provide appropriate baseline conditions. The first phase is to establish the existing ground profile and identify existing ground movements (if occurring). As </w:t>
      </w:r>
      <w:r w:rsidR="003721DE">
        <w:rPr>
          <w:lang w:val="en-AU"/>
        </w:rPr>
        <w:t>coal seam gas</w:t>
      </w:r>
      <w:r w:rsidR="003721DE" w:rsidRPr="00E13ED7">
        <w:rPr>
          <w:lang w:val="en-AU"/>
        </w:rPr>
        <w:t xml:space="preserve"> </w:t>
      </w:r>
      <w:r>
        <w:t>extraction commences, monitoring may be undertaken over the project area at time intervals to be decided from predictive modelling or other means.</w:t>
      </w:r>
    </w:p>
    <w:p w:rsidR="00DF0DFF" w:rsidRDefault="00DF0DFF" w:rsidP="000C70AD">
      <w:pPr>
        <w:pStyle w:val="BRNormal11pt0"/>
      </w:pPr>
      <w:r>
        <w:t xml:space="preserve">Monitoring may be carried out with a range of instrumentation. A variety of monitoring techniques </w:t>
      </w:r>
      <w:r w:rsidR="0032535F">
        <w:t>are</w:t>
      </w:r>
      <w:r>
        <w:t xml:space="preserve"> discussed below, and indications of the accuracy, methods of use and suitability for subsidence monitoring, are provided.</w:t>
      </w:r>
    </w:p>
    <w:p w:rsidR="00DF0DFF" w:rsidRDefault="00DF0DFF" w:rsidP="000C70AD">
      <w:pPr>
        <w:pStyle w:val="BRNormal11pt0"/>
      </w:pPr>
      <w:r>
        <w:t>Following the section on instrumentation, a detailed framework for monitoring subsidence using specific methods is provided.</w:t>
      </w:r>
    </w:p>
    <w:p w:rsidR="00DF0DFF" w:rsidRDefault="00DF0DFF" w:rsidP="000C70AD">
      <w:pPr>
        <w:pStyle w:val="Heading2"/>
      </w:pPr>
      <w:bookmarkStart w:id="606" w:name="_Toc402425344"/>
      <w:r>
        <w:t xml:space="preserve">Measurable </w:t>
      </w:r>
      <w:r w:rsidR="00FD23B8">
        <w:t>e</w:t>
      </w:r>
      <w:r>
        <w:t xml:space="preserve">ffects of </w:t>
      </w:r>
      <w:r w:rsidR="00FD23B8">
        <w:t>s</w:t>
      </w:r>
      <w:r>
        <w:t>ubsidence</w:t>
      </w:r>
      <w:bookmarkEnd w:id="606"/>
    </w:p>
    <w:p w:rsidR="00DF0DFF" w:rsidRDefault="00DF0DFF" w:rsidP="000C70AD">
      <w:pPr>
        <w:pStyle w:val="BRNormal11pt0"/>
      </w:pPr>
      <w:r>
        <w:t xml:space="preserve">Subsidence induced by groundwater withdrawal may be observed and monitored, either </w:t>
      </w:r>
      <w:r w:rsidR="0032535F">
        <w:t xml:space="preserve">by sight </w:t>
      </w:r>
      <w:r>
        <w:t>or with a planned monitoring program using selected equipment.</w:t>
      </w:r>
    </w:p>
    <w:p w:rsidR="00DF0DFF" w:rsidRDefault="00DF0DFF" w:rsidP="000C70AD">
      <w:pPr>
        <w:pStyle w:val="BRNormal11pt0"/>
      </w:pPr>
      <w:r>
        <w:t>Visually observable effects of subsidence include surface cracking and rock falls. Cracking of buildings may also occur as a result of subsidence.</w:t>
      </w:r>
    </w:p>
    <w:p w:rsidR="00DF0DFF" w:rsidRDefault="00DF0DFF" w:rsidP="000C70AD">
      <w:pPr>
        <w:pStyle w:val="Listintrotext"/>
      </w:pPr>
      <w:r>
        <w:t xml:space="preserve">The following effects are not always observable </w:t>
      </w:r>
      <w:r w:rsidR="0032535F">
        <w:t>by sight</w:t>
      </w:r>
      <w:r>
        <w:t xml:space="preserve"> but may be measured using instrumentation: </w:t>
      </w:r>
    </w:p>
    <w:p w:rsidR="00DF0DFF" w:rsidRDefault="008D1A60" w:rsidP="007702DF">
      <w:pPr>
        <w:pStyle w:val="BRdotpoints"/>
      </w:pPr>
      <w:r>
        <w:t>v</w:t>
      </w:r>
      <w:r w:rsidR="00DF0DFF">
        <w:t>ertical displacement of the ground surface</w:t>
      </w:r>
    </w:p>
    <w:p w:rsidR="00DF0DFF" w:rsidRDefault="008D1A60" w:rsidP="007702DF">
      <w:pPr>
        <w:pStyle w:val="BRdotpoints"/>
      </w:pPr>
      <w:r>
        <w:t>w</w:t>
      </w:r>
      <w:r w:rsidR="00DF0DFF">
        <w:t>idening of cracks in ground at the surface</w:t>
      </w:r>
    </w:p>
    <w:p w:rsidR="00DF0DFF" w:rsidRDefault="008D1A60" w:rsidP="007702DF">
      <w:pPr>
        <w:pStyle w:val="BRdotpoints"/>
      </w:pPr>
      <w:r>
        <w:t>c</w:t>
      </w:r>
      <w:r w:rsidR="00DF0DFF">
        <w:t>hanges to the angle of tilt or slope of the ground surface</w:t>
      </w:r>
    </w:p>
    <w:p w:rsidR="00DF0DFF" w:rsidRDefault="008D1A60" w:rsidP="007702DF">
      <w:pPr>
        <w:pStyle w:val="BRdotpoints"/>
      </w:pPr>
      <w:r>
        <w:t>c</w:t>
      </w:r>
      <w:r w:rsidR="00DF0DFF">
        <w:t>hanges in strain of the ground surface</w:t>
      </w:r>
    </w:p>
    <w:p w:rsidR="00DF0DFF" w:rsidRDefault="008D1A60" w:rsidP="007702DF">
      <w:pPr>
        <w:pStyle w:val="BRdotpoints"/>
      </w:pPr>
      <w:r>
        <w:t>c</w:t>
      </w:r>
      <w:r w:rsidR="00DF0DFF">
        <w:t>hanges in groundwater pressure at specified locations below ground (this is a cause of subsidence and not an effect)</w:t>
      </w:r>
    </w:p>
    <w:p w:rsidR="00DF0DFF" w:rsidRDefault="008D1A60" w:rsidP="007702DF">
      <w:pPr>
        <w:pStyle w:val="BRdotpoints"/>
      </w:pPr>
      <w:proofErr w:type="gramStart"/>
      <w:r>
        <w:t>d</w:t>
      </w:r>
      <w:r w:rsidR="00DF0DFF">
        <w:t>eformation</w:t>
      </w:r>
      <w:proofErr w:type="gramEnd"/>
      <w:r w:rsidR="00DF0DFF">
        <w:t>, movement or tilt at locations below the ground surface.</w:t>
      </w:r>
    </w:p>
    <w:p w:rsidR="00DF0DFF" w:rsidRDefault="00DF0DFF" w:rsidP="000C70AD">
      <w:pPr>
        <w:pStyle w:val="Post-listtext"/>
      </w:pPr>
      <w:r>
        <w:t xml:space="preserve">Figure </w:t>
      </w:r>
      <w:r w:rsidR="00E800AE">
        <w:t>41</w:t>
      </w:r>
      <w:r w:rsidR="008D1A60">
        <w:t xml:space="preserve"> </w:t>
      </w:r>
      <w:r>
        <w:t>illustrates these effects.</w:t>
      </w:r>
    </w:p>
    <w:p w:rsidR="00DF0DFF" w:rsidRDefault="00DF0DFF" w:rsidP="000C70AD">
      <w:pPr>
        <w:pStyle w:val="BRNormal11pt0"/>
      </w:pPr>
      <w:r>
        <w:t>Another important parameter, used to measure the magnitude of differential settlement between two points, is the Deflection Ratio. The Deflection Ratio is defined as the departure of the ground surface from an initially straight segment over a nominated distance.</w:t>
      </w:r>
    </w:p>
    <w:p w:rsidR="00DD6833" w:rsidRDefault="00DD6833" w:rsidP="000C70AD">
      <w:pPr>
        <w:pStyle w:val="BRNormal11pt0"/>
      </w:pPr>
    </w:p>
    <w:p w:rsidR="00DF0DFF" w:rsidRDefault="000C70AD" w:rsidP="00DF0DFF">
      <w:pPr>
        <w:pStyle w:val="Listintrotext"/>
      </w:pPr>
      <w:r>
        <w:rPr>
          <w:noProof/>
          <w:lang w:val="en-AU" w:eastAsia="en-AU"/>
        </w:rPr>
        <w:drawing>
          <wp:inline distT="0" distB="0" distL="0" distR="0">
            <wp:extent cx="5610225" cy="308171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8708" cy="3080883"/>
                    </a:xfrm>
                    <a:prstGeom prst="rect">
                      <a:avLst/>
                    </a:prstGeom>
                    <a:noFill/>
                  </pic:spPr>
                </pic:pic>
              </a:graphicData>
            </a:graphic>
          </wp:inline>
        </w:drawing>
      </w:r>
      <w:r w:rsidR="00DF0DFF">
        <w:t xml:space="preserve"> </w:t>
      </w:r>
    </w:p>
    <w:p w:rsidR="00DF0DFF" w:rsidRDefault="008D1A60"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41</w:t>
      </w:r>
      <w:r w:rsidR="00E252C4" w:rsidRPr="005A4936">
        <w:fldChar w:fldCharType="end"/>
      </w:r>
      <w:r>
        <w:t xml:space="preserve"> </w:t>
      </w:r>
      <w:r w:rsidR="00DF0DFF">
        <w:t xml:space="preserve">Measurable </w:t>
      </w:r>
      <w:r>
        <w:t>e</w:t>
      </w:r>
      <w:r w:rsidR="00DF0DFF">
        <w:t xml:space="preserve">ffects of </w:t>
      </w:r>
      <w:r>
        <w:t>s</w:t>
      </w:r>
      <w:r w:rsidR="00DF0DFF">
        <w:t>ubsidence</w:t>
      </w:r>
    </w:p>
    <w:p w:rsidR="00DF0DFF" w:rsidRDefault="00DF0DFF" w:rsidP="000C70AD">
      <w:pPr>
        <w:pStyle w:val="Heading2"/>
      </w:pPr>
      <w:bookmarkStart w:id="607" w:name="_Toc402425345"/>
      <w:r>
        <w:t xml:space="preserve">Description of </w:t>
      </w:r>
      <w:r w:rsidR="00FD23B8">
        <w:t>t</w:t>
      </w:r>
      <w:r>
        <w:t>echniques</w:t>
      </w:r>
      <w:bookmarkEnd w:id="607"/>
    </w:p>
    <w:p w:rsidR="00DF0DFF" w:rsidRDefault="00DF0DFF" w:rsidP="000C70AD">
      <w:pPr>
        <w:pStyle w:val="Listintrotext"/>
      </w:pPr>
      <w:r>
        <w:t>The techniques which can be used for monitoring and measuring surface subsidence are:</w:t>
      </w:r>
    </w:p>
    <w:p w:rsidR="00DF0DFF" w:rsidRDefault="008D1A60" w:rsidP="007702DF">
      <w:pPr>
        <w:pStyle w:val="BRdotpoints"/>
      </w:pPr>
      <w:r>
        <w:t>v</w:t>
      </w:r>
      <w:r w:rsidR="00DF0DFF">
        <w:t>isual Observation</w:t>
      </w:r>
    </w:p>
    <w:p w:rsidR="00DF0DFF" w:rsidRDefault="008D1A60" w:rsidP="007702DF">
      <w:pPr>
        <w:pStyle w:val="BRdotpoints"/>
      </w:pPr>
      <w:r>
        <w:t>c</w:t>
      </w:r>
      <w:r w:rsidR="00DF0DFF">
        <w:t>onventional Levelling</w:t>
      </w:r>
    </w:p>
    <w:p w:rsidR="00DF0DFF" w:rsidRDefault="008D1A60" w:rsidP="007702DF">
      <w:pPr>
        <w:pStyle w:val="BRdotpoints"/>
      </w:pPr>
      <w:r>
        <w:t>c</w:t>
      </w:r>
      <w:r w:rsidR="00DF0DFF">
        <w:t>ampaign and permanent Global Positioning System (GPS)</w:t>
      </w:r>
    </w:p>
    <w:p w:rsidR="00DF0DFF" w:rsidRDefault="00DF0DFF" w:rsidP="007702DF">
      <w:pPr>
        <w:pStyle w:val="BRdotpoints"/>
      </w:pPr>
      <w:r>
        <w:t>Interferometric Synthetic Aperture Radar (InSAR)</w:t>
      </w:r>
    </w:p>
    <w:p w:rsidR="00DF0DFF" w:rsidRDefault="008D1A60" w:rsidP="007702DF">
      <w:pPr>
        <w:pStyle w:val="BRdotpoints"/>
      </w:pPr>
      <w:r>
        <w:t>Light Detection and Ranging (</w:t>
      </w:r>
      <w:r w:rsidR="00DF0DFF">
        <w:t xml:space="preserve">LiDAR) or </w:t>
      </w:r>
      <w:r>
        <w:t>Airborne Laser Survey (</w:t>
      </w:r>
      <w:r w:rsidR="00DF0DFF">
        <w:t>ALS)</w:t>
      </w:r>
    </w:p>
    <w:p w:rsidR="00DF0DFF" w:rsidRDefault="008D1A60" w:rsidP="007702DF">
      <w:pPr>
        <w:pStyle w:val="BRdotpoints"/>
      </w:pPr>
      <w:r>
        <w:t>b</w:t>
      </w:r>
      <w:r w:rsidR="00DF0DFF">
        <w:t xml:space="preserve">orehole </w:t>
      </w:r>
      <w:r>
        <w:t>e</w:t>
      </w:r>
      <w:r w:rsidR="00DF0DFF">
        <w:t>xtensometers</w:t>
      </w:r>
    </w:p>
    <w:p w:rsidR="00DF0DFF" w:rsidRDefault="008D1A60" w:rsidP="007702DF">
      <w:pPr>
        <w:pStyle w:val="BRdotpoints"/>
      </w:pPr>
      <w:r>
        <w:t>t</w:t>
      </w:r>
      <w:r w:rsidR="00DF0DFF">
        <w:t>iltmeters</w:t>
      </w:r>
    </w:p>
    <w:p w:rsidR="00DF0DFF" w:rsidRDefault="008D1A60" w:rsidP="007702DF">
      <w:pPr>
        <w:pStyle w:val="BRdotpoints"/>
      </w:pPr>
      <w:r>
        <w:t>t</w:t>
      </w:r>
      <w:r w:rsidR="00DF0DFF">
        <w:t xml:space="preserve">ime </w:t>
      </w:r>
      <w:r>
        <w:t>d</w:t>
      </w:r>
      <w:r w:rsidR="00DF0DFF">
        <w:t xml:space="preserve">omain </w:t>
      </w:r>
      <w:r>
        <w:t>r</w:t>
      </w:r>
      <w:r w:rsidR="00DF0DFF">
        <w:t>eflectometry</w:t>
      </w:r>
    </w:p>
    <w:p w:rsidR="00DF0DFF" w:rsidRDefault="008D1A60" w:rsidP="007702DF">
      <w:pPr>
        <w:pStyle w:val="BRdotpoints"/>
      </w:pPr>
      <w:r>
        <w:t>p</w:t>
      </w:r>
      <w:r w:rsidR="00DF0DFF">
        <w:t>iezometers (for measuring changes to groundwater pressure and for sampling water quality)</w:t>
      </w:r>
    </w:p>
    <w:p w:rsidR="00DF0DFF" w:rsidRDefault="008D1A60" w:rsidP="007702DF">
      <w:pPr>
        <w:pStyle w:val="BRdotpoints"/>
      </w:pPr>
      <w:proofErr w:type="gramStart"/>
      <w:r>
        <w:t>s</w:t>
      </w:r>
      <w:r w:rsidR="00DF0DFF">
        <w:t>train</w:t>
      </w:r>
      <w:proofErr w:type="gramEnd"/>
      <w:r w:rsidR="00DF0DFF">
        <w:t xml:space="preserve"> </w:t>
      </w:r>
      <w:r>
        <w:t>g</w:t>
      </w:r>
      <w:r w:rsidR="00DF0DFF">
        <w:t>auges (for measuring horizontal strain).</w:t>
      </w:r>
    </w:p>
    <w:p w:rsidR="00CC5432" w:rsidRDefault="00DF0DFF" w:rsidP="000C70AD">
      <w:pPr>
        <w:pStyle w:val="Post-listtext"/>
      </w:pPr>
      <w:r>
        <w:t xml:space="preserve">Discussion of each of these measurement techniques is provided below. </w:t>
      </w:r>
    </w:p>
    <w:p w:rsidR="00EF6848" w:rsidRDefault="00EF6848">
      <w:pPr>
        <w:autoSpaceDE/>
        <w:autoSpaceDN/>
        <w:rPr>
          <w:rFonts w:cs="Calibri-Bold"/>
          <w:b/>
          <w:bCs/>
          <w:i/>
          <w:color w:val="1F497D" w:themeColor="text2"/>
          <w:sz w:val="26"/>
          <w:szCs w:val="26"/>
          <w:lang w:val="en-GB"/>
        </w:rPr>
      </w:pPr>
      <w:r>
        <w:br w:type="page"/>
      </w:r>
    </w:p>
    <w:p w:rsidR="00DF0DFF" w:rsidRDefault="00DF0DFF" w:rsidP="000C70AD">
      <w:pPr>
        <w:pStyle w:val="Heading3"/>
      </w:pPr>
      <w:r>
        <w:t>Visual observations</w:t>
      </w:r>
    </w:p>
    <w:p w:rsidR="00DF0DFF" w:rsidRDefault="00DF0DFF" w:rsidP="00E96B4F">
      <w:pPr>
        <w:pStyle w:val="BRNormal11pt0"/>
      </w:pPr>
      <w:r>
        <w:t xml:space="preserve">Visual observations may be used as a first tool to monitor the effects of surface subsidence. In particular, any newly formed tension cracks or fracturing in rocks and soil at the surface can indicate ground curvature or horizontal strain resulting from subsidence. This means of observing the effects of subsidence does not provide knowledge of the </w:t>
      </w:r>
      <w:r w:rsidRPr="00E96B4F">
        <w:t>actual</w:t>
      </w:r>
      <w:r>
        <w:t xml:space="preserve"> magnitude of vertical displacement and other possible causes of the observed effect may be responsible. GSS Environmental (2012) describes visual monitoring of the effects of longwall mining induced subsidence at the Dendrobium mine, NSW. Although the ground response to </w:t>
      </w:r>
      <w:r w:rsidR="003721DE">
        <w:rPr>
          <w:lang w:val="en-AU"/>
        </w:rPr>
        <w:t>coal seam gas</w:t>
      </w:r>
      <w:r w:rsidR="003721DE" w:rsidRPr="00E13ED7">
        <w:rPr>
          <w:lang w:val="en-AU"/>
        </w:rPr>
        <w:t xml:space="preserve"> </w:t>
      </w:r>
      <w:r>
        <w:t xml:space="preserve">extraction is likely to be more subtle than the </w:t>
      </w:r>
      <w:r w:rsidR="000170F4">
        <w:t xml:space="preserve">substantial </w:t>
      </w:r>
      <w:r>
        <w:t xml:space="preserve">deformation that accompanies longwall mining, the monitoring techniques described in GSS Environmental (2012) are relevant to the visual monitoring of subsidence due to </w:t>
      </w:r>
      <w:r w:rsidR="003721DE">
        <w:rPr>
          <w:lang w:val="en-AU"/>
        </w:rPr>
        <w:t>coal seam gas</w:t>
      </w:r>
      <w:r w:rsidR="003721DE" w:rsidRPr="00E13ED7">
        <w:rPr>
          <w:lang w:val="en-AU"/>
        </w:rPr>
        <w:t xml:space="preserve"> </w:t>
      </w:r>
      <w:r>
        <w:t xml:space="preserve">extraction. Particular attention was paid to any new fractures in rock outcrops, to rock falls, to changes in water levels in ponds or creeks and to any signs of gas emissions at the surface. Figure </w:t>
      </w:r>
      <w:r w:rsidR="00EB2964">
        <w:t>42</w:t>
      </w:r>
      <w:r w:rsidR="008D1A60">
        <w:t xml:space="preserve"> </w:t>
      </w:r>
      <w:r>
        <w:t>illustrates cracking observed in a natural sandstone exposure. A high level of interpretation may be required to distinguish between naturally occurring cracks and those due to subsidence.</w:t>
      </w:r>
    </w:p>
    <w:p w:rsidR="00DF0DFF" w:rsidRDefault="000C70AD" w:rsidP="00DF0DFF">
      <w:pPr>
        <w:pStyle w:val="Listintrotext"/>
      </w:pPr>
      <w:r>
        <w:rPr>
          <w:noProof/>
          <w:lang w:val="en-AU" w:eastAsia="en-AU"/>
        </w:rPr>
        <w:drawing>
          <wp:inline distT="0" distB="0" distL="0" distR="0">
            <wp:extent cx="3535680" cy="25057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5680" cy="2505710"/>
                    </a:xfrm>
                    <a:prstGeom prst="rect">
                      <a:avLst/>
                    </a:prstGeom>
                    <a:noFill/>
                  </pic:spPr>
                </pic:pic>
              </a:graphicData>
            </a:graphic>
          </wp:inline>
        </w:drawing>
      </w:r>
    </w:p>
    <w:p w:rsidR="00DF0DFF" w:rsidRDefault="008D1A60"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42</w:t>
      </w:r>
      <w:r w:rsidR="00E252C4" w:rsidRPr="005A4936">
        <w:fldChar w:fldCharType="end"/>
      </w:r>
      <w:r>
        <w:t xml:space="preserve"> </w:t>
      </w:r>
      <w:r w:rsidR="00DF0DFF">
        <w:t xml:space="preserve">Tension </w:t>
      </w:r>
      <w:r>
        <w:t>c</w:t>
      </w:r>
      <w:r w:rsidR="00DF0DFF">
        <w:t xml:space="preserve">rack in </w:t>
      </w:r>
      <w:r>
        <w:t>r</w:t>
      </w:r>
      <w:r w:rsidR="00DF0DFF">
        <w:t xml:space="preserve">ock </w:t>
      </w:r>
      <w:r>
        <w:t>o</w:t>
      </w:r>
      <w:r w:rsidR="00DF0DFF">
        <w:t xml:space="preserve">utcrop </w:t>
      </w:r>
      <w:r>
        <w:t>c</w:t>
      </w:r>
      <w:r w:rsidR="00DF0DFF">
        <w:t xml:space="preserve">aused by </w:t>
      </w:r>
      <w:r>
        <w:t>l</w:t>
      </w:r>
      <w:r w:rsidR="00DF0DFF">
        <w:t xml:space="preserve">ongwall </w:t>
      </w:r>
      <w:r>
        <w:t>m</w:t>
      </w:r>
      <w:r w:rsidR="00DF0DFF">
        <w:t xml:space="preserve">ining </w:t>
      </w:r>
      <w:r>
        <w:t>i</w:t>
      </w:r>
      <w:r w:rsidR="00DF0DFF">
        <w:t xml:space="preserve">nduced </w:t>
      </w:r>
      <w:r>
        <w:t>s</w:t>
      </w:r>
      <w:r w:rsidR="00DF0DFF">
        <w:t>ubsidence (</w:t>
      </w:r>
      <w:r>
        <w:rPr>
          <w:rFonts w:cs="Arial"/>
        </w:rPr>
        <w:t>©</w:t>
      </w:r>
      <w:r>
        <w:t xml:space="preserve"> Copyright, </w:t>
      </w:r>
      <w:r w:rsidR="00DF0DFF">
        <w:t>GSS Environmental 2012)</w:t>
      </w:r>
    </w:p>
    <w:p w:rsidR="00DF0DFF" w:rsidRDefault="00DF0DFF" w:rsidP="000C70AD">
      <w:pPr>
        <w:pStyle w:val="Heading3"/>
      </w:pPr>
      <w:r>
        <w:t xml:space="preserve">Conventional </w:t>
      </w:r>
      <w:r w:rsidR="00FD23B8">
        <w:t>l</w:t>
      </w:r>
      <w:r>
        <w:t>evelling</w:t>
      </w:r>
    </w:p>
    <w:p w:rsidR="00DF0DFF" w:rsidRDefault="00DF0DFF" w:rsidP="000C70AD">
      <w:pPr>
        <w:pStyle w:val="BRNormal11pt0"/>
      </w:pPr>
      <w:r>
        <w:t>Conventional levelling refers to the measurement of ground elevation and position using traditional surveying equipment. Levelling is usually carried out with an optical level and a graduated measuring staff. Ground elevation may also be measured using a theodolite. Elevations are referenced to precisely surveyed locations called benchmarks. The network of benchmarks is known as the Australian National Levelling Network (ANLN). These benchmarks have a measured height above mean sea level or Australian Height Datum</w:t>
      </w:r>
      <w:r w:rsidR="001E510D">
        <w:t xml:space="preserve"> (AHD)</w:t>
      </w:r>
      <w:r>
        <w:t xml:space="preserve">. </w:t>
      </w:r>
      <w:r w:rsidR="001E510D">
        <w:t xml:space="preserve">Australian National Levelling Network </w:t>
      </w:r>
      <w:r>
        <w:t>benchmarks are often found at the side of roads.</w:t>
      </w:r>
    </w:p>
    <w:p w:rsidR="00DF0DFF" w:rsidRDefault="00DF0DFF" w:rsidP="000C70AD">
      <w:pPr>
        <w:pStyle w:val="BRNormal11pt0"/>
      </w:pPr>
      <w:r>
        <w:t>Over long distances, conventional levelling can produce accurate results but can be time consuming. Accuracy for standard conventional levelling is 8 mm times the square root of the distance in kilometres. This gives accuracies of about 25 mm over 10 km distance from the benchmark and 80 mm over 100 km distance (ICSM 2012). In some areas it may be difficult to achieve theses accuracies, such as in heavily forested, hard to access or very steep terrain. Standard accuracy requires a good line of sight between observing stations and skilled survey staff.</w:t>
      </w:r>
    </w:p>
    <w:p w:rsidR="00DF0DFF" w:rsidRDefault="00DF0DFF" w:rsidP="000C70AD">
      <w:pPr>
        <w:pStyle w:val="BRNormal11pt0"/>
      </w:pPr>
      <w:r>
        <w:t xml:space="preserve">For subsidence induced by </w:t>
      </w:r>
      <w:r w:rsidR="003721DE">
        <w:rPr>
          <w:lang w:val="en-AU"/>
        </w:rPr>
        <w:t>coal seam gas</w:t>
      </w:r>
      <w:r w:rsidR="003721DE" w:rsidRPr="00E13ED7">
        <w:rPr>
          <w:lang w:val="en-AU"/>
        </w:rPr>
        <w:t xml:space="preserve"> </w:t>
      </w:r>
      <w:r>
        <w:t xml:space="preserve">production, especially in areas with readily available benchmarks, conventional levelling may provide a simple approach to accurately monitoring subsidence. Conventional levelling results may be combined with Global Positioning Systems (GPS) levelling to provide a clearer picture of the magnitude and extent of subsidence. </w:t>
      </w:r>
    </w:p>
    <w:p w:rsidR="00DF0DFF" w:rsidRDefault="00DF0DFF" w:rsidP="000C70AD">
      <w:pPr>
        <w:pStyle w:val="BRNormal11pt0"/>
      </w:pPr>
      <w:r>
        <w:t xml:space="preserve">Benchmarks must be located at positions </w:t>
      </w:r>
      <w:r w:rsidR="001E510D">
        <w:t xml:space="preserve">that </w:t>
      </w:r>
      <w:r>
        <w:t xml:space="preserve">are not subject to movement from the subsidence processes. The establishment of stable benchmarks may pose practical difficulties where subsidence impacts are widespread. </w:t>
      </w:r>
      <w:r w:rsidR="001E510D">
        <w:t>Global Positioning Systems</w:t>
      </w:r>
      <w:r w:rsidR="001E510D" w:rsidDel="001E510D">
        <w:t xml:space="preserve"> </w:t>
      </w:r>
      <w:r>
        <w:t>may be used to calibrate benchmarks that are disturbed by subsidence if a time history of elevation is recorded.</w:t>
      </w:r>
    </w:p>
    <w:p w:rsidR="00DF0DFF" w:rsidRDefault="00DF0DFF" w:rsidP="000C70AD">
      <w:pPr>
        <w:pStyle w:val="Heading3"/>
      </w:pPr>
      <w:r>
        <w:t xml:space="preserve">Global </w:t>
      </w:r>
      <w:r w:rsidR="00FD23B8">
        <w:t>p</w:t>
      </w:r>
      <w:r>
        <w:t xml:space="preserve">ositioning </w:t>
      </w:r>
      <w:r w:rsidR="00FD23B8">
        <w:t>s</w:t>
      </w:r>
      <w:r>
        <w:t>ystem</w:t>
      </w:r>
    </w:p>
    <w:p w:rsidR="00DF0DFF" w:rsidRDefault="00DF0DFF" w:rsidP="000C70AD">
      <w:pPr>
        <w:pStyle w:val="BRNormal11pt0"/>
      </w:pPr>
      <w:r>
        <w:t>The GPS is a constellation of orbiting satellites</w:t>
      </w:r>
      <w:r w:rsidR="001E510D">
        <w:t>,</w:t>
      </w:r>
      <w:r>
        <w:t xml:space="preserve"> which provide navigational data to users with GPS receivers. </w:t>
      </w:r>
      <w:r w:rsidR="000119EB">
        <w:t xml:space="preserve">The </w:t>
      </w:r>
      <w:r>
        <w:t>GPS satellites orbit the earth every twelve hours, emitting continuous navigation signals. Users with GPS receiving equipment can receive these signals to calculate time, location and velocity.</w:t>
      </w:r>
    </w:p>
    <w:p w:rsidR="00DF0DFF" w:rsidRDefault="00DF0DFF" w:rsidP="000C70AD">
      <w:pPr>
        <w:pStyle w:val="BRNormal11pt0"/>
      </w:pPr>
      <w:r>
        <w:t xml:space="preserve">A single GPS receiver, regardless of its quality, can now estimate its position to an accuracy of 10 to 15 m horizontally and 30 m vertically. By using two GPS receivers tracking the same satellites simultaneously, it is possible to determine their relative difference to millimetre accuracy (Surveyor-General Victoria 2006). If one receiver is placed on a known survey benchmark, the position of the other receiver can thus be determined to high accuracy. This arrangement is shown in Figure </w:t>
      </w:r>
      <w:r w:rsidR="00EB2964">
        <w:t>43</w:t>
      </w:r>
      <w:r>
        <w:t>.</w:t>
      </w:r>
    </w:p>
    <w:p w:rsidR="000119EB" w:rsidRDefault="000119EB" w:rsidP="000C70AD">
      <w:pPr>
        <w:pStyle w:val="BRNormal11pt0"/>
      </w:pPr>
    </w:p>
    <w:p w:rsidR="00DF0DFF" w:rsidRDefault="000C70AD" w:rsidP="00DF0DFF">
      <w:pPr>
        <w:pStyle w:val="Listintrotext"/>
      </w:pPr>
      <w:r>
        <w:rPr>
          <w:noProof/>
          <w:lang w:val="en-AU" w:eastAsia="en-AU"/>
        </w:rPr>
        <w:drawing>
          <wp:inline distT="0" distB="0" distL="0" distR="0">
            <wp:extent cx="5724525" cy="31578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3157855"/>
                    </a:xfrm>
                    <a:prstGeom prst="rect">
                      <a:avLst/>
                    </a:prstGeom>
                    <a:noFill/>
                  </pic:spPr>
                </pic:pic>
              </a:graphicData>
            </a:graphic>
          </wp:inline>
        </w:drawing>
      </w:r>
      <w:r w:rsidR="00DF0DFF">
        <w:t xml:space="preserve"> </w:t>
      </w:r>
    </w:p>
    <w:p w:rsidR="00DF0DFF" w:rsidRDefault="000119EB"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43</w:t>
      </w:r>
      <w:r w:rsidR="00E252C4" w:rsidRPr="005A4936">
        <w:fldChar w:fldCharType="end"/>
      </w:r>
      <w:r>
        <w:t xml:space="preserve"> </w:t>
      </w:r>
      <w:r w:rsidR="00DF0DFF">
        <w:t xml:space="preserve">Using </w:t>
      </w:r>
      <w:r>
        <w:t>t</w:t>
      </w:r>
      <w:r w:rsidR="00DF0DFF">
        <w:t xml:space="preserve">wo GPS </w:t>
      </w:r>
      <w:r>
        <w:t>r</w:t>
      </w:r>
      <w:r w:rsidR="00DF0DFF">
        <w:t xml:space="preserve">eceivers to </w:t>
      </w:r>
      <w:r>
        <w:t>o</w:t>
      </w:r>
      <w:r w:rsidR="00DF0DFF">
        <w:t xml:space="preserve">btain </w:t>
      </w:r>
      <w:r>
        <w:t>a</w:t>
      </w:r>
      <w:r w:rsidR="00DF0DFF">
        <w:t xml:space="preserve">ccurate </w:t>
      </w:r>
      <w:r>
        <w:t>s</w:t>
      </w:r>
      <w:r w:rsidR="00DF0DFF">
        <w:t xml:space="preserve">urvey </w:t>
      </w:r>
      <w:r>
        <w:t>d</w:t>
      </w:r>
      <w:r w:rsidR="00DF0DFF">
        <w:t>ata (USGS 2012)</w:t>
      </w:r>
    </w:p>
    <w:p w:rsidR="00DF0DFF" w:rsidRDefault="00DF0DFF" w:rsidP="000C70AD">
      <w:pPr>
        <w:pStyle w:val="BRNormal11pt0"/>
      </w:pPr>
      <w:r>
        <w:t xml:space="preserve">A static GPS survey involves both receivers being held in position for a fixed amount of time, from 10 minutes to 6 hours, until achieving a desired accuracy. With this technique, a base vertical accuracy of 10 mm is achieved with a further reduction in accuracy of 1 mm per km distance from the chosen survey benchmark. For example, a survey 20 km away from a reference location may achieve a vertical accuracy of 10 mm + 20 mm = ± 30 mm. Greater accuracies are possible for horizontal positioning (USGS 2012). </w:t>
      </w:r>
    </w:p>
    <w:p w:rsidR="00DF0DFF" w:rsidRDefault="00DF0DFF" w:rsidP="000C70AD">
      <w:pPr>
        <w:pStyle w:val="BRNormal11pt0"/>
      </w:pPr>
      <w:r>
        <w:t xml:space="preserve">GPS has many advantages over conventional surveying techniques. GPS does not require line of site between observing stations and can be used day or night and in low visibility conditions. It must be noted however, that GPS receiving stations require a relatively clear view of sky to receive transmitted satellite signals. Care must also be taken in merging GPS elevation data (which uses a mathematical representation of the </w:t>
      </w:r>
      <w:r w:rsidR="00C5112F">
        <w:t>Earth’s</w:t>
      </w:r>
      <w:r>
        <w:t xml:space="preserve"> surface as a datum - WGS84 datum) with other elevation data (which may make use of other survey reference datum). </w:t>
      </w:r>
    </w:p>
    <w:p w:rsidR="00DF0DFF" w:rsidRDefault="00DF0DFF" w:rsidP="000C70AD">
      <w:pPr>
        <w:pStyle w:val="Heading3"/>
      </w:pPr>
      <w:r>
        <w:t xml:space="preserve">Interferometric </w:t>
      </w:r>
      <w:r w:rsidR="00850895">
        <w:t>S</w:t>
      </w:r>
      <w:r>
        <w:t xml:space="preserve">ynthetic </w:t>
      </w:r>
      <w:r w:rsidR="00850895">
        <w:t>A</w:t>
      </w:r>
      <w:r>
        <w:t xml:space="preserve">perture </w:t>
      </w:r>
      <w:r w:rsidR="00850895">
        <w:t>R</w:t>
      </w:r>
      <w:r>
        <w:t>adar</w:t>
      </w:r>
    </w:p>
    <w:p w:rsidR="00DF0DFF" w:rsidRDefault="00DF0DFF" w:rsidP="000C70AD">
      <w:pPr>
        <w:pStyle w:val="BRNormal11pt0"/>
      </w:pPr>
      <w:r>
        <w:t>Interferometric Synthetic Aperture Radar (InSAR) uses radar signals emitted from satellites orbiting the earth. The phase component of reflected radar signals is used to measure apparent changes in the distance to the land surface. Ordinary radar on a typical satellite has poor ground resolution (about 5 to 6 km) because of the restricted size of the antenna on the satellite. Synthetic Aperture Radar (SAR) takes advantage of the motion of the spacecraft along its orbital track to mathematically simulate a larger antenna to produce a high</w:t>
      </w:r>
      <w:r w:rsidR="000119EB">
        <w:noBreakHyphen/>
      </w:r>
      <w:r>
        <w:t xml:space="preserve">resolution scan or image. </w:t>
      </w:r>
    </w:p>
    <w:p w:rsidR="00DF0DFF" w:rsidRDefault="00DF0DFF" w:rsidP="000C70AD">
      <w:pPr>
        <w:pStyle w:val="BRNormal11pt0"/>
      </w:pPr>
      <w:r>
        <w:t xml:space="preserve">Radar waves are reflected from the </w:t>
      </w:r>
      <w:r w:rsidR="00C5112F">
        <w:t>E</w:t>
      </w:r>
      <w:r>
        <w:t xml:space="preserve">arth’s surface and returned to the satellite, as shown in Figure </w:t>
      </w:r>
      <w:r w:rsidR="00EB2964">
        <w:t>44</w:t>
      </w:r>
      <w:r>
        <w:t xml:space="preserve">. Interferometric processing of the phase information received by the satellite provides topographic </w:t>
      </w:r>
      <w:proofErr w:type="gramStart"/>
      <w:r>
        <w:t>information,</w:t>
      </w:r>
      <w:proofErr w:type="gramEnd"/>
      <w:r>
        <w:t xml:space="preserve"> with SAR images taken at the same location but acquired at different times yielding information on ground movement. Differential interferograms (D</w:t>
      </w:r>
      <w:r w:rsidR="00175EBD">
        <w:t>i</w:t>
      </w:r>
      <w:r>
        <w:t>fSAR) are created by subtracting the topography recovered from a first pass with that from a subsequent pass, with the result showing the change in elevation of the ground surface between image times. A</w:t>
      </w:r>
      <w:r w:rsidR="00EF7F25">
        <w:t xml:space="preserve"> conceptual</w:t>
      </w:r>
      <w:r>
        <w:t xml:space="preserve"> interferogram is shown in Figure </w:t>
      </w:r>
      <w:r w:rsidR="00EB2964">
        <w:t>44</w:t>
      </w:r>
      <w:r>
        <w:t>.</w:t>
      </w:r>
    </w:p>
    <w:p w:rsidR="00DF0DFF" w:rsidRDefault="00DF0DFF" w:rsidP="00DF0DFF">
      <w:pPr>
        <w:pStyle w:val="Listintrotext"/>
      </w:pPr>
    </w:p>
    <w:p w:rsidR="00E5413E" w:rsidRDefault="00E5413E" w:rsidP="00E5413E">
      <w:pPr>
        <w:pStyle w:val="Listintrotext"/>
      </w:pPr>
      <w:r>
        <w:rPr>
          <w:noProof/>
          <w:lang w:val="en-AU" w:eastAsia="en-AU"/>
        </w:rPr>
        <w:drawing>
          <wp:inline distT="0" distB="0" distL="0" distR="0">
            <wp:extent cx="2944495" cy="21945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95" cy="2194560"/>
                    </a:xfrm>
                    <a:prstGeom prst="rect">
                      <a:avLst/>
                    </a:prstGeom>
                    <a:noFill/>
                  </pic:spPr>
                </pic:pic>
              </a:graphicData>
            </a:graphic>
          </wp:inline>
        </w:drawing>
      </w:r>
      <w:r w:rsidR="00DF0DFF">
        <w:t xml:space="preserve"> </w:t>
      </w:r>
    </w:p>
    <w:p w:rsidR="00CC2724" w:rsidRPr="00260F1E" w:rsidRDefault="000119EB" w:rsidP="00260F1E">
      <w:pPr>
        <w:pStyle w:val="Caption-figure"/>
        <w:sectPr w:rsidR="00CC2724" w:rsidRPr="00260F1E" w:rsidSect="00DD6833">
          <w:headerReference w:type="default" r:id="rId119"/>
          <w:footerReference w:type="default" r:id="rId120"/>
          <w:headerReference w:type="first" r:id="rId121"/>
          <w:footerReference w:type="first" r:id="rId122"/>
          <w:pgSz w:w="11900" w:h="16840" w:code="9"/>
          <w:pgMar w:top="2097" w:right="1418" w:bottom="1418" w:left="1418" w:header="142" w:footer="567" w:gutter="0"/>
          <w:cols w:space="284"/>
          <w:noEndnote/>
          <w:titlePg/>
          <w:docGrid w:linePitch="326"/>
        </w:sectPr>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44</w:t>
      </w:r>
      <w:r w:rsidR="00E252C4" w:rsidRPr="005A4936">
        <w:fldChar w:fldCharType="end"/>
      </w:r>
      <w:r>
        <w:t xml:space="preserve"> </w:t>
      </w:r>
      <w:r w:rsidR="00EF7F25">
        <w:t>Schematic illustration of h</w:t>
      </w:r>
      <w:r w:rsidR="00DF0DFF">
        <w:t>ow InSAR</w:t>
      </w:r>
      <w:r w:rsidR="00E96B4F">
        <w:t xml:space="preserve"> w</w:t>
      </w:r>
      <w:r w:rsidR="00DF0DFF">
        <w:t>orks (USGS 2005)</w:t>
      </w:r>
    </w:p>
    <w:p w:rsidR="00DF0DFF" w:rsidRDefault="00E5413E" w:rsidP="00DF0DFF">
      <w:pPr>
        <w:pStyle w:val="Listintrotext"/>
      </w:pPr>
      <w:r>
        <w:rPr>
          <w:noProof/>
          <w:lang w:val="en-AU" w:eastAsia="en-AU"/>
        </w:rPr>
        <w:drawing>
          <wp:inline distT="0" distB="0" distL="0" distR="0">
            <wp:extent cx="8324193" cy="464407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41379" cy="4653660"/>
                    </a:xfrm>
                    <a:prstGeom prst="rect">
                      <a:avLst/>
                    </a:prstGeom>
                    <a:noFill/>
                  </pic:spPr>
                </pic:pic>
              </a:graphicData>
            </a:graphic>
          </wp:inline>
        </w:drawing>
      </w:r>
      <w:r w:rsidR="00DF0DFF">
        <w:t xml:space="preserve"> </w:t>
      </w:r>
    </w:p>
    <w:p w:rsidR="00CC2724" w:rsidRDefault="00E96B4F" w:rsidP="00DD6833">
      <w:pPr>
        <w:pStyle w:val="Caption-figure"/>
        <w:sectPr w:rsidR="00CC2724" w:rsidSect="00DD6833">
          <w:headerReference w:type="first" r:id="rId124"/>
          <w:footerReference w:type="first" r:id="rId125"/>
          <w:pgSz w:w="16840" w:h="11900" w:orient="landscape" w:code="9"/>
          <w:pgMar w:top="1840" w:right="1418" w:bottom="1418" w:left="1963" w:header="142" w:footer="567" w:gutter="0"/>
          <w:cols w:space="284"/>
          <w:noEndnote/>
          <w:titlePg/>
          <w:docGrid w:linePitch="326"/>
        </w:sectPr>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45</w:t>
      </w:r>
      <w:r w:rsidR="00E252C4" w:rsidRPr="005A4936">
        <w:fldChar w:fldCharType="end"/>
      </w:r>
      <w:r>
        <w:t xml:space="preserve"> </w:t>
      </w:r>
      <w:r w:rsidR="00DF0DFF">
        <w:t xml:space="preserve">Interferogram </w:t>
      </w:r>
      <w:r>
        <w:t>s</w:t>
      </w:r>
      <w:r w:rsidR="00DF0DFF">
        <w:t xml:space="preserve">howing </w:t>
      </w:r>
      <w:r>
        <w:t>d</w:t>
      </w:r>
      <w:r w:rsidR="00DF0DFF">
        <w:t>eformation in the Los Angeles Basin from April 1998 to May 1999 (USGS 2005)</w:t>
      </w:r>
    </w:p>
    <w:p w:rsidR="00DF0DFF" w:rsidRDefault="00DF0DFF" w:rsidP="00E5413E">
      <w:pPr>
        <w:pStyle w:val="BRNormal11pt0"/>
      </w:pPr>
      <w:r>
        <w:t>Different wavelengths may be used in DifSAR. X</w:t>
      </w:r>
      <w:r w:rsidR="00E96B4F">
        <w:t>-</w:t>
      </w:r>
      <w:r>
        <w:t>, C</w:t>
      </w:r>
      <w:r w:rsidR="00E96B4F">
        <w:t>-</w:t>
      </w:r>
      <w:r>
        <w:t xml:space="preserve"> and L- band radar have 30 mm, 56 mm and 235 mm wavelengths, respectively. The shorter wavelengths are more sensitive to changes in the ground surface but also suffer greater attenuation and noise from vegetation or atmospheric effects (Ge et al</w:t>
      </w:r>
      <w:r w:rsidR="00E96B4F">
        <w:t>.</w:t>
      </w:r>
      <w:r>
        <w:t xml:space="preserve"> 2007). Typical phase accuracy is about one-fifteenth of a wavelength, which is 2 mm for the most sensitive X-band radar. However, deformation accuracy is generally a factor of two to five times less than phase accuracy because of signal delays due to lateral variations in atmospheric moisture (Amelung et al</w:t>
      </w:r>
      <w:r w:rsidR="00E96B4F">
        <w:t>.</w:t>
      </w:r>
      <w:r>
        <w:t xml:space="preserve"> 1999).</w:t>
      </w:r>
    </w:p>
    <w:p w:rsidR="00DF0DFF" w:rsidRDefault="00DF0DFF" w:rsidP="00E5413E">
      <w:pPr>
        <w:pStyle w:val="BRNormal11pt0"/>
      </w:pPr>
      <w:r>
        <w:t>In areas where the atmosphere is dry and surface vegetation is sparse, DifSAR has been shown to produce results that agree closely with conventional or GPS levelling techniques; with DifSAR and GPS levelling agreeing to within 5 to 10 mm, for total subsidence of 40 mm where subsidence was surveyed at a number of fixed benchmarks (Youden et al</w:t>
      </w:r>
      <w:r w:rsidR="00E96B4F">
        <w:t>.</w:t>
      </w:r>
      <w:r>
        <w:t xml:space="preserve"> 2004). In areas of steep topography (Colesanti </w:t>
      </w:r>
      <w:r w:rsidR="00E96B4F">
        <w:t xml:space="preserve">&amp; </w:t>
      </w:r>
      <w:r>
        <w:t xml:space="preserve">Wasowski 2006) and dense vegetation (Marghany 2012), DifSAR is less accurate. Inaccuracies are also present where changes occur to the ground surface between satellite observations (for example, construction of new buildings or removal of vegetation) (Carnec </w:t>
      </w:r>
      <w:r w:rsidR="00E96B4F">
        <w:t xml:space="preserve">&amp; </w:t>
      </w:r>
      <w:r>
        <w:t>Delacort 2000). Another potential problem in some areas is that the use of DifSAR may be restricted by a lack of available satellites.</w:t>
      </w:r>
    </w:p>
    <w:p w:rsidR="00DF0DFF" w:rsidRDefault="00DF0DFF" w:rsidP="00E5413E">
      <w:pPr>
        <w:pStyle w:val="BRNormal11pt0"/>
      </w:pPr>
      <w:r>
        <w:t>DifSAR technology has grown rapidly in recent years in its applicability and sophistication.</w:t>
      </w:r>
      <w:r w:rsidR="00E96B4F">
        <w:t xml:space="preserve"> </w:t>
      </w:r>
      <w:r>
        <w:t>When combined with GPS or conventional levelling, in urban or non-vegetated areas without steep terrain, DifSAR</w:t>
      </w:r>
      <w:r w:rsidR="00E96B4F">
        <w:t xml:space="preserve"> </w:t>
      </w:r>
      <w:r>
        <w:t>can be used to measure ground deformation problems, such as subsidence, over large areas and to a high degree of accuracy. For example, a 5 to 10 mm agreement with GPS levelling may be possible (Youden et al</w:t>
      </w:r>
      <w:r w:rsidR="00E96B4F">
        <w:t>.</w:t>
      </w:r>
      <w:r>
        <w:t xml:space="preserve"> 2004). DifSAR has been successfully used in Australia to detect small ground deformation over large areas (Ge et al. 2003). For measurement of subsidence due to </w:t>
      </w:r>
      <w:r w:rsidR="003721DE">
        <w:rPr>
          <w:lang w:val="en-AU"/>
        </w:rPr>
        <w:t>coal seam gas</w:t>
      </w:r>
      <w:r w:rsidR="003721DE" w:rsidRPr="00E13ED7">
        <w:rPr>
          <w:lang w:val="en-AU"/>
        </w:rPr>
        <w:t xml:space="preserve"> </w:t>
      </w:r>
      <w:r>
        <w:t>production, it may be possible to use cleared zones or built up areas as fixed reference points where DifSAR can be used to produce results to a high degree of accuracy without noise effects due to vegetation.</w:t>
      </w:r>
      <w:r w:rsidR="00E96B4F">
        <w:t xml:space="preserve"> </w:t>
      </w:r>
      <w:r>
        <w:t>Radar reflectors may also be used to provide a number of stable reference points (Youden et al</w:t>
      </w:r>
      <w:r w:rsidR="00E96B4F">
        <w:t>.</w:t>
      </w:r>
      <w:r>
        <w:t xml:space="preserve"> 2004).</w:t>
      </w:r>
    </w:p>
    <w:p w:rsidR="00DF0DFF" w:rsidRDefault="00DF0DFF" w:rsidP="00E5413E">
      <w:pPr>
        <w:pStyle w:val="BRNormal11pt0"/>
      </w:pPr>
      <w:r>
        <w:t>Industry representatives and coal seam gas experts attending Coffey Geotechnics Pty Ltd’s workshop held on 24 August 2012 (see Appendix A) considered DifSAR one of the most effective and practical subsidence monitoring methods for coal seam gas production projects.</w:t>
      </w:r>
    </w:p>
    <w:p w:rsidR="00DF0DFF" w:rsidRDefault="00DF0DFF" w:rsidP="00E5413E">
      <w:pPr>
        <w:pStyle w:val="Heading3"/>
      </w:pPr>
      <w:r>
        <w:t xml:space="preserve">LiDAR or ALS </w:t>
      </w:r>
      <w:r w:rsidR="00FD23B8">
        <w:t>m</w:t>
      </w:r>
      <w:r>
        <w:t>onitoring</w:t>
      </w:r>
    </w:p>
    <w:p w:rsidR="00DF0DFF" w:rsidRDefault="00DF0DFF" w:rsidP="00E5413E">
      <w:pPr>
        <w:pStyle w:val="BRNormal11pt0"/>
      </w:pPr>
      <w:r>
        <w:t xml:space="preserve">LiDAR (Light Detection and Ranging) or ALS (Airborne Laser Survey) </w:t>
      </w:r>
      <w:proofErr w:type="gramStart"/>
      <w:r>
        <w:t>are</w:t>
      </w:r>
      <w:proofErr w:type="gramEnd"/>
      <w:r>
        <w:t xml:space="preserve"> different names for the same technique. In Australia, ALS is the most commonly used term. ALS uses pulsed light emitted in a swathe, generally from an aerial laser system mounted beneath an aircraft or helicopter. The laser pulses are reflected by the ground surface back to a receiver, enabling topographic data to be calculated by measuring the time taken for the pulses to return. Typically, the data is at a resolution of between 0.5 and 10 points per square metre, depending on the monitoring medium (with helicopter surveys generally giving the greatest density of points).</w:t>
      </w:r>
    </w:p>
    <w:p w:rsidR="00DF0DFF" w:rsidRDefault="00DF0DFF" w:rsidP="00E5413E">
      <w:pPr>
        <w:pStyle w:val="Heading3"/>
      </w:pPr>
      <w:r>
        <w:t xml:space="preserve">Borehole </w:t>
      </w:r>
      <w:r w:rsidR="00FD23B8">
        <w:t>e</w:t>
      </w:r>
      <w:r>
        <w:t>xtensometers</w:t>
      </w:r>
    </w:p>
    <w:p w:rsidR="00DF0DFF" w:rsidRDefault="00DF0DFF" w:rsidP="00E5413E">
      <w:pPr>
        <w:pStyle w:val="BRNormal11pt0"/>
      </w:pPr>
      <w:r>
        <w:t xml:space="preserve">Borehole extensometers are deeply anchored benchmarks installed to measure ground settlement. To construct an extensometer, a hole is drilled to a depth where strata mark the base of the area to be investigated. The hole is then lined with a steel casing with slip joints, which allows the casing to settle in concert with the ground. The borehole annulus is then grouted. Inside the steel casing, an inner pipe rests on a concrete plug at the bottom of the borehole, or is anchored (with a solid metal stub or cylinder) at a fixed depth in the borehole, and extends to the top. The inner pipe transfers the stable elevation at the concrete plug or fixed anchor to the surface. It is possible for many anchors to be placed in the same borehole to measure displacement down the depth profile. A measurement from the top of the pipe to the surrounding land surface gives the amount of settlement that has occurred, as shown in Figure </w:t>
      </w:r>
      <w:r w:rsidR="00EB2964">
        <w:t>46</w:t>
      </w:r>
      <w:r w:rsidR="00260F1E">
        <w:t xml:space="preserve"> </w:t>
      </w:r>
      <w:r>
        <w:t xml:space="preserve">(Harris Galveston Subsidence Districts 2012). </w:t>
      </w:r>
    </w:p>
    <w:p w:rsidR="00DF0DFF" w:rsidRDefault="00DF0DFF" w:rsidP="00E5413E">
      <w:pPr>
        <w:pStyle w:val="BRNormal11pt0"/>
      </w:pPr>
      <w:r>
        <w:t xml:space="preserve">The length of the inner measuring pipe must be invariant. The borehole must be as straight and as vertical as possible to minimise downhole friction of the casing with the measuring pipe, as this may cause deformation of the measuring pipe and lead to inaccurate measurement of subsidence. With careful design and construction, borehole extensometers may achieve strain resolutions finer than one in a million over depths of 200 m to 1000 m (yielding a resolution of 0.2 mm over 200 m and 1 mm over 1000 m) (Riley 1986). </w:t>
      </w:r>
    </w:p>
    <w:p w:rsidR="00093D1C" w:rsidRDefault="00DF0DFF">
      <w:pPr>
        <w:pStyle w:val="BRNormal11pt0"/>
      </w:pPr>
      <w:r>
        <w:t xml:space="preserve">The use of borehole extensometers permits direct measurement of the amount of settlement that occurs as a result of subsidence due to </w:t>
      </w:r>
      <w:r w:rsidR="003721DE">
        <w:rPr>
          <w:lang w:val="en-AU"/>
        </w:rPr>
        <w:t>coal seam gas</w:t>
      </w:r>
      <w:r w:rsidR="003721DE" w:rsidRPr="00E13ED7">
        <w:rPr>
          <w:lang w:val="en-AU"/>
        </w:rPr>
        <w:t xml:space="preserve"> </w:t>
      </w:r>
      <w:r>
        <w:t>production. For example, a resolution to one in a million (Riley 1986) over a 100 m thick uniform stratigraphic unit enables the measurement of settlement to an accuracy of better than ± 1 mm. Borehole collars can be benchmarked and resurveyed to provide relative vertical displacement throughout the section. Surveying can be completed by conventional methods or by GPS. The information provided by this type of monitoring is restricted to the response at the selected location.</w:t>
      </w:r>
    </w:p>
    <w:p w:rsidR="00DF0DFF" w:rsidRDefault="00E5413E" w:rsidP="00DF0DFF">
      <w:pPr>
        <w:pStyle w:val="Listintrotext"/>
      </w:pPr>
      <w:r>
        <w:rPr>
          <w:noProof/>
          <w:lang w:val="en-AU" w:eastAsia="en-AU"/>
        </w:rPr>
        <w:drawing>
          <wp:inline distT="0" distB="0" distL="0" distR="0">
            <wp:extent cx="2609215" cy="3469005"/>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215" cy="3469005"/>
                    </a:xfrm>
                    <a:prstGeom prst="rect">
                      <a:avLst/>
                    </a:prstGeom>
                    <a:noFill/>
                  </pic:spPr>
                </pic:pic>
              </a:graphicData>
            </a:graphic>
          </wp:inline>
        </w:drawing>
      </w:r>
      <w:r w:rsidR="00DF0DFF">
        <w:t xml:space="preserve"> </w:t>
      </w:r>
    </w:p>
    <w:p w:rsidR="00DF0DFF" w:rsidRDefault="00260F1E"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46</w:t>
      </w:r>
      <w:r w:rsidR="00E252C4" w:rsidRPr="005A4936">
        <w:fldChar w:fldCharType="end"/>
      </w:r>
      <w:proofErr w:type="gramStart"/>
      <w:r>
        <w:t xml:space="preserve"> </w:t>
      </w:r>
      <w:r w:rsidR="00DF0DFF">
        <w:t xml:space="preserve">Borehole </w:t>
      </w:r>
      <w:r>
        <w:t>e</w:t>
      </w:r>
      <w:r w:rsidR="00DF0DFF">
        <w:t>xtensometer (</w:t>
      </w:r>
      <w:r>
        <w:rPr>
          <w:rFonts w:cs="Arial"/>
        </w:rPr>
        <w:t>©</w:t>
      </w:r>
      <w:r>
        <w:t xml:space="preserve"> Copyright, </w:t>
      </w:r>
      <w:r w:rsidR="00DF0DFF">
        <w:t>Harris Galveston Subsidence Districts 2012)</w:t>
      </w:r>
      <w:proofErr w:type="gramEnd"/>
    </w:p>
    <w:p w:rsidR="00DF0DFF" w:rsidRDefault="00DF0DFF" w:rsidP="001C0A42">
      <w:pPr>
        <w:pStyle w:val="Heading3"/>
      </w:pPr>
      <w:r>
        <w:t>Tiltmeters</w:t>
      </w:r>
    </w:p>
    <w:p w:rsidR="00DF0DFF" w:rsidRDefault="00DF0DFF" w:rsidP="001C0A42">
      <w:pPr>
        <w:pStyle w:val="BRNormal11pt0"/>
      </w:pPr>
      <w:r>
        <w:t xml:space="preserve">Tiltmeters measure changes in the slope of the ground on two orthogonal axes. Tilt is specified in terms of degrees or radians or vertical displacement over horizontal distance (for example, in units of mm/m). </w:t>
      </w:r>
    </w:p>
    <w:p w:rsidR="00DF0DFF" w:rsidRDefault="00DF0DFF" w:rsidP="001C0A42">
      <w:pPr>
        <w:pStyle w:val="BRNormal11pt0"/>
      </w:pPr>
      <w:r>
        <w:t xml:space="preserve">Tiltmeters only measure effects at the ground surface. The tiltmeter is mounted on a plate fixed to rock or another firm stable surface. Rapid measurements can be made and it is relatively straightforward to set up and make observations (Wyllie </w:t>
      </w:r>
      <w:r w:rsidR="00260F1E">
        <w:t xml:space="preserve">&amp; </w:t>
      </w:r>
      <w:r>
        <w:t>Mah 2004). Very high resolution tiltmeters are now available</w:t>
      </w:r>
      <w:r w:rsidR="00260F1E">
        <w:t>,</w:t>
      </w:r>
      <w:r>
        <w:t xml:space="preserve"> which can detect changes in tilt of one nanoradian (Davis et al</w:t>
      </w:r>
      <w:r w:rsidR="00260F1E">
        <w:t>.</w:t>
      </w:r>
      <w:r>
        <w:t xml:space="preserve"> 2000). Slope Indicator (2012a) offers tiltmeters with a repeatability of ±3 arc seconds, or 0.015 mm/m (the repeatability of an instrument is its ability to obtain consistent results when measuring the same part, many times over).</w:t>
      </w:r>
    </w:p>
    <w:p w:rsidR="00DF0DFF" w:rsidRDefault="00DF0DFF" w:rsidP="001C0A42">
      <w:pPr>
        <w:pStyle w:val="BRNormal11pt0"/>
      </w:pPr>
      <w:r>
        <w:t xml:space="preserve">For subsidence assessment, an array of tiltmeters at different positions may be used to send continuous signals measuring the change in slope of the ground surface. The data can then be integrated to show the relative change in position of the ground surface. The integration constant can be chosen to specify the height of a reference point with known elevation. Figure </w:t>
      </w:r>
      <w:r w:rsidR="005333BE">
        <w:t>47</w:t>
      </w:r>
      <w:r w:rsidR="00A90ABA">
        <w:t xml:space="preserve"> </w:t>
      </w:r>
      <w:r>
        <w:t>illustrates this process for a two</w:t>
      </w:r>
      <w:r w:rsidR="00A90ABA">
        <w:t xml:space="preserve"> </w:t>
      </w:r>
      <w:r>
        <w:t>dimensional case. If the reference point is not affected by subsidence, a measurement of vertical subsidence can be inferred at any point within the tiltmeter array by comparing the new ground surface with the original ground surface, using the reference point as a fixed elevation for both cases. If the reference point is affected by subsidence, calibration with GPS or conventional levelling will be required to find the elevation of the (subsided) reference point.</w:t>
      </w:r>
    </w:p>
    <w:p w:rsidR="00DF0DFF" w:rsidRDefault="00DF0DFF" w:rsidP="001C0A42">
      <w:pPr>
        <w:pStyle w:val="BRNormal11pt0"/>
      </w:pPr>
      <w:r>
        <w:t xml:space="preserve">Tiltmeter arrays have been successfully used to monitor oil field subsidence in the </w:t>
      </w:r>
      <w:r w:rsidR="00A90ABA">
        <w:t>US</w:t>
      </w:r>
      <w:r>
        <w:t xml:space="preserve"> (Davis et al</w:t>
      </w:r>
      <w:r w:rsidR="00A90ABA">
        <w:t>.</w:t>
      </w:r>
      <w:r>
        <w:t xml:space="preserve"> 2000) and to monitor hydraulic fracturing operations.</w:t>
      </w:r>
    </w:p>
    <w:p w:rsidR="00DF0DFF" w:rsidRDefault="001C0A42" w:rsidP="00DF0DFF">
      <w:pPr>
        <w:pStyle w:val="Listintrotext"/>
      </w:pPr>
      <w:r>
        <w:rPr>
          <w:noProof/>
          <w:lang w:val="en-AU" w:eastAsia="en-AU"/>
        </w:rPr>
        <w:drawing>
          <wp:inline distT="0" distB="0" distL="0" distR="0">
            <wp:extent cx="4929890" cy="4619501"/>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1036" cy="4620574"/>
                    </a:xfrm>
                    <a:prstGeom prst="rect">
                      <a:avLst/>
                    </a:prstGeom>
                    <a:noFill/>
                  </pic:spPr>
                </pic:pic>
              </a:graphicData>
            </a:graphic>
          </wp:inline>
        </w:drawing>
      </w:r>
      <w:r w:rsidR="00DF0DFF">
        <w:t xml:space="preserve"> </w:t>
      </w:r>
    </w:p>
    <w:p w:rsidR="00DF0DFF" w:rsidRDefault="00A90ABA"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47</w:t>
      </w:r>
      <w:r w:rsidR="00E252C4" w:rsidRPr="005A4936">
        <w:fldChar w:fldCharType="end"/>
      </w:r>
      <w:r>
        <w:t xml:space="preserve"> </w:t>
      </w:r>
      <w:r w:rsidR="00DF0DFF">
        <w:t xml:space="preserve">Using </w:t>
      </w:r>
      <w:r>
        <w:t>t</w:t>
      </w:r>
      <w:r w:rsidR="00DF0DFF">
        <w:t xml:space="preserve">iltmeter </w:t>
      </w:r>
      <w:r>
        <w:t>r</w:t>
      </w:r>
      <w:r w:rsidR="00DF0DFF">
        <w:t xml:space="preserve">eadings to </w:t>
      </w:r>
      <w:r>
        <w:t>e</w:t>
      </w:r>
      <w:r w:rsidR="00DF0DFF">
        <w:t xml:space="preserve">stablish a </w:t>
      </w:r>
      <w:r>
        <w:t>g</w:t>
      </w:r>
      <w:r w:rsidR="00DF0DFF">
        <w:t xml:space="preserve">round </w:t>
      </w:r>
      <w:r>
        <w:t>s</w:t>
      </w:r>
      <w:r w:rsidR="00DF0DFF">
        <w:t xml:space="preserve">urface </w:t>
      </w:r>
      <w:r>
        <w:t>p</w:t>
      </w:r>
      <w:r w:rsidR="00DF0DFF">
        <w:t>rofile</w:t>
      </w:r>
      <w:r>
        <w:t xml:space="preserve"> (</w:t>
      </w:r>
      <w:r>
        <w:rPr>
          <w:rFonts w:cs="Arial"/>
        </w:rPr>
        <w:t>©</w:t>
      </w:r>
      <w:r>
        <w:t> Copyright,</w:t>
      </w:r>
      <w:r w:rsidR="005C2021" w:rsidRPr="005C2021">
        <w:t xml:space="preserve"> </w:t>
      </w:r>
      <w:r w:rsidR="005C2021">
        <w:t>Davis et al. 2000</w:t>
      </w:r>
      <w:r>
        <w:t>)</w:t>
      </w:r>
    </w:p>
    <w:p w:rsidR="00DF0DFF" w:rsidRDefault="00DF0DFF" w:rsidP="001C0A42">
      <w:pPr>
        <w:pStyle w:val="BRNormal11pt0"/>
      </w:pPr>
      <w:r>
        <w:t>Using tiltmeters, it may be possible to obtain an accurate measurement of the deflection ratio. The deflection ratio is a useful parameter in estimating the potential damage caused to structures as a result of subsidence, in particular where subsidence causes hogging (refer to Figure</w:t>
      </w:r>
      <w:r w:rsidR="00565387">
        <w:t> </w:t>
      </w:r>
      <w:r w:rsidR="005333BE">
        <w:t>41</w:t>
      </w:r>
      <w:r>
        <w:t>).</w:t>
      </w:r>
    </w:p>
    <w:p w:rsidR="00DF0DFF" w:rsidRDefault="00DF0DFF" w:rsidP="001C0A42">
      <w:pPr>
        <w:pStyle w:val="BRNormal11pt0"/>
      </w:pPr>
      <w:r>
        <w:t>Very high tilt measurements have been observed in coal mining areas of Australia. Tilt of more than 80 mm/m (about 4.6 degrees) has been observed as a result of longwall mining</w:t>
      </w:r>
      <w:r w:rsidR="0040013F">
        <w:t>-</w:t>
      </w:r>
      <w:r>
        <w:t xml:space="preserve">induced subsidence at Hunter Coalfield, NSW (MSEC 2012). Tilt of around 40 mm/m per meter of subsidence was observed by Ashton Coal as a result of longwall mining (Mining Research </w:t>
      </w:r>
      <w:r w:rsidR="00A90ABA">
        <w:t xml:space="preserve">&amp; </w:t>
      </w:r>
      <w:r>
        <w:t xml:space="preserve">Consulting Group 2009). Tilt associated with </w:t>
      </w:r>
      <w:r w:rsidR="003721DE">
        <w:rPr>
          <w:lang w:val="en-AU"/>
        </w:rPr>
        <w:t>coal seam gas</w:t>
      </w:r>
      <w:r w:rsidR="003721DE" w:rsidRPr="00E13ED7">
        <w:rPr>
          <w:lang w:val="en-AU"/>
        </w:rPr>
        <w:t xml:space="preserve"> </w:t>
      </w:r>
      <w:r>
        <w:t>extraction is expected to be much smaller than this.</w:t>
      </w:r>
    </w:p>
    <w:p w:rsidR="00DF0DFF" w:rsidRDefault="00DF0DFF" w:rsidP="001C0A42">
      <w:pPr>
        <w:pStyle w:val="Heading3"/>
      </w:pPr>
      <w:r>
        <w:t xml:space="preserve">Time </w:t>
      </w:r>
      <w:r w:rsidR="00FD23B8">
        <w:t>d</w:t>
      </w:r>
      <w:r>
        <w:t xml:space="preserve">omain </w:t>
      </w:r>
      <w:r w:rsidR="00FD23B8">
        <w:t>r</w:t>
      </w:r>
      <w:r>
        <w:t>eflectometry</w:t>
      </w:r>
    </w:p>
    <w:p w:rsidR="00DF0DFF" w:rsidRDefault="00DF0DFF" w:rsidP="001C0A42">
      <w:pPr>
        <w:pStyle w:val="BRNormal11pt0"/>
      </w:pPr>
      <w:r>
        <w:t>Time Domain Reflectometry (TDR) is a form of RADAR in which voltage pulses are transmitted along a coaxial cable and reflections are created at every location where the cable is deformed</w:t>
      </w:r>
      <w:r w:rsidR="00A90ABA">
        <w:t>,</w:t>
      </w:r>
      <w:r>
        <w:t xml:space="preserve"> such as the crimp shown in Figure </w:t>
      </w:r>
      <w:r w:rsidR="005333BE">
        <w:t>48</w:t>
      </w:r>
      <w:r>
        <w:t>. The distance to each location is determined by the pulse travel time and the magnitude of deformation at each location is determined by the magnitude of its TDR reflection pulse. The cable is grouted into a borehole, not necessarily vertically, and linked to a monitoring device which can send pulses to test the cable. TDR cables may also be installed in trenches backfilled with granular material (O’Connor et al</w:t>
      </w:r>
      <w:r w:rsidR="00A90ABA">
        <w:t>.</w:t>
      </w:r>
      <w:r>
        <w:t xml:space="preserve"> 2004).</w:t>
      </w:r>
    </w:p>
    <w:p w:rsidR="00DF0DFF" w:rsidRDefault="00DF0DFF" w:rsidP="001C0A42">
      <w:pPr>
        <w:pStyle w:val="BRNormal11pt0"/>
      </w:pPr>
      <w:r>
        <w:t xml:space="preserve">When ground movement is sufficient to fracture the grout, the cable is deformed and this can be measured by the reflection sent back to the cable testing device. A greater deformation to the cable will create a larger magnitude reflection. </w:t>
      </w:r>
    </w:p>
    <w:p w:rsidR="00DF0DFF" w:rsidRDefault="00DF0DFF" w:rsidP="00DF0DFF">
      <w:pPr>
        <w:pStyle w:val="Listintrotext"/>
      </w:pPr>
    </w:p>
    <w:p w:rsidR="00DF0DFF" w:rsidRDefault="001C0A42" w:rsidP="00DF0DFF">
      <w:pPr>
        <w:pStyle w:val="Listintrotext"/>
      </w:pPr>
      <w:r>
        <w:rPr>
          <w:noProof/>
          <w:lang w:val="en-AU" w:eastAsia="en-AU"/>
        </w:rPr>
        <w:drawing>
          <wp:inline distT="0" distB="0" distL="0" distR="0">
            <wp:extent cx="3694430" cy="315214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4430" cy="3152140"/>
                    </a:xfrm>
                    <a:prstGeom prst="rect">
                      <a:avLst/>
                    </a:prstGeom>
                    <a:noFill/>
                  </pic:spPr>
                </pic:pic>
              </a:graphicData>
            </a:graphic>
          </wp:inline>
        </w:drawing>
      </w:r>
      <w:r w:rsidR="00DF0DFF">
        <w:t xml:space="preserve"> </w:t>
      </w:r>
    </w:p>
    <w:p w:rsidR="00DF0DFF" w:rsidRDefault="00A90ABA"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48</w:t>
      </w:r>
      <w:r w:rsidR="00E252C4" w:rsidRPr="005A4936">
        <w:fldChar w:fldCharType="end"/>
      </w:r>
      <w:r>
        <w:t xml:space="preserve"> </w:t>
      </w:r>
      <w:r w:rsidR="00DF0DFF">
        <w:t xml:space="preserve">Time </w:t>
      </w:r>
      <w:r>
        <w:t>d</w:t>
      </w:r>
      <w:r w:rsidR="00DF0DFF">
        <w:t xml:space="preserve">omain </w:t>
      </w:r>
      <w:r>
        <w:t>r</w:t>
      </w:r>
      <w:r w:rsidR="00DF0DFF">
        <w:t xml:space="preserve">eflectometry </w:t>
      </w:r>
      <w:r>
        <w:t>c</w:t>
      </w:r>
      <w:r w:rsidR="00DF0DFF">
        <w:t xml:space="preserve">able, </w:t>
      </w:r>
      <w:r>
        <w:t>g</w:t>
      </w:r>
      <w:r w:rsidR="00DF0DFF">
        <w:t xml:space="preserve">routed into a </w:t>
      </w:r>
      <w:r>
        <w:t>b</w:t>
      </w:r>
      <w:r w:rsidR="00DF0DFF">
        <w:t>orehole (</w:t>
      </w:r>
      <w:r>
        <w:rPr>
          <w:rFonts w:cs="Arial"/>
        </w:rPr>
        <w:t>©</w:t>
      </w:r>
      <w:r>
        <w:t xml:space="preserve"> Copyright, </w:t>
      </w:r>
      <w:r w:rsidR="00DF0DFF">
        <w:t>O’Connor et al</w:t>
      </w:r>
      <w:r>
        <w:t>.</w:t>
      </w:r>
      <w:r w:rsidR="00414096">
        <w:t xml:space="preserve"> 2004)</w:t>
      </w:r>
    </w:p>
    <w:p w:rsidR="00DF0DFF" w:rsidRDefault="00DF0DFF" w:rsidP="00DF0DFF">
      <w:pPr>
        <w:pStyle w:val="Listintrotext"/>
      </w:pPr>
    </w:p>
    <w:p w:rsidR="00DF0DFF" w:rsidRDefault="00DF0DFF" w:rsidP="003F581B">
      <w:pPr>
        <w:pStyle w:val="BRNormal11pt0"/>
      </w:pPr>
      <w:r>
        <w:t xml:space="preserve">Time Domain Reflectometry has been used to monitor subsidence and ground movement at a United States Gypsum Company site in the </w:t>
      </w:r>
      <w:r w:rsidR="00A90ABA">
        <w:t>US</w:t>
      </w:r>
      <w:r>
        <w:t>. It was found that the rate of subsidence measured using TDR was consistent with the rate measured using conventional levelling. A limitation is that TDR only measures ground movement that deforms the TDR cable. If the TDR cable settles uniformly, no movement will be detected by the TDR monitoring device (O’Connor et al</w:t>
      </w:r>
      <w:r w:rsidR="00A90ABA">
        <w:t>.</w:t>
      </w:r>
      <w:r>
        <w:t xml:space="preserve"> 2004).</w:t>
      </w:r>
    </w:p>
    <w:p w:rsidR="00093D1C" w:rsidRDefault="00DF0DFF">
      <w:pPr>
        <w:pStyle w:val="Heading3"/>
        <w:spacing w:line="240" w:lineRule="auto"/>
      </w:pPr>
      <w:r>
        <w:t>Piezometers</w:t>
      </w:r>
    </w:p>
    <w:p w:rsidR="00DF0DFF" w:rsidRDefault="00DF0DFF" w:rsidP="003F581B">
      <w:pPr>
        <w:pStyle w:val="BRNormal11pt0"/>
      </w:pPr>
      <w:r>
        <w:t>A piezometer is any device designed to measure the groundwater pressure at a specified depth below ground. Piezometers are usually installed in boreholes and may be installed in two different ways. They may be embedded in a granular filter zone, allowing water to pass from the hydrogeological unit to the piezometer tip. This is then sealed (usually with a 1 m layer of bentonite) and the borehole annulus filled with grout.</w:t>
      </w:r>
    </w:p>
    <w:p w:rsidR="00DF0DFF" w:rsidRDefault="00DF0DFF" w:rsidP="003F581B">
      <w:pPr>
        <w:pStyle w:val="BRNormal11pt0"/>
      </w:pPr>
      <w:r>
        <w:t>Alternatively, piezometers may be surrounded entirely with grout in the borehole. This method is known as a fully grouted installation. With a fully grouted installation, piezometers are able to measure the pore water pressure through the grout, with virtually no flow of water required. This form of installation can be used in rock where the hydraulic conductivity is low. Pore pressure is measured in the immediate vicinity of the piezometer tip.</w:t>
      </w:r>
    </w:p>
    <w:p w:rsidR="00DF0DFF" w:rsidRDefault="00DF0DFF" w:rsidP="003F581B">
      <w:pPr>
        <w:pStyle w:val="BRNormal11pt0"/>
      </w:pPr>
      <w:r>
        <w:t xml:space="preserve">Measurement of pore pressures is useful for monitoring subsidence induced by </w:t>
      </w:r>
      <w:r w:rsidR="003721DE">
        <w:rPr>
          <w:lang w:val="en-AU"/>
        </w:rPr>
        <w:t>coal seam gas</w:t>
      </w:r>
      <w:r w:rsidR="003721DE" w:rsidRPr="00E13ED7">
        <w:rPr>
          <w:lang w:val="en-AU"/>
        </w:rPr>
        <w:t xml:space="preserve"> </w:t>
      </w:r>
      <w:r>
        <w:t>production, as a change in pore pressure is the primary mechanism of subsidence. A reduction in pore pressure leads to an increase in pressure on the soil or rock structure</w:t>
      </w:r>
      <w:r w:rsidR="00BB6761">
        <w:t>,</w:t>
      </w:r>
      <w:r>
        <w:t xml:space="preserve"> which in turn results in vertical </w:t>
      </w:r>
      <w:r w:rsidR="00532A1B">
        <w:t>compaction</w:t>
      </w:r>
      <w:r>
        <w:t xml:space="preserve"> of the soil or rock structure and may lead to surface subsidence.</w:t>
      </w:r>
    </w:p>
    <w:p w:rsidR="00DF0DFF" w:rsidRDefault="00DF0DFF" w:rsidP="00781EF7">
      <w:pPr>
        <w:pStyle w:val="Heading4"/>
      </w:pPr>
      <w:r>
        <w:t xml:space="preserve">Standpipe </w:t>
      </w:r>
      <w:r w:rsidR="00FD23B8" w:rsidRPr="00DB36BF">
        <w:t>p</w:t>
      </w:r>
      <w:r w:rsidRPr="00DB36BF">
        <w:t>iezometers</w:t>
      </w:r>
    </w:p>
    <w:p w:rsidR="00DF0DFF" w:rsidRDefault="00DF0DFF" w:rsidP="00DF0DFF">
      <w:pPr>
        <w:pStyle w:val="Listintrotext"/>
      </w:pPr>
      <w:r>
        <w:t xml:space="preserve">A standpipe piezometer, also known as a monitoring bore or </w:t>
      </w:r>
      <w:r w:rsidR="00BB6761">
        <w:t>‘</w:t>
      </w:r>
      <w:r>
        <w:t>Casagrande</w:t>
      </w:r>
      <w:r w:rsidR="00BB6761">
        <w:t>’</w:t>
      </w:r>
      <w:r>
        <w:t xml:space="preserve"> piezometer, consists of a casing (standpipe) with a screen interval embedded in a granular filter</w:t>
      </w:r>
      <w:r w:rsidR="00BB6761">
        <w:t>,</w:t>
      </w:r>
      <w:r>
        <w:t xml:space="preserve"> which is sealed from above. The borehole annulus (</w:t>
      </w:r>
      <w:r w:rsidR="00BB6761">
        <w:t xml:space="preserve">i.e. </w:t>
      </w:r>
      <w:r>
        <w:t xml:space="preserve">the void between the casing and surrounding ground) above the filter is filled with grout. The standpipe diameter is kept as small as possible to allow the standpipe to fill with water as quickly as possible, especially in low permeability hydrogeological units. Figure </w:t>
      </w:r>
      <w:r w:rsidR="005333BE">
        <w:t>49</w:t>
      </w:r>
      <w:r w:rsidR="00BB6761">
        <w:t xml:space="preserve"> </w:t>
      </w:r>
      <w:r>
        <w:t xml:space="preserve">shows a standpipe piezometer. They are accurate, low cost, </w:t>
      </w:r>
      <w:proofErr w:type="gramStart"/>
      <w:r>
        <w:t>simple</w:t>
      </w:r>
      <w:proofErr w:type="gramEnd"/>
      <w:r>
        <w:t xml:space="preserve"> to construct, able to recover water quality samples and have a long, satisfactory performance record (Fell et al</w:t>
      </w:r>
      <w:r w:rsidR="00BB6761">
        <w:t>.</w:t>
      </w:r>
      <w:r>
        <w:t xml:space="preserve"> 2005).</w:t>
      </w:r>
    </w:p>
    <w:p w:rsidR="00DF0DFF" w:rsidRPr="00DB36BF" w:rsidRDefault="00DF0DFF" w:rsidP="00ED7703">
      <w:pPr>
        <w:pStyle w:val="Heading5"/>
      </w:pPr>
      <w:r w:rsidRPr="00DB36BF">
        <w:t xml:space="preserve">Water </w:t>
      </w:r>
      <w:r w:rsidR="00FD23B8" w:rsidRPr="00DB36BF">
        <w:t>l</w:t>
      </w:r>
      <w:r w:rsidRPr="00DB36BF">
        <w:t xml:space="preserve">evel </w:t>
      </w:r>
      <w:r w:rsidR="00FD23B8" w:rsidRPr="00DB36BF">
        <w:t>i</w:t>
      </w:r>
      <w:r w:rsidRPr="00DB36BF">
        <w:t>ndicators</w:t>
      </w:r>
    </w:p>
    <w:p w:rsidR="00DF0DFF" w:rsidRDefault="00DF0DFF" w:rsidP="00DF0DFF">
      <w:pPr>
        <w:pStyle w:val="Listintrotext"/>
      </w:pPr>
      <w:r>
        <w:t>In a standpipe piezometer, the depth from the top of the borehole to the top of the water level (in the borehole) may be measured by a water level indicator. This consists of a cable with marked graduations and a cable reel attached to a probe. The probe is lowered into the borehole and generates an electrical response on the cable reel as soon as water is encountered. The elevation of the water surface level in the borehole is then known and is used to calculate the pore pressure at the screened interval. Water level indicators can achieve accuracies of ± 10 mm for a 100 m cable length (Stevens</w:t>
      </w:r>
      <w:r w:rsidR="00A67E4E">
        <w:t>W</w:t>
      </w:r>
      <w:r>
        <w:t>ater 2012) or</w:t>
      </w:r>
      <w:r w:rsidR="00BB6761">
        <w:t xml:space="preserve"> </w:t>
      </w:r>
      <w:r>
        <w:t>±</w:t>
      </w:r>
      <w:r w:rsidR="00BB6761">
        <w:t> </w:t>
      </w:r>
      <w:r>
        <w:t>0.01</w:t>
      </w:r>
      <w:r w:rsidR="00BB6761">
        <w:t> per cent</w:t>
      </w:r>
      <w:r>
        <w:t xml:space="preserve"> of full scale.</w:t>
      </w:r>
    </w:p>
    <w:p w:rsidR="00DF0DFF" w:rsidRDefault="00DF0DFF" w:rsidP="00ED7703">
      <w:pPr>
        <w:pStyle w:val="Heading5"/>
      </w:pPr>
      <w:r>
        <w:t>Groundwater data loggers</w:t>
      </w:r>
    </w:p>
    <w:p w:rsidR="00DF0DFF" w:rsidRDefault="00DF0DFF" w:rsidP="00DF0DFF">
      <w:pPr>
        <w:pStyle w:val="Listintrotext"/>
      </w:pPr>
      <w:r>
        <w:t>Alternatively, a groundwater data logger may be used. The pressure (pore pressure</w:t>
      </w:r>
      <w:r w:rsidR="000A2778">
        <w:t xml:space="preserve"> plus </w:t>
      </w:r>
      <w:r>
        <w:t>atmospheric pressure) is recorded by a transducer on the tip of the data logger and a correction made for atmospheric pressure. Groundwater data loggers are able to store upwards of 100</w:t>
      </w:r>
      <w:r w:rsidR="00BB6761">
        <w:t> </w:t>
      </w:r>
      <w:r>
        <w:t>000 readings in memory. Data loggers offer an accuracy of ± 0.05</w:t>
      </w:r>
      <w:r w:rsidR="00BB6761">
        <w:t xml:space="preserve"> per cent</w:t>
      </w:r>
      <w:r>
        <w:t xml:space="preserve"> of full scale (Solinst 2012). </w:t>
      </w:r>
    </w:p>
    <w:p w:rsidR="00BB6761" w:rsidRDefault="00BB6761" w:rsidP="00DF0DFF">
      <w:pPr>
        <w:pStyle w:val="Listintrotext"/>
      </w:pPr>
    </w:p>
    <w:p w:rsidR="00DF0DFF" w:rsidRDefault="000940EA" w:rsidP="00DF0DFF">
      <w:pPr>
        <w:pStyle w:val="Listintrotext"/>
      </w:pPr>
      <w:r>
        <w:rPr>
          <w:noProof/>
          <w:lang w:val="en-AU" w:eastAsia="en-AU"/>
        </w:rPr>
        <w:drawing>
          <wp:inline distT="0" distB="0" distL="0" distR="0">
            <wp:extent cx="4334493" cy="6052846"/>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9241" cy="6059476"/>
                    </a:xfrm>
                    <a:prstGeom prst="rect">
                      <a:avLst/>
                    </a:prstGeom>
                    <a:noFill/>
                  </pic:spPr>
                </pic:pic>
              </a:graphicData>
            </a:graphic>
          </wp:inline>
        </w:drawing>
      </w:r>
      <w:r w:rsidR="00DF0DFF">
        <w:t xml:space="preserve"> </w:t>
      </w:r>
    </w:p>
    <w:p w:rsidR="00DF0DFF" w:rsidRDefault="00BB6761"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49</w:t>
      </w:r>
      <w:r w:rsidR="00E252C4" w:rsidRPr="005A4936">
        <w:fldChar w:fldCharType="end"/>
      </w:r>
      <w:proofErr w:type="gramStart"/>
      <w:r>
        <w:t xml:space="preserve"> </w:t>
      </w:r>
      <w:r w:rsidR="00DF0DFF">
        <w:t xml:space="preserve">Standpipe </w:t>
      </w:r>
      <w:r>
        <w:t>p</w:t>
      </w:r>
      <w:r w:rsidR="00DF0DFF">
        <w:t>iezometer</w:t>
      </w:r>
      <w:proofErr w:type="gramEnd"/>
      <w:r w:rsidR="00DF0DFF">
        <w:t xml:space="preserve"> or </w:t>
      </w:r>
      <w:r>
        <w:t>m</w:t>
      </w:r>
      <w:r w:rsidR="00DF0DFF">
        <w:t xml:space="preserve">onitoring </w:t>
      </w:r>
      <w:r>
        <w:t>b</w:t>
      </w:r>
      <w:r w:rsidR="00DF0DFF">
        <w:t>ore (</w:t>
      </w:r>
      <w:r>
        <w:rPr>
          <w:rFonts w:cs="Arial"/>
        </w:rPr>
        <w:t>©</w:t>
      </w:r>
      <w:r>
        <w:t xml:space="preserve"> Copyright, </w:t>
      </w:r>
      <w:r w:rsidR="00DF0DFF">
        <w:t>National Uniform Drillers Licensing Committee 201</w:t>
      </w:r>
      <w:r w:rsidR="00A67E4E">
        <w:t>2</w:t>
      </w:r>
      <w:r w:rsidR="00DF0DFF">
        <w:t>)</w:t>
      </w:r>
    </w:p>
    <w:p w:rsidR="00DF0DFF" w:rsidRDefault="00DF0DFF" w:rsidP="00781EF7">
      <w:pPr>
        <w:pStyle w:val="Heading4"/>
      </w:pPr>
      <w:r>
        <w:t>Multi-</w:t>
      </w:r>
      <w:r w:rsidR="00FD23B8">
        <w:t>p</w:t>
      </w:r>
      <w:r>
        <w:t xml:space="preserve">oint </w:t>
      </w:r>
      <w:r w:rsidR="00FD23B8">
        <w:t>p</w:t>
      </w:r>
      <w:r>
        <w:t>iezometers (</w:t>
      </w:r>
      <w:r w:rsidR="00FD23B8">
        <w:t>s</w:t>
      </w:r>
      <w:r>
        <w:t>tandpipe)</w:t>
      </w:r>
    </w:p>
    <w:p w:rsidR="00DF0DFF" w:rsidRDefault="00DF0DFF" w:rsidP="000940EA">
      <w:pPr>
        <w:pStyle w:val="BRNormal11pt0"/>
      </w:pPr>
      <w:r>
        <w:t xml:space="preserve">Where piezometer readings are required at multiple depths, potential cost savings may be achieved by installing multiple piezometers within a single borehole. Multiple screened casings may be installed in a single borehole with each screen embedded in a granular filter and sealed from above. This construction is shown in Figure </w:t>
      </w:r>
      <w:r w:rsidR="005333BE">
        <w:t>50</w:t>
      </w:r>
      <w:r>
        <w:t xml:space="preserve">. The use of this method is limited by the difficulty of construction and the care required in placing the screen intervals and granular filter zones in correct position. It may be difficult to adequately seal multiple filter </w:t>
      </w:r>
      <w:r w:rsidR="000A2778">
        <w:t>zones around rigid standpipes.</w:t>
      </w:r>
    </w:p>
    <w:p w:rsidR="00DF0DFF" w:rsidRDefault="000940EA" w:rsidP="00DF0DFF">
      <w:pPr>
        <w:pStyle w:val="Listintrotext"/>
      </w:pPr>
      <w:r>
        <w:rPr>
          <w:noProof/>
          <w:lang w:val="en-AU" w:eastAsia="en-AU"/>
        </w:rPr>
        <w:drawing>
          <wp:inline distT="0" distB="0" distL="0" distR="0">
            <wp:extent cx="3289465" cy="5911106"/>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6767" cy="5924228"/>
                    </a:xfrm>
                    <a:prstGeom prst="rect">
                      <a:avLst/>
                    </a:prstGeom>
                    <a:noFill/>
                  </pic:spPr>
                </pic:pic>
              </a:graphicData>
            </a:graphic>
          </wp:inline>
        </w:drawing>
      </w:r>
      <w:r w:rsidR="00DF0DFF">
        <w:t xml:space="preserve"> </w:t>
      </w:r>
    </w:p>
    <w:p w:rsidR="00DF0DFF" w:rsidRDefault="007C1AD2"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50</w:t>
      </w:r>
      <w:r w:rsidR="00E252C4" w:rsidRPr="005A4936">
        <w:fldChar w:fldCharType="end"/>
      </w:r>
      <w:r>
        <w:t xml:space="preserve"> </w:t>
      </w:r>
      <w:r w:rsidR="00DF0DFF">
        <w:t>Multi-</w:t>
      </w:r>
      <w:r>
        <w:t>p</w:t>
      </w:r>
      <w:r w:rsidR="00DF0DFF">
        <w:t xml:space="preserve">oint </w:t>
      </w:r>
      <w:r>
        <w:t>p</w:t>
      </w:r>
      <w:r w:rsidR="00DF0DFF">
        <w:t>iezometers (</w:t>
      </w:r>
      <w:r>
        <w:t>s</w:t>
      </w:r>
      <w:r w:rsidR="00DF0DFF">
        <w:t>tandpipe)</w:t>
      </w:r>
    </w:p>
    <w:p w:rsidR="00DF0DFF" w:rsidRDefault="00DF0DFF" w:rsidP="00781EF7">
      <w:pPr>
        <w:pStyle w:val="Heading4"/>
      </w:pPr>
      <w:r>
        <w:t xml:space="preserve">Vibrating </w:t>
      </w:r>
      <w:r w:rsidR="00FD23B8">
        <w:t>w</w:t>
      </w:r>
      <w:r>
        <w:t xml:space="preserve">ire </w:t>
      </w:r>
      <w:r w:rsidR="00FD23B8">
        <w:t>p</w:t>
      </w:r>
      <w:r>
        <w:t>iezometers</w:t>
      </w:r>
    </w:p>
    <w:p w:rsidR="00DF0DFF" w:rsidRDefault="00DF0DFF" w:rsidP="000940EA">
      <w:pPr>
        <w:pStyle w:val="BRNormal11pt0"/>
      </w:pPr>
      <w:r>
        <w:t xml:space="preserve">A vibrating wire piezometer (VWP) is a pressure measuring device </w:t>
      </w:r>
      <w:r w:rsidR="007C1AD2">
        <w:t xml:space="preserve">that </w:t>
      </w:r>
      <w:r>
        <w:t>converts the frequency of vibration of a tensioned wire into pore pressure readings. The wire is connected to a diaphragm</w:t>
      </w:r>
      <w:r w:rsidR="007C1AD2">
        <w:t>,</w:t>
      </w:r>
      <w:r>
        <w:t xml:space="preserve"> which responds to </w:t>
      </w:r>
      <w:proofErr w:type="gramStart"/>
      <w:r>
        <w:t>pore</w:t>
      </w:r>
      <w:proofErr w:type="gramEnd"/>
      <w:r>
        <w:t xml:space="preserve"> pressure changes. </w:t>
      </w:r>
      <w:r w:rsidR="00611B2A" w:rsidRPr="00611B2A">
        <w:t xml:space="preserve">Figure </w:t>
      </w:r>
      <w:r w:rsidR="005333BE">
        <w:t>51</w:t>
      </w:r>
      <w:r w:rsidR="007C1AD2" w:rsidRPr="007C1AD2">
        <w:t xml:space="preserve"> </w:t>
      </w:r>
      <w:r w:rsidRPr="007C1AD2">
        <w:t>shows</w:t>
      </w:r>
      <w:r>
        <w:t xml:space="preserve"> a vibrating wire piezometer. A change in pore pressure causes a change in tension in the wire as the diaphragm responds to </w:t>
      </w:r>
      <w:proofErr w:type="gramStart"/>
      <w:r>
        <w:t>pore</w:t>
      </w:r>
      <w:proofErr w:type="gramEnd"/>
      <w:r>
        <w:t xml:space="preserve"> pressure.</w:t>
      </w:r>
      <w:r w:rsidR="007C1AD2">
        <w:t xml:space="preserve"> </w:t>
      </w:r>
      <w:r>
        <w:t>The wire is excited by an electromagnet and its natural frequency of vibration generates a signal that is recorded by the electromagnet. This is then converted to a pressure reading on the diaphragm as the amount of tension in the wire is related to its natural frequency of vibration. The measurement is transferred to a convenient terminal point by an electrical cable.</w:t>
      </w:r>
    </w:p>
    <w:p w:rsidR="00093D1C" w:rsidRDefault="00DF0DFF">
      <w:pPr>
        <w:pStyle w:val="BRNormal11pt0"/>
      </w:pPr>
      <w:r>
        <w:t xml:space="preserve">Vibrating wire piezometers may be installed by fully grouting them into a borehole. This installation method is simpler and easier, with quicker pore pressure response times, compared to the construction of a standpipe piezometer. </w:t>
      </w:r>
      <w:r w:rsidRPr="007C1AD2">
        <w:t xml:space="preserve">Considerable </w:t>
      </w:r>
      <w:r w:rsidRPr="007C1AD2">
        <w:rPr>
          <w:rStyle w:val="BRNormal11ptChar0"/>
          <w:rFonts w:ascii="Arial" w:hAnsi="Arial"/>
          <w:sz w:val="22"/>
          <w:szCs w:val="22"/>
        </w:rPr>
        <w:t>field time and cost may be saved. Fully grouted installation may also facilitate the installation</w:t>
      </w:r>
      <w:r>
        <w:t xml:space="preserve"> of multiple piezometers in a single borehole (Mikkelsen </w:t>
      </w:r>
      <w:r w:rsidR="007C1AD2">
        <w:t xml:space="preserve">&amp; </w:t>
      </w:r>
      <w:r>
        <w:t xml:space="preserve">Green 2003). </w:t>
      </w:r>
    </w:p>
    <w:p w:rsidR="00DF0DFF" w:rsidRDefault="00DF0DFF" w:rsidP="000940EA">
      <w:pPr>
        <w:pStyle w:val="BRNormal11pt0"/>
      </w:pPr>
      <w:r>
        <w:t>Vibrating wire piezometers provide easily repeatable readings. Potential issues can include damage by lightning strike, particularly during construction when cables are exposed. This has been overcome by shielding cables, earthing and provision of overvoltage protection (Fell et al</w:t>
      </w:r>
      <w:r w:rsidR="007C1AD2">
        <w:t>.</w:t>
      </w:r>
      <w:r>
        <w:t xml:space="preserve"> 2005). Vibrating wire piezometers may experience drift (</w:t>
      </w:r>
      <w:r w:rsidR="007C1AD2">
        <w:t xml:space="preserve">e.g. </w:t>
      </w:r>
      <w:r>
        <w:t>the gradual change of an instrument’s reading, under identical conditions) and require re-calibration over time. Such piezometers cannot be used to obtain water quality samples.</w:t>
      </w:r>
    </w:p>
    <w:p w:rsidR="00D70BB9" w:rsidRDefault="00DF0DFF" w:rsidP="00D70BB9">
      <w:pPr>
        <w:pStyle w:val="BRNormal11pt0"/>
      </w:pPr>
      <w:r>
        <w:t>Vibrating wire piezometers provide an accuracy of ± 0.1</w:t>
      </w:r>
      <w:r w:rsidR="007C1AD2">
        <w:t xml:space="preserve"> per cent</w:t>
      </w:r>
      <w:r>
        <w:t xml:space="preserve"> of full scale (Slope Indicator 2012a).</w:t>
      </w:r>
    </w:p>
    <w:p w:rsidR="000940EA" w:rsidRDefault="000940EA" w:rsidP="00D70BB9">
      <w:pPr>
        <w:pStyle w:val="BRNormal11pt0"/>
      </w:pPr>
      <w:r>
        <w:rPr>
          <w:noProof/>
          <w:lang w:val="en-AU" w:eastAsia="en-AU"/>
        </w:rPr>
        <w:drawing>
          <wp:inline distT="0" distB="0" distL="0" distR="0">
            <wp:extent cx="2600325" cy="4356741"/>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4356741"/>
                    </a:xfrm>
                    <a:prstGeom prst="rect">
                      <a:avLst/>
                    </a:prstGeom>
                    <a:noFill/>
                  </pic:spPr>
                </pic:pic>
              </a:graphicData>
            </a:graphic>
          </wp:inline>
        </w:drawing>
      </w:r>
      <w:r w:rsidR="00DF0DFF">
        <w:t xml:space="preserve"> </w:t>
      </w:r>
    </w:p>
    <w:p w:rsidR="000940EA" w:rsidRDefault="007C1AD2"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51</w:t>
      </w:r>
      <w:r w:rsidR="00E252C4" w:rsidRPr="005A4936">
        <w:fldChar w:fldCharType="end"/>
      </w:r>
      <w:r>
        <w:t xml:space="preserve"> </w:t>
      </w:r>
      <w:r w:rsidR="000940EA">
        <w:t xml:space="preserve">Vibrating </w:t>
      </w:r>
      <w:r>
        <w:t>w</w:t>
      </w:r>
      <w:r w:rsidR="000940EA">
        <w:t xml:space="preserve">ire </w:t>
      </w:r>
      <w:r>
        <w:t>p</w:t>
      </w:r>
      <w:r w:rsidR="000940EA">
        <w:t>iezometer (</w:t>
      </w:r>
      <w:r>
        <w:rPr>
          <w:rFonts w:cs="Arial"/>
        </w:rPr>
        <w:t>©</w:t>
      </w:r>
      <w:r>
        <w:t xml:space="preserve"> Copyright, </w:t>
      </w:r>
      <w:r w:rsidR="000940EA">
        <w:t>Slope Indicator 2011)</w:t>
      </w:r>
      <w:r>
        <w:t>.</w:t>
      </w:r>
    </w:p>
    <w:p w:rsidR="007C1AD2" w:rsidRDefault="007C1AD2" w:rsidP="00781EF7">
      <w:pPr>
        <w:pStyle w:val="Heading4"/>
      </w:pPr>
      <w:r>
        <w:t>Pneumatic piezometers</w:t>
      </w:r>
    </w:p>
    <w:p w:rsidR="007C1AD2" w:rsidRDefault="007C1AD2" w:rsidP="007C1AD2">
      <w:pPr>
        <w:pStyle w:val="BRNormal11pt0"/>
      </w:pPr>
      <w:r>
        <w:t xml:space="preserve">A pneumatic piezometer is a pressure measuring device which uses a flexible diaphragm connected to pressurised gas. The tip consists of a porous stone which allows pore water pressure to be detected by the diaphragm. Two tubes lead from one side of the diaphragm to a measuring point. Pressurised gas is applied and when this pressure is larger than the pore pressure, the diaphragm will move and allow gas out of the outlet tube. Applied gas pressure is reduced until gas stops exiting the outlet tube. The applied gas pressure then equals the pore pressure. Alternatively, pressure may be increased until gas starts exiting the outlet tube, giving the same result (after calibration for any mechanical effects). Figure </w:t>
      </w:r>
      <w:r w:rsidR="005333BE">
        <w:t xml:space="preserve">52 </w:t>
      </w:r>
      <w:r>
        <w:t>shows the principal of a pneumatic piezometer.</w:t>
      </w:r>
    </w:p>
    <w:p w:rsidR="007C1AD2" w:rsidRDefault="007C1AD2" w:rsidP="007C1AD2">
      <w:pPr>
        <w:pStyle w:val="BRNormal11pt0"/>
      </w:pPr>
      <w:r>
        <w:t>Pnuematic piezometers may be installed fully grouted into a borehole, similarly to vibrating wire piezometers (Mikkelsen &amp; Green 2003).</w:t>
      </w:r>
    </w:p>
    <w:p w:rsidR="007C1AD2" w:rsidRDefault="007C1AD2" w:rsidP="007C1AD2">
      <w:pPr>
        <w:pStyle w:val="BRNormal11pt0"/>
      </w:pPr>
      <w:r>
        <w:t>Pnuematic piezometers provide fast response times and have the advantage of being free from drift (Slope Indicator 2011). The disadvantages are the risk of damage to the inlet and outlet tubes, either during construction or operation, and the need to maintain a calibrated readout unit (Wyllie &amp; Mah 2004). Such piezometers cannot be used to recover water quality samples.</w:t>
      </w:r>
    </w:p>
    <w:p w:rsidR="007C1AD2" w:rsidRDefault="007C1AD2" w:rsidP="007C1AD2">
      <w:pPr>
        <w:pStyle w:val="BRNormal11pt0"/>
      </w:pPr>
      <w:r>
        <w:t>Pnuematic piezometers can provide a precision of ± 0.25 per cent of full scale (Slope Indicator 2012a).</w:t>
      </w:r>
    </w:p>
    <w:p w:rsidR="000940EA" w:rsidRDefault="000940EA" w:rsidP="00D90926">
      <w:pPr>
        <w:pStyle w:val="Caption-figure"/>
      </w:pPr>
      <w:r>
        <w:rPr>
          <w:noProof/>
          <w:lang w:val="en-AU" w:eastAsia="en-AU"/>
        </w:rPr>
        <w:drawing>
          <wp:inline distT="0" distB="0" distL="0" distR="0">
            <wp:extent cx="3170711" cy="4770265"/>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639" cy="4786707"/>
                    </a:xfrm>
                    <a:prstGeom prst="rect">
                      <a:avLst/>
                    </a:prstGeom>
                    <a:noFill/>
                  </pic:spPr>
                </pic:pic>
              </a:graphicData>
            </a:graphic>
          </wp:inline>
        </w:drawing>
      </w:r>
    </w:p>
    <w:p w:rsidR="00326BD8" w:rsidRDefault="00326BD8" w:rsidP="00326BD8">
      <w:pPr>
        <w:pStyle w:val="BelowTableFigureText9pt"/>
      </w:pPr>
      <w:r>
        <w:t>© Copyright, Canterbury City Council 2001</w:t>
      </w:r>
    </w:p>
    <w:p w:rsidR="000940EA" w:rsidRDefault="007C1AD2"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52</w:t>
      </w:r>
      <w:r w:rsidR="00E252C4" w:rsidRPr="005A4936">
        <w:fldChar w:fldCharType="end"/>
      </w:r>
      <w:r>
        <w:t xml:space="preserve"> </w:t>
      </w:r>
      <w:r w:rsidR="00DF0DFF">
        <w:t xml:space="preserve">Principle of a </w:t>
      </w:r>
      <w:r>
        <w:t>p</w:t>
      </w:r>
      <w:r w:rsidR="00DF0DFF">
        <w:t xml:space="preserve">neumatic </w:t>
      </w:r>
      <w:r>
        <w:t>p</w:t>
      </w:r>
      <w:r w:rsidR="00DF0DFF">
        <w:t>iezometer</w:t>
      </w:r>
    </w:p>
    <w:p w:rsidR="00DF0DFF" w:rsidRDefault="00F219F4" w:rsidP="000940EA">
      <w:pPr>
        <w:pStyle w:val="BRNormal11pt0"/>
      </w:pPr>
      <w:r>
        <w:t xml:space="preserve">Table </w:t>
      </w:r>
      <w:r w:rsidR="002C43B4">
        <w:t xml:space="preserve">17 </w:t>
      </w:r>
      <w:r w:rsidR="00DF0DFF">
        <w:t>provides a comparison of the features of standpipe (</w:t>
      </w:r>
      <w:r w:rsidR="007C1AD2">
        <w:t>‘</w:t>
      </w:r>
      <w:r w:rsidR="00DF0DFF">
        <w:t>Casagrande</w:t>
      </w:r>
      <w:r w:rsidR="007C1AD2">
        <w:t>’</w:t>
      </w:r>
      <w:r w:rsidR="00DF0DFF">
        <w:t>), pneumatic and vibrating wire pieozmeters.</w:t>
      </w:r>
    </w:p>
    <w:p w:rsidR="00093D1C" w:rsidRDefault="007C1AD2">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17</w:t>
      </w:r>
      <w:r w:rsidR="00E252C4" w:rsidRPr="001E0FA8">
        <w:fldChar w:fldCharType="end"/>
      </w:r>
      <w:r>
        <w:t xml:space="preserve"> </w:t>
      </w:r>
      <w:r w:rsidR="00611B2A" w:rsidRPr="00611B2A">
        <w:t xml:space="preserve">Comparison of </w:t>
      </w:r>
      <w:r>
        <w:t>p</w:t>
      </w:r>
      <w:r w:rsidR="00611B2A" w:rsidRPr="00611B2A">
        <w:t>iezometers (</w:t>
      </w:r>
      <w:r>
        <w:rPr>
          <w:rFonts w:cs="Arial"/>
        </w:rPr>
        <w:t>©</w:t>
      </w:r>
      <w:r>
        <w:t> Copyright,</w:t>
      </w:r>
      <w:r w:rsidRPr="007C1AD2">
        <w:t xml:space="preserve"> </w:t>
      </w:r>
      <w:r w:rsidR="00611B2A" w:rsidRPr="00611B2A">
        <w:t>Slope Indicator 2012b)</w:t>
      </w:r>
    </w:p>
    <w:tbl>
      <w:tblPr>
        <w:tblStyle w:val="TableGrid"/>
        <w:tblW w:w="9214" w:type="dxa"/>
        <w:tblInd w:w="108" w:type="dxa"/>
        <w:tblLook w:val="04A0"/>
      </w:tblPr>
      <w:tblGrid>
        <w:gridCol w:w="2977"/>
        <w:gridCol w:w="2018"/>
        <w:gridCol w:w="2018"/>
        <w:gridCol w:w="2201"/>
      </w:tblGrid>
      <w:tr w:rsidR="00CC6C30" w:rsidTr="00326BD8">
        <w:trPr>
          <w:tblHeader/>
        </w:trPr>
        <w:tc>
          <w:tcPr>
            <w:tcW w:w="2977" w:type="dxa"/>
            <w:shd w:val="clear" w:color="auto" w:fill="C6D9F1" w:themeFill="text2" w:themeFillTint="33"/>
          </w:tcPr>
          <w:p w:rsidR="00093D1C" w:rsidRDefault="00F219F4" w:rsidP="00326BD8">
            <w:pPr>
              <w:pStyle w:val="Tableheading"/>
              <w:rPr>
                <w:rFonts w:eastAsia="Times New Roman"/>
                <w:bCs/>
                <w:lang w:val="en-GB"/>
              </w:rPr>
            </w:pPr>
            <w:r>
              <w:t>Characteristics</w:t>
            </w:r>
          </w:p>
        </w:tc>
        <w:tc>
          <w:tcPr>
            <w:tcW w:w="2018" w:type="dxa"/>
            <w:shd w:val="clear" w:color="auto" w:fill="C6D9F1" w:themeFill="text2" w:themeFillTint="33"/>
          </w:tcPr>
          <w:p w:rsidR="00CC6C30" w:rsidRDefault="00F219F4" w:rsidP="00326BD8">
            <w:pPr>
              <w:pStyle w:val="Tableheading"/>
            </w:pPr>
            <w:r>
              <w:t>Type: c</w:t>
            </w:r>
            <w:r w:rsidR="00CC6C30">
              <w:t>asagrande</w:t>
            </w:r>
          </w:p>
        </w:tc>
        <w:tc>
          <w:tcPr>
            <w:tcW w:w="2018" w:type="dxa"/>
            <w:shd w:val="clear" w:color="auto" w:fill="C6D9F1" w:themeFill="text2" w:themeFillTint="33"/>
          </w:tcPr>
          <w:p w:rsidR="00CC6C30" w:rsidRDefault="00F219F4" w:rsidP="00326BD8">
            <w:pPr>
              <w:pStyle w:val="Tableheading"/>
            </w:pPr>
            <w:r>
              <w:t>Type: p</w:t>
            </w:r>
            <w:r w:rsidR="00CC6C30">
              <w:t>neumatic</w:t>
            </w:r>
          </w:p>
        </w:tc>
        <w:tc>
          <w:tcPr>
            <w:tcW w:w="2201" w:type="dxa"/>
            <w:shd w:val="clear" w:color="auto" w:fill="C6D9F1" w:themeFill="text2" w:themeFillTint="33"/>
          </w:tcPr>
          <w:p w:rsidR="00CC6C30" w:rsidRDefault="00F219F4" w:rsidP="00326BD8">
            <w:pPr>
              <w:pStyle w:val="Tableheading"/>
            </w:pPr>
            <w:r>
              <w:t>Type: v</w:t>
            </w:r>
            <w:r w:rsidR="00CC6C30">
              <w:t>ibrating wire</w:t>
            </w:r>
          </w:p>
        </w:tc>
      </w:tr>
      <w:tr w:rsidR="00CC6C30" w:rsidTr="00326BD8">
        <w:tc>
          <w:tcPr>
            <w:tcW w:w="2977" w:type="dxa"/>
          </w:tcPr>
          <w:p w:rsidR="00093D1C" w:rsidRDefault="00CC6C30" w:rsidP="00326BD8">
            <w:pPr>
              <w:pStyle w:val="Tabletext"/>
            </w:pPr>
            <w:r>
              <w:t>Response</w:t>
            </w:r>
          </w:p>
        </w:tc>
        <w:tc>
          <w:tcPr>
            <w:tcW w:w="2018" w:type="dxa"/>
          </w:tcPr>
          <w:p w:rsidR="00CC6C30" w:rsidRDefault="00CC6C30" w:rsidP="00326BD8">
            <w:pPr>
              <w:pStyle w:val="Tabletext"/>
            </w:pPr>
            <w:r>
              <w:t xml:space="preserve">Slow </w:t>
            </w:r>
          </w:p>
        </w:tc>
        <w:tc>
          <w:tcPr>
            <w:tcW w:w="2018" w:type="dxa"/>
            <w:shd w:val="clear" w:color="auto" w:fill="FABF8F" w:themeFill="accent6" w:themeFillTint="99"/>
          </w:tcPr>
          <w:p w:rsidR="00CC6C30" w:rsidRDefault="00CC6C30" w:rsidP="00326BD8">
            <w:pPr>
              <w:pStyle w:val="Tabletext"/>
            </w:pPr>
            <w:r>
              <w:t xml:space="preserve">Fast </w:t>
            </w:r>
          </w:p>
        </w:tc>
        <w:tc>
          <w:tcPr>
            <w:tcW w:w="2201" w:type="dxa"/>
            <w:shd w:val="clear" w:color="auto" w:fill="FABF8F" w:themeFill="accent6" w:themeFillTint="99"/>
          </w:tcPr>
          <w:p w:rsidR="00CC6C30" w:rsidRDefault="00CC6C30" w:rsidP="00326BD8">
            <w:pPr>
              <w:pStyle w:val="Tabletext"/>
            </w:pPr>
            <w:r>
              <w:t>Fast</w:t>
            </w:r>
          </w:p>
        </w:tc>
      </w:tr>
      <w:tr w:rsidR="00CC6C30" w:rsidTr="00326BD8">
        <w:tc>
          <w:tcPr>
            <w:tcW w:w="2977" w:type="dxa"/>
          </w:tcPr>
          <w:p w:rsidR="00093D1C" w:rsidRDefault="00CC6C30" w:rsidP="00326BD8">
            <w:pPr>
              <w:pStyle w:val="Tabletext"/>
            </w:pPr>
            <w:r>
              <w:t>Accuracy</w:t>
            </w:r>
          </w:p>
        </w:tc>
        <w:tc>
          <w:tcPr>
            <w:tcW w:w="2018" w:type="dxa"/>
            <w:shd w:val="clear" w:color="auto" w:fill="FABF8F" w:themeFill="accent6" w:themeFillTint="99"/>
          </w:tcPr>
          <w:p w:rsidR="00CC6C30" w:rsidRDefault="00CC6C30" w:rsidP="00326BD8">
            <w:pPr>
              <w:pStyle w:val="Tabletext"/>
            </w:pPr>
            <w:r>
              <w:t xml:space="preserve">High </w:t>
            </w:r>
          </w:p>
        </w:tc>
        <w:tc>
          <w:tcPr>
            <w:tcW w:w="2018" w:type="dxa"/>
          </w:tcPr>
          <w:p w:rsidR="00CC6C30" w:rsidRDefault="00CC6C30" w:rsidP="00326BD8">
            <w:pPr>
              <w:pStyle w:val="Tabletext"/>
            </w:pPr>
            <w:r>
              <w:t>Medium</w:t>
            </w:r>
          </w:p>
        </w:tc>
        <w:tc>
          <w:tcPr>
            <w:tcW w:w="2201" w:type="dxa"/>
            <w:shd w:val="clear" w:color="auto" w:fill="FABF8F" w:themeFill="accent6" w:themeFillTint="99"/>
          </w:tcPr>
          <w:p w:rsidR="00CC6C30" w:rsidRDefault="00CC6C30" w:rsidP="00326BD8">
            <w:pPr>
              <w:pStyle w:val="Tabletext"/>
            </w:pPr>
            <w:r>
              <w:t>High</w:t>
            </w:r>
          </w:p>
        </w:tc>
      </w:tr>
      <w:tr w:rsidR="00CC6C30" w:rsidTr="00326BD8">
        <w:tc>
          <w:tcPr>
            <w:tcW w:w="2977" w:type="dxa"/>
          </w:tcPr>
          <w:p w:rsidR="00093D1C" w:rsidRDefault="00CC6C30" w:rsidP="00326BD8">
            <w:pPr>
              <w:pStyle w:val="Tabletext"/>
            </w:pPr>
            <w:r>
              <w:t>Repeatable readings</w:t>
            </w:r>
          </w:p>
        </w:tc>
        <w:tc>
          <w:tcPr>
            <w:tcW w:w="2018" w:type="dxa"/>
          </w:tcPr>
          <w:p w:rsidR="00CC6C30" w:rsidRDefault="00CC6C30" w:rsidP="00326BD8">
            <w:pPr>
              <w:pStyle w:val="Tabletext"/>
            </w:pPr>
            <w:r>
              <w:t>Need technique</w:t>
            </w:r>
          </w:p>
        </w:tc>
        <w:tc>
          <w:tcPr>
            <w:tcW w:w="2018" w:type="dxa"/>
          </w:tcPr>
          <w:p w:rsidR="00CC6C30" w:rsidRDefault="00CC6C30" w:rsidP="00326BD8">
            <w:pPr>
              <w:pStyle w:val="Tabletext"/>
            </w:pPr>
            <w:r>
              <w:t>Need patience</w:t>
            </w:r>
          </w:p>
        </w:tc>
        <w:tc>
          <w:tcPr>
            <w:tcW w:w="2201" w:type="dxa"/>
            <w:shd w:val="clear" w:color="auto" w:fill="FABF8F" w:themeFill="accent6" w:themeFillTint="99"/>
          </w:tcPr>
          <w:p w:rsidR="00CC6C30" w:rsidRDefault="00CC6C30" w:rsidP="00326BD8">
            <w:pPr>
              <w:pStyle w:val="Tabletext"/>
            </w:pPr>
            <w:r>
              <w:t>Easy</w:t>
            </w:r>
          </w:p>
        </w:tc>
      </w:tr>
      <w:tr w:rsidR="00CC6C30" w:rsidTr="00326BD8">
        <w:tc>
          <w:tcPr>
            <w:tcW w:w="2977" w:type="dxa"/>
          </w:tcPr>
          <w:p w:rsidR="00093D1C" w:rsidRDefault="00CC6C30" w:rsidP="00326BD8">
            <w:pPr>
              <w:pStyle w:val="Tabletext"/>
            </w:pPr>
            <w:r>
              <w:t>Obtain readings remotely</w:t>
            </w:r>
          </w:p>
        </w:tc>
        <w:tc>
          <w:tcPr>
            <w:tcW w:w="2018" w:type="dxa"/>
          </w:tcPr>
          <w:p w:rsidR="00CC6C30" w:rsidRDefault="00CC6C30" w:rsidP="00326BD8">
            <w:pPr>
              <w:pStyle w:val="Tabletext"/>
            </w:pPr>
            <w:r>
              <w:t xml:space="preserve">No </w:t>
            </w:r>
          </w:p>
        </w:tc>
        <w:tc>
          <w:tcPr>
            <w:tcW w:w="2018" w:type="dxa"/>
            <w:shd w:val="clear" w:color="auto" w:fill="FABF8F" w:themeFill="accent6" w:themeFillTint="99"/>
          </w:tcPr>
          <w:p w:rsidR="00CC6C30" w:rsidRDefault="00CC6C30" w:rsidP="00326BD8">
            <w:pPr>
              <w:pStyle w:val="Tabletext"/>
            </w:pPr>
            <w:r>
              <w:t>Yes</w:t>
            </w:r>
          </w:p>
        </w:tc>
        <w:tc>
          <w:tcPr>
            <w:tcW w:w="2201" w:type="dxa"/>
            <w:shd w:val="clear" w:color="auto" w:fill="FABF8F" w:themeFill="accent6" w:themeFillTint="99"/>
          </w:tcPr>
          <w:p w:rsidR="00CC6C30" w:rsidRDefault="00CC6C30" w:rsidP="00326BD8">
            <w:pPr>
              <w:pStyle w:val="Tabletext"/>
            </w:pPr>
            <w:r>
              <w:t>Yes</w:t>
            </w:r>
          </w:p>
        </w:tc>
      </w:tr>
      <w:tr w:rsidR="00CC6C30" w:rsidTr="00326BD8">
        <w:tc>
          <w:tcPr>
            <w:tcW w:w="2977" w:type="dxa"/>
          </w:tcPr>
          <w:p w:rsidR="00093D1C" w:rsidRDefault="00CC6C30" w:rsidP="00326BD8">
            <w:pPr>
              <w:pStyle w:val="Tabletext"/>
            </w:pPr>
            <w:r>
              <w:t>Connect to data logger</w:t>
            </w:r>
          </w:p>
        </w:tc>
        <w:tc>
          <w:tcPr>
            <w:tcW w:w="2018" w:type="dxa"/>
          </w:tcPr>
          <w:p w:rsidR="00CC6C30" w:rsidRDefault="00CC6C30" w:rsidP="00326BD8">
            <w:pPr>
              <w:pStyle w:val="Tabletext"/>
            </w:pPr>
            <w:r>
              <w:t xml:space="preserve">No </w:t>
            </w:r>
          </w:p>
        </w:tc>
        <w:tc>
          <w:tcPr>
            <w:tcW w:w="2018" w:type="dxa"/>
          </w:tcPr>
          <w:p w:rsidR="00CC6C30" w:rsidRDefault="00CC6C30" w:rsidP="00326BD8">
            <w:pPr>
              <w:pStyle w:val="Tabletext"/>
            </w:pPr>
            <w:r>
              <w:t>No</w:t>
            </w:r>
          </w:p>
        </w:tc>
        <w:tc>
          <w:tcPr>
            <w:tcW w:w="2201" w:type="dxa"/>
            <w:shd w:val="clear" w:color="auto" w:fill="FABF8F" w:themeFill="accent6" w:themeFillTint="99"/>
          </w:tcPr>
          <w:p w:rsidR="00CC6C30" w:rsidRDefault="00CC6C30" w:rsidP="00326BD8">
            <w:pPr>
              <w:pStyle w:val="Tabletext"/>
            </w:pPr>
            <w:r>
              <w:t>Yes</w:t>
            </w:r>
          </w:p>
        </w:tc>
      </w:tr>
      <w:tr w:rsidR="00CC6C30" w:rsidTr="00326BD8">
        <w:tc>
          <w:tcPr>
            <w:tcW w:w="2977" w:type="dxa"/>
          </w:tcPr>
          <w:p w:rsidR="00093D1C" w:rsidRDefault="00CC6C30" w:rsidP="00326BD8">
            <w:pPr>
              <w:pStyle w:val="Tabletext"/>
            </w:pPr>
            <w:r>
              <w:t>Potential for lighting damage</w:t>
            </w:r>
          </w:p>
        </w:tc>
        <w:tc>
          <w:tcPr>
            <w:tcW w:w="2018" w:type="dxa"/>
            <w:shd w:val="clear" w:color="auto" w:fill="FABF8F" w:themeFill="accent6" w:themeFillTint="99"/>
          </w:tcPr>
          <w:p w:rsidR="00CC6C30" w:rsidRDefault="00CC6C30" w:rsidP="00326BD8">
            <w:pPr>
              <w:pStyle w:val="Tabletext"/>
            </w:pPr>
            <w:r>
              <w:t xml:space="preserve">No </w:t>
            </w:r>
          </w:p>
        </w:tc>
        <w:tc>
          <w:tcPr>
            <w:tcW w:w="2018" w:type="dxa"/>
            <w:shd w:val="clear" w:color="auto" w:fill="FABF8F" w:themeFill="accent6" w:themeFillTint="99"/>
          </w:tcPr>
          <w:p w:rsidR="00CC6C30" w:rsidRDefault="00CC6C30" w:rsidP="00326BD8">
            <w:pPr>
              <w:pStyle w:val="Tabletext"/>
            </w:pPr>
            <w:r>
              <w:t>No</w:t>
            </w:r>
          </w:p>
        </w:tc>
        <w:tc>
          <w:tcPr>
            <w:tcW w:w="2201" w:type="dxa"/>
          </w:tcPr>
          <w:p w:rsidR="00CC6C30" w:rsidRDefault="00CC6C30" w:rsidP="00326BD8">
            <w:pPr>
              <w:pStyle w:val="Tabletext"/>
            </w:pPr>
            <w:r>
              <w:t>Yes</w:t>
            </w:r>
          </w:p>
        </w:tc>
      </w:tr>
      <w:tr w:rsidR="00CC6C30" w:rsidTr="00326BD8">
        <w:tc>
          <w:tcPr>
            <w:tcW w:w="2977" w:type="dxa"/>
          </w:tcPr>
          <w:p w:rsidR="00093D1C" w:rsidRDefault="00CC6C30" w:rsidP="00326BD8">
            <w:pPr>
              <w:pStyle w:val="Tabletext"/>
            </w:pPr>
            <w:r>
              <w:t>Main expense</w:t>
            </w:r>
          </w:p>
        </w:tc>
        <w:tc>
          <w:tcPr>
            <w:tcW w:w="2018" w:type="dxa"/>
          </w:tcPr>
          <w:p w:rsidR="00CC6C30" w:rsidRDefault="00CC6C30" w:rsidP="00326BD8">
            <w:pPr>
              <w:pStyle w:val="Tabletext"/>
            </w:pPr>
            <w:r>
              <w:t>Drilling borehole</w:t>
            </w:r>
          </w:p>
        </w:tc>
        <w:tc>
          <w:tcPr>
            <w:tcW w:w="2018" w:type="dxa"/>
          </w:tcPr>
          <w:p w:rsidR="00CC6C30" w:rsidRDefault="00CC6C30" w:rsidP="00326BD8">
            <w:pPr>
              <w:pStyle w:val="Tabletext"/>
            </w:pPr>
            <w:r>
              <w:t>Drilling borehole</w:t>
            </w:r>
          </w:p>
        </w:tc>
        <w:tc>
          <w:tcPr>
            <w:tcW w:w="2201" w:type="dxa"/>
          </w:tcPr>
          <w:p w:rsidR="00CC6C30" w:rsidRDefault="00CC6C30" w:rsidP="00326BD8">
            <w:pPr>
              <w:pStyle w:val="Tabletext"/>
            </w:pPr>
            <w:r>
              <w:t>Drilling borehole</w:t>
            </w:r>
          </w:p>
        </w:tc>
      </w:tr>
    </w:tbl>
    <w:p w:rsidR="00DF0DFF" w:rsidRDefault="00DF0DFF" w:rsidP="00DF0DFF">
      <w:pPr>
        <w:pStyle w:val="Listintrotext"/>
      </w:pPr>
    </w:p>
    <w:p w:rsidR="00DF0DFF" w:rsidRDefault="00DF0DFF" w:rsidP="00781EF7">
      <w:pPr>
        <w:pStyle w:val="Heading4"/>
      </w:pPr>
      <w:r>
        <w:t>Multi-</w:t>
      </w:r>
      <w:r w:rsidR="00FD23B8">
        <w:t>p</w:t>
      </w:r>
      <w:r>
        <w:t xml:space="preserve">oint </w:t>
      </w:r>
      <w:r w:rsidR="00FD23B8">
        <w:t>p</w:t>
      </w:r>
      <w:r>
        <w:t xml:space="preserve">iezometers (VWP or </w:t>
      </w:r>
      <w:r w:rsidR="00FD23B8">
        <w:t>p</w:t>
      </w:r>
      <w:r>
        <w:t>neumatic)</w:t>
      </w:r>
    </w:p>
    <w:p w:rsidR="00DF0DFF" w:rsidRDefault="00DF0DFF" w:rsidP="00CC6C30">
      <w:pPr>
        <w:pStyle w:val="BRNormal11pt0"/>
      </w:pPr>
      <w:r>
        <w:t xml:space="preserve">Multiple vibrating wire or pneumatic piezometers may be installed </w:t>
      </w:r>
      <w:r w:rsidR="0033493F">
        <w:t>(</w:t>
      </w:r>
      <w:r>
        <w:t>fully grouted</w:t>
      </w:r>
      <w:r w:rsidR="0033493F">
        <w:t>)</w:t>
      </w:r>
      <w:r>
        <w:t xml:space="preserve"> into a borehole</w:t>
      </w:r>
      <w:r w:rsidR="0033493F">
        <w:t xml:space="preserve"> (Figure 5</w:t>
      </w:r>
      <w:r w:rsidR="005333BE">
        <w:t>3</w:t>
      </w:r>
      <w:r w:rsidR="0033493F">
        <w:t>)</w:t>
      </w:r>
      <w:r>
        <w:t>. This method may eliminate the difficulties inherent in sealing multiple granular filters around rigid standpipes and may provide a cost</w:t>
      </w:r>
      <w:r w:rsidR="0033493F">
        <w:t>-</w:t>
      </w:r>
      <w:r>
        <w:t>effective method of obtaining multi</w:t>
      </w:r>
      <w:r w:rsidR="00740FA2">
        <w:t>-</w:t>
      </w:r>
      <w:r>
        <w:t xml:space="preserve">level pore pressure readings from a single borehole (Mikkelsen </w:t>
      </w:r>
      <w:r w:rsidR="0033493F">
        <w:t xml:space="preserve">&amp; </w:t>
      </w:r>
      <w:r>
        <w:t>Green 2003).</w:t>
      </w:r>
    </w:p>
    <w:p w:rsidR="00DF0DFF" w:rsidRDefault="00DF0DFF" w:rsidP="00CC6C30">
      <w:pPr>
        <w:pStyle w:val="BRNormal11pt0"/>
      </w:pPr>
      <w:r>
        <w:t>A disadvantage is that the grout pressure will be felt by the piezometer for as long as it takes for the grout to set and for the excess grout pressures to dissipate. Care must be taken in selecting piezometers with appropriate measurement scales so that the grout pressure may also be measured and accounted for, if required.</w:t>
      </w:r>
    </w:p>
    <w:p w:rsidR="00DF0DFF" w:rsidRDefault="00CC6C30" w:rsidP="00DF0DFF">
      <w:pPr>
        <w:pStyle w:val="Listintrotext"/>
      </w:pPr>
      <w:r>
        <w:rPr>
          <w:noProof/>
          <w:lang w:val="en-AU" w:eastAsia="en-AU"/>
        </w:rPr>
        <w:drawing>
          <wp:inline distT="0" distB="0" distL="0" distR="0">
            <wp:extent cx="4371340" cy="310324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1340" cy="3103245"/>
                    </a:xfrm>
                    <a:prstGeom prst="rect">
                      <a:avLst/>
                    </a:prstGeom>
                    <a:noFill/>
                  </pic:spPr>
                </pic:pic>
              </a:graphicData>
            </a:graphic>
          </wp:inline>
        </w:drawing>
      </w:r>
      <w:r w:rsidR="00DF0DFF">
        <w:t xml:space="preserve"> </w:t>
      </w:r>
    </w:p>
    <w:p w:rsidR="00326BD8" w:rsidRDefault="00326BD8" w:rsidP="00326BD8">
      <w:pPr>
        <w:pStyle w:val="BelowTableFigureText9pt"/>
      </w:pPr>
      <w:r>
        <w:t>© Copyright, Mikkelsen &amp; Green 2003</w:t>
      </w:r>
    </w:p>
    <w:p w:rsidR="00DF0DFF" w:rsidRDefault="0033493F"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53</w:t>
      </w:r>
      <w:r w:rsidR="00E252C4" w:rsidRPr="005A4936">
        <w:fldChar w:fldCharType="end"/>
      </w:r>
      <w:r>
        <w:t xml:space="preserve"> </w:t>
      </w:r>
      <w:r w:rsidR="00DF0DFF">
        <w:t>Multi-</w:t>
      </w:r>
      <w:r>
        <w:t>p</w:t>
      </w:r>
      <w:r w:rsidR="00DF0DFF">
        <w:t xml:space="preserve">oint </w:t>
      </w:r>
      <w:r>
        <w:t>(f</w:t>
      </w:r>
      <w:r w:rsidR="00DF0DFF">
        <w:t xml:space="preserve">ully </w:t>
      </w:r>
      <w:r>
        <w:t>g</w:t>
      </w:r>
      <w:r w:rsidR="00DF0DFF">
        <w:t>routed</w:t>
      </w:r>
      <w:r>
        <w:t>)</w:t>
      </w:r>
      <w:r w:rsidR="00DF0DFF">
        <w:t xml:space="preserve"> </w:t>
      </w:r>
      <w:r>
        <w:t>v</w:t>
      </w:r>
      <w:r w:rsidR="00DF0DFF">
        <w:t xml:space="preserve">ibrating </w:t>
      </w:r>
      <w:r>
        <w:t>w</w:t>
      </w:r>
      <w:r w:rsidR="00DF0DFF">
        <w:t xml:space="preserve">ire </w:t>
      </w:r>
      <w:r>
        <w:t>p</w:t>
      </w:r>
      <w:r w:rsidR="00875253">
        <w:t>iezometers</w:t>
      </w:r>
      <w:r w:rsidR="00DF0DFF">
        <w:t>)</w:t>
      </w:r>
    </w:p>
    <w:p w:rsidR="00DF0DFF" w:rsidRDefault="00DF0DFF" w:rsidP="00781EF7">
      <w:pPr>
        <w:pStyle w:val="Heading4"/>
      </w:pPr>
      <w:r>
        <w:t xml:space="preserve">Spring </w:t>
      </w:r>
      <w:r w:rsidR="00FD23B8">
        <w:t>a</w:t>
      </w:r>
      <w:r>
        <w:t xml:space="preserve">ctuated </w:t>
      </w:r>
      <w:r w:rsidR="00FD23B8">
        <w:t>m</w:t>
      </w:r>
      <w:r>
        <w:t>ulti</w:t>
      </w:r>
      <w:r w:rsidR="00FD23B8">
        <w:t>-p</w:t>
      </w:r>
      <w:r>
        <w:t xml:space="preserve">oint </w:t>
      </w:r>
      <w:r w:rsidR="00FD23B8">
        <w:t>p</w:t>
      </w:r>
      <w:r>
        <w:t>iezometers</w:t>
      </w:r>
    </w:p>
    <w:p w:rsidR="00DF0DFF" w:rsidRDefault="00DF0DFF" w:rsidP="00CC6C30">
      <w:pPr>
        <w:pStyle w:val="BRNormal11pt0"/>
      </w:pPr>
      <w:r>
        <w:t>Geokon</w:t>
      </w:r>
      <w:r w:rsidR="0033493F">
        <w:t xml:space="preserve"> </w:t>
      </w:r>
      <w:r>
        <w:t>(2010) offer</w:t>
      </w:r>
      <w:r w:rsidR="0033493F">
        <w:t>ed</w:t>
      </w:r>
      <w:r>
        <w:t xml:space="preserve"> an alternative that remove</w:t>
      </w:r>
      <w:r w:rsidR="0033493F">
        <w:t>d</w:t>
      </w:r>
      <w:r>
        <w:t xml:space="preserve"> the need for sand or gravel filter zones. Piezometer filters are pressed against the borehole wall by the activation of a spring device. The borehole can then be grouted without the grout blocking the piezometer filters, as shown in Figure </w:t>
      </w:r>
      <w:r w:rsidR="005333BE">
        <w:t>54</w:t>
      </w:r>
      <w:r>
        <w:t>. The main benefit is that installation is much easier. The piezometers and cables are lowered into position, starting with the lowest. When they are in position</w:t>
      </w:r>
      <w:r w:rsidR="0033493F">
        <w:t>,</w:t>
      </w:r>
      <w:r>
        <w:t xml:space="preserve"> a spring is activated which fixes the piezometer filter to the borehole. After all the piezometers are in position the borehole is filled with cement grout.</w:t>
      </w:r>
    </w:p>
    <w:p w:rsidR="00DF0DFF" w:rsidRDefault="00CC6C30" w:rsidP="00DF0DFF">
      <w:pPr>
        <w:pStyle w:val="Listintrotext"/>
      </w:pPr>
      <w:r>
        <w:rPr>
          <w:noProof/>
          <w:lang w:val="en-AU" w:eastAsia="en-AU"/>
        </w:rPr>
        <w:drawing>
          <wp:inline distT="0" distB="0" distL="0" distR="0">
            <wp:extent cx="5638800" cy="5006464"/>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4235" cy="5011290"/>
                    </a:xfrm>
                    <a:prstGeom prst="rect">
                      <a:avLst/>
                    </a:prstGeom>
                    <a:noFill/>
                  </pic:spPr>
                </pic:pic>
              </a:graphicData>
            </a:graphic>
          </wp:inline>
        </w:drawing>
      </w:r>
      <w:r w:rsidR="00DF0DFF">
        <w:t xml:space="preserve"> </w:t>
      </w:r>
    </w:p>
    <w:p w:rsidR="00DF0DFF" w:rsidRDefault="0033493F"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54</w:t>
      </w:r>
      <w:r w:rsidR="00E252C4" w:rsidRPr="005A4936">
        <w:fldChar w:fldCharType="end"/>
      </w:r>
      <w:proofErr w:type="gramStart"/>
      <w:r>
        <w:t xml:space="preserve"> </w:t>
      </w:r>
      <w:r w:rsidR="00DF0DFF">
        <w:t xml:space="preserve">Geokon </w:t>
      </w:r>
      <w:r>
        <w:t>m</w:t>
      </w:r>
      <w:r w:rsidR="00DF0DFF">
        <w:t>ulti</w:t>
      </w:r>
      <w:r>
        <w:t>-</w:t>
      </w:r>
      <w:r w:rsidR="00DF0DFF">
        <w:t xml:space="preserve">level </w:t>
      </w:r>
      <w:r>
        <w:t>p</w:t>
      </w:r>
      <w:r w:rsidR="00DF0DFF">
        <w:t>iezometer</w:t>
      </w:r>
      <w:proofErr w:type="gramEnd"/>
      <w:r w:rsidR="00DF0DFF">
        <w:t xml:space="preserve"> with </w:t>
      </w:r>
      <w:r>
        <w:t>s</w:t>
      </w:r>
      <w:r w:rsidR="00DF0DFF">
        <w:t>pring-</w:t>
      </w:r>
      <w:r>
        <w:t>l</w:t>
      </w:r>
      <w:r w:rsidR="00DF0DFF">
        <w:t xml:space="preserve">oaded </w:t>
      </w:r>
      <w:r>
        <w:t>m</w:t>
      </w:r>
      <w:r w:rsidR="00DF0DFF">
        <w:t>echanism (</w:t>
      </w:r>
      <w:r>
        <w:rPr>
          <w:rFonts w:cs="Arial"/>
        </w:rPr>
        <w:t>©</w:t>
      </w:r>
      <w:r>
        <w:t xml:space="preserve"> Copyright, </w:t>
      </w:r>
      <w:r w:rsidR="00DF0DFF">
        <w:t>Geokon 2010)</w:t>
      </w:r>
    </w:p>
    <w:p w:rsidR="00DF0DFF" w:rsidRDefault="00DF0DFF" w:rsidP="00781EF7">
      <w:pPr>
        <w:pStyle w:val="Heading4"/>
      </w:pPr>
      <w:r>
        <w:t xml:space="preserve">Piezometer </w:t>
      </w:r>
      <w:r w:rsidR="00FD23B8">
        <w:t>i</w:t>
      </w:r>
      <w:r>
        <w:t xml:space="preserve">nstallation and </w:t>
      </w:r>
      <w:r w:rsidR="00FD23B8">
        <w:t>m</w:t>
      </w:r>
      <w:r>
        <w:t>onitoring</w:t>
      </w:r>
    </w:p>
    <w:p w:rsidR="00DF0DFF" w:rsidRDefault="00DF0DFF" w:rsidP="00EB36C7">
      <w:pPr>
        <w:pStyle w:val="Listintrotext"/>
      </w:pPr>
      <w:r>
        <w:t xml:space="preserve">The following </w:t>
      </w:r>
      <w:r w:rsidR="0044700D">
        <w:t xml:space="preserve">summarises </w:t>
      </w:r>
      <w:r>
        <w:t>important points to consider when monitoring pore pressures using piezometers</w:t>
      </w:r>
      <w:r w:rsidR="0044700D">
        <w:t>.</w:t>
      </w:r>
    </w:p>
    <w:p w:rsidR="00DF0DFF" w:rsidRDefault="00DF0DFF" w:rsidP="007702DF">
      <w:pPr>
        <w:pStyle w:val="BRdotpoints"/>
      </w:pPr>
      <w:r>
        <w:t>The depth to coal seam aquifers can be quite deep (often &gt; 300 m). Consequently, the installation of piezometers may be more expensive and accurate results harder to obtain.</w:t>
      </w:r>
    </w:p>
    <w:p w:rsidR="00DF0DFF" w:rsidRDefault="00DF0DFF" w:rsidP="007702DF">
      <w:pPr>
        <w:pStyle w:val="BRdotpoints"/>
      </w:pPr>
      <w:r>
        <w:t>In the sedimentary basins of eastern Australia, groundwater is present in numerous sandstone or coal seam aquifers</w:t>
      </w:r>
      <w:r w:rsidR="0044700D">
        <w:t>,</w:t>
      </w:r>
      <w:r>
        <w:t xml:space="preserve"> which are interspersed with lower permeability confining layers. </w:t>
      </w:r>
      <w:r w:rsidR="002E79E0">
        <w:t>To</w:t>
      </w:r>
      <w:r>
        <w:t xml:space="preserve"> obtain accurate measurements of pore pressure</w:t>
      </w:r>
      <w:r w:rsidR="0044700D">
        <w:t>,</w:t>
      </w:r>
      <w:r>
        <w:t xml:space="preserve"> it is necessary that piezometers are carefully installed in each hydrogeological unit. </w:t>
      </w:r>
    </w:p>
    <w:p w:rsidR="00DF0DFF" w:rsidRDefault="00DF0DFF" w:rsidP="007702DF">
      <w:pPr>
        <w:pStyle w:val="BRdotpoints"/>
      </w:pPr>
      <w:r>
        <w:t>The orientations of dominant joint sets in rock can lead to different pore pressure readings due to water flowing through the joints. If the joint sets are intersected by the piezometer, a higher reading is obtained as opposed to where the piezometer does not intersect the dominant joint sets.</w:t>
      </w:r>
    </w:p>
    <w:p w:rsidR="00DF0DFF" w:rsidRDefault="00DF0DFF" w:rsidP="007702DF">
      <w:pPr>
        <w:pStyle w:val="BRdotpoints"/>
      </w:pPr>
      <w:r>
        <w:t>Rainfall or other groundwater recharge events must be taken into account as they may influence results. High rainfall or flooding may cause a short term increase in pore pressures, especially in unconfined aquifers near the surface. Seasonal changes in groundwater levels are important in areas where groundwater responds to seasonal rainfall.</w:t>
      </w:r>
    </w:p>
    <w:p w:rsidR="00DF0DFF" w:rsidRDefault="0044700D" w:rsidP="00EB36C7">
      <w:pPr>
        <w:pStyle w:val="Post-listtext"/>
      </w:pPr>
      <w:r>
        <w:t>The u</w:t>
      </w:r>
      <w:r w:rsidR="00DF0DFF">
        <w:t>se of spring activated piezometers requires that the borehole remain open</w:t>
      </w:r>
      <w:r>
        <w:t>, which</w:t>
      </w:r>
      <w:r w:rsidR="00DF0DFF">
        <w:t xml:space="preserve"> </w:t>
      </w:r>
      <w:r>
        <w:t>c</w:t>
      </w:r>
      <w:r w:rsidR="00DF0DFF">
        <w:t>ould allow vertical migration of groundwater via the borehole from one geological unit to another. This could potentially result in a degree of drainage of a shallow water bearing horizon and</w:t>
      </w:r>
      <w:r>
        <w:t>,</w:t>
      </w:r>
      <w:r w:rsidR="00DF0DFF">
        <w:t xml:space="preserve"> for this reason</w:t>
      </w:r>
      <w:r>
        <w:t>,</w:t>
      </w:r>
      <w:r w:rsidR="00DF0DFF">
        <w:t xml:space="preserve"> use of spring loaded piezometers is considered inappropriate.</w:t>
      </w:r>
    </w:p>
    <w:p w:rsidR="00DF0DFF" w:rsidRDefault="00DF0DFF" w:rsidP="00781EF7">
      <w:pPr>
        <w:pStyle w:val="Heading4"/>
      </w:pPr>
      <w:r>
        <w:t xml:space="preserve">Strain </w:t>
      </w:r>
      <w:r w:rsidR="00FD23B8">
        <w:t>g</w:t>
      </w:r>
      <w:r>
        <w:t>auges</w:t>
      </w:r>
    </w:p>
    <w:p w:rsidR="00DF0DFF" w:rsidRDefault="00DF0DFF" w:rsidP="00EB36C7">
      <w:pPr>
        <w:pStyle w:val="BRNormal11pt0"/>
      </w:pPr>
      <w:r>
        <w:t xml:space="preserve">Strain gauges may be installed to monitor horizontal strain at the ground surface. A strain gauge is shown in Figure </w:t>
      </w:r>
      <w:r w:rsidR="00F15485">
        <w:t>55</w:t>
      </w:r>
      <w:r>
        <w:t>. Strain gauges do not provide any information on vertical displacement. Optical fibre strain gauges have been installed to monitor strains induced by subsidence on the Hume Highway road shoulder near Appin, NSW (MSEC 2012). Strain gauges may also be installed on railway lines and water pipelines. However, it may be difficult to find a suitable road, railway line or other firm surface on which to install the gauges. Steel weldable, vibrating wire strain gauges provide an accuracy of ±1.5 με</w:t>
      </w:r>
      <w:r w:rsidRPr="00904AC2">
        <w:t>,</w:t>
      </w:r>
      <w:r>
        <w:t xml:space="preserve"> where ε is defined as change in length per unit length (ITM Soil 2012). Calibration with temperature is required to achieve accurate results.</w:t>
      </w:r>
    </w:p>
    <w:p w:rsidR="00DF0DFF" w:rsidRDefault="00DF0DFF" w:rsidP="00EB36C7">
      <w:pPr>
        <w:pStyle w:val="BRNormal11pt0"/>
      </w:pPr>
      <w:r>
        <w:t>For subsidence assessment, strain gauges may show significant lateral strains in areas of hogging. Lateral strain is of importance in assessing the likelihood of damage to buildings.</w:t>
      </w:r>
    </w:p>
    <w:p w:rsidR="00DF0DFF" w:rsidRDefault="00EB36C7" w:rsidP="00DF0DFF">
      <w:pPr>
        <w:pStyle w:val="Listintrotext"/>
      </w:pPr>
      <w:r>
        <w:rPr>
          <w:noProof/>
          <w:lang w:val="en-AU" w:eastAsia="en-AU"/>
        </w:rPr>
        <w:drawing>
          <wp:inline distT="0" distB="0" distL="0" distR="0">
            <wp:extent cx="3225165" cy="106680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165" cy="1066800"/>
                    </a:xfrm>
                    <a:prstGeom prst="rect">
                      <a:avLst/>
                    </a:prstGeom>
                    <a:noFill/>
                  </pic:spPr>
                </pic:pic>
              </a:graphicData>
            </a:graphic>
          </wp:inline>
        </w:drawing>
      </w:r>
      <w:r w:rsidR="00DF0DFF">
        <w:t xml:space="preserve"> </w:t>
      </w:r>
    </w:p>
    <w:p w:rsidR="00DF0DFF" w:rsidRDefault="00904AC2" w:rsidP="00D90926">
      <w:pPr>
        <w:pStyle w:val="Caption-figure"/>
      </w:pPr>
      <w:r>
        <w:t>F</w:t>
      </w:r>
      <w:r w:rsidRPr="005A4936">
        <w:t xml:space="preserve">igure </w:t>
      </w:r>
      <w:r w:rsidR="00E252C4" w:rsidRPr="005A4936">
        <w:fldChar w:fldCharType="begin"/>
      </w:r>
      <w:r w:rsidRPr="005A4936">
        <w:instrText xml:space="preserve"> SEQ Figure \* ARABIC </w:instrText>
      </w:r>
      <w:r w:rsidR="00E252C4" w:rsidRPr="005A4936">
        <w:fldChar w:fldCharType="separate"/>
      </w:r>
      <w:r w:rsidR="00906141">
        <w:rPr>
          <w:noProof/>
        </w:rPr>
        <w:t>55</w:t>
      </w:r>
      <w:r w:rsidR="00E252C4" w:rsidRPr="005A4936">
        <w:fldChar w:fldCharType="end"/>
      </w:r>
      <w:proofErr w:type="gramStart"/>
      <w:r>
        <w:t xml:space="preserve"> </w:t>
      </w:r>
      <w:r w:rsidR="00DF0DFF">
        <w:t xml:space="preserve">Steel </w:t>
      </w:r>
      <w:r>
        <w:t>w</w:t>
      </w:r>
      <w:r w:rsidR="00DF0DFF">
        <w:t xml:space="preserve">eldable, </w:t>
      </w:r>
      <w:r>
        <w:t>v</w:t>
      </w:r>
      <w:r w:rsidR="00DF0DFF">
        <w:t xml:space="preserve">ibrating </w:t>
      </w:r>
      <w:r>
        <w:t>w</w:t>
      </w:r>
      <w:r w:rsidR="00DF0DFF">
        <w:t xml:space="preserve">ire </w:t>
      </w:r>
      <w:r>
        <w:t>s</w:t>
      </w:r>
      <w:r w:rsidR="00DF0DFF">
        <w:t xml:space="preserve">train </w:t>
      </w:r>
      <w:r>
        <w:t>g</w:t>
      </w:r>
      <w:r w:rsidR="00DF0DFF">
        <w:t>auge (</w:t>
      </w:r>
      <w:r>
        <w:rPr>
          <w:rFonts w:cs="Arial"/>
        </w:rPr>
        <w:t>©</w:t>
      </w:r>
      <w:r>
        <w:t xml:space="preserve"> Copyright, </w:t>
      </w:r>
      <w:r w:rsidR="00DF0DFF">
        <w:t>ITM Soil 2012)</w:t>
      </w:r>
      <w:proofErr w:type="gramEnd"/>
    </w:p>
    <w:p w:rsidR="00DF0DFF" w:rsidRDefault="00DF0DFF" w:rsidP="00781EF7">
      <w:pPr>
        <w:pStyle w:val="Heading3"/>
      </w:pPr>
      <w:r>
        <w:t xml:space="preserve">Preliminary </w:t>
      </w:r>
      <w:r w:rsidR="00FD23B8">
        <w:t>a</w:t>
      </w:r>
      <w:r>
        <w:t xml:space="preserve">ppraisal of </w:t>
      </w:r>
      <w:r w:rsidR="00FD23B8" w:rsidRPr="00781EF7">
        <w:t>d</w:t>
      </w:r>
      <w:r w:rsidRPr="00781EF7">
        <w:t>ifferent</w:t>
      </w:r>
      <w:r>
        <w:t xml:space="preserve"> </w:t>
      </w:r>
      <w:r w:rsidR="00FD23B8">
        <w:t>s</w:t>
      </w:r>
      <w:r>
        <w:t xml:space="preserve">ubsidence </w:t>
      </w:r>
      <w:r w:rsidR="00FD23B8">
        <w:t>m</w:t>
      </w:r>
      <w:r>
        <w:t xml:space="preserve">onitoring </w:t>
      </w:r>
      <w:r w:rsidR="00FD23B8">
        <w:t>t</w:t>
      </w:r>
      <w:r>
        <w:t>echniques</w:t>
      </w:r>
    </w:p>
    <w:p w:rsidR="00DF0DFF" w:rsidRDefault="00DF0DFF" w:rsidP="00263F82">
      <w:pPr>
        <w:pStyle w:val="BRNormal11pt0"/>
      </w:pPr>
      <w:r>
        <w:t xml:space="preserve">Table </w:t>
      </w:r>
      <w:r w:rsidR="002C43B4">
        <w:t xml:space="preserve">18 </w:t>
      </w:r>
      <w:r>
        <w:t>presents the advantages and disadvantages of different subsidence monitoring techniques.</w:t>
      </w:r>
    </w:p>
    <w:p w:rsidR="00904AC2" w:rsidRDefault="00904AC2">
      <w:pPr>
        <w:autoSpaceDE/>
        <w:autoSpaceDN/>
        <w:rPr>
          <w:rFonts w:eastAsia="Times New Roman" w:cs="Times New Roman"/>
          <w:sz w:val="20"/>
          <w:szCs w:val="20"/>
          <w:lang w:val="en-GB" w:eastAsia="en-US"/>
        </w:rPr>
      </w:pPr>
      <w:r>
        <w:br w:type="page"/>
      </w:r>
    </w:p>
    <w:p w:rsidR="00093D1C" w:rsidRDefault="00904AC2">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18</w:t>
      </w:r>
      <w:r w:rsidR="00E252C4" w:rsidRPr="001E0FA8">
        <w:fldChar w:fldCharType="end"/>
      </w:r>
      <w:r>
        <w:t xml:space="preserve"> </w:t>
      </w:r>
      <w:r w:rsidR="00DF0DFF">
        <w:t xml:space="preserve">Appraisal of </w:t>
      </w:r>
      <w:r w:rsidR="002F176F">
        <w:t>various</w:t>
      </w:r>
      <w:r w:rsidR="00DF0DFF">
        <w:t xml:space="preserve"> </w:t>
      </w:r>
      <w:r>
        <w:t>s</w:t>
      </w:r>
      <w:r w:rsidR="00DF0DFF">
        <w:t xml:space="preserve">ubsidence </w:t>
      </w:r>
      <w:r>
        <w:t>m</w:t>
      </w:r>
      <w:r w:rsidR="00DF0DFF">
        <w:t xml:space="preserve">onitoring </w:t>
      </w:r>
      <w:r>
        <w:t>t</w:t>
      </w:r>
      <w:r w:rsidR="00DF0DFF">
        <w:t>echniques</w:t>
      </w:r>
    </w:p>
    <w:tbl>
      <w:tblPr>
        <w:tblW w:w="9072"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550"/>
        <w:gridCol w:w="3094"/>
        <w:gridCol w:w="4428"/>
      </w:tblGrid>
      <w:tr w:rsidR="00EB36C7" w:rsidRPr="00EB36C7" w:rsidTr="003D13B0">
        <w:trPr>
          <w:tblHeader/>
        </w:trPr>
        <w:tc>
          <w:tcPr>
            <w:tcW w:w="1550" w:type="dxa"/>
            <w:shd w:val="clear" w:color="auto" w:fill="C6D9F1" w:themeFill="text2" w:themeFillTint="33"/>
            <w:vAlign w:val="center"/>
          </w:tcPr>
          <w:p w:rsidR="00EB36C7" w:rsidRPr="00EB36C7" w:rsidRDefault="00EB36C7" w:rsidP="00EB36C7">
            <w:pPr>
              <w:pStyle w:val="Tableheading"/>
              <w:rPr>
                <w:lang w:val="en-GB"/>
              </w:rPr>
            </w:pPr>
            <w:r w:rsidRPr="00EB36C7">
              <w:rPr>
                <w:lang w:val="en-GB"/>
              </w:rPr>
              <w:t xml:space="preserve">Monitoring </w:t>
            </w:r>
            <w:r w:rsidR="00904AC2">
              <w:rPr>
                <w:lang w:val="en-GB"/>
              </w:rPr>
              <w:t>t</w:t>
            </w:r>
            <w:r w:rsidRPr="00EB36C7">
              <w:rPr>
                <w:lang w:val="en-GB"/>
              </w:rPr>
              <w:t>echnique</w:t>
            </w:r>
          </w:p>
        </w:tc>
        <w:tc>
          <w:tcPr>
            <w:tcW w:w="3094" w:type="dxa"/>
            <w:shd w:val="clear" w:color="auto" w:fill="C6D9F1" w:themeFill="text2" w:themeFillTint="33"/>
          </w:tcPr>
          <w:p w:rsidR="00EB36C7" w:rsidRPr="00EB36C7" w:rsidRDefault="00EB36C7" w:rsidP="00EB36C7">
            <w:pPr>
              <w:pStyle w:val="Tableheading"/>
              <w:rPr>
                <w:lang w:val="en-GB"/>
              </w:rPr>
            </w:pPr>
            <w:r w:rsidRPr="00EB36C7">
              <w:rPr>
                <w:lang w:val="en-GB"/>
              </w:rPr>
              <w:t>Advantages</w:t>
            </w:r>
          </w:p>
        </w:tc>
        <w:tc>
          <w:tcPr>
            <w:tcW w:w="4428" w:type="dxa"/>
            <w:shd w:val="clear" w:color="auto" w:fill="C6D9F1" w:themeFill="text2" w:themeFillTint="33"/>
          </w:tcPr>
          <w:p w:rsidR="00EB36C7" w:rsidRPr="00EB36C7" w:rsidRDefault="00EB36C7" w:rsidP="00EB36C7">
            <w:pPr>
              <w:pStyle w:val="Tableheading"/>
              <w:rPr>
                <w:lang w:val="en-GB"/>
              </w:rPr>
            </w:pPr>
            <w:r w:rsidRPr="00EB36C7">
              <w:rPr>
                <w:lang w:val="en-GB"/>
              </w:rPr>
              <w:t>Disadvantages</w:t>
            </w:r>
          </w:p>
        </w:tc>
      </w:tr>
      <w:tr w:rsidR="00EB36C7" w:rsidRPr="00EB36C7" w:rsidTr="003D13B0">
        <w:tc>
          <w:tcPr>
            <w:tcW w:w="1550" w:type="dxa"/>
          </w:tcPr>
          <w:p w:rsidR="00EB36C7" w:rsidRPr="00EB36C7" w:rsidRDefault="00EB36C7" w:rsidP="00EB36C7">
            <w:pPr>
              <w:pStyle w:val="Tabletext"/>
              <w:rPr>
                <w:lang w:val="en-GB"/>
              </w:rPr>
            </w:pPr>
            <w:r w:rsidRPr="00EB36C7">
              <w:rPr>
                <w:lang w:val="en-GB"/>
              </w:rPr>
              <w:t xml:space="preserve">Conventional </w:t>
            </w:r>
            <w:r w:rsidR="00904AC2">
              <w:rPr>
                <w:lang w:val="en-GB"/>
              </w:rPr>
              <w:t>l</w:t>
            </w:r>
            <w:r w:rsidRPr="00EB36C7">
              <w:rPr>
                <w:lang w:val="en-GB"/>
              </w:rPr>
              <w:t>evelling</w:t>
            </w:r>
          </w:p>
        </w:tc>
        <w:tc>
          <w:tcPr>
            <w:tcW w:w="3094" w:type="dxa"/>
          </w:tcPr>
          <w:p w:rsidR="00093D1C" w:rsidRDefault="00EB36C7">
            <w:pPr>
              <w:pStyle w:val="TableDotPoint"/>
              <w:rPr>
                <w:rFonts w:eastAsia="Times New Roman"/>
                <w:lang w:eastAsia="en-US"/>
              </w:rPr>
            </w:pPr>
            <w:r w:rsidRPr="00EB36C7">
              <w:t>Inexpensive if used for small study areas.</w:t>
            </w:r>
          </w:p>
          <w:p w:rsidR="00093D1C" w:rsidRDefault="00EB36C7">
            <w:pPr>
              <w:pStyle w:val="TableDotPoint"/>
              <w:rPr>
                <w:rFonts w:eastAsia="Times New Roman"/>
                <w:lang w:eastAsia="en-US"/>
              </w:rPr>
            </w:pPr>
            <w:r w:rsidRPr="00EB36C7">
              <w:t>Vertical accuracy of 8 mm times the square root of the distance in kilometres to benchmark (ICSM 2012).</w:t>
            </w:r>
          </w:p>
        </w:tc>
        <w:tc>
          <w:tcPr>
            <w:tcW w:w="4428" w:type="dxa"/>
          </w:tcPr>
          <w:p w:rsidR="00093D1C" w:rsidRDefault="00EB36C7">
            <w:pPr>
              <w:pStyle w:val="TableDotPoint"/>
              <w:rPr>
                <w:rFonts w:eastAsia="Times New Roman"/>
                <w:lang w:eastAsia="en-US"/>
              </w:rPr>
            </w:pPr>
            <w:r w:rsidRPr="00EB36C7">
              <w:t>Not practical or cost-effective over large study areas.</w:t>
            </w:r>
          </w:p>
          <w:p w:rsidR="00093D1C" w:rsidRDefault="00EB36C7">
            <w:pPr>
              <w:pStyle w:val="TableDotPoint"/>
              <w:rPr>
                <w:rFonts w:eastAsia="Times New Roman"/>
                <w:lang w:eastAsia="en-US"/>
              </w:rPr>
            </w:pPr>
            <w:r w:rsidRPr="00EB36C7">
              <w:t>May be restricted by access issues.</w:t>
            </w:r>
          </w:p>
          <w:p w:rsidR="00093D1C" w:rsidRDefault="00EB36C7">
            <w:pPr>
              <w:pStyle w:val="TableDotPoint"/>
              <w:rPr>
                <w:rFonts w:eastAsia="Times New Roman"/>
                <w:lang w:eastAsia="en-US"/>
              </w:rPr>
            </w:pPr>
            <w:r w:rsidRPr="00EB36C7">
              <w:t>Requires line</w:t>
            </w:r>
            <w:r w:rsidR="00573315">
              <w:t>-</w:t>
            </w:r>
            <w:r w:rsidRPr="00EB36C7">
              <w:t>of</w:t>
            </w:r>
            <w:r w:rsidR="00573315">
              <w:t>-sight</w:t>
            </w:r>
            <w:r w:rsidR="00573315" w:rsidRPr="00EB36C7">
              <w:t xml:space="preserve"> </w:t>
            </w:r>
            <w:r w:rsidRPr="00EB36C7">
              <w:t>between survey points.</w:t>
            </w:r>
          </w:p>
          <w:p w:rsidR="00093D1C" w:rsidRDefault="00EB36C7">
            <w:pPr>
              <w:pStyle w:val="TableDotPoint"/>
              <w:rPr>
                <w:rFonts w:eastAsia="Times New Roman"/>
                <w:lang w:eastAsia="en-US"/>
              </w:rPr>
            </w:pPr>
            <w:r w:rsidRPr="00EB36C7">
              <w:t>Requires stable survey benchmarks.</w:t>
            </w:r>
          </w:p>
          <w:p w:rsidR="00093D1C" w:rsidRDefault="00EB36C7">
            <w:pPr>
              <w:pStyle w:val="TableDotPoint"/>
              <w:rPr>
                <w:rFonts w:eastAsia="Times New Roman"/>
                <w:lang w:eastAsia="en-US"/>
              </w:rPr>
            </w:pPr>
            <w:r w:rsidRPr="00EB36C7">
              <w:t>Error increases with distance from survey benchmark.</w:t>
            </w:r>
          </w:p>
        </w:tc>
      </w:tr>
      <w:tr w:rsidR="00EB36C7" w:rsidRPr="00EB36C7" w:rsidTr="003D13B0">
        <w:tc>
          <w:tcPr>
            <w:tcW w:w="1550" w:type="dxa"/>
          </w:tcPr>
          <w:p w:rsidR="00EB36C7" w:rsidRPr="00EB36C7" w:rsidRDefault="00EB36C7" w:rsidP="00EB36C7">
            <w:pPr>
              <w:pStyle w:val="Tabletext"/>
              <w:rPr>
                <w:lang w:val="en-GB"/>
              </w:rPr>
            </w:pPr>
            <w:r w:rsidRPr="00EB36C7">
              <w:rPr>
                <w:lang w:val="en-GB"/>
              </w:rPr>
              <w:t>Global Positioning System (GPS)</w:t>
            </w:r>
          </w:p>
        </w:tc>
        <w:tc>
          <w:tcPr>
            <w:tcW w:w="3094" w:type="dxa"/>
          </w:tcPr>
          <w:p w:rsidR="00093D1C" w:rsidRDefault="00EB36C7">
            <w:pPr>
              <w:pStyle w:val="TableDotPoint"/>
              <w:rPr>
                <w:rFonts w:eastAsia="Times New Roman"/>
                <w:lang w:eastAsia="en-US"/>
              </w:rPr>
            </w:pPr>
            <w:r w:rsidRPr="00EB36C7">
              <w:t>Inexpensive over small study areas.</w:t>
            </w:r>
          </w:p>
          <w:p w:rsidR="00093D1C" w:rsidRDefault="00EB36C7">
            <w:pPr>
              <w:pStyle w:val="TableDotPoint"/>
              <w:rPr>
                <w:rFonts w:eastAsia="Times New Roman"/>
                <w:lang w:eastAsia="en-US"/>
              </w:rPr>
            </w:pPr>
            <w:r w:rsidRPr="00EB36C7">
              <w:t xml:space="preserve">Vertical accuracy of 10 mm + 1 mm per </w:t>
            </w:r>
            <w:r w:rsidR="00573315" w:rsidRPr="00EB36C7">
              <w:t xml:space="preserve">kilometre </w:t>
            </w:r>
            <w:r w:rsidRPr="00EB36C7">
              <w:t>away from survey benchmark (USGS 2012).</w:t>
            </w:r>
          </w:p>
        </w:tc>
        <w:tc>
          <w:tcPr>
            <w:tcW w:w="4428" w:type="dxa"/>
          </w:tcPr>
          <w:p w:rsidR="00093D1C" w:rsidRDefault="00EB36C7">
            <w:pPr>
              <w:pStyle w:val="TableDotPoint"/>
              <w:rPr>
                <w:rFonts w:eastAsia="Times New Roman"/>
                <w:lang w:eastAsia="en-US"/>
              </w:rPr>
            </w:pPr>
            <w:r w:rsidRPr="00EB36C7">
              <w:t>Restricted resolution/accuracy.</w:t>
            </w:r>
          </w:p>
          <w:p w:rsidR="00093D1C" w:rsidRDefault="00EB36C7">
            <w:pPr>
              <w:pStyle w:val="TableDotPoint"/>
              <w:rPr>
                <w:rFonts w:eastAsia="Times New Roman"/>
                <w:lang w:eastAsia="en-US"/>
              </w:rPr>
            </w:pPr>
            <w:r w:rsidRPr="00EB36C7">
              <w:t>May be restricted by access issues.</w:t>
            </w:r>
          </w:p>
          <w:p w:rsidR="00093D1C" w:rsidRDefault="00EB36C7">
            <w:pPr>
              <w:pStyle w:val="TableDotPoint"/>
              <w:rPr>
                <w:rFonts w:eastAsia="Times New Roman"/>
                <w:lang w:eastAsia="en-US"/>
              </w:rPr>
            </w:pPr>
            <w:r w:rsidRPr="00EB36C7">
              <w:t>Requires stable survey benchmarks.</w:t>
            </w:r>
          </w:p>
          <w:p w:rsidR="00093D1C" w:rsidRDefault="00EB36C7">
            <w:pPr>
              <w:pStyle w:val="TableDotPoint"/>
              <w:rPr>
                <w:rFonts w:eastAsia="Times New Roman"/>
                <w:lang w:eastAsia="en-US"/>
              </w:rPr>
            </w:pPr>
            <w:r w:rsidRPr="00EB36C7">
              <w:t>Error increases with distance from survey benchmark.</w:t>
            </w:r>
          </w:p>
        </w:tc>
      </w:tr>
      <w:tr w:rsidR="00EB36C7" w:rsidRPr="00EB36C7" w:rsidTr="003D13B0">
        <w:tc>
          <w:tcPr>
            <w:tcW w:w="1550" w:type="dxa"/>
          </w:tcPr>
          <w:p w:rsidR="00573315" w:rsidRDefault="00EB36C7" w:rsidP="00573315">
            <w:pPr>
              <w:pStyle w:val="Tabletext"/>
              <w:rPr>
                <w:lang w:val="en-GB"/>
              </w:rPr>
            </w:pPr>
            <w:r w:rsidRPr="00EB36C7">
              <w:rPr>
                <w:lang w:val="en-GB"/>
              </w:rPr>
              <w:t>Interferometric Synthetic Aperture Radar (</w:t>
            </w:r>
            <w:r w:rsidR="00573315">
              <w:rPr>
                <w:lang w:val="en-GB"/>
              </w:rPr>
              <w:t>In</w:t>
            </w:r>
            <w:r w:rsidRPr="00EB36C7">
              <w:rPr>
                <w:lang w:val="en-GB"/>
              </w:rPr>
              <w:t>SAR)</w:t>
            </w:r>
            <w:r w:rsidR="00573315">
              <w:rPr>
                <w:lang w:val="en-GB"/>
              </w:rPr>
              <w:t xml:space="preserve"> </w:t>
            </w:r>
          </w:p>
          <w:p w:rsidR="00573315" w:rsidRPr="00EB36C7" w:rsidRDefault="00573315" w:rsidP="00573315">
            <w:pPr>
              <w:pStyle w:val="Tabletext"/>
              <w:rPr>
                <w:lang w:val="en-GB"/>
              </w:rPr>
            </w:pPr>
          </w:p>
          <w:p w:rsidR="00EB36C7" w:rsidRPr="00EB36C7" w:rsidRDefault="00EB36C7" w:rsidP="00573315">
            <w:pPr>
              <w:pStyle w:val="Tabletext"/>
              <w:rPr>
                <w:lang w:val="en-GB"/>
              </w:rPr>
            </w:pPr>
            <w:r w:rsidRPr="00EB36C7">
              <w:rPr>
                <w:lang w:val="en-GB"/>
              </w:rPr>
              <w:t>Uses differences in radar wave phase and amplitude to assess changes in elevation.</w:t>
            </w:r>
          </w:p>
        </w:tc>
        <w:tc>
          <w:tcPr>
            <w:tcW w:w="3094" w:type="dxa"/>
          </w:tcPr>
          <w:p w:rsidR="00093D1C" w:rsidRDefault="00EB36C7">
            <w:pPr>
              <w:pStyle w:val="TableDotPoint"/>
              <w:rPr>
                <w:rFonts w:eastAsia="Times New Roman"/>
                <w:lang w:eastAsia="en-US"/>
              </w:rPr>
            </w:pPr>
            <w:r w:rsidRPr="00EB36C7">
              <w:t>Data can date back to the early 1990s.</w:t>
            </w:r>
          </w:p>
          <w:p w:rsidR="00093D1C" w:rsidRDefault="00EB36C7">
            <w:pPr>
              <w:pStyle w:val="TableDotPoint"/>
              <w:rPr>
                <w:rFonts w:eastAsia="Times New Roman"/>
                <w:lang w:eastAsia="en-US"/>
              </w:rPr>
            </w:pPr>
            <w:r w:rsidRPr="00EB36C7">
              <w:t>Data covers large areas: some satellites can capture areas of up to 100 km by 100 km. Advanced Land Observing Satellite (ALOS) has a swathe width of 70 km and overpasses areas every 46 days.</w:t>
            </w:r>
          </w:p>
          <w:p w:rsidR="00093D1C" w:rsidRDefault="00EB36C7">
            <w:pPr>
              <w:pStyle w:val="TableDotPoint"/>
              <w:rPr>
                <w:rFonts w:eastAsia="Times New Roman"/>
                <w:lang w:eastAsia="en-US"/>
              </w:rPr>
            </w:pPr>
            <w:r w:rsidRPr="00EB36C7">
              <w:t>Accurate to 5 to 10 mm (USGS 2005).</w:t>
            </w:r>
          </w:p>
          <w:p w:rsidR="00093D1C" w:rsidRDefault="00EB36C7">
            <w:pPr>
              <w:pStyle w:val="TableDotPoint"/>
              <w:rPr>
                <w:rFonts w:eastAsia="Times New Roman"/>
                <w:lang w:eastAsia="en-US"/>
              </w:rPr>
            </w:pPr>
            <w:r w:rsidRPr="00EB36C7">
              <w:t>Reflective markers may be placed within the survey area to reduce de</w:t>
            </w:r>
            <w:r w:rsidR="002F176F">
              <w:t>-</w:t>
            </w:r>
            <w:r w:rsidRPr="00EB36C7">
              <w:t>correlation due to changes in ground surface between images.</w:t>
            </w:r>
          </w:p>
          <w:p w:rsidR="00EB36C7" w:rsidRPr="00EB36C7" w:rsidRDefault="00EB36C7" w:rsidP="00EB36C7">
            <w:pPr>
              <w:pStyle w:val="Tabletext"/>
              <w:rPr>
                <w:lang w:val="en-GB"/>
              </w:rPr>
            </w:pPr>
          </w:p>
        </w:tc>
        <w:tc>
          <w:tcPr>
            <w:tcW w:w="4428" w:type="dxa"/>
          </w:tcPr>
          <w:p w:rsidR="00093D1C" w:rsidRDefault="00EB36C7">
            <w:pPr>
              <w:pStyle w:val="TableDotPoint"/>
              <w:rPr>
                <w:rFonts w:eastAsia="Times New Roman"/>
                <w:lang w:eastAsia="en-US"/>
              </w:rPr>
            </w:pPr>
            <w:r w:rsidRPr="00EB36C7">
              <w:t xml:space="preserve">Results can be subjective, depending on the accuracy to which the </w:t>
            </w:r>
            <w:proofErr w:type="gramStart"/>
            <w:r w:rsidRPr="00EB36C7">
              <w:t>start of phase changes are</w:t>
            </w:r>
            <w:proofErr w:type="gramEnd"/>
            <w:r w:rsidRPr="00EB36C7">
              <w:t xml:space="preserve"> measured.</w:t>
            </w:r>
          </w:p>
          <w:p w:rsidR="00093D1C" w:rsidRDefault="002F176F">
            <w:pPr>
              <w:pStyle w:val="TableDotPoint"/>
              <w:rPr>
                <w:rFonts w:eastAsia="Times New Roman"/>
                <w:lang w:eastAsia="en-US"/>
              </w:rPr>
            </w:pPr>
            <w:r>
              <w:t>In</w:t>
            </w:r>
            <w:r w:rsidR="00EB36C7" w:rsidRPr="00EB36C7">
              <w:t>SAR is sensitive to variations in moisture</w:t>
            </w:r>
            <w:r w:rsidR="00573315">
              <w:t xml:space="preserve"> (</w:t>
            </w:r>
            <w:r w:rsidR="00EB36C7" w:rsidRPr="00EB36C7">
              <w:t>e.g. seasonal variations in groundwater levels and vegetation growth/removal</w:t>
            </w:r>
            <w:r w:rsidR="00573315">
              <w:t>)</w:t>
            </w:r>
            <w:r w:rsidR="00EB36C7" w:rsidRPr="00EB36C7">
              <w:t>. Long wavelength signals (i.e. ALOS data) are less prone to moisture-related scatter.</w:t>
            </w:r>
          </w:p>
          <w:p w:rsidR="00093D1C" w:rsidRDefault="00EB36C7">
            <w:pPr>
              <w:pStyle w:val="TableDotPoint"/>
              <w:rPr>
                <w:rFonts w:eastAsia="Times New Roman"/>
                <w:lang w:eastAsia="en-US"/>
              </w:rPr>
            </w:pPr>
            <w:r w:rsidRPr="00EB36C7">
              <w:t>Atmospheric variability (</w:t>
            </w:r>
            <w:r w:rsidR="00573315">
              <w:t xml:space="preserve">i.e. </w:t>
            </w:r>
            <w:r w:rsidRPr="00EB36C7">
              <w:t>temperature, pressure and water vapour) can cause radar wave scatter, resulting in image artefacts and localised phase variations of up to 0.5 phase cycles. This can often be visually identified as they appear different to variations associated with ground displacement.</w:t>
            </w:r>
          </w:p>
          <w:p w:rsidR="00093D1C" w:rsidRDefault="00EB36C7">
            <w:pPr>
              <w:pStyle w:val="TableDotPoint"/>
              <w:rPr>
                <w:rFonts w:eastAsia="Times New Roman"/>
                <w:lang w:eastAsia="en-US"/>
              </w:rPr>
            </w:pPr>
            <w:r w:rsidRPr="00EB36C7">
              <w:t>The differential interferogram is produced in conjunction with a digital elevation model (DEM) to remove topographic effects from the output image. Magnitude of topographic phase errors is a function of the DEM quality.</w:t>
            </w:r>
          </w:p>
          <w:p w:rsidR="00093D1C" w:rsidRDefault="00EB36C7">
            <w:pPr>
              <w:pStyle w:val="TableDotPoint"/>
              <w:rPr>
                <w:rFonts w:eastAsia="Times New Roman"/>
                <w:lang w:eastAsia="en-US"/>
              </w:rPr>
            </w:pPr>
            <w:r w:rsidRPr="00EB36C7">
              <w:t>Positioning errors can occur, causing large-scale orbital phase trends across the interferograms.</w:t>
            </w:r>
          </w:p>
          <w:p w:rsidR="00093D1C" w:rsidRDefault="00EB36C7">
            <w:pPr>
              <w:pStyle w:val="TableDotPoint"/>
              <w:rPr>
                <w:rFonts w:eastAsia="Times New Roman"/>
                <w:lang w:eastAsia="en-US"/>
              </w:rPr>
            </w:pPr>
            <w:r w:rsidRPr="00EB36C7">
              <w:t xml:space="preserve">It is advantageous to analyse as many DifSAR pairs as possible (tens of pairs, particularly where precise </w:t>
            </w:r>
            <w:r w:rsidR="00573315">
              <w:t>(</w:t>
            </w:r>
            <w:r w:rsidRPr="00EB36C7">
              <w:t>millimetric</w:t>
            </w:r>
            <w:r w:rsidR="00573315">
              <w:t>)</w:t>
            </w:r>
            <w:r w:rsidRPr="00EB36C7">
              <w:t xml:space="preserve"> ground movement change is required). If just a few are assessed, it is difficult to differentiate between phase changes associated with ground movement and phase changes associated with artefacts.</w:t>
            </w:r>
          </w:p>
          <w:p w:rsidR="00093D1C" w:rsidRDefault="00EB36C7">
            <w:pPr>
              <w:pStyle w:val="TableDotPoint"/>
              <w:rPr>
                <w:rFonts w:eastAsia="Times New Roman"/>
                <w:lang w:eastAsia="en-US"/>
              </w:rPr>
            </w:pPr>
            <w:r w:rsidRPr="00EB36C7">
              <w:t>Ground shrink-swell behaviour (e.g. where clay layers expand and contract in accordance with seasonal water availability) can confound results.</w:t>
            </w:r>
          </w:p>
          <w:p w:rsidR="00093D1C" w:rsidRDefault="00EB36C7">
            <w:pPr>
              <w:pStyle w:val="TableDotPoint"/>
              <w:rPr>
                <w:rFonts w:eastAsia="Times New Roman"/>
                <w:lang w:eastAsia="en-US"/>
              </w:rPr>
            </w:pPr>
            <w:r w:rsidRPr="00EB36C7">
              <w:t>Inaccurate where a change to the ground surface (such as ploughing or building construction) occurs between radar observations. This increases in likelihood with increasing duration between observations.</w:t>
            </w:r>
          </w:p>
        </w:tc>
      </w:tr>
      <w:tr w:rsidR="00EB36C7" w:rsidRPr="00EB36C7" w:rsidTr="003D13B0">
        <w:tc>
          <w:tcPr>
            <w:tcW w:w="1550" w:type="dxa"/>
          </w:tcPr>
          <w:p w:rsidR="00EB36C7" w:rsidRPr="00EB36C7" w:rsidRDefault="00EB36C7" w:rsidP="00EB36C7">
            <w:pPr>
              <w:pStyle w:val="Tabletext"/>
              <w:rPr>
                <w:lang w:val="en-GB"/>
              </w:rPr>
            </w:pPr>
            <w:r w:rsidRPr="00EB36C7">
              <w:rPr>
                <w:lang w:val="en-GB"/>
              </w:rPr>
              <w:t>Airborne Laser Survey (ALS)</w:t>
            </w:r>
          </w:p>
          <w:p w:rsidR="00573315" w:rsidRDefault="00573315" w:rsidP="00EB36C7">
            <w:pPr>
              <w:pStyle w:val="Tabletext"/>
              <w:rPr>
                <w:lang w:val="en-GB"/>
              </w:rPr>
            </w:pPr>
          </w:p>
          <w:p w:rsidR="00EB36C7" w:rsidRPr="00EB36C7" w:rsidRDefault="00EB36C7" w:rsidP="00EB36C7">
            <w:pPr>
              <w:pStyle w:val="Tabletext"/>
              <w:rPr>
                <w:lang w:val="en-GB"/>
              </w:rPr>
            </w:pPr>
            <w:r w:rsidRPr="00EB36C7">
              <w:rPr>
                <w:lang w:val="en-GB"/>
              </w:rPr>
              <w:t>Measures the return time of pulsed light to provide high-resolution topographic data.</w:t>
            </w:r>
          </w:p>
        </w:tc>
        <w:tc>
          <w:tcPr>
            <w:tcW w:w="3094" w:type="dxa"/>
          </w:tcPr>
          <w:p w:rsidR="00093D1C" w:rsidRDefault="00EB36C7">
            <w:pPr>
              <w:pStyle w:val="TableDotPoint"/>
              <w:rPr>
                <w:rFonts w:eastAsia="Times New Roman"/>
                <w:lang w:eastAsia="en-US"/>
              </w:rPr>
            </w:pPr>
            <w:r w:rsidRPr="00EB36C7">
              <w:t>High resolution data over a defined area.</w:t>
            </w:r>
          </w:p>
          <w:p w:rsidR="00093D1C" w:rsidRDefault="00EB36C7">
            <w:pPr>
              <w:pStyle w:val="TableDotPoint"/>
              <w:rPr>
                <w:rFonts w:eastAsia="Times New Roman"/>
                <w:lang w:eastAsia="en-US"/>
              </w:rPr>
            </w:pPr>
            <w:r w:rsidRPr="00EB36C7">
              <w:t>Can be supplied with corresponding high resolution aerial photographs.</w:t>
            </w:r>
          </w:p>
          <w:p w:rsidR="00093D1C" w:rsidRDefault="00EB36C7">
            <w:pPr>
              <w:pStyle w:val="TableDotPoint"/>
              <w:rPr>
                <w:rFonts w:eastAsia="Times New Roman"/>
                <w:lang w:eastAsia="en-US"/>
              </w:rPr>
            </w:pPr>
            <w:r w:rsidRPr="00EB36C7">
              <w:t>Overflights can be commissioned whenever required (subject to weather conditions).</w:t>
            </w:r>
          </w:p>
        </w:tc>
        <w:tc>
          <w:tcPr>
            <w:tcW w:w="4428" w:type="dxa"/>
          </w:tcPr>
          <w:p w:rsidR="00093D1C" w:rsidRDefault="00EB36C7">
            <w:pPr>
              <w:pStyle w:val="TableDotPoint"/>
              <w:rPr>
                <w:rFonts w:eastAsia="Times New Roman"/>
                <w:lang w:eastAsia="en-US"/>
              </w:rPr>
            </w:pPr>
            <w:r w:rsidRPr="00EB36C7">
              <w:t>Requires independent survey overflights.</w:t>
            </w:r>
          </w:p>
          <w:p w:rsidR="00093D1C" w:rsidRDefault="00EB36C7">
            <w:pPr>
              <w:pStyle w:val="TableDotPoint"/>
              <w:rPr>
                <w:rFonts w:eastAsia="Times New Roman"/>
                <w:lang w:eastAsia="en-US"/>
              </w:rPr>
            </w:pPr>
            <w:r w:rsidRPr="00EB36C7">
              <w:t>Expensive.</w:t>
            </w:r>
          </w:p>
          <w:p w:rsidR="00093D1C" w:rsidRDefault="00EB36C7">
            <w:pPr>
              <w:pStyle w:val="TableDotPoint"/>
              <w:rPr>
                <w:rFonts w:eastAsia="Times New Roman"/>
                <w:lang w:eastAsia="en-US"/>
              </w:rPr>
            </w:pPr>
            <w:r w:rsidRPr="00EB36C7">
              <w:t>Prone to localised distortion if effective algorithms to remove vegetation are not applied.</w:t>
            </w:r>
          </w:p>
        </w:tc>
      </w:tr>
      <w:tr w:rsidR="00EB36C7" w:rsidRPr="00EB36C7" w:rsidTr="003D13B0">
        <w:tc>
          <w:tcPr>
            <w:tcW w:w="1550" w:type="dxa"/>
          </w:tcPr>
          <w:p w:rsidR="00EB36C7" w:rsidRPr="00EB36C7" w:rsidRDefault="00EB36C7" w:rsidP="00EB36C7">
            <w:pPr>
              <w:pStyle w:val="Tabletext"/>
              <w:rPr>
                <w:lang w:val="en-GB"/>
              </w:rPr>
            </w:pPr>
            <w:r w:rsidRPr="00EB36C7">
              <w:rPr>
                <w:lang w:val="en-GB"/>
              </w:rPr>
              <w:t>Borehole Extensometers</w:t>
            </w:r>
          </w:p>
          <w:p w:rsidR="00573315" w:rsidRDefault="00573315" w:rsidP="00EB36C7">
            <w:pPr>
              <w:pStyle w:val="Tabletext"/>
              <w:rPr>
                <w:lang w:val="en-GB"/>
              </w:rPr>
            </w:pPr>
          </w:p>
          <w:p w:rsidR="00EB36C7" w:rsidRPr="00EB36C7" w:rsidRDefault="00EB36C7" w:rsidP="00EB36C7">
            <w:pPr>
              <w:pStyle w:val="Tabletext"/>
              <w:rPr>
                <w:lang w:val="en-GB"/>
              </w:rPr>
            </w:pPr>
            <w:r w:rsidRPr="00EB36C7">
              <w:rPr>
                <w:lang w:val="en-GB"/>
              </w:rPr>
              <w:t>Measures settlement using a rigid measuring rod attached to a deeply anchored benchmark</w:t>
            </w:r>
            <w:r w:rsidR="00573315">
              <w:rPr>
                <w:lang w:val="en-GB"/>
              </w:rPr>
              <w:t>.</w:t>
            </w:r>
          </w:p>
        </w:tc>
        <w:tc>
          <w:tcPr>
            <w:tcW w:w="3094" w:type="dxa"/>
          </w:tcPr>
          <w:p w:rsidR="00093D1C" w:rsidRDefault="00EB36C7">
            <w:pPr>
              <w:pStyle w:val="TableDotPoint"/>
              <w:rPr>
                <w:rFonts w:eastAsia="Times New Roman"/>
                <w:lang w:eastAsia="en-US"/>
              </w:rPr>
            </w:pPr>
            <w:r w:rsidRPr="00EB36C7">
              <w:t>Accurate to 1 microstrain, or 1 mm per 1000 m depth stratigraphic unit.</w:t>
            </w:r>
          </w:p>
        </w:tc>
        <w:tc>
          <w:tcPr>
            <w:tcW w:w="4428" w:type="dxa"/>
          </w:tcPr>
          <w:p w:rsidR="00093D1C" w:rsidRDefault="00EB36C7">
            <w:pPr>
              <w:pStyle w:val="TableDotPoint"/>
              <w:rPr>
                <w:rFonts w:eastAsia="Times New Roman"/>
                <w:lang w:eastAsia="en-US"/>
              </w:rPr>
            </w:pPr>
            <w:r w:rsidRPr="00EB36C7">
              <w:t>Relatively expensive to install.</w:t>
            </w:r>
          </w:p>
          <w:p w:rsidR="00093D1C" w:rsidRDefault="00EB36C7">
            <w:pPr>
              <w:pStyle w:val="TableDotPoint"/>
              <w:rPr>
                <w:rFonts w:eastAsia="Times New Roman"/>
                <w:lang w:eastAsia="en-US"/>
              </w:rPr>
            </w:pPr>
            <w:r w:rsidRPr="00EB36C7">
              <w:t>Requires telescoping casing.</w:t>
            </w:r>
          </w:p>
          <w:p w:rsidR="00093D1C" w:rsidRDefault="00EB36C7">
            <w:pPr>
              <w:pStyle w:val="TableDotPoint"/>
              <w:rPr>
                <w:rFonts w:eastAsia="Times New Roman"/>
                <w:lang w:eastAsia="en-US"/>
              </w:rPr>
            </w:pPr>
            <w:r w:rsidRPr="00EB36C7">
              <w:t>Requires an anchor to be installed at a depth where strata are stable. This depth may be over 500 m below the ground surface.</w:t>
            </w:r>
          </w:p>
        </w:tc>
      </w:tr>
      <w:tr w:rsidR="00EB36C7" w:rsidRPr="00EB36C7" w:rsidTr="003D13B0">
        <w:tc>
          <w:tcPr>
            <w:tcW w:w="1550" w:type="dxa"/>
          </w:tcPr>
          <w:p w:rsidR="00EB36C7" w:rsidRPr="00EB36C7" w:rsidRDefault="00EB36C7" w:rsidP="00EB36C7">
            <w:pPr>
              <w:pStyle w:val="Tabletext"/>
              <w:rPr>
                <w:lang w:val="en-GB"/>
              </w:rPr>
            </w:pPr>
            <w:r w:rsidRPr="00EB36C7">
              <w:rPr>
                <w:lang w:val="en-GB"/>
              </w:rPr>
              <w:t>Tiltmeters</w:t>
            </w:r>
          </w:p>
          <w:p w:rsidR="00573315" w:rsidRDefault="00573315" w:rsidP="00EB36C7">
            <w:pPr>
              <w:pStyle w:val="Tabletext"/>
              <w:rPr>
                <w:lang w:val="en-GB"/>
              </w:rPr>
            </w:pPr>
          </w:p>
          <w:p w:rsidR="00EB36C7" w:rsidRPr="00EB36C7" w:rsidRDefault="00EB36C7" w:rsidP="00EB36C7">
            <w:pPr>
              <w:pStyle w:val="Tabletext"/>
              <w:rPr>
                <w:lang w:val="en-GB"/>
              </w:rPr>
            </w:pPr>
            <w:r w:rsidRPr="00EB36C7">
              <w:rPr>
                <w:lang w:val="en-GB"/>
              </w:rPr>
              <w:t>Measure changes in tilt of the ground surface.</w:t>
            </w:r>
          </w:p>
        </w:tc>
        <w:tc>
          <w:tcPr>
            <w:tcW w:w="3094" w:type="dxa"/>
          </w:tcPr>
          <w:p w:rsidR="00093D1C" w:rsidRDefault="00EB36C7">
            <w:pPr>
              <w:pStyle w:val="TableDotPoint"/>
              <w:rPr>
                <w:rFonts w:eastAsia="Times New Roman"/>
                <w:lang w:eastAsia="en-US"/>
              </w:rPr>
            </w:pPr>
            <w:r w:rsidRPr="00EB36C7">
              <w:t>Can be connected to computer and integrated to provide continuously updating ground elevation contours.</w:t>
            </w:r>
          </w:p>
          <w:p w:rsidR="00093D1C" w:rsidRDefault="00EB36C7" w:rsidP="00565387">
            <w:pPr>
              <w:pStyle w:val="TableDotPoint"/>
              <w:rPr>
                <w:rFonts w:eastAsia="Times New Roman"/>
                <w:lang w:eastAsia="en-US"/>
              </w:rPr>
            </w:pPr>
            <w:r w:rsidRPr="00EB36C7">
              <w:t>Accurate to 1 nanoradian or</w:t>
            </w:r>
            <w:r w:rsidR="00565387">
              <w:t xml:space="preserve"> </w:t>
            </w:r>
            <w:r w:rsidRPr="00EB36C7">
              <w:t>10</w:t>
            </w:r>
            <w:r w:rsidRPr="00EB36C7">
              <w:rPr>
                <w:vertAlign w:val="superscript"/>
              </w:rPr>
              <w:noBreakHyphen/>
              <w:t>6</w:t>
            </w:r>
            <w:r w:rsidRPr="00EB36C7">
              <w:t> mm/m.</w:t>
            </w:r>
          </w:p>
        </w:tc>
        <w:tc>
          <w:tcPr>
            <w:tcW w:w="4428" w:type="dxa"/>
          </w:tcPr>
          <w:p w:rsidR="00093D1C" w:rsidRDefault="00EB36C7">
            <w:pPr>
              <w:pStyle w:val="TableDotPoint"/>
              <w:rPr>
                <w:rFonts w:eastAsia="Times New Roman"/>
                <w:lang w:eastAsia="en-US"/>
              </w:rPr>
            </w:pPr>
            <w:r w:rsidRPr="00EB36C7">
              <w:t>Requires a stable surface for installation, free from ground shrink–swell behaviour, erosion or vandalism.</w:t>
            </w:r>
          </w:p>
          <w:p w:rsidR="00EB36C7" w:rsidRPr="00EB36C7" w:rsidRDefault="00EB36C7" w:rsidP="00EB36C7">
            <w:pPr>
              <w:pStyle w:val="Tabletext"/>
              <w:rPr>
                <w:lang w:val="en-GB"/>
              </w:rPr>
            </w:pPr>
          </w:p>
        </w:tc>
      </w:tr>
    </w:tbl>
    <w:p w:rsidR="00DF0DFF" w:rsidRDefault="00DF0DFF" w:rsidP="00DF0DFF">
      <w:pPr>
        <w:pStyle w:val="Listintrotext"/>
      </w:pPr>
    </w:p>
    <w:p w:rsidR="00DF0DFF" w:rsidRDefault="00DF0DFF" w:rsidP="00F41293">
      <w:pPr>
        <w:pStyle w:val="Heading2"/>
      </w:pPr>
      <w:bookmarkStart w:id="608" w:name="_Toc390787817"/>
      <w:bookmarkStart w:id="609" w:name="_Toc391554320"/>
      <w:bookmarkStart w:id="610" w:name="_Toc394649839"/>
      <w:bookmarkStart w:id="611" w:name="_Toc402425346"/>
      <w:bookmarkEnd w:id="608"/>
      <w:bookmarkEnd w:id="609"/>
      <w:bookmarkEnd w:id="610"/>
      <w:r>
        <w:t xml:space="preserve">Monitoring </w:t>
      </w:r>
      <w:r w:rsidR="00FD23B8">
        <w:t>p</w:t>
      </w:r>
      <w:r>
        <w:t xml:space="preserve">lan and </w:t>
      </w:r>
      <w:r w:rsidR="00FD23B8">
        <w:t>i</w:t>
      </w:r>
      <w:r>
        <w:t xml:space="preserve">nstrument </w:t>
      </w:r>
      <w:r w:rsidR="00FD23B8">
        <w:t>s</w:t>
      </w:r>
      <w:r>
        <w:t>election</w:t>
      </w:r>
      <w:bookmarkEnd w:id="611"/>
    </w:p>
    <w:p w:rsidR="00DF0DFF" w:rsidRDefault="00DF0DFF" w:rsidP="00F41293">
      <w:pPr>
        <w:pStyle w:val="BRNormal11pt0"/>
      </w:pPr>
      <w:r>
        <w:t>Successful monitoring plans are the result of logically designed monitoring programmes in which the objectives and benefits of monitoring are clearly defined. Specific monitoring instruments target specific measurement types and criteria. An unbiased assessment of each of the instruments can only be achieved if cost is not the dominating factor. Reliability, simplicity and necessity are the three most important factors to consider when selecting instruments and designing a monitoring plan. Dunnicliff (1993) provide</w:t>
      </w:r>
      <w:r w:rsidR="000722FA">
        <w:t>d</w:t>
      </w:r>
      <w:r>
        <w:t xml:space="preserve"> a systematic guide for designing a monitoring plan which is followed below.</w:t>
      </w:r>
    </w:p>
    <w:p w:rsidR="00DF0DFF" w:rsidRDefault="00DF0DFF" w:rsidP="00F41293">
      <w:pPr>
        <w:pStyle w:val="BRNormal11pt0"/>
      </w:pPr>
      <w:r>
        <w:t xml:space="preserve">Prior to development of a monitoring plan, it is necessary to develop an assessment of the likely extent and magnitude of subsidence. This enables appropriate selection of monitoring locations and monitoring equipment. It is also important to develop an assessment of the magnitude of subsidence </w:t>
      </w:r>
      <w:r w:rsidR="000722FA">
        <w:t xml:space="preserve">that </w:t>
      </w:r>
      <w:r>
        <w:t xml:space="preserve">would result in adverse impact and the locations </w:t>
      </w:r>
      <w:r w:rsidR="000722FA">
        <w:t xml:space="preserve">that would </w:t>
      </w:r>
      <w:r>
        <w:t>have the highest sensitivity to subsidence.</w:t>
      </w:r>
    </w:p>
    <w:p w:rsidR="00DF0DFF" w:rsidRDefault="00DF0DFF" w:rsidP="00F41293">
      <w:pPr>
        <w:pStyle w:val="BRNormal11pt0"/>
      </w:pPr>
      <w:r>
        <w:t>The discussion below illustrates the development of a monitoring plan for a hypothetical situation.</w:t>
      </w:r>
    </w:p>
    <w:p w:rsidR="00587EC4" w:rsidRDefault="00DF0DFF" w:rsidP="00ED7703">
      <w:pPr>
        <w:pStyle w:val="Heading5"/>
      </w:pPr>
      <w:r>
        <w:t xml:space="preserve">Benefits of </w:t>
      </w:r>
      <w:r w:rsidR="00FD23B8">
        <w:t>m</w:t>
      </w:r>
      <w:r>
        <w:t>onitoring</w:t>
      </w:r>
    </w:p>
    <w:p w:rsidR="00DF0DFF" w:rsidRDefault="00DF0DFF" w:rsidP="007702DF">
      <w:pPr>
        <w:pStyle w:val="BRdotpoints"/>
      </w:pPr>
      <w:r>
        <w:t>To provide an understanding of initial site conditions; in particular, groundwater levels, their variability and identification of existing ground movements occurring in the area</w:t>
      </w:r>
    </w:p>
    <w:p w:rsidR="00DF0DFF" w:rsidRDefault="00DF0DFF" w:rsidP="007702DF">
      <w:pPr>
        <w:pStyle w:val="BRdotpoints"/>
      </w:pPr>
      <w:r>
        <w:t xml:space="preserve">To quantitatively assess the effects of groundwater withdrawal for </w:t>
      </w:r>
      <w:r w:rsidR="003721DE">
        <w:rPr>
          <w:lang w:val="en-AU"/>
        </w:rPr>
        <w:t>coal seam gas</w:t>
      </w:r>
      <w:r w:rsidR="003721DE" w:rsidRPr="00E13ED7">
        <w:rPr>
          <w:lang w:val="en-AU"/>
        </w:rPr>
        <w:t xml:space="preserve"> </w:t>
      </w:r>
      <w:r>
        <w:t>production on the ground surface</w:t>
      </w:r>
    </w:p>
    <w:p w:rsidR="00DF0DFF" w:rsidRDefault="00DF0DFF" w:rsidP="007702DF">
      <w:pPr>
        <w:pStyle w:val="BRdotpoints"/>
      </w:pPr>
      <w:r>
        <w:t xml:space="preserve">To provide reassurance to the public that subsidence risks to properties and </w:t>
      </w:r>
      <w:r w:rsidR="000722FA">
        <w:t xml:space="preserve">the </w:t>
      </w:r>
      <w:r>
        <w:t>environment will be monitored.</w:t>
      </w:r>
    </w:p>
    <w:p w:rsidR="00587EC4" w:rsidRDefault="00DF0DFF" w:rsidP="00ED7703">
      <w:pPr>
        <w:pStyle w:val="Heading5"/>
      </w:pPr>
      <w:r>
        <w:t xml:space="preserve">Project </w:t>
      </w:r>
      <w:r w:rsidR="00FD23B8">
        <w:t>c</w:t>
      </w:r>
      <w:r>
        <w:t>onditions</w:t>
      </w:r>
    </w:p>
    <w:p w:rsidR="00DF0DFF" w:rsidRDefault="00DF0DFF" w:rsidP="007702DF">
      <w:pPr>
        <w:pStyle w:val="BRdotpoints"/>
      </w:pPr>
      <w:r>
        <w:t>Type</w:t>
      </w:r>
      <w:r w:rsidR="00844D6D">
        <w:t>:</w:t>
      </w:r>
      <w:r>
        <w:t xml:space="preserve"> </w:t>
      </w:r>
      <w:r w:rsidR="000722FA">
        <w:t>m</w:t>
      </w:r>
      <w:r>
        <w:t xml:space="preserve">onitoring of the effects of subsidence due to groundwater withdrawal for </w:t>
      </w:r>
      <w:r w:rsidR="003721DE">
        <w:rPr>
          <w:lang w:val="en-AU"/>
        </w:rPr>
        <w:t>coal seam gas</w:t>
      </w:r>
      <w:r w:rsidR="003721DE" w:rsidRPr="00E13ED7">
        <w:rPr>
          <w:lang w:val="en-AU"/>
        </w:rPr>
        <w:t xml:space="preserve"> </w:t>
      </w:r>
      <w:r>
        <w:t>production</w:t>
      </w:r>
    </w:p>
    <w:p w:rsidR="00DF0DFF" w:rsidRDefault="00DF0DFF" w:rsidP="007702DF">
      <w:pPr>
        <w:pStyle w:val="BRdotpoints"/>
      </w:pPr>
      <w:r>
        <w:t>Scale</w:t>
      </w:r>
      <w:r w:rsidR="00844D6D">
        <w:t>:</w:t>
      </w:r>
      <w:r w:rsidR="000722FA">
        <w:t xml:space="preserve"> this should e</w:t>
      </w:r>
      <w:r>
        <w:t xml:space="preserve">ncompass </w:t>
      </w:r>
      <w:r w:rsidR="003721DE">
        <w:rPr>
          <w:lang w:val="en-AU"/>
        </w:rPr>
        <w:t>coal seam gas</w:t>
      </w:r>
      <w:r w:rsidR="003721DE" w:rsidRPr="00E13ED7">
        <w:rPr>
          <w:lang w:val="en-AU"/>
        </w:rPr>
        <w:t xml:space="preserve"> </w:t>
      </w:r>
      <w:r>
        <w:t xml:space="preserve">production areas. Zones of maximum drawdown may occur over areas with diameters ranging between 5 km and 20 km. </w:t>
      </w:r>
      <w:r w:rsidR="003721DE">
        <w:rPr>
          <w:lang w:val="en-AU"/>
        </w:rPr>
        <w:t>Coal seam gas</w:t>
      </w:r>
      <w:r w:rsidR="003721DE" w:rsidRPr="00E13ED7">
        <w:rPr>
          <w:lang w:val="en-AU"/>
        </w:rPr>
        <w:t xml:space="preserve"> </w:t>
      </w:r>
      <w:r>
        <w:t>production areas with multiple well zones may result in significant drawdown over areas with diameters up to 50 km</w:t>
      </w:r>
    </w:p>
    <w:p w:rsidR="00DF0DFF" w:rsidRDefault="00DF0DFF" w:rsidP="007702DF">
      <w:pPr>
        <w:pStyle w:val="BRdotpoints"/>
      </w:pPr>
      <w:r>
        <w:t>Stratigraphy</w:t>
      </w:r>
      <w:r w:rsidR="00844D6D">
        <w:t>:</w:t>
      </w:r>
      <w:r>
        <w:t xml:space="preserve"> </w:t>
      </w:r>
      <w:r w:rsidR="000722FA">
        <w:t>t</w:t>
      </w:r>
      <w:r>
        <w:t xml:space="preserve">he target coal seams are typically at 300 m to 1000 m </w:t>
      </w:r>
      <w:r w:rsidR="000722FA">
        <w:t xml:space="preserve">in </w:t>
      </w:r>
      <w:r>
        <w:t>depth. Sedimentary formations overlie the coal seams, with alluvial units near the surface</w:t>
      </w:r>
    </w:p>
    <w:p w:rsidR="00DF0DFF" w:rsidRDefault="00DF0DFF" w:rsidP="007702DF">
      <w:pPr>
        <w:pStyle w:val="BRdotpoints"/>
      </w:pPr>
      <w:r>
        <w:t xml:space="preserve">Engineering </w:t>
      </w:r>
      <w:r w:rsidR="000722FA">
        <w:t>p</w:t>
      </w:r>
      <w:r>
        <w:t>roperties</w:t>
      </w:r>
      <w:r w:rsidR="00844D6D">
        <w:t>:</w:t>
      </w:r>
      <w:r w:rsidR="000722FA">
        <w:t xml:space="preserve"> t</w:t>
      </w:r>
      <w:r>
        <w:t xml:space="preserve">he two most compressible units are the alluvial units and the coal seams. The sedimentary formations will also </w:t>
      </w:r>
      <w:r w:rsidR="00532A1B">
        <w:t>compact</w:t>
      </w:r>
      <w:r>
        <w:t xml:space="preserve"> to some degree due to their thickness (more than 300 m above the coal seam)</w:t>
      </w:r>
    </w:p>
    <w:p w:rsidR="00587EC4" w:rsidRDefault="00DF0DFF" w:rsidP="007702DF">
      <w:pPr>
        <w:pStyle w:val="BRdotpoints"/>
      </w:pPr>
      <w:r>
        <w:t>Groundwater</w:t>
      </w:r>
      <w:r w:rsidR="00844D6D">
        <w:t>:</w:t>
      </w:r>
      <w:r w:rsidR="000722FA">
        <w:t xml:space="preserve"> </w:t>
      </w:r>
      <w:r>
        <w:t>present throughout all geological units in the ground profile, and includes</w:t>
      </w:r>
      <w:r w:rsidR="007B7E88">
        <w:t xml:space="preserve">: </w:t>
      </w:r>
      <w:r w:rsidR="000722FA">
        <w:t>a</w:t>
      </w:r>
      <w:r>
        <w:t>n unconfined surficial aquifer</w:t>
      </w:r>
      <w:r w:rsidR="007B7E88">
        <w:t xml:space="preserve">; </w:t>
      </w:r>
      <w:r w:rsidR="000722FA">
        <w:t>a</w:t>
      </w:r>
      <w:r>
        <w:t>n intermediate confined aquifer system above the coal measures</w:t>
      </w:r>
      <w:r w:rsidR="007B7E88">
        <w:t xml:space="preserve">; </w:t>
      </w:r>
      <w:r w:rsidR="000722FA">
        <w:t>a</w:t>
      </w:r>
      <w:r>
        <w:t xml:space="preserve"> confined aquifer system within the coal measures</w:t>
      </w:r>
      <w:r w:rsidR="007B7E88">
        <w:t xml:space="preserve">; and </w:t>
      </w:r>
      <w:r w:rsidR="000722FA">
        <w:t>a</w:t>
      </w:r>
      <w:r>
        <w:t xml:space="preserve"> deep confined aquifer system below the coal measures.</w:t>
      </w:r>
    </w:p>
    <w:p w:rsidR="00587EC4" w:rsidRDefault="00DF0DFF" w:rsidP="00ED7703">
      <w:pPr>
        <w:pStyle w:val="Heading5"/>
      </w:pPr>
      <w:r>
        <w:t xml:space="preserve">Controlling </w:t>
      </w:r>
      <w:r w:rsidR="00FD23B8">
        <w:t>m</w:t>
      </w:r>
      <w:r>
        <w:t>echanisms</w:t>
      </w:r>
    </w:p>
    <w:p w:rsidR="00DF0DFF" w:rsidRDefault="00DF0DFF" w:rsidP="007702DF">
      <w:pPr>
        <w:pStyle w:val="BRdotpoints"/>
      </w:pPr>
      <w:r>
        <w:t>Subsidence occurs due to a decrease in pore water pressure resulting in an increase</w:t>
      </w:r>
      <w:r w:rsidR="00280608">
        <w:t>d</w:t>
      </w:r>
      <w:r>
        <w:t xml:space="preserve"> effective stress in hydrogeological units. The increase in effective stress results in </w:t>
      </w:r>
      <w:r w:rsidR="00532A1B">
        <w:t>compaction</w:t>
      </w:r>
      <w:r>
        <w:t xml:space="preserve"> of the affected hydrogeological units.</w:t>
      </w:r>
    </w:p>
    <w:p w:rsidR="00DF0DFF" w:rsidRDefault="00DF0DFF" w:rsidP="007702DF">
      <w:pPr>
        <w:pStyle w:val="BRdotpoints"/>
      </w:pPr>
      <w:r>
        <w:t>Groundwater withdrawal from the deeper coal seam aquifers may induce depressurisation, on a smaller scale, on upper level aquifers.</w:t>
      </w:r>
    </w:p>
    <w:p w:rsidR="00587EC4" w:rsidRDefault="00C2126C" w:rsidP="00ED7703">
      <w:pPr>
        <w:pStyle w:val="Heading5"/>
      </w:pPr>
      <w:r>
        <w:t>Purpose of geotechnical monitoring</w:t>
      </w:r>
    </w:p>
    <w:p w:rsidR="00DF0DFF" w:rsidRDefault="00DF0DFF" w:rsidP="007702DF">
      <w:pPr>
        <w:pStyle w:val="BRdotpoints"/>
      </w:pPr>
      <w:r>
        <w:t xml:space="preserve">To quantify the magnitude and extent of depressurisation in each of the hydrogeological units above and including the geological unit targeted for </w:t>
      </w:r>
      <w:r w:rsidR="003721DE">
        <w:rPr>
          <w:lang w:val="en-AU"/>
        </w:rPr>
        <w:t>coal seam gas</w:t>
      </w:r>
      <w:r w:rsidR="003721DE" w:rsidRPr="00E13ED7">
        <w:rPr>
          <w:lang w:val="en-AU"/>
        </w:rPr>
        <w:t xml:space="preserve"> </w:t>
      </w:r>
      <w:r>
        <w:t>extraction.</w:t>
      </w:r>
    </w:p>
    <w:p w:rsidR="00DF0DFF" w:rsidRDefault="00DF0DFF" w:rsidP="007702DF">
      <w:pPr>
        <w:pStyle w:val="BRdotpoints"/>
      </w:pPr>
      <w:r>
        <w:t xml:space="preserve">To measure subsidence, tilt, horizontal strain and ground curvature, caused by groundwater withdrawal for </w:t>
      </w:r>
      <w:r w:rsidR="003721DE">
        <w:rPr>
          <w:lang w:val="en-AU"/>
        </w:rPr>
        <w:t>coal seam gas</w:t>
      </w:r>
      <w:r w:rsidR="003721DE" w:rsidRPr="00E13ED7">
        <w:rPr>
          <w:lang w:val="en-AU"/>
        </w:rPr>
        <w:t xml:space="preserve"> </w:t>
      </w:r>
      <w:r>
        <w:t>production, at various points in the project area.</w:t>
      </w:r>
    </w:p>
    <w:p w:rsidR="00DF0DFF" w:rsidRDefault="00DF0DFF" w:rsidP="007702DF">
      <w:pPr>
        <w:pStyle w:val="BRdotpoints"/>
      </w:pPr>
      <w:r>
        <w:t xml:space="preserve">To understand the risks posed to building structures by groundwater withdrawal for </w:t>
      </w:r>
      <w:r w:rsidR="003721DE">
        <w:rPr>
          <w:lang w:val="en-AU"/>
        </w:rPr>
        <w:t>coal seam gas</w:t>
      </w:r>
      <w:r w:rsidR="003721DE" w:rsidRPr="00E13ED7">
        <w:rPr>
          <w:lang w:val="en-AU"/>
        </w:rPr>
        <w:t xml:space="preserve"> </w:t>
      </w:r>
      <w:r>
        <w:t>production.</w:t>
      </w:r>
    </w:p>
    <w:p w:rsidR="00587EC4" w:rsidRDefault="00DF0DFF" w:rsidP="00ED7703">
      <w:pPr>
        <w:pStyle w:val="Heading5"/>
      </w:pPr>
      <w:r>
        <w:t xml:space="preserve">Purpose of </w:t>
      </w:r>
      <w:r w:rsidR="00FD23B8">
        <w:t>i</w:t>
      </w:r>
      <w:r>
        <w:t>nstrumentation</w:t>
      </w:r>
    </w:p>
    <w:p w:rsidR="00DF0DFF" w:rsidRDefault="00DF0DFF" w:rsidP="007702DF">
      <w:pPr>
        <w:pStyle w:val="BRdotpoints"/>
      </w:pPr>
      <w:r>
        <w:t>To gauge risks and provide early warnings of damage to infrastructure and properties.</w:t>
      </w:r>
    </w:p>
    <w:p w:rsidR="00DF0DFF" w:rsidRDefault="00DF0DFF" w:rsidP="007702DF">
      <w:pPr>
        <w:pStyle w:val="BRdotpoints"/>
      </w:pPr>
      <w:r>
        <w:t xml:space="preserve">To provide data to help in planning future </w:t>
      </w:r>
      <w:r w:rsidR="003721DE">
        <w:rPr>
          <w:lang w:val="en-AU"/>
        </w:rPr>
        <w:t>coal seam gas</w:t>
      </w:r>
      <w:r w:rsidR="003721DE" w:rsidRPr="00E13ED7">
        <w:rPr>
          <w:lang w:val="en-AU"/>
        </w:rPr>
        <w:t xml:space="preserve"> </w:t>
      </w:r>
      <w:r>
        <w:t>projects.</w:t>
      </w:r>
    </w:p>
    <w:p w:rsidR="00DF0DFF" w:rsidRDefault="00DF0DFF" w:rsidP="007702DF">
      <w:pPr>
        <w:pStyle w:val="BRdotpoints"/>
      </w:pPr>
      <w:r>
        <w:t>To validate or confirm predictions from numerical modelling.</w:t>
      </w:r>
    </w:p>
    <w:p w:rsidR="00DF0DFF" w:rsidRDefault="00DF0DFF" w:rsidP="007702DF">
      <w:pPr>
        <w:pStyle w:val="BRdotpoints"/>
      </w:pPr>
      <w:r>
        <w:t>To provide assurance to the public.</w:t>
      </w:r>
    </w:p>
    <w:p w:rsidR="00587EC4" w:rsidRDefault="00DF0DFF" w:rsidP="00ED7703">
      <w:pPr>
        <w:pStyle w:val="Heading5"/>
      </w:pPr>
      <w:r>
        <w:t xml:space="preserve">Parameters to be </w:t>
      </w:r>
      <w:r w:rsidR="00FD23B8">
        <w:t>m</w:t>
      </w:r>
      <w:r>
        <w:t>easured</w:t>
      </w:r>
    </w:p>
    <w:p w:rsidR="00DF0DFF" w:rsidRDefault="00DF0DFF" w:rsidP="007702DF">
      <w:pPr>
        <w:pStyle w:val="BRdotpoints"/>
      </w:pPr>
      <w:r>
        <w:t>Groundwater pressure</w:t>
      </w:r>
      <w:r w:rsidR="00844D6D">
        <w:t>:</w:t>
      </w:r>
      <w:r w:rsidR="000722FA">
        <w:t xml:space="preserve"> t</w:t>
      </w:r>
      <w:r>
        <w:t>o be measured in various aquifers and at various locations.</w:t>
      </w:r>
    </w:p>
    <w:p w:rsidR="00DF0DFF" w:rsidRDefault="00DF0DFF" w:rsidP="007702DF">
      <w:pPr>
        <w:pStyle w:val="BRdotpoints"/>
      </w:pPr>
      <w:r>
        <w:t>Surface settlement</w:t>
      </w:r>
      <w:r w:rsidR="00844D6D">
        <w:t>:</w:t>
      </w:r>
      <w:r w:rsidR="000722FA">
        <w:t xml:space="preserve"> a</w:t>
      </w:r>
      <w:r>
        <w:t xml:space="preserve"> regional picture and a localised picture are required. The use of different methods and instrumentation may help in validating settlement measurements.</w:t>
      </w:r>
    </w:p>
    <w:p w:rsidR="00DF0DFF" w:rsidRDefault="00DF0DFF" w:rsidP="007702DF">
      <w:pPr>
        <w:pStyle w:val="BRdotpoints"/>
      </w:pPr>
      <w:r>
        <w:t>Tilt may be measured at the fringes of drawdown zones. Measurements can be integrated to show surface settlement.</w:t>
      </w:r>
    </w:p>
    <w:p w:rsidR="00DF0DFF" w:rsidRDefault="00DF0DFF" w:rsidP="007702DF">
      <w:pPr>
        <w:pStyle w:val="BRdotpoints"/>
      </w:pPr>
      <w:r>
        <w:t>Horizontal strain.</w:t>
      </w:r>
    </w:p>
    <w:p w:rsidR="00DF0DFF" w:rsidRDefault="00DF0DFF" w:rsidP="007702DF">
      <w:pPr>
        <w:pStyle w:val="BRdotpoints"/>
      </w:pPr>
      <w:r>
        <w:t>Ground curvature.</w:t>
      </w:r>
    </w:p>
    <w:p w:rsidR="00DF0DFF" w:rsidRDefault="00DF0DFF" w:rsidP="007702DF">
      <w:pPr>
        <w:pStyle w:val="BRdotpoints"/>
      </w:pPr>
      <w:r>
        <w:t>Surface cracking, changes to river courses, loss of wetland environments.</w:t>
      </w:r>
    </w:p>
    <w:p w:rsidR="00587EC4" w:rsidRDefault="00844D6D" w:rsidP="00ED7703">
      <w:pPr>
        <w:pStyle w:val="Heading5"/>
      </w:pPr>
      <w:r>
        <w:t>M</w:t>
      </w:r>
      <w:r w:rsidR="00DF0DFF">
        <w:t xml:space="preserve">ost </w:t>
      </w:r>
      <w:r w:rsidR="00FD23B8">
        <w:t>i</w:t>
      </w:r>
      <w:r w:rsidR="00DF0DFF">
        <w:t xml:space="preserve">mportant </w:t>
      </w:r>
      <w:r w:rsidR="00FD23B8">
        <w:t>p</w:t>
      </w:r>
      <w:r w:rsidR="00DF0DFF">
        <w:t>arameters</w:t>
      </w:r>
    </w:p>
    <w:p w:rsidR="00DF0DFF" w:rsidRDefault="00DF0DFF" w:rsidP="007702DF">
      <w:pPr>
        <w:pStyle w:val="BRdotpoints"/>
      </w:pPr>
      <w:r>
        <w:t>Surface settlement and ground surface profile.</w:t>
      </w:r>
    </w:p>
    <w:p w:rsidR="00DF0DFF" w:rsidRDefault="00DF0DFF" w:rsidP="007702DF">
      <w:pPr>
        <w:pStyle w:val="BRdotpoints"/>
      </w:pPr>
      <w:r>
        <w:t>Depressurisation in target coal seam and aquifers near the surface.</w:t>
      </w:r>
    </w:p>
    <w:p w:rsidR="00DF0DFF" w:rsidRDefault="00DF0DFF" w:rsidP="007702DF">
      <w:pPr>
        <w:pStyle w:val="BRdotpoints"/>
      </w:pPr>
      <w:r>
        <w:t>Tilt.</w:t>
      </w:r>
    </w:p>
    <w:p w:rsidR="00587EC4" w:rsidRDefault="00844D6D" w:rsidP="00ED7703">
      <w:pPr>
        <w:pStyle w:val="Heading5"/>
      </w:pPr>
      <w:r>
        <w:t xml:space="preserve">Number of </w:t>
      </w:r>
      <w:r w:rsidR="00FD23B8">
        <w:t>m</w:t>
      </w:r>
      <w:r w:rsidR="00DF0DFF">
        <w:t xml:space="preserve">easuring </w:t>
      </w:r>
      <w:r w:rsidR="00FD23B8">
        <w:t>p</w:t>
      </w:r>
      <w:r w:rsidR="00DF0DFF">
        <w:t>oints</w:t>
      </w:r>
      <w:r w:rsidR="00280608">
        <w:t xml:space="preserve"> required</w:t>
      </w:r>
    </w:p>
    <w:p w:rsidR="00DF0DFF" w:rsidRDefault="00DF0DFF" w:rsidP="007702DF">
      <w:pPr>
        <w:pStyle w:val="BRdotpoints"/>
      </w:pPr>
      <w:r>
        <w:t>Surface settlement</w:t>
      </w:r>
      <w:r w:rsidR="00844D6D">
        <w:t>:</w:t>
      </w:r>
      <w:r w:rsidR="000722FA">
        <w:t xml:space="preserve"> t</w:t>
      </w:r>
      <w:r>
        <w:t>wo or three traverse lines into affected regions, when using GPS or conventional levelling. This will allow multiple comparisons with subsidence predictions and with other measurement techniques.</w:t>
      </w:r>
    </w:p>
    <w:p w:rsidR="00DF0DFF" w:rsidRDefault="00DF0DFF" w:rsidP="007702DF">
      <w:pPr>
        <w:pStyle w:val="BRdotpoints"/>
      </w:pPr>
      <w:r>
        <w:t>Groundwater pressure</w:t>
      </w:r>
      <w:r w:rsidR="00844D6D">
        <w:t>:</w:t>
      </w:r>
      <w:r w:rsidR="007B7E88">
        <w:t xml:space="preserve"> f</w:t>
      </w:r>
      <w:r>
        <w:t>or each measurement point, pore pressure may be measured at various depths. One measurement location above a formation which is anticipated to provide a restriction on vertical groundwater seepage (an aquitard), one in the coal measures, and one below the coal measure rocks. The number of points required will be determined on a case</w:t>
      </w:r>
      <w:r w:rsidR="007B7E88">
        <w:t>-</w:t>
      </w:r>
      <w:r>
        <w:t>by</w:t>
      </w:r>
      <w:r w:rsidR="007B7E88">
        <w:t>-</w:t>
      </w:r>
      <w:r>
        <w:t>case basis</w:t>
      </w:r>
      <w:r w:rsidR="007B7E88">
        <w:t>,</w:t>
      </w:r>
      <w:r>
        <w:t xml:space="preserve"> making use of available information for each specific area.</w:t>
      </w:r>
    </w:p>
    <w:p w:rsidR="00DF0DFF" w:rsidRDefault="00DF0DFF" w:rsidP="007702DF">
      <w:pPr>
        <w:pStyle w:val="BRdotpoints"/>
      </w:pPr>
      <w:r>
        <w:t>Tilt</w:t>
      </w:r>
      <w:r w:rsidR="00844D6D">
        <w:t>:</w:t>
      </w:r>
      <w:r w:rsidR="00EC319F">
        <w:t xml:space="preserve"> Davi</w:t>
      </w:r>
      <w:r>
        <w:t>s et al</w:t>
      </w:r>
      <w:r w:rsidR="007B7E88">
        <w:t>.</w:t>
      </w:r>
      <w:r>
        <w:t xml:space="preserve"> (2000) discusse</w:t>
      </w:r>
      <w:r w:rsidR="00844D6D">
        <w:t>d</w:t>
      </w:r>
      <w:r>
        <w:t xml:space="preserve"> the use of 52 tiltmeters to successfully monitor subsidence over a 2.5</w:t>
      </w:r>
      <w:r w:rsidR="00280608">
        <w:t xml:space="preserve"> square kilometer</w:t>
      </w:r>
      <w:r>
        <w:t xml:space="preserve"> area. </w:t>
      </w:r>
      <w:r w:rsidR="003721DE">
        <w:rPr>
          <w:lang w:val="en-AU"/>
        </w:rPr>
        <w:t>Coal seam gas</w:t>
      </w:r>
      <w:r w:rsidR="003721DE" w:rsidRPr="00E13ED7">
        <w:rPr>
          <w:lang w:val="en-AU"/>
        </w:rPr>
        <w:t xml:space="preserve"> </w:t>
      </w:r>
      <w:r>
        <w:t>subsidence areas may extend over far greater areas and thus a tiltmeter based monitoring program may only be applicable over a small part of the project area.</w:t>
      </w:r>
    </w:p>
    <w:p w:rsidR="00587EC4" w:rsidRDefault="00DF0DFF" w:rsidP="00ED7703">
      <w:pPr>
        <w:pStyle w:val="Heading5"/>
      </w:pPr>
      <w:r>
        <w:t xml:space="preserve">Planning </w:t>
      </w:r>
      <w:r w:rsidR="00FD23B8">
        <w:t>f</w:t>
      </w:r>
      <w:r>
        <w:t xml:space="preserve">ield </w:t>
      </w:r>
      <w:r w:rsidR="00FD23B8">
        <w:t>d</w:t>
      </w:r>
      <w:r>
        <w:t xml:space="preserve">ata </w:t>
      </w:r>
      <w:r w:rsidR="00FD23B8">
        <w:t>c</w:t>
      </w:r>
      <w:r>
        <w:t xml:space="preserve">ollection using </w:t>
      </w:r>
      <w:r w:rsidR="00FD23B8">
        <w:t>p</w:t>
      </w:r>
      <w:r>
        <w:t xml:space="preserve">redictive </w:t>
      </w:r>
      <w:r w:rsidR="00FD23B8">
        <w:t>e</w:t>
      </w:r>
      <w:r>
        <w:t>stimates</w:t>
      </w:r>
    </w:p>
    <w:p w:rsidR="00DF0DFF" w:rsidRDefault="00DF0DFF" w:rsidP="000361B3">
      <w:pPr>
        <w:pStyle w:val="BRNormal11pt0"/>
      </w:pPr>
      <w:r>
        <w:t xml:space="preserve">Prediction permits appropriate selection of the location of measurement points. Potential levelling traverses can be selected targeting areas of high predicted ground curvature. The traverses can exploit existing highways and roads where survey benchmarks may be more readily available or easily installed. One or more traverse(s) should extend to where subsidence due to </w:t>
      </w:r>
      <w:r w:rsidR="003721DE">
        <w:rPr>
          <w:lang w:val="en-AU"/>
        </w:rPr>
        <w:t>coal seam gas</w:t>
      </w:r>
      <w:r w:rsidR="003721DE" w:rsidRPr="00E13ED7">
        <w:rPr>
          <w:lang w:val="en-AU"/>
        </w:rPr>
        <w:t xml:space="preserve"> </w:t>
      </w:r>
      <w:r>
        <w:t>production is expected to be negligible.</w:t>
      </w:r>
    </w:p>
    <w:p w:rsidR="00587EC4" w:rsidRDefault="00DF0DFF" w:rsidP="00ED7703">
      <w:pPr>
        <w:pStyle w:val="Heading5"/>
      </w:pPr>
      <w:r>
        <w:t xml:space="preserve">Selection of </w:t>
      </w:r>
      <w:r w:rsidR="00FD23B8">
        <w:t>i</w:t>
      </w:r>
      <w:r>
        <w:t>nstruments</w:t>
      </w:r>
    </w:p>
    <w:p w:rsidR="00DF0DFF" w:rsidRDefault="00DF0DFF" w:rsidP="00F41293">
      <w:pPr>
        <w:pStyle w:val="BRNormal11pt0"/>
      </w:pPr>
      <w:r>
        <w:t xml:space="preserve">Table </w:t>
      </w:r>
      <w:r w:rsidR="002C43B4">
        <w:t xml:space="preserve">19 </w:t>
      </w:r>
      <w:r>
        <w:t>provides a summary of factors relevant to the selection of a method of subsidence monitoring.</w:t>
      </w:r>
    </w:p>
    <w:p w:rsidR="00587EC4" w:rsidRDefault="00B268BA" w:rsidP="00ED7703">
      <w:pPr>
        <w:pStyle w:val="Heading5"/>
      </w:pPr>
      <w:r>
        <w:t>Selection of instrument locations</w:t>
      </w:r>
    </w:p>
    <w:p w:rsidR="00B268BA" w:rsidRDefault="00B268BA" w:rsidP="00B268BA">
      <w:pPr>
        <w:pStyle w:val="BRNormal11pt0"/>
      </w:pPr>
      <w:r>
        <w:t>Locations for instruments may be selected taking account of the predicted extent and timing of subsidence development, and recognising areas or facilities which are sensitive to subsidence.</w:t>
      </w:r>
    </w:p>
    <w:p w:rsidR="00587EC4" w:rsidRDefault="00B268BA" w:rsidP="00ED7703">
      <w:pPr>
        <w:pStyle w:val="Heading5"/>
      </w:pPr>
      <w:r>
        <w:t>Unusual factors that may influence results</w:t>
      </w:r>
    </w:p>
    <w:p w:rsidR="00B268BA" w:rsidRDefault="00B268BA" w:rsidP="007702DF">
      <w:pPr>
        <w:pStyle w:val="BRdotpoints"/>
      </w:pPr>
      <w:r>
        <w:t>Expansive soils (see below).</w:t>
      </w:r>
    </w:p>
    <w:p w:rsidR="00B268BA" w:rsidRDefault="00B268BA" w:rsidP="007702DF">
      <w:pPr>
        <w:pStyle w:val="BRdotpoints"/>
      </w:pPr>
      <w:r>
        <w:t>Seasonal variability in groundwater head.</w:t>
      </w:r>
    </w:p>
    <w:p w:rsidR="00B268BA" w:rsidRDefault="00B268BA" w:rsidP="007702DF">
      <w:pPr>
        <w:pStyle w:val="BRdotpoints"/>
      </w:pPr>
      <w:r>
        <w:t>Extremes in temperature.</w:t>
      </w:r>
    </w:p>
    <w:p w:rsidR="00B268BA" w:rsidRDefault="00B268BA" w:rsidP="007702DF">
      <w:pPr>
        <w:pStyle w:val="BRdotpoints"/>
      </w:pPr>
      <w:r>
        <w:t>Large-scale flooding affecting groundwater head or causing erosion.</w:t>
      </w:r>
    </w:p>
    <w:p w:rsidR="00B268BA" w:rsidRDefault="00B268BA" w:rsidP="007702DF">
      <w:pPr>
        <w:pStyle w:val="BRdotpoints"/>
      </w:pPr>
      <w:r>
        <w:t>Changes to ground surface between measurements, such as ploughing or building construction.</w:t>
      </w:r>
    </w:p>
    <w:p w:rsidR="00B268BA" w:rsidRDefault="00B268BA" w:rsidP="007702DF">
      <w:pPr>
        <w:pStyle w:val="BRdotpoints"/>
      </w:pPr>
      <w:r>
        <w:t>Groundwater withdrawal from non-</w:t>
      </w:r>
      <w:r>
        <w:rPr>
          <w:lang w:val="en-AU"/>
        </w:rPr>
        <w:t>coal seam gas</w:t>
      </w:r>
      <w:r w:rsidRPr="00E13ED7">
        <w:rPr>
          <w:lang w:val="en-AU"/>
        </w:rPr>
        <w:t xml:space="preserve"> </w:t>
      </w:r>
      <w:r>
        <w:t>related activities.</w:t>
      </w:r>
    </w:p>
    <w:p w:rsidR="00B268BA" w:rsidRDefault="00B268BA" w:rsidP="007702DF">
      <w:pPr>
        <w:pStyle w:val="BRdotpoints"/>
      </w:pPr>
      <w:r>
        <w:t>Non-systematic or local effects, such as river valleys, dykes and fault zones.</w:t>
      </w:r>
    </w:p>
    <w:p w:rsidR="00587EC4" w:rsidRDefault="00B268BA" w:rsidP="00ED7703">
      <w:pPr>
        <w:pStyle w:val="Heading5"/>
      </w:pPr>
      <w:r>
        <w:t>Expansive soils</w:t>
      </w:r>
    </w:p>
    <w:p w:rsidR="00B268BA" w:rsidRDefault="00B268BA" w:rsidP="00B268BA">
      <w:pPr>
        <w:pStyle w:val="BRNormal11pt0"/>
      </w:pPr>
      <w:r>
        <w:t xml:space="preserve">Soils which undergo substantial volume change as they experience cycles of wetting and drying </w:t>
      </w:r>
      <w:proofErr w:type="gramStart"/>
      <w:r>
        <w:t>are</w:t>
      </w:r>
      <w:proofErr w:type="gramEnd"/>
      <w:r>
        <w:t xml:space="preserve"> referred to as expansive soils. Wetting and drying cycles can be due to seasonal changes in moisture, or factors such as irrigation, removal of trees or burst water pipes. </w:t>
      </w:r>
      <w:proofErr w:type="gramStart"/>
      <w:r>
        <w:t>Vertical movements of expansive soils of 60 mm to 100 mm due to irrigation was</w:t>
      </w:r>
      <w:proofErr w:type="gramEnd"/>
      <w:r>
        <w:t xml:space="preserve"> seen in Adelaide in the 1970s. Later, the growth of trees and large shrubs reversed the problem, and now settlements of up to 150 mm caused by tree roots drying the soil are encountered (Considine 1984). Vertical movements of this magnitude caused by soil expansion are large enough to form a </w:t>
      </w:r>
      <w:r w:rsidR="000170F4">
        <w:t>substantial</w:t>
      </w:r>
      <w:r>
        <w:t xml:space="preserve"> part of any measured settlement or heave on </w:t>
      </w:r>
      <w:r>
        <w:rPr>
          <w:lang w:val="en-AU"/>
        </w:rPr>
        <w:t>coal seam gas</w:t>
      </w:r>
      <w:r w:rsidRPr="00E13ED7">
        <w:rPr>
          <w:lang w:val="en-AU"/>
        </w:rPr>
        <w:t xml:space="preserve"> </w:t>
      </w:r>
      <w:r>
        <w:t xml:space="preserve">project sites. </w:t>
      </w:r>
    </w:p>
    <w:p w:rsidR="00B268BA" w:rsidRDefault="00B268BA" w:rsidP="00B268BA">
      <w:pPr>
        <w:pStyle w:val="BRNormal11pt0"/>
      </w:pPr>
      <w:r>
        <w:t>Roughly 20 per cent of Australia is covered with expansive soils (Considine 1984) and this includes large areas of the Surat Basin (Queensland Government 2000). In measuring subsidence in areas covered by expansive soils, a correction must be made for any vertical movement caused by wetting and drying cycles of expansive soils.</w:t>
      </w:r>
    </w:p>
    <w:p w:rsidR="00B268BA" w:rsidRDefault="00B268BA" w:rsidP="00B268BA">
      <w:pPr>
        <w:pStyle w:val="BRnormal10pt-CopyrightPage"/>
      </w:pPr>
    </w:p>
    <w:p w:rsidR="00B268BA" w:rsidRDefault="00B268BA" w:rsidP="00F41293">
      <w:pPr>
        <w:pStyle w:val="BRNormal11pt0"/>
      </w:pPr>
    </w:p>
    <w:p w:rsidR="00FC741E" w:rsidRDefault="00FC741E" w:rsidP="00F41293">
      <w:pPr>
        <w:pStyle w:val="BRNormal11pt0"/>
        <w:sectPr w:rsidR="00FC741E" w:rsidSect="00326BD8">
          <w:headerReference w:type="default" r:id="rId136"/>
          <w:footerReference w:type="default" r:id="rId137"/>
          <w:headerReference w:type="first" r:id="rId138"/>
          <w:footerReference w:type="first" r:id="rId139"/>
          <w:pgSz w:w="11900" w:h="16840" w:code="9"/>
          <w:pgMar w:top="2097" w:right="1418" w:bottom="1276" w:left="1418" w:header="142" w:footer="567" w:gutter="0"/>
          <w:cols w:space="284"/>
          <w:noEndnote/>
          <w:titlePg/>
          <w:docGrid w:linePitch="326"/>
        </w:sectPr>
      </w:pPr>
    </w:p>
    <w:p w:rsidR="00093D1C" w:rsidRDefault="00896DCE" w:rsidP="003D4205">
      <w:pPr>
        <w:pStyle w:val="Caption-table"/>
        <w:ind w:hanging="567"/>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19</w:t>
      </w:r>
      <w:r w:rsidR="00E252C4" w:rsidRPr="001E0FA8">
        <w:fldChar w:fldCharType="end"/>
      </w:r>
      <w:r>
        <w:t xml:space="preserve"> </w:t>
      </w:r>
      <w:r w:rsidR="00DF0DFF">
        <w:t xml:space="preserve">Aspects of </w:t>
      </w:r>
      <w:r>
        <w:t>m</w:t>
      </w:r>
      <w:r w:rsidR="00DF0DFF">
        <w:t xml:space="preserve">onitoring </w:t>
      </w:r>
      <w:r>
        <w:t>m</w:t>
      </w:r>
      <w:r w:rsidR="00DF0DFF">
        <w:t xml:space="preserve">ethod </w:t>
      </w:r>
      <w:r>
        <w:t>s</w:t>
      </w:r>
      <w:r w:rsidR="00DF0DFF">
        <w:t>election</w:t>
      </w:r>
    </w:p>
    <w:tbl>
      <w:tblPr>
        <w:tblStyle w:val="TableGrid"/>
        <w:tblW w:w="14034" w:type="dxa"/>
        <w:tblInd w:w="-459" w:type="dxa"/>
        <w:tblLayout w:type="fixed"/>
        <w:tblLook w:val="04A0"/>
      </w:tblPr>
      <w:tblGrid>
        <w:gridCol w:w="1701"/>
        <w:gridCol w:w="2466"/>
        <w:gridCol w:w="2467"/>
        <w:gridCol w:w="2466"/>
        <w:gridCol w:w="2467"/>
        <w:gridCol w:w="2467"/>
      </w:tblGrid>
      <w:tr w:rsidR="00896DCE" w:rsidRPr="00F41293" w:rsidTr="00781EF7">
        <w:trPr>
          <w:tblHeader/>
        </w:trPr>
        <w:tc>
          <w:tcPr>
            <w:tcW w:w="1701" w:type="dxa"/>
            <w:shd w:val="clear" w:color="auto" w:fill="C6D9F1" w:themeFill="text2" w:themeFillTint="33"/>
          </w:tcPr>
          <w:p w:rsidR="00F41293" w:rsidRPr="00F41293" w:rsidRDefault="00896DCE" w:rsidP="00F41293">
            <w:pPr>
              <w:pStyle w:val="Tableheading"/>
              <w:rPr>
                <w:lang w:val="en-GB"/>
              </w:rPr>
            </w:pPr>
            <w:r>
              <w:rPr>
                <w:lang w:val="en-GB"/>
              </w:rPr>
              <w:t>Characteristics</w:t>
            </w:r>
          </w:p>
        </w:tc>
        <w:tc>
          <w:tcPr>
            <w:tcW w:w="2466" w:type="dxa"/>
            <w:shd w:val="clear" w:color="auto" w:fill="C6D9F1" w:themeFill="text2" w:themeFillTint="33"/>
          </w:tcPr>
          <w:p w:rsidR="00F41293" w:rsidRPr="00F41293" w:rsidRDefault="00896DCE" w:rsidP="00E74A07">
            <w:pPr>
              <w:pStyle w:val="Tableheading"/>
              <w:rPr>
                <w:lang w:val="en-GB"/>
              </w:rPr>
            </w:pPr>
            <w:r>
              <w:rPr>
                <w:lang w:val="en-GB"/>
              </w:rPr>
              <w:t>Method: c</w:t>
            </w:r>
            <w:r w:rsidR="00F41293" w:rsidRPr="00F41293">
              <w:rPr>
                <w:lang w:val="en-GB"/>
              </w:rPr>
              <w:t>onventional levelling</w:t>
            </w:r>
          </w:p>
        </w:tc>
        <w:tc>
          <w:tcPr>
            <w:tcW w:w="2467" w:type="dxa"/>
            <w:shd w:val="clear" w:color="auto" w:fill="C6D9F1" w:themeFill="text2" w:themeFillTint="33"/>
          </w:tcPr>
          <w:p w:rsidR="00F41293" w:rsidRPr="00F41293" w:rsidRDefault="00896DCE" w:rsidP="00E74A07">
            <w:pPr>
              <w:pStyle w:val="Tableheading"/>
              <w:rPr>
                <w:lang w:val="en-GB"/>
              </w:rPr>
            </w:pPr>
            <w:r>
              <w:rPr>
                <w:lang w:val="en-GB"/>
              </w:rPr>
              <w:t xml:space="preserve">Method: </w:t>
            </w:r>
            <w:r w:rsidR="00F41293" w:rsidRPr="00F41293">
              <w:rPr>
                <w:lang w:val="en-GB"/>
              </w:rPr>
              <w:t>GPS levelling</w:t>
            </w:r>
          </w:p>
        </w:tc>
        <w:tc>
          <w:tcPr>
            <w:tcW w:w="2466" w:type="dxa"/>
            <w:shd w:val="clear" w:color="auto" w:fill="C6D9F1" w:themeFill="text2" w:themeFillTint="33"/>
          </w:tcPr>
          <w:p w:rsidR="00F41293" w:rsidRPr="00F41293" w:rsidRDefault="00896DCE" w:rsidP="00E74A07">
            <w:pPr>
              <w:pStyle w:val="Tableheading"/>
              <w:rPr>
                <w:lang w:val="en-GB"/>
              </w:rPr>
            </w:pPr>
            <w:r>
              <w:rPr>
                <w:lang w:val="en-GB"/>
              </w:rPr>
              <w:t xml:space="preserve">Method: </w:t>
            </w:r>
            <w:r w:rsidR="00F41293" w:rsidRPr="00F41293">
              <w:rPr>
                <w:lang w:val="en-GB"/>
              </w:rPr>
              <w:t>D</w:t>
            </w:r>
            <w:r>
              <w:rPr>
                <w:lang w:val="en-GB"/>
              </w:rPr>
              <w:t>i</w:t>
            </w:r>
            <w:r w:rsidR="00F41293" w:rsidRPr="00F41293">
              <w:rPr>
                <w:lang w:val="en-GB"/>
              </w:rPr>
              <w:t>fSAR</w:t>
            </w:r>
          </w:p>
        </w:tc>
        <w:tc>
          <w:tcPr>
            <w:tcW w:w="2467" w:type="dxa"/>
            <w:shd w:val="clear" w:color="auto" w:fill="C6D9F1" w:themeFill="text2" w:themeFillTint="33"/>
          </w:tcPr>
          <w:p w:rsidR="00F41293" w:rsidRPr="00F41293" w:rsidRDefault="00896DCE" w:rsidP="00E74A07">
            <w:pPr>
              <w:pStyle w:val="Tableheading"/>
              <w:rPr>
                <w:lang w:val="en-GB"/>
              </w:rPr>
            </w:pPr>
            <w:r>
              <w:rPr>
                <w:lang w:val="en-GB"/>
              </w:rPr>
              <w:t>Method: b</w:t>
            </w:r>
            <w:r w:rsidR="00F41293" w:rsidRPr="00F41293">
              <w:rPr>
                <w:lang w:val="en-GB"/>
              </w:rPr>
              <w:t>orehole extensometer</w:t>
            </w:r>
          </w:p>
        </w:tc>
        <w:tc>
          <w:tcPr>
            <w:tcW w:w="2467" w:type="dxa"/>
            <w:shd w:val="clear" w:color="auto" w:fill="C6D9F1" w:themeFill="text2" w:themeFillTint="33"/>
          </w:tcPr>
          <w:p w:rsidR="00F41293" w:rsidRPr="00F41293" w:rsidRDefault="00896DCE" w:rsidP="00E74A07">
            <w:pPr>
              <w:pStyle w:val="Tableheading"/>
              <w:rPr>
                <w:lang w:val="en-GB"/>
              </w:rPr>
            </w:pPr>
            <w:r>
              <w:rPr>
                <w:lang w:val="en-GB"/>
              </w:rPr>
              <w:t xml:space="preserve">Method: </w:t>
            </w:r>
            <w:r w:rsidR="00F41293" w:rsidRPr="00F41293">
              <w:rPr>
                <w:lang w:val="en-GB"/>
              </w:rPr>
              <w:t>T</w:t>
            </w:r>
            <w:r>
              <w:rPr>
                <w:lang w:val="en-GB"/>
              </w:rPr>
              <w:t>t</w:t>
            </w:r>
            <w:r w:rsidR="00F41293" w:rsidRPr="00F41293">
              <w:rPr>
                <w:lang w:val="en-GB"/>
              </w:rPr>
              <w:t>iltmeter array</w:t>
            </w:r>
          </w:p>
        </w:tc>
      </w:tr>
      <w:tr w:rsidR="00896DCE" w:rsidRPr="00F41293" w:rsidTr="00FC741E">
        <w:tc>
          <w:tcPr>
            <w:tcW w:w="1701" w:type="dxa"/>
          </w:tcPr>
          <w:p w:rsidR="00093D1C" w:rsidRDefault="00F41293">
            <w:pPr>
              <w:pStyle w:val="Tableheading"/>
              <w:rPr>
                <w:lang w:val="en-GB"/>
              </w:rPr>
            </w:pPr>
            <w:r w:rsidRPr="00F41293">
              <w:rPr>
                <w:lang w:val="en-GB"/>
              </w:rPr>
              <w:t xml:space="preserve">Reliability and </w:t>
            </w:r>
            <w:r w:rsidR="00896DCE">
              <w:rPr>
                <w:lang w:val="en-GB"/>
              </w:rPr>
              <w:t>p</w:t>
            </w:r>
            <w:r w:rsidRPr="00F41293">
              <w:rPr>
                <w:lang w:val="en-GB"/>
              </w:rPr>
              <w:t xml:space="preserve">ast </w:t>
            </w:r>
            <w:r w:rsidR="00896DCE">
              <w:rPr>
                <w:lang w:val="en-GB"/>
              </w:rPr>
              <w:t>p</w:t>
            </w:r>
            <w:r w:rsidRPr="00F41293">
              <w:rPr>
                <w:lang w:val="en-GB"/>
              </w:rPr>
              <w:t xml:space="preserve">erformance </w:t>
            </w:r>
            <w:r w:rsidR="00896DCE">
              <w:rPr>
                <w:lang w:val="en-GB"/>
              </w:rPr>
              <w:t>r</w:t>
            </w:r>
            <w:r w:rsidRPr="00F41293">
              <w:rPr>
                <w:lang w:val="en-GB"/>
              </w:rPr>
              <w:t>ecord</w:t>
            </w:r>
          </w:p>
        </w:tc>
        <w:tc>
          <w:tcPr>
            <w:tcW w:w="2466" w:type="dxa"/>
          </w:tcPr>
          <w:p w:rsidR="00F41293" w:rsidRPr="00F41293" w:rsidRDefault="00F41293" w:rsidP="00F41293">
            <w:pPr>
              <w:pStyle w:val="Tabletext"/>
              <w:rPr>
                <w:lang w:val="en-GB"/>
              </w:rPr>
            </w:pPr>
            <w:r w:rsidRPr="00F41293">
              <w:rPr>
                <w:lang w:val="en-GB"/>
              </w:rPr>
              <w:t>Very widely used with good performance record.</w:t>
            </w:r>
          </w:p>
        </w:tc>
        <w:tc>
          <w:tcPr>
            <w:tcW w:w="2467" w:type="dxa"/>
          </w:tcPr>
          <w:p w:rsidR="00F41293" w:rsidRPr="00F41293" w:rsidRDefault="00F41293" w:rsidP="00F41293">
            <w:pPr>
              <w:pStyle w:val="Tabletext"/>
              <w:rPr>
                <w:lang w:val="en-GB"/>
              </w:rPr>
            </w:pPr>
            <w:r w:rsidRPr="00F41293">
              <w:rPr>
                <w:lang w:val="en-GB"/>
              </w:rPr>
              <w:t>Very widely used with good performance record.</w:t>
            </w:r>
          </w:p>
        </w:tc>
        <w:tc>
          <w:tcPr>
            <w:tcW w:w="2466" w:type="dxa"/>
          </w:tcPr>
          <w:p w:rsidR="00F41293" w:rsidRPr="00F41293" w:rsidRDefault="00F41293" w:rsidP="00F41293">
            <w:pPr>
              <w:pStyle w:val="Tabletext"/>
              <w:rPr>
                <w:lang w:val="en-GB"/>
              </w:rPr>
            </w:pPr>
            <w:r w:rsidRPr="00F41293">
              <w:rPr>
                <w:lang w:val="en-GB"/>
              </w:rPr>
              <w:t>Becoming increasingly popular, performance record varies but can be good.</w:t>
            </w:r>
          </w:p>
        </w:tc>
        <w:tc>
          <w:tcPr>
            <w:tcW w:w="2467" w:type="dxa"/>
          </w:tcPr>
          <w:p w:rsidR="00F41293" w:rsidRPr="00F41293" w:rsidRDefault="00F41293" w:rsidP="00F41293">
            <w:pPr>
              <w:pStyle w:val="Tabletext"/>
              <w:rPr>
                <w:lang w:val="en-GB"/>
              </w:rPr>
            </w:pPr>
          </w:p>
        </w:tc>
        <w:tc>
          <w:tcPr>
            <w:tcW w:w="2467" w:type="dxa"/>
          </w:tcPr>
          <w:p w:rsidR="00F41293" w:rsidRPr="00F41293" w:rsidRDefault="00F41293" w:rsidP="00F41293">
            <w:pPr>
              <w:pStyle w:val="Tabletext"/>
              <w:rPr>
                <w:lang w:val="en-GB"/>
              </w:rPr>
            </w:pPr>
            <w:r w:rsidRPr="00F41293">
              <w:rPr>
                <w:lang w:val="en-GB"/>
              </w:rPr>
              <w:t>Not widely used but has performed well in monitoring oil field subsidence.</w:t>
            </w:r>
          </w:p>
        </w:tc>
      </w:tr>
      <w:tr w:rsidR="00896DCE" w:rsidRPr="00F41293" w:rsidTr="00FC741E">
        <w:tc>
          <w:tcPr>
            <w:tcW w:w="1701" w:type="dxa"/>
          </w:tcPr>
          <w:p w:rsidR="00093D1C" w:rsidRDefault="00F41293">
            <w:pPr>
              <w:pStyle w:val="Tableheading"/>
              <w:rPr>
                <w:lang w:val="en-GB"/>
              </w:rPr>
            </w:pPr>
            <w:r w:rsidRPr="00F41293">
              <w:rPr>
                <w:lang w:val="en-GB"/>
              </w:rPr>
              <w:t xml:space="preserve">Required </w:t>
            </w:r>
            <w:r w:rsidR="00896DCE">
              <w:rPr>
                <w:lang w:val="en-GB"/>
              </w:rPr>
              <w:t>s</w:t>
            </w:r>
            <w:r w:rsidRPr="00F41293">
              <w:rPr>
                <w:lang w:val="en-GB"/>
              </w:rPr>
              <w:t>kill</w:t>
            </w:r>
          </w:p>
        </w:tc>
        <w:tc>
          <w:tcPr>
            <w:tcW w:w="2466" w:type="dxa"/>
          </w:tcPr>
          <w:p w:rsidR="00F41293" w:rsidRPr="00F41293" w:rsidRDefault="00F41293" w:rsidP="00F41293">
            <w:pPr>
              <w:pStyle w:val="Tabletext"/>
              <w:rPr>
                <w:lang w:val="en-GB"/>
              </w:rPr>
            </w:pPr>
            <w:r w:rsidRPr="00F41293">
              <w:rPr>
                <w:lang w:val="en-GB"/>
              </w:rPr>
              <w:t>Experienced land surveyor required.</w:t>
            </w:r>
          </w:p>
        </w:tc>
        <w:tc>
          <w:tcPr>
            <w:tcW w:w="2467" w:type="dxa"/>
          </w:tcPr>
          <w:p w:rsidR="00F41293" w:rsidRPr="00F41293" w:rsidRDefault="00F41293" w:rsidP="00F41293">
            <w:pPr>
              <w:pStyle w:val="Tabletext"/>
              <w:rPr>
                <w:lang w:val="en-GB"/>
              </w:rPr>
            </w:pPr>
            <w:r w:rsidRPr="00F41293">
              <w:rPr>
                <w:lang w:val="en-GB"/>
              </w:rPr>
              <w:t>Experienced land surveyor required.</w:t>
            </w:r>
          </w:p>
        </w:tc>
        <w:tc>
          <w:tcPr>
            <w:tcW w:w="2466" w:type="dxa"/>
          </w:tcPr>
          <w:p w:rsidR="00F41293" w:rsidRPr="00F41293" w:rsidRDefault="00F41293" w:rsidP="00F41293">
            <w:pPr>
              <w:pStyle w:val="Tabletext"/>
              <w:rPr>
                <w:lang w:val="en-GB"/>
              </w:rPr>
            </w:pPr>
            <w:r w:rsidRPr="00F41293">
              <w:rPr>
                <w:lang w:val="en-GB"/>
              </w:rPr>
              <w:t>Skill required in processing data and knowing where D</w:t>
            </w:r>
            <w:r w:rsidR="00896DCE">
              <w:rPr>
                <w:lang w:val="en-GB"/>
              </w:rPr>
              <w:t>if</w:t>
            </w:r>
            <w:r w:rsidRPr="00F41293">
              <w:rPr>
                <w:lang w:val="en-GB"/>
              </w:rPr>
              <w:t>SAR can be applied.</w:t>
            </w:r>
          </w:p>
        </w:tc>
        <w:tc>
          <w:tcPr>
            <w:tcW w:w="2467" w:type="dxa"/>
          </w:tcPr>
          <w:p w:rsidR="00F41293" w:rsidRPr="00F41293" w:rsidRDefault="00F41293" w:rsidP="00F41293">
            <w:pPr>
              <w:pStyle w:val="Tabletext"/>
              <w:rPr>
                <w:lang w:val="en-GB"/>
              </w:rPr>
            </w:pPr>
            <w:r w:rsidRPr="00F41293">
              <w:rPr>
                <w:lang w:val="en-GB"/>
              </w:rPr>
              <w:t>Experienced installers required for the installation of an anchor and telescoping casing into a grouted borehole. Minimal skill required for monitoring.</w:t>
            </w:r>
          </w:p>
        </w:tc>
        <w:tc>
          <w:tcPr>
            <w:tcW w:w="2467" w:type="dxa"/>
          </w:tcPr>
          <w:p w:rsidR="00F41293" w:rsidRPr="00F41293" w:rsidRDefault="00F41293" w:rsidP="00F41293">
            <w:pPr>
              <w:pStyle w:val="Tabletext"/>
              <w:rPr>
                <w:lang w:val="en-GB"/>
              </w:rPr>
            </w:pPr>
            <w:r w:rsidRPr="00F41293">
              <w:rPr>
                <w:lang w:val="en-GB"/>
              </w:rPr>
              <w:t>Installation must be precise as instruments are extremely sensitive.</w:t>
            </w:r>
          </w:p>
        </w:tc>
      </w:tr>
      <w:tr w:rsidR="00896DCE" w:rsidRPr="00F41293" w:rsidTr="00FC741E">
        <w:tc>
          <w:tcPr>
            <w:tcW w:w="1701" w:type="dxa"/>
          </w:tcPr>
          <w:p w:rsidR="00093D1C" w:rsidRDefault="00F41293">
            <w:pPr>
              <w:pStyle w:val="Tableheading"/>
              <w:rPr>
                <w:lang w:val="en-GB"/>
              </w:rPr>
            </w:pPr>
            <w:r w:rsidRPr="00F41293">
              <w:rPr>
                <w:lang w:val="en-GB"/>
              </w:rPr>
              <w:t xml:space="preserve">Vertical </w:t>
            </w:r>
            <w:r w:rsidR="00896DCE">
              <w:rPr>
                <w:lang w:val="en-GB"/>
              </w:rPr>
              <w:t>a</w:t>
            </w:r>
            <w:r w:rsidRPr="00F41293">
              <w:rPr>
                <w:lang w:val="en-GB"/>
              </w:rPr>
              <w:t>ccuracy</w:t>
            </w:r>
          </w:p>
        </w:tc>
        <w:tc>
          <w:tcPr>
            <w:tcW w:w="2466" w:type="dxa"/>
          </w:tcPr>
          <w:p w:rsidR="00F41293" w:rsidRPr="00F41293" w:rsidRDefault="00F41293" w:rsidP="00F41293">
            <w:pPr>
              <w:pStyle w:val="Tabletext"/>
              <w:rPr>
                <w:lang w:val="en-GB"/>
              </w:rPr>
            </w:pPr>
            <w:r w:rsidRPr="00F41293">
              <w:rPr>
                <w:lang w:val="en-GB"/>
              </w:rPr>
              <w:t>To 25 mm (at 10 km from benchmark).</w:t>
            </w:r>
          </w:p>
        </w:tc>
        <w:tc>
          <w:tcPr>
            <w:tcW w:w="2467" w:type="dxa"/>
          </w:tcPr>
          <w:p w:rsidR="00F41293" w:rsidRPr="00F41293" w:rsidRDefault="00F41293" w:rsidP="00896DCE">
            <w:pPr>
              <w:pStyle w:val="Tabletext"/>
              <w:rPr>
                <w:lang w:val="en-GB"/>
              </w:rPr>
            </w:pPr>
            <w:r w:rsidRPr="00F41293">
              <w:rPr>
                <w:lang w:val="en-GB"/>
              </w:rPr>
              <w:t>To 20 mm (at 10</w:t>
            </w:r>
            <w:r w:rsidR="00896DCE">
              <w:rPr>
                <w:lang w:val="en-GB"/>
              </w:rPr>
              <w:t> </w:t>
            </w:r>
            <w:r w:rsidRPr="00F41293">
              <w:rPr>
                <w:lang w:val="en-GB"/>
              </w:rPr>
              <w:t>km from benchmark).</w:t>
            </w:r>
          </w:p>
        </w:tc>
        <w:tc>
          <w:tcPr>
            <w:tcW w:w="2466" w:type="dxa"/>
          </w:tcPr>
          <w:p w:rsidR="00F41293" w:rsidRPr="00F41293" w:rsidRDefault="00F41293" w:rsidP="00896DCE">
            <w:pPr>
              <w:pStyle w:val="Tabletext"/>
              <w:rPr>
                <w:lang w:val="en-GB"/>
              </w:rPr>
            </w:pPr>
            <w:r w:rsidRPr="00F41293">
              <w:rPr>
                <w:lang w:val="en-GB"/>
              </w:rPr>
              <w:t>May agree with conventional or GPS to within 5</w:t>
            </w:r>
            <w:r w:rsidR="00896DCE">
              <w:rPr>
                <w:lang w:val="en-GB"/>
              </w:rPr>
              <w:t> </w:t>
            </w:r>
            <w:r w:rsidRPr="00F41293">
              <w:rPr>
                <w:lang w:val="en-GB"/>
              </w:rPr>
              <w:t>mm to 10 mm.</w:t>
            </w:r>
          </w:p>
        </w:tc>
        <w:tc>
          <w:tcPr>
            <w:tcW w:w="2467" w:type="dxa"/>
          </w:tcPr>
          <w:p w:rsidR="00F41293" w:rsidRPr="00F41293" w:rsidRDefault="00F41293" w:rsidP="00F41293">
            <w:pPr>
              <w:pStyle w:val="Tabletext"/>
              <w:rPr>
                <w:lang w:val="en-GB"/>
              </w:rPr>
            </w:pPr>
            <w:r w:rsidRPr="00F41293">
              <w:rPr>
                <w:lang w:val="en-GB"/>
              </w:rPr>
              <w:t xml:space="preserve">To 1 mm for a 100 m thick </w:t>
            </w:r>
            <w:proofErr w:type="gramStart"/>
            <w:r w:rsidRPr="00F41293">
              <w:rPr>
                <w:lang w:val="en-GB"/>
              </w:rPr>
              <w:t>compacting</w:t>
            </w:r>
            <w:proofErr w:type="gramEnd"/>
            <w:r w:rsidRPr="00F41293">
              <w:rPr>
                <w:lang w:val="en-GB"/>
              </w:rPr>
              <w:t xml:space="preserve"> unit.</w:t>
            </w:r>
          </w:p>
        </w:tc>
        <w:tc>
          <w:tcPr>
            <w:tcW w:w="2467" w:type="dxa"/>
          </w:tcPr>
          <w:p w:rsidR="00F41293" w:rsidRPr="00F41293" w:rsidRDefault="00F41293" w:rsidP="00896DCE">
            <w:pPr>
              <w:pStyle w:val="Tabletext"/>
              <w:rPr>
                <w:lang w:val="en-GB"/>
              </w:rPr>
            </w:pPr>
            <w:r w:rsidRPr="00F41293">
              <w:rPr>
                <w:lang w:val="en-GB"/>
              </w:rPr>
              <w:t>With adequately positioned tiltmeters, accuracy of 5</w:t>
            </w:r>
            <w:r w:rsidR="00896DCE">
              <w:rPr>
                <w:lang w:val="en-GB"/>
              </w:rPr>
              <w:t> </w:t>
            </w:r>
            <w:r w:rsidRPr="00F41293">
              <w:rPr>
                <w:lang w:val="en-GB"/>
              </w:rPr>
              <w:t>mm to 10</w:t>
            </w:r>
            <w:r w:rsidR="00896DCE">
              <w:rPr>
                <w:lang w:val="en-GB"/>
              </w:rPr>
              <w:t> </w:t>
            </w:r>
            <w:r w:rsidRPr="00F41293">
              <w:rPr>
                <w:lang w:val="en-GB"/>
              </w:rPr>
              <w:t>mm is achievable (see Davis et al</w:t>
            </w:r>
            <w:r w:rsidR="00896DCE">
              <w:rPr>
                <w:lang w:val="en-GB"/>
              </w:rPr>
              <w:t>.</w:t>
            </w:r>
            <w:r w:rsidRPr="00F41293">
              <w:rPr>
                <w:lang w:val="en-GB"/>
              </w:rPr>
              <w:t xml:space="preserve"> 2000).</w:t>
            </w:r>
          </w:p>
        </w:tc>
      </w:tr>
      <w:tr w:rsidR="00896DCE" w:rsidRPr="00F41293" w:rsidTr="00FC741E">
        <w:tc>
          <w:tcPr>
            <w:tcW w:w="1701" w:type="dxa"/>
          </w:tcPr>
          <w:p w:rsidR="00093D1C" w:rsidRDefault="00F41293">
            <w:pPr>
              <w:pStyle w:val="Tableheading"/>
              <w:rPr>
                <w:lang w:val="en-GB"/>
              </w:rPr>
            </w:pPr>
            <w:r w:rsidRPr="00F41293">
              <w:rPr>
                <w:lang w:val="en-GB"/>
              </w:rPr>
              <w:t>Access</w:t>
            </w:r>
          </w:p>
        </w:tc>
        <w:tc>
          <w:tcPr>
            <w:tcW w:w="2466" w:type="dxa"/>
          </w:tcPr>
          <w:p w:rsidR="00F41293" w:rsidRPr="00F41293" w:rsidRDefault="00F41293" w:rsidP="00FC741E">
            <w:pPr>
              <w:pStyle w:val="Tabletext"/>
              <w:rPr>
                <w:lang w:val="en-GB"/>
              </w:rPr>
            </w:pPr>
            <w:r w:rsidRPr="00F41293">
              <w:rPr>
                <w:lang w:val="en-GB"/>
              </w:rPr>
              <w:t>May require access to private properties. Requires line</w:t>
            </w:r>
            <w:r w:rsidR="00FC741E">
              <w:rPr>
                <w:lang w:val="en-GB"/>
              </w:rPr>
              <w:t>-</w:t>
            </w:r>
            <w:r w:rsidRPr="00F41293">
              <w:rPr>
                <w:lang w:val="en-GB"/>
              </w:rPr>
              <w:t>of</w:t>
            </w:r>
            <w:r w:rsidR="00FC741E">
              <w:rPr>
                <w:lang w:val="en-GB"/>
              </w:rPr>
              <w:t>-</w:t>
            </w:r>
            <w:r w:rsidRPr="00F41293">
              <w:rPr>
                <w:lang w:val="en-GB"/>
              </w:rPr>
              <w:t>sight between observation points. Requires a hard ground surface and survey benchmarks. Traverse lines may be public roads.</w:t>
            </w:r>
          </w:p>
        </w:tc>
        <w:tc>
          <w:tcPr>
            <w:tcW w:w="2467" w:type="dxa"/>
          </w:tcPr>
          <w:p w:rsidR="00F41293" w:rsidRPr="00F41293" w:rsidRDefault="00F41293" w:rsidP="00FC741E">
            <w:pPr>
              <w:pStyle w:val="Tabletext"/>
              <w:rPr>
                <w:lang w:val="en-GB"/>
              </w:rPr>
            </w:pPr>
            <w:r w:rsidRPr="00F41293">
              <w:rPr>
                <w:lang w:val="en-GB"/>
              </w:rPr>
              <w:t>As for conventional levelling but does not require line</w:t>
            </w:r>
            <w:r w:rsidR="00FC741E">
              <w:rPr>
                <w:lang w:val="en-GB"/>
              </w:rPr>
              <w:t>-</w:t>
            </w:r>
            <w:r w:rsidRPr="00F41293">
              <w:rPr>
                <w:lang w:val="en-GB"/>
              </w:rPr>
              <w:t>of</w:t>
            </w:r>
            <w:r w:rsidR="00FC741E">
              <w:rPr>
                <w:lang w:val="en-GB"/>
              </w:rPr>
              <w:t>-</w:t>
            </w:r>
            <w:r w:rsidRPr="00F41293">
              <w:rPr>
                <w:lang w:val="en-GB"/>
              </w:rPr>
              <w:t>si</w:t>
            </w:r>
            <w:r w:rsidR="00FC741E">
              <w:rPr>
                <w:lang w:val="en-GB"/>
              </w:rPr>
              <w:t>gh</w:t>
            </w:r>
            <w:r w:rsidRPr="00F41293">
              <w:rPr>
                <w:lang w:val="en-GB"/>
              </w:rPr>
              <w:t>t. Requires an open view of sky to obtain satellites.</w:t>
            </w:r>
          </w:p>
        </w:tc>
        <w:tc>
          <w:tcPr>
            <w:tcW w:w="2466" w:type="dxa"/>
          </w:tcPr>
          <w:p w:rsidR="00F41293" w:rsidRPr="00F41293" w:rsidRDefault="00F41293" w:rsidP="00F41293">
            <w:pPr>
              <w:pStyle w:val="Tabletext"/>
              <w:rPr>
                <w:lang w:val="en-GB"/>
              </w:rPr>
            </w:pPr>
            <w:r w:rsidRPr="00F41293">
              <w:rPr>
                <w:lang w:val="en-GB"/>
              </w:rPr>
              <w:t>No access requirements.</w:t>
            </w:r>
          </w:p>
        </w:tc>
        <w:tc>
          <w:tcPr>
            <w:tcW w:w="2467" w:type="dxa"/>
          </w:tcPr>
          <w:p w:rsidR="00F41293" w:rsidRPr="00F41293" w:rsidRDefault="00F41293" w:rsidP="00F41293">
            <w:pPr>
              <w:pStyle w:val="Tabletext"/>
              <w:rPr>
                <w:lang w:val="en-GB"/>
              </w:rPr>
            </w:pPr>
            <w:r w:rsidRPr="00F41293">
              <w:rPr>
                <w:lang w:val="en-GB"/>
              </w:rPr>
              <w:t>Access required for installation and monitoring.</w:t>
            </w:r>
          </w:p>
        </w:tc>
        <w:tc>
          <w:tcPr>
            <w:tcW w:w="2467" w:type="dxa"/>
          </w:tcPr>
          <w:p w:rsidR="00F41293" w:rsidRPr="00F41293" w:rsidRDefault="00F41293" w:rsidP="00F41293">
            <w:pPr>
              <w:pStyle w:val="Tabletext"/>
              <w:rPr>
                <w:lang w:val="en-GB"/>
              </w:rPr>
            </w:pPr>
            <w:r w:rsidRPr="00F41293">
              <w:rPr>
                <w:lang w:val="en-GB"/>
              </w:rPr>
              <w:t>For installation and monitoring, may require access to private properties. May be monitored remotely, once installed.</w:t>
            </w:r>
          </w:p>
        </w:tc>
      </w:tr>
      <w:tr w:rsidR="00896DCE" w:rsidRPr="00F41293" w:rsidTr="00FC741E">
        <w:tc>
          <w:tcPr>
            <w:tcW w:w="1701" w:type="dxa"/>
          </w:tcPr>
          <w:p w:rsidR="00093D1C" w:rsidRDefault="00F41293">
            <w:pPr>
              <w:pStyle w:val="Tableheading"/>
              <w:rPr>
                <w:lang w:val="en-GB"/>
              </w:rPr>
            </w:pPr>
            <w:r w:rsidRPr="00F41293">
              <w:rPr>
                <w:lang w:val="en-GB"/>
              </w:rPr>
              <w:t>Durability</w:t>
            </w:r>
          </w:p>
        </w:tc>
        <w:tc>
          <w:tcPr>
            <w:tcW w:w="2466" w:type="dxa"/>
          </w:tcPr>
          <w:p w:rsidR="00F41293" w:rsidRPr="00F41293" w:rsidRDefault="00F41293" w:rsidP="00F41293">
            <w:pPr>
              <w:pStyle w:val="Tabletext"/>
              <w:rPr>
                <w:lang w:val="en-GB"/>
              </w:rPr>
            </w:pPr>
            <w:r w:rsidRPr="00F41293">
              <w:rPr>
                <w:lang w:val="en-GB"/>
              </w:rPr>
              <w:t>Survey benchmarks are durable if installed on hard ground such as road shoulders.</w:t>
            </w:r>
          </w:p>
        </w:tc>
        <w:tc>
          <w:tcPr>
            <w:tcW w:w="2467" w:type="dxa"/>
          </w:tcPr>
          <w:p w:rsidR="00F41293" w:rsidRPr="00F41293" w:rsidRDefault="00F41293" w:rsidP="00F41293">
            <w:pPr>
              <w:pStyle w:val="Tabletext"/>
              <w:rPr>
                <w:lang w:val="en-GB"/>
              </w:rPr>
            </w:pPr>
            <w:r w:rsidRPr="00F41293">
              <w:rPr>
                <w:lang w:val="en-GB"/>
              </w:rPr>
              <w:t>Survey benchmarks are durable if installed on hard ground such as road shoulders.</w:t>
            </w:r>
          </w:p>
        </w:tc>
        <w:tc>
          <w:tcPr>
            <w:tcW w:w="2466" w:type="dxa"/>
          </w:tcPr>
          <w:p w:rsidR="00F41293" w:rsidRPr="00F41293" w:rsidRDefault="00F41293" w:rsidP="00F41293">
            <w:pPr>
              <w:pStyle w:val="Tabletext"/>
              <w:rPr>
                <w:lang w:val="en-GB"/>
              </w:rPr>
            </w:pPr>
            <w:r w:rsidRPr="00F41293">
              <w:rPr>
                <w:lang w:val="en-GB"/>
              </w:rPr>
              <w:t>Radar reflectors may be damaged by erosion or vandalism.</w:t>
            </w:r>
          </w:p>
        </w:tc>
        <w:tc>
          <w:tcPr>
            <w:tcW w:w="2467" w:type="dxa"/>
          </w:tcPr>
          <w:p w:rsidR="00F41293" w:rsidRPr="00F41293" w:rsidRDefault="00F41293" w:rsidP="00F41293">
            <w:pPr>
              <w:pStyle w:val="Tabletext"/>
              <w:rPr>
                <w:lang w:val="en-GB"/>
              </w:rPr>
            </w:pPr>
            <w:r w:rsidRPr="00F41293">
              <w:rPr>
                <w:lang w:val="en-GB"/>
              </w:rPr>
              <w:t>High durability.</w:t>
            </w:r>
          </w:p>
        </w:tc>
        <w:tc>
          <w:tcPr>
            <w:tcW w:w="2467" w:type="dxa"/>
          </w:tcPr>
          <w:p w:rsidR="00F41293" w:rsidRPr="00F41293" w:rsidRDefault="00F41293" w:rsidP="00F41293">
            <w:pPr>
              <w:pStyle w:val="Tabletext"/>
              <w:rPr>
                <w:lang w:val="en-GB"/>
              </w:rPr>
            </w:pPr>
            <w:r w:rsidRPr="00F41293">
              <w:rPr>
                <w:lang w:val="en-GB"/>
              </w:rPr>
              <w:t>Durable if installed on a hard stable surface. May be damaged by vandalism.</w:t>
            </w:r>
          </w:p>
        </w:tc>
      </w:tr>
      <w:tr w:rsidR="00896DCE" w:rsidRPr="00F41293" w:rsidTr="00FC741E">
        <w:tc>
          <w:tcPr>
            <w:tcW w:w="1701" w:type="dxa"/>
          </w:tcPr>
          <w:p w:rsidR="00093D1C" w:rsidRDefault="00F41293">
            <w:pPr>
              <w:pStyle w:val="Tableheading"/>
              <w:rPr>
                <w:lang w:val="en-GB"/>
              </w:rPr>
            </w:pPr>
            <w:r w:rsidRPr="00F41293">
              <w:rPr>
                <w:lang w:val="en-GB"/>
              </w:rPr>
              <w:t>Applicability</w:t>
            </w:r>
          </w:p>
        </w:tc>
        <w:tc>
          <w:tcPr>
            <w:tcW w:w="2466" w:type="dxa"/>
          </w:tcPr>
          <w:p w:rsidR="00F41293" w:rsidRPr="00F41293" w:rsidRDefault="00F41293" w:rsidP="00FC741E">
            <w:pPr>
              <w:pStyle w:val="Tabletext"/>
              <w:rPr>
                <w:lang w:val="en-GB"/>
              </w:rPr>
            </w:pPr>
            <w:r w:rsidRPr="00F41293">
              <w:rPr>
                <w:lang w:val="en-GB"/>
              </w:rPr>
              <w:t>May be used to calculate elevation changes on certain selected lines, up to 10</w:t>
            </w:r>
            <w:r w:rsidR="00FC741E">
              <w:rPr>
                <w:lang w:val="en-GB"/>
              </w:rPr>
              <w:t> </w:t>
            </w:r>
            <w:r w:rsidRPr="00F41293">
              <w:rPr>
                <w:lang w:val="en-GB"/>
              </w:rPr>
              <w:t>km long, preferably along public roads.</w:t>
            </w:r>
          </w:p>
        </w:tc>
        <w:tc>
          <w:tcPr>
            <w:tcW w:w="2467" w:type="dxa"/>
          </w:tcPr>
          <w:p w:rsidR="00F41293" w:rsidRPr="00F41293" w:rsidRDefault="00F41293" w:rsidP="00FC741E">
            <w:pPr>
              <w:pStyle w:val="Tabletext"/>
              <w:rPr>
                <w:lang w:val="en-GB"/>
              </w:rPr>
            </w:pPr>
            <w:r w:rsidRPr="00F41293">
              <w:rPr>
                <w:lang w:val="en-GB"/>
              </w:rPr>
              <w:t>May be used to calculate elevation changes on certain selected lines, up to 10</w:t>
            </w:r>
            <w:r w:rsidR="00FC741E">
              <w:rPr>
                <w:lang w:val="en-GB"/>
              </w:rPr>
              <w:t> </w:t>
            </w:r>
            <w:r w:rsidRPr="00F41293">
              <w:rPr>
                <w:lang w:val="en-GB"/>
              </w:rPr>
              <w:t>km long, preferably along roads.</w:t>
            </w:r>
          </w:p>
        </w:tc>
        <w:tc>
          <w:tcPr>
            <w:tcW w:w="2466" w:type="dxa"/>
          </w:tcPr>
          <w:p w:rsidR="00F41293" w:rsidRPr="00F41293" w:rsidRDefault="00F41293" w:rsidP="00F41293">
            <w:pPr>
              <w:pStyle w:val="Tabletext"/>
              <w:rPr>
                <w:lang w:val="en-GB"/>
              </w:rPr>
            </w:pPr>
            <w:r w:rsidRPr="00F41293">
              <w:rPr>
                <w:lang w:val="en-GB"/>
              </w:rPr>
              <w:t>May provide a general picture of elevation change over the entire project area, assuming the ground surface is not modified between observations. Not applicable in areas of dense vegetation.</w:t>
            </w:r>
          </w:p>
        </w:tc>
        <w:tc>
          <w:tcPr>
            <w:tcW w:w="2467" w:type="dxa"/>
          </w:tcPr>
          <w:p w:rsidR="00F41293" w:rsidRPr="00F41293" w:rsidRDefault="00F41293" w:rsidP="00F41293">
            <w:pPr>
              <w:pStyle w:val="Tabletext"/>
              <w:rPr>
                <w:lang w:val="en-GB"/>
              </w:rPr>
            </w:pPr>
            <w:r w:rsidRPr="00F41293">
              <w:rPr>
                <w:lang w:val="en-GB"/>
              </w:rPr>
              <w:t>May provide accurate results at one or two points. May be more applicable to measure the settlement of the upper alluvial units only, due to the lesser thickness of these units.</w:t>
            </w:r>
          </w:p>
        </w:tc>
        <w:tc>
          <w:tcPr>
            <w:tcW w:w="2467" w:type="dxa"/>
          </w:tcPr>
          <w:p w:rsidR="00F41293" w:rsidRPr="00F41293" w:rsidRDefault="00F41293" w:rsidP="00F41293">
            <w:pPr>
              <w:pStyle w:val="Tabletext"/>
              <w:rPr>
                <w:lang w:val="en-GB"/>
              </w:rPr>
            </w:pPr>
            <w:r w:rsidRPr="00F41293">
              <w:rPr>
                <w:lang w:val="en-GB"/>
              </w:rPr>
              <w:t>If installed in a dense enough array, may provide elevation changes over all or part of the project area.</w:t>
            </w:r>
          </w:p>
        </w:tc>
      </w:tr>
      <w:tr w:rsidR="00896DCE" w:rsidRPr="00F41293" w:rsidTr="00FC741E">
        <w:tc>
          <w:tcPr>
            <w:tcW w:w="1701" w:type="dxa"/>
          </w:tcPr>
          <w:p w:rsidR="00093D1C" w:rsidRDefault="00F41293">
            <w:pPr>
              <w:pStyle w:val="Tableheading"/>
              <w:rPr>
                <w:lang w:val="en-GB"/>
              </w:rPr>
            </w:pPr>
            <w:r w:rsidRPr="00F41293">
              <w:rPr>
                <w:lang w:val="en-GB"/>
              </w:rPr>
              <w:t>Cost</w:t>
            </w:r>
          </w:p>
        </w:tc>
        <w:tc>
          <w:tcPr>
            <w:tcW w:w="2466" w:type="dxa"/>
          </w:tcPr>
          <w:p w:rsidR="00F41293" w:rsidRPr="00F41293" w:rsidRDefault="00F41293" w:rsidP="00FC741E">
            <w:pPr>
              <w:pStyle w:val="Tabletext"/>
              <w:rPr>
                <w:lang w:val="en-GB"/>
              </w:rPr>
            </w:pPr>
            <w:r w:rsidRPr="00F41293">
              <w:rPr>
                <w:lang w:val="en-GB"/>
              </w:rPr>
              <w:t xml:space="preserve">A cost is incurred each time a levelling traverse is undertaken. Cost is proportional to the number of </w:t>
            </w:r>
            <w:r w:rsidR="00FC741E">
              <w:rPr>
                <w:lang w:val="en-GB"/>
              </w:rPr>
              <w:t>kilometres</w:t>
            </w:r>
            <w:r w:rsidR="00FC741E" w:rsidRPr="00F41293">
              <w:rPr>
                <w:lang w:val="en-GB"/>
              </w:rPr>
              <w:t xml:space="preserve"> </w:t>
            </w:r>
            <w:r w:rsidRPr="00F41293">
              <w:rPr>
                <w:lang w:val="en-GB"/>
              </w:rPr>
              <w:t>traversed or number of points surveyed. Too expensive to survey the entire project area.</w:t>
            </w:r>
          </w:p>
        </w:tc>
        <w:tc>
          <w:tcPr>
            <w:tcW w:w="2467" w:type="dxa"/>
          </w:tcPr>
          <w:p w:rsidR="00F41293" w:rsidRPr="00F41293" w:rsidRDefault="00F41293" w:rsidP="00F41293">
            <w:pPr>
              <w:pStyle w:val="Tabletext"/>
              <w:rPr>
                <w:lang w:val="en-GB"/>
              </w:rPr>
            </w:pPr>
            <w:r w:rsidRPr="00F41293">
              <w:rPr>
                <w:lang w:val="en-GB"/>
              </w:rPr>
              <w:t>As for conventional levelling.</w:t>
            </w:r>
          </w:p>
        </w:tc>
        <w:tc>
          <w:tcPr>
            <w:tcW w:w="2466" w:type="dxa"/>
          </w:tcPr>
          <w:p w:rsidR="00F41293" w:rsidRPr="00F41293" w:rsidRDefault="00F41293" w:rsidP="00F41293">
            <w:pPr>
              <w:pStyle w:val="Tabletext"/>
              <w:rPr>
                <w:lang w:val="en-GB"/>
              </w:rPr>
            </w:pPr>
            <w:r w:rsidRPr="00F41293">
              <w:rPr>
                <w:lang w:val="en-GB"/>
              </w:rPr>
              <w:t>The main costs are incurred in acquiring satellite data and also in the processing of data. Installation and maintenance of radar reflectors may be expensive.</w:t>
            </w:r>
          </w:p>
        </w:tc>
        <w:tc>
          <w:tcPr>
            <w:tcW w:w="2467" w:type="dxa"/>
          </w:tcPr>
          <w:p w:rsidR="00F41293" w:rsidRPr="00F41293" w:rsidRDefault="00F41293" w:rsidP="00F41293">
            <w:pPr>
              <w:pStyle w:val="Tabletext"/>
              <w:rPr>
                <w:lang w:val="en-GB"/>
              </w:rPr>
            </w:pPr>
            <w:r w:rsidRPr="00F41293">
              <w:rPr>
                <w:lang w:val="en-GB"/>
              </w:rPr>
              <w:t>Installation is expensive and proportional to the depth of borehole.</w:t>
            </w:r>
          </w:p>
        </w:tc>
        <w:tc>
          <w:tcPr>
            <w:tcW w:w="2467" w:type="dxa"/>
          </w:tcPr>
          <w:p w:rsidR="00F41293" w:rsidRPr="00F41293" w:rsidRDefault="00F41293" w:rsidP="00F41293">
            <w:pPr>
              <w:pStyle w:val="Tabletext"/>
              <w:rPr>
                <w:lang w:val="en-GB"/>
              </w:rPr>
            </w:pPr>
            <w:r w:rsidRPr="00F41293">
              <w:rPr>
                <w:lang w:val="en-GB"/>
              </w:rPr>
              <w:t>Installation may be expensive, where numerous tiltmeters are required. The required monitoring and data processing is relatively inexpensive.</w:t>
            </w:r>
          </w:p>
        </w:tc>
      </w:tr>
      <w:tr w:rsidR="00896DCE" w:rsidRPr="00F41293" w:rsidTr="00FC741E">
        <w:tc>
          <w:tcPr>
            <w:tcW w:w="1701" w:type="dxa"/>
          </w:tcPr>
          <w:p w:rsidR="00093D1C" w:rsidRDefault="00F41293">
            <w:pPr>
              <w:pStyle w:val="Tableheading"/>
              <w:rPr>
                <w:lang w:val="en-GB"/>
              </w:rPr>
            </w:pPr>
            <w:r w:rsidRPr="00F41293">
              <w:rPr>
                <w:lang w:val="en-GB"/>
              </w:rPr>
              <w:t>Maintenance</w:t>
            </w:r>
          </w:p>
        </w:tc>
        <w:tc>
          <w:tcPr>
            <w:tcW w:w="2466" w:type="dxa"/>
          </w:tcPr>
          <w:p w:rsidR="00F41293" w:rsidRPr="00F41293" w:rsidRDefault="00F41293" w:rsidP="00F41293">
            <w:pPr>
              <w:pStyle w:val="Tabletext"/>
              <w:rPr>
                <w:lang w:val="en-GB"/>
              </w:rPr>
            </w:pPr>
            <w:r w:rsidRPr="00F41293">
              <w:rPr>
                <w:lang w:val="en-GB"/>
              </w:rPr>
              <w:t>n/a</w:t>
            </w:r>
          </w:p>
        </w:tc>
        <w:tc>
          <w:tcPr>
            <w:tcW w:w="2467" w:type="dxa"/>
          </w:tcPr>
          <w:p w:rsidR="00F41293" w:rsidRPr="00F41293" w:rsidRDefault="00F41293" w:rsidP="00F41293">
            <w:pPr>
              <w:pStyle w:val="Tabletext"/>
              <w:rPr>
                <w:lang w:val="en-GB"/>
              </w:rPr>
            </w:pPr>
            <w:r w:rsidRPr="00F41293">
              <w:rPr>
                <w:lang w:val="en-GB"/>
              </w:rPr>
              <w:t>n/a</w:t>
            </w:r>
          </w:p>
        </w:tc>
        <w:tc>
          <w:tcPr>
            <w:tcW w:w="2466" w:type="dxa"/>
          </w:tcPr>
          <w:p w:rsidR="00F41293" w:rsidRPr="00F41293" w:rsidRDefault="00F41293" w:rsidP="00F41293">
            <w:pPr>
              <w:pStyle w:val="Tabletext"/>
              <w:rPr>
                <w:lang w:val="en-GB"/>
              </w:rPr>
            </w:pPr>
            <w:r w:rsidRPr="00F41293">
              <w:rPr>
                <w:lang w:val="en-GB"/>
              </w:rPr>
              <w:t>Radar reflectors may need maintenance.</w:t>
            </w:r>
          </w:p>
        </w:tc>
        <w:tc>
          <w:tcPr>
            <w:tcW w:w="2467" w:type="dxa"/>
          </w:tcPr>
          <w:p w:rsidR="00F41293" w:rsidRPr="00F41293" w:rsidRDefault="00F41293" w:rsidP="00F41293">
            <w:pPr>
              <w:pStyle w:val="Tabletext"/>
              <w:rPr>
                <w:lang w:val="en-GB"/>
              </w:rPr>
            </w:pPr>
            <w:r w:rsidRPr="00F41293">
              <w:rPr>
                <w:lang w:val="en-GB"/>
              </w:rPr>
              <w:t>n/a</w:t>
            </w:r>
          </w:p>
        </w:tc>
        <w:tc>
          <w:tcPr>
            <w:tcW w:w="2467" w:type="dxa"/>
          </w:tcPr>
          <w:p w:rsidR="00F41293" w:rsidRPr="00F41293" w:rsidRDefault="00F41293" w:rsidP="00F41293">
            <w:pPr>
              <w:pStyle w:val="Tabletext"/>
              <w:rPr>
                <w:lang w:val="en-GB"/>
              </w:rPr>
            </w:pPr>
            <w:r w:rsidRPr="00F41293">
              <w:rPr>
                <w:lang w:val="en-GB"/>
              </w:rPr>
              <w:t>n/a</w:t>
            </w:r>
          </w:p>
        </w:tc>
      </w:tr>
      <w:tr w:rsidR="00896DCE" w:rsidRPr="00F41293" w:rsidTr="00FC741E">
        <w:tc>
          <w:tcPr>
            <w:tcW w:w="1701" w:type="dxa"/>
          </w:tcPr>
          <w:p w:rsidR="00093D1C" w:rsidRDefault="00F41293">
            <w:pPr>
              <w:pStyle w:val="Tableheading"/>
              <w:rPr>
                <w:lang w:val="en-GB"/>
              </w:rPr>
            </w:pPr>
            <w:r w:rsidRPr="00F41293">
              <w:rPr>
                <w:lang w:val="en-GB"/>
              </w:rPr>
              <w:t xml:space="preserve">Verification of </w:t>
            </w:r>
            <w:r w:rsidR="00FC741E">
              <w:rPr>
                <w:lang w:val="en-GB"/>
              </w:rPr>
              <w:t>r</w:t>
            </w:r>
            <w:r w:rsidRPr="00F41293">
              <w:rPr>
                <w:lang w:val="en-GB"/>
              </w:rPr>
              <w:t>esults</w:t>
            </w:r>
          </w:p>
        </w:tc>
        <w:tc>
          <w:tcPr>
            <w:tcW w:w="2466" w:type="dxa"/>
          </w:tcPr>
          <w:p w:rsidR="00F41293" w:rsidRPr="00F41293" w:rsidRDefault="00F41293" w:rsidP="00FC741E">
            <w:pPr>
              <w:pStyle w:val="Tabletext"/>
              <w:rPr>
                <w:lang w:val="en-GB"/>
              </w:rPr>
            </w:pPr>
            <w:r w:rsidRPr="00F41293">
              <w:rPr>
                <w:lang w:val="en-GB"/>
              </w:rPr>
              <w:t>Verification by comparison with GPS levelling and/or borehole extensometers.</w:t>
            </w:r>
          </w:p>
        </w:tc>
        <w:tc>
          <w:tcPr>
            <w:tcW w:w="2467" w:type="dxa"/>
          </w:tcPr>
          <w:p w:rsidR="00F41293" w:rsidRPr="00F41293" w:rsidRDefault="00F41293" w:rsidP="00F41293">
            <w:pPr>
              <w:pStyle w:val="Tabletext"/>
              <w:rPr>
                <w:lang w:val="en-GB"/>
              </w:rPr>
            </w:pPr>
            <w:r w:rsidRPr="00F41293">
              <w:rPr>
                <w:lang w:val="en-GB"/>
              </w:rPr>
              <w:t>Verification by comparison with conventional levelling and/or borehole extensometers.</w:t>
            </w:r>
          </w:p>
        </w:tc>
        <w:tc>
          <w:tcPr>
            <w:tcW w:w="2466" w:type="dxa"/>
          </w:tcPr>
          <w:p w:rsidR="00F41293" w:rsidRPr="00F41293" w:rsidRDefault="00F41293" w:rsidP="00F41293">
            <w:pPr>
              <w:pStyle w:val="Tabletext"/>
              <w:rPr>
                <w:lang w:val="en-GB"/>
              </w:rPr>
            </w:pPr>
            <w:r w:rsidRPr="00F41293">
              <w:rPr>
                <w:lang w:val="en-GB"/>
              </w:rPr>
              <w:t>Digital elevation models used to reference D</w:t>
            </w:r>
            <w:r w:rsidR="00FC741E">
              <w:rPr>
                <w:lang w:val="en-GB"/>
              </w:rPr>
              <w:t>i</w:t>
            </w:r>
            <w:r w:rsidRPr="00F41293">
              <w:rPr>
                <w:lang w:val="en-GB"/>
              </w:rPr>
              <w:t>fSAR data. Verification by comparison with conventional or GPS levelling.</w:t>
            </w:r>
          </w:p>
        </w:tc>
        <w:tc>
          <w:tcPr>
            <w:tcW w:w="2467" w:type="dxa"/>
          </w:tcPr>
          <w:p w:rsidR="00F41293" w:rsidRPr="00F41293" w:rsidRDefault="00F41293" w:rsidP="00F41293">
            <w:pPr>
              <w:pStyle w:val="Tabletext"/>
              <w:rPr>
                <w:lang w:val="en-GB"/>
              </w:rPr>
            </w:pPr>
            <w:r w:rsidRPr="00F41293">
              <w:rPr>
                <w:lang w:val="en-GB"/>
              </w:rPr>
              <w:t>Verification by comparison with levelling.</w:t>
            </w:r>
          </w:p>
        </w:tc>
        <w:tc>
          <w:tcPr>
            <w:tcW w:w="2467" w:type="dxa"/>
          </w:tcPr>
          <w:p w:rsidR="00F41293" w:rsidRPr="00F41293" w:rsidRDefault="00F41293" w:rsidP="00F41293">
            <w:pPr>
              <w:pStyle w:val="Tabletext"/>
              <w:rPr>
                <w:lang w:val="en-GB"/>
              </w:rPr>
            </w:pPr>
            <w:r w:rsidRPr="00F41293">
              <w:rPr>
                <w:lang w:val="en-GB"/>
              </w:rPr>
              <w:t>Verification by integrating results and comparing with levelling and/or DifSAR.</w:t>
            </w:r>
          </w:p>
        </w:tc>
      </w:tr>
    </w:tbl>
    <w:p w:rsidR="00FC741E" w:rsidRDefault="00FC741E" w:rsidP="00DF0DFF">
      <w:pPr>
        <w:pStyle w:val="Listintrotext"/>
        <w:sectPr w:rsidR="00FC741E" w:rsidSect="00781EF7">
          <w:headerReference w:type="default" r:id="rId140"/>
          <w:footerReference w:type="default" r:id="rId141"/>
          <w:headerReference w:type="first" r:id="rId142"/>
          <w:footerReference w:type="first" r:id="rId143"/>
          <w:pgSz w:w="16840" w:h="11900" w:orient="landscape" w:code="9"/>
          <w:pgMar w:top="1828" w:right="1418" w:bottom="1418" w:left="1963" w:header="142" w:footer="567" w:gutter="0"/>
          <w:cols w:space="284"/>
          <w:noEndnote/>
          <w:titlePg/>
          <w:docGrid w:linePitch="326"/>
        </w:sectPr>
      </w:pPr>
    </w:p>
    <w:p w:rsidR="00587EC4" w:rsidRDefault="00DF0DFF" w:rsidP="00ED7703">
      <w:pPr>
        <w:pStyle w:val="Heading5"/>
      </w:pPr>
      <w:r>
        <w:t xml:space="preserve">Procedures to </w:t>
      </w:r>
      <w:r w:rsidR="00FD23B8">
        <w:t>e</w:t>
      </w:r>
      <w:r>
        <w:t xml:space="preserve">nsure </w:t>
      </w:r>
      <w:r w:rsidR="00FD23B8">
        <w:t>c</w:t>
      </w:r>
      <w:r>
        <w:t xml:space="preserve">orrectness of </w:t>
      </w:r>
      <w:r w:rsidR="00FD23B8">
        <w:t>r</w:t>
      </w:r>
      <w:r>
        <w:t>eadings</w:t>
      </w:r>
    </w:p>
    <w:p w:rsidR="00DF0DFF" w:rsidRDefault="00DF0DFF" w:rsidP="00F41293">
      <w:pPr>
        <w:pStyle w:val="BRNormal11pt0"/>
      </w:pPr>
      <w:r>
        <w:t>Groundwater drawdown may be compared with subsidence observed from levelling and DifSAR to provide a partial verification. Duplicate readings with small temporal separation may be taken, to test repeatability of measurements. Predictive modelling may provide a first estimate and an approximate range for expected measurements. The ground profile indicated by a tiltmeter array may be checked for any inconsistent readings from individual tiltmeters.</w:t>
      </w:r>
    </w:p>
    <w:p w:rsidR="00DF0DFF" w:rsidRDefault="00DF0DFF" w:rsidP="00F41293">
      <w:pPr>
        <w:pStyle w:val="BRNormal11pt0"/>
      </w:pPr>
      <w:r>
        <w:t>Records of seasonal variability in groundwater levels and of seasonal shrink swell behaviour of expansive soils, where applicable, help to ensure that other factors contributing to subsidence are accounted for.</w:t>
      </w:r>
    </w:p>
    <w:p w:rsidR="00DF0DFF" w:rsidRDefault="00DF0DFF" w:rsidP="00F41293">
      <w:pPr>
        <w:pStyle w:val="Heading2"/>
      </w:pPr>
      <w:bookmarkStart w:id="612" w:name="_Toc402425347"/>
      <w:r>
        <w:t xml:space="preserve">Framework for </w:t>
      </w:r>
      <w:r w:rsidR="00FD23B8">
        <w:t>s</w:t>
      </w:r>
      <w:r>
        <w:t xml:space="preserve">ubsidence </w:t>
      </w:r>
      <w:r w:rsidR="00FD23B8">
        <w:t>m</w:t>
      </w:r>
      <w:r>
        <w:t>onitoring</w:t>
      </w:r>
      <w:bookmarkEnd w:id="612"/>
    </w:p>
    <w:p w:rsidR="00DF0DFF" w:rsidRDefault="00DF0DFF" w:rsidP="00F41293">
      <w:pPr>
        <w:pStyle w:val="Listintrotext"/>
      </w:pPr>
      <w:r>
        <w:t>This section illustrates how some of the above methods may be used to monitor subsidence. The methods described are:</w:t>
      </w:r>
    </w:p>
    <w:p w:rsidR="00DF0DFF" w:rsidRDefault="00DF0DFF" w:rsidP="007702DF">
      <w:pPr>
        <w:pStyle w:val="BRdotpoints"/>
      </w:pPr>
      <w:r>
        <w:t>Conventional and/or GPS Levelling</w:t>
      </w:r>
    </w:p>
    <w:p w:rsidR="00DF0DFF" w:rsidRDefault="00DF0DFF" w:rsidP="007702DF">
      <w:pPr>
        <w:pStyle w:val="BRdotpoints"/>
      </w:pPr>
      <w:r>
        <w:t>DifSAR</w:t>
      </w:r>
    </w:p>
    <w:p w:rsidR="00DF0DFF" w:rsidRDefault="00DF0DFF" w:rsidP="007702DF">
      <w:pPr>
        <w:pStyle w:val="BRdotpoints"/>
      </w:pPr>
      <w:r>
        <w:t>Tiltmeter Arrays.</w:t>
      </w:r>
    </w:p>
    <w:p w:rsidR="00DF0DFF" w:rsidRDefault="00DF0DFF" w:rsidP="00F41293">
      <w:pPr>
        <w:pStyle w:val="Post-listtext"/>
      </w:pPr>
      <w:r>
        <w:t>A combination of methods provides some redundancy and a mechanism for cross checking results.</w:t>
      </w:r>
    </w:p>
    <w:p w:rsidR="00DF0DFF" w:rsidRDefault="00DF0DFF" w:rsidP="00F41293">
      <w:pPr>
        <w:pStyle w:val="Heading3"/>
      </w:pPr>
      <w:r>
        <w:t>Prediction</w:t>
      </w:r>
    </w:p>
    <w:p w:rsidR="00DF0DFF" w:rsidRDefault="00DF0DFF" w:rsidP="00F41293">
      <w:pPr>
        <w:pStyle w:val="BRNormal11pt0"/>
      </w:pPr>
      <w:r>
        <w:t>A predicted maximum settlement of 100 mm is expected. An expected peak gradient of 100</w:t>
      </w:r>
      <w:r w:rsidR="00B268BA">
        <w:t> </w:t>
      </w:r>
      <w:r>
        <w:t>mm in 3 km is expected, which is a tilt of 0.033 mm/m.</w:t>
      </w:r>
      <w:r w:rsidR="00565387">
        <w:t xml:space="preserve"> </w:t>
      </w:r>
      <w:r>
        <w:t>Local soil and rock heterogeneities may have localised effects that are larger than the average effect.</w:t>
      </w:r>
      <w:r w:rsidR="00565387">
        <w:t xml:space="preserve"> </w:t>
      </w:r>
      <w:r>
        <w:t>It may be important to pick</w:t>
      </w:r>
      <w:r w:rsidR="00B268BA">
        <w:t xml:space="preserve"> </w:t>
      </w:r>
      <w:r>
        <w:t>up any such sharp effect from the surveillance.</w:t>
      </w:r>
    </w:p>
    <w:p w:rsidR="00DF0DFF" w:rsidRDefault="00DF0DFF" w:rsidP="00F41293">
      <w:pPr>
        <w:pStyle w:val="BRNormal11pt0"/>
      </w:pPr>
      <w:r>
        <w:t>Settlements differing from the normal pattern may occur in river valley areas or where faults and/or dykes are present.</w:t>
      </w:r>
    </w:p>
    <w:p w:rsidR="00DF0DFF" w:rsidRDefault="00DF0DFF" w:rsidP="00F41293">
      <w:pPr>
        <w:pStyle w:val="Heading3"/>
      </w:pPr>
      <w:r>
        <w:t xml:space="preserve">Method A – GPS and/or </w:t>
      </w:r>
      <w:r w:rsidR="00995918">
        <w:t>c</w:t>
      </w:r>
      <w:r>
        <w:t xml:space="preserve">onventional </w:t>
      </w:r>
      <w:r w:rsidR="00995918">
        <w:t>l</w:t>
      </w:r>
      <w:r>
        <w:t>evelling</w:t>
      </w:r>
    </w:p>
    <w:p w:rsidR="00DF0DFF" w:rsidRDefault="00DF0DFF" w:rsidP="00781EF7">
      <w:pPr>
        <w:pStyle w:val="Heading4"/>
      </w:pPr>
      <w:r>
        <w:t xml:space="preserve">Initial </w:t>
      </w:r>
      <w:r w:rsidR="006A40B5">
        <w:t>b</w:t>
      </w:r>
      <w:r>
        <w:t xml:space="preserve">aseline </w:t>
      </w:r>
      <w:r w:rsidR="006A40B5">
        <w:t>s</w:t>
      </w:r>
      <w:r>
        <w:t>urveys</w:t>
      </w:r>
    </w:p>
    <w:p w:rsidR="00DF0DFF" w:rsidRDefault="00DF0DFF" w:rsidP="002B641B">
      <w:pPr>
        <w:pStyle w:val="BRNormal11pt0"/>
      </w:pPr>
      <w:r>
        <w:t xml:space="preserve">GPS or conventional levelling traverses of up to 20 km from reference benchmarks, in the direction of predicted main </w:t>
      </w:r>
      <w:r w:rsidR="003721DE">
        <w:rPr>
          <w:lang w:val="en-AU"/>
        </w:rPr>
        <w:t>coal seam gas</w:t>
      </w:r>
      <w:r w:rsidR="003721DE" w:rsidRPr="00E13ED7">
        <w:rPr>
          <w:lang w:val="en-AU"/>
        </w:rPr>
        <w:t xml:space="preserve"> </w:t>
      </w:r>
      <w:r>
        <w:t xml:space="preserve">subsidence areas, may be undertaken. Two or more surveys may be undertaken prior to commencement of </w:t>
      </w:r>
      <w:r w:rsidR="003721DE">
        <w:rPr>
          <w:lang w:val="en-AU"/>
        </w:rPr>
        <w:t>coal seam gas</w:t>
      </w:r>
      <w:r w:rsidR="003721DE" w:rsidRPr="00E13ED7">
        <w:rPr>
          <w:lang w:val="en-AU"/>
        </w:rPr>
        <w:t xml:space="preserve"> </w:t>
      </w:r>
      <w:r>
        <w:t xml:space="preserve">production to establish an accurate model of existing ground elevation and to test for uncertainties in surveys and for any ground movement currently occurring. Additional benchmarks may be installed in areas where they are required, especially in areas near and just outside the predicted subsidence zone. </w:t>
      </w:r>
    </w:p>
    <w:p w:rsidR="00DF0DFF" w:rsidRDefault="00DF0DFF" w:rsidP="00781EF7">
      <w:pPr>
        <w:pStyle w:val="Heading4"/>
      </w:pPr>
      <w:r w:rsidRPr="00781EF7">
        <w:t>Subsidence</w:t>
      </w:r>
      <w:r>
        <w:t xml:space="preserve"> </w:t>
      </w:r>
      <w:r w:rsidR="006A40B5">
        <w:t>s</w:t>
      </w:r>
      <w:r>
        <w:t>urveys</w:t>
      </w:r>
    </w:p>
    <w:p w:rsidR="00DF0DFF" w:rsidRDefault="00DF0DFF" w:rsidP="002B641B">
      <w:pPr>
        <w:pStyle w:val="BRNormal11pt0"/>
      </w:pPr>
      <w:r>
        <w:t xml:space="preserve">Levelling traverses of up to 20 km (preferably not more than 10 km) from benchmarks may be undertaken some years into </w:t>
      </w:r>
      <w:r w:rsidR="003721DE">
        <w:rPr>
          <w:lang w:val="en-AU"/>
        </w:rPr>
        <w:t>coal seam gas</w:t>
      </w:r>
      <w:r w:rsidR="003721DE" w:rsidRPr="00E13ED7">
        <w:rPr>
          <w:lang w:val="en-AU"/>
        </w:rPr>
        <w:t xml:space="preserve"> </w:t>
      </w:r>
      <w:r>
        <w:t xml:space="preserve">production. The aim of these surveys will be to compare actual </w:t>
      </w:r>
      <w:r w:rsidR="00532A1B">
        <w:t>subsidence</w:t>
      </w:r>
      <w:r>
        <w:t xml:space="preserve"> against modelling predictions.</w:t>
      </w:r>
    </w:p>
    <w:p w:rsidR="00DF0DFF" w:rsidRDefault="00DF0DFF" w:rsidP="00781EF7">
      <w:pPr>
        <w:pStyle w:val="Heading4"/>
      </w:pPr>
      <w:r>
        <w:t xml:space="preserve">Important </w:t>
      </w:r>
      <w:r w:rsidR="006A40B5">
        <w:t>p</w:t>
      </w:r>
      <w:r>
        <w:t xml:space="preserve">oints </w:t>
      </w:r>
      <w:r w:rsidR="006A40B5">
        <w:t>r</w:t>
      </w:r>
      <w:r>
        <w:t xml:space="preserve">egarding GPS or </w:t>
      </w:r>
      <w:r w:rsidR="006A40B5">
        <w:t>c</w:t>
      </w:r>
      <w:r>
        <w:t xml:space="preserve">onventional </w:t>
      </w:r>
      <w:r w:rsidR="006A40B5">
        <w:t>l</w:t>
      </w:r>
      <w:r>
        <w:t xml:space="preserve">evelling </w:t>
      </w:r>
      <w:r w:rsidR="006A40B5">
        <w:t>s</w:t>
      </w:r>
      <w:r>
        <w:t>urveys</w:t>
      </w:r>
    </w:p>
    <w:p w:rsidR="00587EC4" w:rsidRDefault="00DF0DFF" w:rsidP="007702DF">
      <w:pPr>
        <w:pStyle w:val="BRdotpoints"/>
      </w:pPr>
      <w:r w:rsidRPr="00B268BA">
        <w:t>Baseline</w:t>
      </w:r>
      <w:r>
        <w:t xml:space="preserve"> surveys must be undertaken to establish accuracies and to identify existing ground movements. </w:t>
      </w:r>
    </w:p>
    <w:p w:rsidR="00DF0DFF" w:rsidRDefault="00DF0DFF" w:rsidP="007702DF">
      <w:pPr>
        <w:pStyle w:val="BRdotpoints"/>
      </w:pPr>
      <w:r>
        <w:t>Access permission will be required where levelling points are located on private property</w:t>
      </w:r>
      <w:r w:rsidR="00B268BA">
        <w:t>.</w:t>
      </w:r>
    </w:p>
    <w:p w:rsidR="00DF0DFF" w:rsidRDefault="00DF0DFF" w:rsidP="007702DF">
      <w:pPr>
        <w:pStyle w:val="BRdotpoints"/>
      </w:pPr>
      <w:r>
        <w:t>Survey benchmarks inside the zone of subsidence will not be stable and cannot be used to establish elevation. Only benchmarks outside the subsidence zone may be used for this. Benchmarks inside the zone of subsidence may be used as reference points for secondary surveys and to measure differential settlement</w:t>
      </w:r>
      <w:r w:rsidR="00B268BA">
        <w:t>.</w:t>
      </w:r>
    </w:p>
    <w:p w:rsidR="00DF0DFF" w:rsidRDefault="00DF0DFF" w:rsidP="007702DF">
      <w:pPr>
        <w:pStyle w:val="BRdotpoints"/>
      </w:pPr>
      <w:r>
        <w:t>Attention must be paid to areas of expected extraordinary settlement, if these areas are known beforehand</w:t>
      </w:r>
      <w:r w:rsidR="00B268BA">
        <w:t>.</w:t>
      </w:r>
    </w:p>
    <w:p w:rsidR="00DF0DFF" w:rsidRDefault="00DF0DFF" w:rsidP="007702DF">
      <w:pPr>
        <w:pStyle w:val="BRdotpoints"/>
      </w:pPr>
      <w:r>
        <w:t>Survey traverses are to be kept as close as possible to known ANLN (Australian National Levelling Network) benchmarks, due to the loss of accuracy</w:t>
      </w:r>
      <w:r w:rsidR="00D81BB8">
        <w:t>,</w:t>
      </w:r>
      <w:r>
        <w:t xml:space="preserve"> which occurs when surveying more than about 10 km away from benchmarks</w:t>
      </w:r>
      <w:r w:rsidR="00D81BB8">
        <w:t>.</w:t>
      </w:r>
    </w:p>
    <w:p w:rsidR="00DF0DFF" w:rsidRDefault="00DF0DFF" w:rsidP="007702DF">
      <w:pPr>
        <w:pStyle w:val="BRdotpoints"/>
      </w:pPr>
      <w:r>
        <w:t>Soil shrink-swell between surveys may introduce non-</w:t>
      </w:r>
      <w:r w:rsidR="003721DE">
        <w:rPr>
          <w:lang w:val="en-AU"/>
        </w:rPr>
        <w:t>coal seam gas</w:t>
      </w:r>
      <w:r w:rsidR="003721DE" w:rsidRPr="00E13ED7">
        <w:rPr>
          <w:lang w:val="en-AU"/>
        </w:rPr>
        <w:t xml:space="preserve"> </w:t>
      </w:r>
      <w:r>
        <w:t>settlement into results</w:t>
      </w:r>
      <w:r w:rsidR="00D81BB8">
        <w:t>.</w:t>
      </w:r>
    </w:p>
    <w:p w:rsidR="00DF0DFF" w:rsidRDefault="00DF0DFF" w:rsidP="007702DF">
      <w:pPr>
        <w:pStyle w:val="BRdotpoints"/>
      </w:pPr>
      <w:r>
        <w:t>Erosion or flooding between surveys may introduce non-</w:t>
      </w:r>
      <w:r w:rsidR="003721DE">
        <w:rPr>
          <w:lang w:val="en-AU"/>
        </w:rPr>
        <w:t>coal seam gas</w:t>
      </w:r>
      <w:r w:rsidR="003721DE" w:rsidRPr="00E13ED7">
        <w:rPr>
          <w:lang w:val="en-AU"/>
        </w:rPr>
        <w:t xml:space="preserve"> </w:t>
      </w:r>
      <w:r>
        <w:t>settlement into results.</w:t>
      </w:r>
    </w:p>
    <w:p w:rsidR="00DF0DFF" w:rsidRDefault="00DF0DFF" w:rsidP="002B641B">
      <w:pPr>
        <w:pStyle w:val="Heading3"/>
      </w:pPr>
      <w:r>
        <w:t>Method B – DifSAR</w:t>
      </w:r>
    </w:p>
    <w:p w:rsidR="00DF0DFF" w:rsidRDefault="00DF0DFF" w:rsidP="00781EF7">
      <w:pPr>
        <w:pStyle w:val="Heading4"/>
      </w:pPr>
      <w:r>
        <w:t xml:space="preserve">Installation of </w:t>
      </w:r>
      <w:r w:rsidR="006A40B5">
        <w:t>r</w:t>
      </w:r>
      <w:r>
        <w:t xml:space="preserve">adar </w:t>
      </w:r>
      <w:r w:rsidR="006A40B5">
        <w:t>r</w:t>
      </w:r>
      <w:r>
        <w:t>eflectors</w:t>
      </w:r>
    </w:p>
    <w:p w:rsidR="00DF0DFF" w:rsidRDefault="00DF0DFF" w:rsidP="002B641B">
      <w:pPr>
        <w:pStyle w:val="BRNormal11pt0"/>
      </w:pPr>
      <w:r>
        <w:t xml:space="preserve">To aid with temporal correlation, three or more radar reflectors may be installed in the survey area, perhaps at specified </w:t>
      </w:r>
      <w:r w:rsidR="003721DE">
        <w:rPr>
          <w:lang w:val="en-AU"/>
        </w:rPr>
        <w:t>coal seam gas</w:t>
      </w:r>
      <w:r w:rsidR="003721DE" w:rsidRPr="00E13ED7">
        <w:rPr>
          <w:lang w:val="en-AU"/>
        </w:rPr>
        <w:t xml:space="preserve"> </w:t>
      </w:r>
      <w:r>
        <w:t>wells or near survey benchmarks. The coordinates of the radar reflectors is to be recorded. Radar reflectors are intended to provide a stable point free from vegetation or ground surface changes between SAR measurements (Youden et al</w:t>
      </w:r>
      <w:r w:rsidR="00D81BB8">
        <w:t>.</w:t>
      </w:r>
      <w:r>
        <w:t xml:space="preserve"> 2004).</w:t>
      </w:r>
    </w:p>
    <w:p w:rsidR="00DF0DFF" w:rsidRDefault="00DF0DFF" w:rsidP="00781EF7">
      <w:pPr>
        <w:pStyle w:val="Heading4"/>
      </w:pPr>
      <w:r>
        <w:t xml:space="preserve">Initial </w:t>
      </w:r>
      <w:r w:rsidR="006A40B5">
        <w:t>b</w:t>
      </w:r>
      <w:r>
        <w:t xml:space="preserve">aseline </w:t>
      </w:r>
      <w:r w:rsidR="006A40B5">
        <w:t>s</w:t>
      </w:r>
      <w:r>
        <w:t>urveys</w:t>
      </w:r>
    </w:p>
    <w:p w:rsidR="00DF0DFF" w:rsidRDefault="00DF0DFF" w:rsidP="002B641B">
      <w:pPr>
        <w:pStyle w:val="BRNormal11pt0"/>
      </w:pPr>
      <w:r>
        <w:t xml:space="preserve">Satellite data may be obtained for periods prior to </w:t>
      </w:r>
      <w:r w:rsidR="003721DE">
        <w:rPr>
          <w:lang w:val="en-AU"/>
        </w:rPr>
        <w:t>coal seam gas</w:t>
      </w:r>
      <w:r w:rsidR="003721DE" w:rsidRPr="00E13ED7">
        <w:rPr>
          <w:lang w:val="en-AU"/>
        </w:rPr>
        <w:t xml:space="preserve"> </w:t>
      </w:r>
      <w:r>
        <w:t>extraction. This data is to be processed to produce DifSAR images of the project area. Initial images will be used to test for accuracies in the method and to identify any existing ground movements occurring in the project area. The results may be aligned with a Digital Elevation Model and with the levelling survey where applicable.</w:t>
      </w:r>
    </w:p>
    <w:p w:rsidR="00DF0DFF" w:rsidRDefault="00DF0DFF" w:rsidP="00781EF7">
      <w:pPr>
        <w:pStyle w:val="Heading4"/>
      </w:pPr>
      <w:r>
        <w:t xml:space="preserve">DifSAR </w:t>
      </w:r>
      <w:r w:rsidR="006A40B5">
        <w:t>s</w:t>
      </w:r>
      <w:r>
        <w:t>urveys</w:t>
      </w:r>
    </w:p>
    <w:p w:rsidR="00DF0DFF" w:rsidRDefault="00DF0DFF" w:rsidP="002B641B">
      <w:pPr>
        <w:pStyle w:val="BRNormal11pt0"/>
      </w:pPr>
      <w:r>
        <w:t xml:space="preserve">After </w:t>
      </w:r>
      <w:r w:rsidR="003721DE">
        <w:rPr>
          <w:lang w:val="en-AU"/>
        </w:rPr>
        <w:t>coal seam gas</w:t>
      </w:r>
      <w:r w:rsidR="003721DE" w:rsidRPr="00E13ED7">
        <w:rPr>
          <w:lang w:val="en-AU"/>
        </w:rPr>
        <w:t xml:space="preserve"> </w:t>
      </w:r>
      <w:r>
        <w:t>production begins, additional satellite data may be obtained and processed to create DifSAR images. The time difference between images that is adopted to create DifSAR images must be kept to a maximum of one year to avoid possible de</w:t>
      </w:r>
      <w:r w:rsidR="002D6822">
        <w:t>-</w:t>
      </w:r>
      <w:r>
        <w:t>correlation due to ground surface changes or settlements greater than the radar wavelength that occur between successive passes. DifSAR images may be compared with the levelling surveys undertaken in Method A.</w:t>
      </w:r>
    </w:p>
    <w:p w:rsidR="00D81BB8" w:rsidRDefault="00D81BB8" w:rsidP="002B641B">
      <w:pPr>
        <w:pStyle w:val="BRNormal11pt0"/>
      </w:pPr>
    </w:p>
    <w:p w:rsidR="00DF0DFF" w:rsidRDefault="00DF0DFF" w:rsidP="00781EF7">
      <w:pPr>
        <w:pStyle w:val="Heading4"/>
      </w:pPr>
      <w:r>
        <w:t xml:space="preserve">Important </w:t>
      </w:r>
      <w:r w:rsidR="006A40B5">
        <w:t>p</w:t>
      </w:r>
      <w:r>
        <w:t xml:space="preserve">oints </w:t>
      </w:r>
      <w:r w:rsidR="006A40B5">
        <w:t>r</w:t>
      </w:r>
      <w:r>
        <w:t>egarding DifSAR</w:t>
      </w:r>
    </w:p>
    <w:p w:rsidR="00DF0DFF" w:rsidRDefault="00DF0DFF" w:rsidP="002B641B">
      <w:pPr>
        <w:pStyle w:val="Listintrotext"/>
      </w:pPr>
      <w:r>
        <w:t xml:space="preserve">DifSAR should be </w:t>
      </w:r>
      <w:r w:rsidRPr="002B641B">
        <w:t>undertaken</w:t>
      </w:r>
      <w:r>
        <w:t xml:space="preserve"> with consideration of the following:</w:t>
      </w:r>
    </w:p>
    <w:p w:rsidR="00DF0DFF" w:rsidRDefault="00D81BB8" w:rsidP="007702DF">
      <w:pPr>
        <w:pStyle w:val="BRdotpoints"/>
      </w:pPr>
      <w:r>
        <w:t>b</w:t>
      </w:r>
      <w:r w:rsidR="00DF0DFF">
        <w:t>aseline surveys must be undertaken to establish accuracies and to identify existing movements</w:t>
      </w:r>
    </w:p>
    <w:p w:rsidR="00DF0DFF" w:rsidRDefault="00D81BB8" w:rsidP="007702DF">
      <w:pPr>
        <w:pStyle w:val="BRdotpoints"/>
      </w:pPr>
      <w:r>
        <w:t>l</w:t>
      </w:r>
      <w:r w:rsidR="00DF0DFF">
        <w:t>oss of correlation between surveys is possible due to changes to ground surface or vegetation</w:t>
      </w:r>
    </w:p>
    <w:p w:rsidR="00DF0DFF" w:rsidRDefault="00D81BB8" w:rsidP="007702DF">
      <w:pPr>
        <w:pStyle w:val="BRdotpoints"/>
      </w:pPr>
      <w:r>
        <w:t>s</w:t>
      </w:r>
      <w:r w:rsidR="00DF0DFF">
        <w:t>oil shrink-swell between surveys may introduce non-</w:t>
      </w:r>
      <w:r w:rsidR="003721DE">
        <w:rPr>
          <w:lang w:val="en-AU"/>
        </w:rPr>
        <w:t>coal seam gas</w:t>
      </w:r>
      <w:r>
        <w:rPr>
          <w:lang w:val="en-AU"/>
        </w:rPr>
        <w:t xml:space="preserve"> </w:t>
      </w:r>
      <w:r w:rsidR="00DF0DFF">
        <w:t>settlement into results</w:t>
      </w:r>
    </w:p>
    <w:p w:rsidR="00DF0DFF" w:rsidRDefault="00D81BB8" w:rsidP="007702DF">
      <w:pPr>
        <w:pStyle w:val="BRdotpoints"/>
      </w:pPr>
      <w:proofErr w:type="gramStart"/>
      <w:r>
        <w:t>e</w:t>
      </w:r>
      <w:r w:rsidR="00DF0DFF">
        <w:t>rosion</w:t>
      </w:r>
      <w:proofErr w:type="gramEnd"/>
      <w:r w:rsidR="00DF0DFF">
        <w:t xml:space="preserve"> or flooding between surveys may introduce non-</w:t>
      </w:r>
      <w:r w:rsidR="003721DE">
        <w:rPr>
          <w:lang w:val="en-AU"/>
        </w:rPr>
        <w:t>coal seam gas</w:t>
      </w:r>
      <w:r w:rsidR="003721DE" w:rsidRPr="00E13ED7">
        <w:rPr>
          <w:lang w:val="en-AU"/>
        </w:rPr>
        <w:t xml:space="preserve"> </w:t>
      </w:r>
      <w:r w:rsidR="00DF0DFF">
        <w:t>settlement into results.</w:t>
      </w:r>
    </w:p>
    <w:p w:rsidR="00DF0DFF" w:rsidRDefault="00DF0DFF" w:rsidP="002B641B">
      <w:pPr>
        <w:pStyle w:val="Heading3"/>
      </w:pPr>
      <w:r>
        <w:t xml:space="preserve">Method C – </w:t>
      </w:r>
      <w:r w:rsidR="006A40B5">
        <w:t>t</w:t>
      </w:r>
      <w:r>
        <w:t xml:space="preserve">iltmeter </w:t>
      </w:r>
      <w:r w:rsidR="006A40B5">
        <w:t>a</w:t>
      </w:r>
      <w:r>
        <w:t>rrays</w:t>
      </w:r>
    </w:p>
    <w:p w:rsidR="00DF0DFF" w:rsidRDefault="00DF0DFF" w:rsidP="00781EF7">
      <w:pPr>
        <w:pStyle w:val="Heading4"/>
      </w:pPr>
      <w:r>
        <w:t>Installation</w:t>
      </w:r>
    </w:p>
    <w:p w:rsidR="00DF0DFF" w:rsidRDefault="00DF0DFF" w:rsidP="002B641B">
      <w:pPr>
        <w:pStyle w:val="BRNormal11pt0"/>
      </w:pPr>
      <w:r>
        <w:t>High resolution tiltmeters may be installed over part of the project area. In particular, both areas expected to subside and areas not expected to be affected should be covered. Cost will partially dictate the density of the tiltmeter array. However, it is advisable that there be sufficient tiltmeters in areas where ground curvature is expected.</w:t>
      </w:r>
      <w:r w:rsidR="00565387">
        <w:t xml:space="preserve"> </w:t>
      </w:r>
      <w:r>
        <w:t>For example, five tiltmeters in a 10 km line should be sufficient to capture localised ground curvature and subsidence, if positioned in an appropriate area. It is necessary that each tiltmeter is installed on a firm hard surface, such as rock, a road surface or a building. Results from the tiltmeter array may provide a further comparison and/or verification of levelling and DifSAR results.</w:t>
      </w:r>
    </w:p>
    <w:p w:rsidR="00DF0DFF" w:rsidRDefault="00DF0DFF" w:rsidP="002B641B">
      <w:pPr>
        <w:pStyle w:val="BRNormal11pt0"/>
      </w:pPr>
      <w:r>
        <w:t xml:space="preserve">Local factors unrelated to </w:t>
      </w:r>
      <w:r w:rsidR="003721DE">
        <w:rPr>
          <w:lang w:val="en-AU"/>
        </w:rPr>
        <w:t>coal seam gas</w:t>
      </w:r>
      <w:r w:rsidR="003721DE" w:rsidRPr="00E13ED7">
        <w:rPr>
          <w:lang w:val="en-AU"/>
        </w:rPr>
        <w:t xml:space="preserve"> </w:t>
      </w:r>
      <w:r>
        <w:t>activities may influence individual tiltmeters so sufficient redundancy would need to be allowed to identify and allow for anomalous results.</w:t>
      </w:r>
    </w:p>
    <w:p w:rsidR="00DF0DFF" w:rsidRDefault="00DF0DFF" w:rsidP="00781EF7">
      <w:pPr>
        <w:pStyle w:val="Heading4"/>
      </w:pPr>
      <w:r>
        <w:t>Monitoring</w:t>
      </w:r>
    </w:p>
    <w:p w:rsidR="00DF0DFF" w:rsidRDefault="00DF0DFF" w:rsidP="002B641B">
      <w:pPr>
        <w:pStyle w:val="BRNormal11pt0"/>
      </w:pPr>
      <w:r>
        <w:t>The tiltmeters may be monitored periodically and information processed to provide an accurate picture of the subsided ground surface. It may also be possible to monitor the tiltmeters remotely. After the tiltmeter array is installed, the cost in monitoring and processing the results is low.</w:t>
      </w:r>
    </w:p>
    <w:p w:rsidR="00DF0DFF" w:rsidRDefault="00DF0DFF" w:rsidP="00781EF7">
      <w:pPr>
        <w:pStyle w:val="Heading4"/>
      </w:pPr>
      <w:r>
        <w:t xml:space="preserve">Important </w:t>
      </w:r>
      <w:r w:rsidR="006A40B5">
        <w:t>p</w:t>
      </w:r>
      <w:r>
        <w:t xml:space="preserve">oints </w:t>
      </w:r>
      <w:r w:rsidR="006A40B5">
        <w:t>r</w:t>
      </w:r>
      <w:r>
        <w:t xml:space="preserve">egarding </w:t>
      </w:r>
      <w:r w:rsidR="006A40B5">
        <w:t>t</w:t>
      </w:r>
      <w:r>
        <w:t xml:space="preserve">iltmeter </w:t>
      </w:r>
      <w:r w:rsidR="006A40B5">
        <w:t>a</w:t>
      </w:r>
      <w:r>
        <w:t>rrays</w:t>
      </w:r>
    </w:p>
    <w:p w:rsidR="00DF0DFF" w:rsidRDefault="00DF0DFF" w:rsidP="002B641B">
      <w:pPr>
        <w:pStyle w:val="Listintrotext"/>
      </w:pPr>
      <w:r>
        <w:t>The method should be undertaken with consideration of the following:</w:t>
      </w:r>
    </w:p>
    <w:p w:rsidR="00DF0DFF" w:rsidRDefault="000940B7" w:rsidP="007702DF">
      <w:pPr>
        <w:pStyle w:val="BRdotpoints"/>
      </w:pPr>
      <w:r>
        <w:t>i</w:t>
      </w:r>
      <w:r w:rsidR="00DF0DFF">
        <w:t>nstallation must be on a firm hard surface not exposed to soil shrink-swell or erosion</w:t>
      </w:r>
    </w:p>
    <w:p w:rsidR="00DF0DFF" w:rsidRDefault="000940B7" w:rsidP="007702DF">
      <w:pPr>
        <w:pStyle w:val="BRdotpoints"/>
      </w:pPr>
      <w:r>
        <w:t>p</w:t>
      </w:r>
      <w:r w:rsidR="00DF0DFF">
        <w:t>ermission must be granted if tiltmeters are to be installed on private property</w:t>
      </w:r>
    </w:p>
    <w:p w:rsidR="00DF0DFF" w:rsidRDefault="000940B7" w:rsidP="007702DF">
      <w:pPr>
        <w:pStyle w:val="BRdotpoints"/>
      </w:pPr>
      <w:r>
        <w:t>t</w:t>
      </w:r>
      <w:r w:rsidR="00DF0DFF">
        <w:t>iltmeter accuracy must be high enough to easily detect predicted changes in ground tilt</w:t>
      </w:r>
    </w:p>
    <w:p w:rsidR="00DF0DFF" w:rsidRDefault="000940B7" w:rsidP="007702DF">
      <w:pPr>
        <w:pStyle w:val="BRdotpoints"/>
      </w:pPr>
      <w:r>
        <w:t>t</w:t>
      </w:r>
      <w:r w:rsidR="00DF0DFF">
        <w:t>he area where the tiltmeter array is to be installed must be carefully selected beforehand, based on predictions of maximum subsidence and maximum ground tilt</w:t>
      </w:r>
    </w:p>
    <w:p w:rsidR="001E6DBD" w:rsidRDefault="000940B7" w:rsidP="007702DF">
      <w:pPr>
        <w:pStyle w:val="BRdotpoints"/>
      </w:pPr>
      <w:proofErr w:type="gramStart"/>
      <w:r>
        <w:t>t</w:t>
      </w:r>
      <w:r w:rsidR="00DF0DFF">
        <w:t>here</w:t>
      </w:r>
      <w:proofErr w:type="gramEnd"/>
      <w:r w:rsidR="00DF0DFF">
        <w:t xml:space="preserve"> are no restrictions on the time between tiltmeter observations.</w:t>
      </w:r>
    </w:p>
    <w:p w:rsidR="001E6DBD" w:rsidRDefault="001E6DBD" w:rsidP="00A90F48">
      <w:pPr>
        <w:pStyle w:val="Listintrotext"/>
      </w:pPr>
    </w:p>
    <w:p w:rsidR="002B641B" w:rsidRPr="002B641B" w:rsidRDefault="002B641B" w:rsidP="002B641B">
      <w:pPr>
        <w:pStyle w:val="Heading1"/>
      </w:pPr>
      <w:bookmarkStart w:id="613" w:name="_Toc402425348"/>
      <w:r w:rsidRPr="002B641B">
        <w:t xml:space="preserve">Subsidence </w:t>
      </w:r>
      <w:r w:rsidR="006A40B5">
        <w:t>m</w:t>
      </w:r>
      <w:r w:rsidRPr="002B641B">
        <w:t xml:space="preserve">anagement </w:t>
      </w:r>
      <w:r w:rsidR="006A40B5">
        <w:t>s</w:t>
      </w:r>
      <w:r w:rsidRPr="002B641B">
        <w:t>trategies</w:t>
      </w:r>
      <w:bookmarkEnd w:id="613"/>
    </w:p>
    <w:p w:rsidR="002B641B" w:rsidRPr="002B641B" w:rsidRDefault="002B641B" w:rsidP="002B641B">
      <w:pPr>
        <w:pStyle w:val="BRNormal11pt0"/>
        <w:rPr>
          <w:lang w:val="en-GB"/>
        </w:rPr>
      </w:pPr>
      <w:r w:rsidRPr="002B641B">
        <w:rPr>
          <w:lang w:val="en-GB"/>
        </w:rPr>
        <w:t xml:space="preserve">Management of subsidence arising from underground coal mining is well established in the coalfields areas of Australia. </w:t>
      </w:r>
      <w:r w:rsidR="000A72A5">
        <w:rPr>
          <w:lang w:val="en-GB"/>
        </w:rPr>
        <w:t xml:space="preserve">The </w:t>
      </w:r>
      <w:r w:rsidRPr="002B641B">
        <w:rPr>
          <w:lang w:val="en-GB"/>
        </w:rPr>
        <w:t xml:space="preserve">NSW Department of Mineral Resources (2003) provides guidelines for subsidence management in relation to coal mines. Much of the emphasis has been placed on impacts to manmade structures, though in recent decades impacts on water depleted environmental assets (including rivers and wetlands) has attracted </w:t>
      </w:r>
      <w:r w:rsidR="000A72A5">
        <w:rPr>
          <w:lang w:val="en-GB"/>
        </w:rPr>
        <w:t>a</w:t>
      </w:r>
      <w:r w:rsidRPr="002B641B">
        <w:rPr>
          <w:lang w:val="en-GB"/>
        </w:rPr>
        <w:t>ttention.</w:t>
      </w:r>
      <w:r w:rsidR="000A72A5">
        <w:rPr>
          <w:lang w:val="en-GB"/>
        </w:rPr>
        <w:t xml:space="preserve"> </w:t>
      </w:r>
      <w:r w:rsidRPr="002B641B">
        <w:rPr>
          <w:lang w:val="en-GB"/>
        </w:rPr>
        <w:t xml:space="preserve">Management of subsidence from </w:t>
      </w:r>
      <w:r w:rsidR="003721DE">
        <w:rPr>
          <w:lang w:val="en-AU"/>
        </w:rPr>
        <w:t>coal seam gas</w:t>
      </w:r>
      <w:r w:rsidR="003721DE" w:rsidRPr="00E13ED7">
        <w:rPr>
          <w:lang w:val="en-AU"/>
        </w:rPr>
        <w:t xml:space="preserve"> </w:t>
      </w:r>
      <w:r w:rsidRPr="002B641B">
        <w:rPr>
          <w:lang w:val="en-GB"/>
        </w:rPr>
        <w:t>extraction has very limited history in Australia.</w:t>
      </w:r>
    </w:p>
    <w:p w:rsidR="002B641B" w:rsidRPr="002B641B" w:rsidRDefault="002B641B" w:rsidP="002B641B">
      <w:pPr>
        <w:pStyle w:val="BRNormal11pt0"/>
        <w:rPr>
          <w:lang w:val="en-GB"/>
        </w:rPr>
      </w:pPr>
      <w:r w:rsidRPr="002B641B">
        <w:rPr>
          <w:lang w:val="en-GB"/>
        </w:rPr>
        <w:t xml:space="preserve">Management of subsidence arising from </w:t>
      </w:r>
      <w:r w:rsidR="003721DE">
        <w:rPr>
          <w:lang w:val="en-AU"/>
        </w:rPr>
        <w:t>coal seam gas</w:t>
      </w:r>
      <w:r w:rsidR="003721DE" w:rsidRPr="00E13ED7">
        <w:rPr>
          <w:lang w:val="en-AU"/>
        </w:rPr>
        <w:t xml:space="preserve"> </w:t>
      </w:r>
      <w:r w:rsidRPr="002B641B">
        <w:rPr>
          <w:lang w:val="en-GB"/>
        </w:rPr>
        <w:t>extraction differs from management of subsidence arising from underground coal mining, because coal mining involves substantial ground loss and major mechanical dislocation of strata at the level of the mined coal seam.</w:t>
      </w:r>
      <w:r w:rsidR="002D6822">
        <w:rPr>
          <w:lang w:val="en-GB"/>
        </w:rPr>
        <w:t xml:space="preserve"> </w:t>
      </w:r>
      <w:r w:rsidRPr="002B641B">
        <w:rPr>
          <w:lang w:val="en-GB"/>
        </w:rPr>
        <w:t>Nevertheless</w:t>
      </w:r>
      <w:r w:rsidR="000A72A5">
        <w:rPr>
          <w:lang w:val="en-GB"/>
        </w:rPr>
        <w:t>,</w:t>
      </w:r>
      <w:r w:rsidRPr="002B641B">
        <w:rPr>
          <w:lang w:val="en-GB"/>
        </w:rPr>
        <w:t xml:space="preserve"> the methods used to manage subsidence due to coal mining provide an approach </w:t>
      </w:r>
      <w:r w:rsidR="000A72A5">
        <w:rPr>
          <w:lang w:val="en-GB"/>
        </w:rPr>
        <w:t>that</w:t>
      </w:r>
      <w:r w:rsidR="000A72A5" w:rsidRPr="002B641B">
        <w:rPr>
          <w:lang w:val="en-GB"/>
        </w:rPr>
        <w:t xml:space="preserve"> </w:t>
      </w:r>
      <w:r w:rsidRPr="002B641B">
        <w:rPr>
          <w:lang w:val="en-GB"/>
        </w:rPr>
        <w:t xml:space="preserve">has relevance to the management of subsidence associated with </w:t>
      </w:r>
      <w:r w:rsidR="003721DE">
        <w:rPr>
          <w:lang w:val="en-AU"/>
        </w:rPr>
        <w:t>coal seam gas</w:t>
      </w:r>
      <w:r w:rsidR="003721DE" w:rsidRPr="00E13ED7">
        <w:rPr>
          <w:lang w:val="en-AU"/>
        </w:rPr>
        <w:t xml:space="preserve"> </w:t>
      </w:r>
      <w:r w:rsidRPr="002B641B">
        <w:rPr>
          <w:lang w:val="en-GB"/>
        </w:rPr>
        <w:t xml:space="preserve">extraction. Management of subsidence arising from </w:t>
      </w:r>
      <w:r w:rsidR="003721DE">
        <w:rPr>
          <w:lang w:val="en-AU"/>
        </w:rPr>
        <w:t>coal seam gas</w:t>
      </w:r>
      <w:r w:rsidR="003721DE" w:rsidRPr="00E13ED7">
        <w:rPr>
          <w:lang w:val="en-AU"/>
        </w:rPr>
        <w:t xml:space="preserve"> </w:t>
      </w:r>
      <w:r w:rsidRPr="002B641B">
        <w:rPr>
          <w:lang w:val="en-GB"/>
        </w:rPr>
        <w:t>extraction has some similarities with management of subsidence due to dewatering arising from engineering projects</w:t>
      </w:r>
      <w:r w:rsidR="000A72A5">
        <w:rPr>
          <w:lang w:val="en-GB"/>
        </w:rPr>
        <w:t>,</w:t>
      </w:r>
      <w:r w:rsidRPr="002B641B">
        <w:rPr>
          <w:lang w:val="en-GB"/>
        </w:rPr>
        <w:t xml:space="preserve"> such as tunnels and deep excavations. Groundwater seepage to the tunnel or excavation results in lowering of groundwater levels and causes </w:t>
      </w:r>
      <w:r w:rsidR="00532A1B">
        <w:rPr>
          <w:lang w:val="en-GB"/>
        </w:rPr>
        <w:t>compaction.</w:t>
      </w:r>
    </w:p>
    <w:p w:rsidR="002B641B" w:rsidRPr="002B641B" w:rsidRDefault="002B641B" w:rsidP="002B641B">
      <w:pPr>
        <w:pStyle w:val="BRNormal11pt0"/>
        <w:rPr>
          <w:lang w:val="en-GB"/>
        </w:rPr>
      </w:pPr>
      <w:r w:rsidRPr="002B641B">
        <w:rPr>
          <w:lang w:val="en-GB"/>
        </w:rPr>
        <w:t xml:space="preserve">One aspect of subsidence development which is problematic is the fact </w:t>
      </w:r>
      <w:r w:rsidR="00C5448D">
        <w:rPr>
          <w:lang w:val="en-GB"/>
        </w:rPr>
        <w:t xml:space="preserve">that </w:t>
      </w:r>
      <w:r w:rsidRPr="002B641B">
        <w:rPr>
          <w:lang w:val="en-GB"/>
        </w:rPr>
        <w:t>the subsidence will not develop instantly but may take many years to develop. As a result, it is important that prediction and early monitoring (for consistency with predicted development of subsidence) be undertaken.</w:t>
      </w:r>
      <w:r w:rsidR="002D6822">
        <w:rPr>
          <w:lang w:val="en-GB"/>
        </w:rPr>
        <w:t xml:space="preserve"> </w:t>
      </w:r>
      <w:r w:rsidRPr="002B641B">
        <w:rPr>
          <w:lang w:val="en-GB"/>
        </w:rPr>
        <w:t xml:space="preserve">Once underway, the process of subsidence development due to </w:t>
      </w:r>
      <w:r w:rsidR="003721DE">
        <w:rPr>
          <w:lang w:val="en-AU"/>
        </w:rPr>
        <w:t>coal seam gas</w:t>
      </w:r>
      <w:r w:rsidR="003721DE" w:rsidRPr="00E13ED7">
        <w:rPr>
          <w:lang w:val="en-AU"/>
        </w:rPr>
        <w:t xml:space="preserve"> </w:t>
      </w:r>
      <w:r w:rsidRPr="002B641B">
        <w:rPr>
          <w:lang w:val="en-GB"/>
        </w:rPr>
        <w:t>extraction is difficult to arrest and, as a result, management needs to take account of the rate of subsidence growth in comparison with expectations.</w:t>
      </w:r>
    </w:p>
    <w:p w:rsidR="002B641B" w:rsidRPr="002B641B" w:rsidRDefault="002B641B" w:rsidP="002B641B">
      <w:pPr>
        <w:pStyle w:val="Listintrotext"/>
        <w:rPr>
          <w:lang w:val="en-GB"/>
        </w:rPr>
      </w:pPr>
      <w:r w:rsidRPr="002B641B">
        <w:rPr>
          <w:lang w:val="en-GB"/>
        </w:rPr>
        <w:t>The process of subsidence management involves the following stages:</w:t>
      </w:r>
    </w:p>
    <w:p w:rsidR="002B641B" w:rsidRPr="002B641B" w:rsidRDefault="000A72A5" w:rsidP="005649EE">
      <w:pPr>
        <w:pStyle w:val="BRnumbering"/>
      </w:pPr>
      <w:r>
        <w:t>p</w:t>
      </w:r>
      <w:r w:rsidR="002B641B" w:rsidRPr="002B641B">
        <w:t>rediction of the extent, magnitude and timing of subsidence impacts</w:t>
      </w:r>
    </w:p>
    <w:p w:rsidR="002B641B" w:rsidRPr="002B641B" w:rsidRDefault="000A72A5" w:rsidP="005649EE">
      <w:pPr>
        <w:pStyle w:val="BRnumbering"/>
      </w:pPr>
      <w:r>
        <w:t>i</w:t>
      </w:r>
      <w:r w:rsidR="002B641B" w:rsidRPr="002B641B">
        <w:t>dentification of assets (natural and manmade) within the zone of subsidence influence</w:t>
      </w:r>
    </w:p>
    <w:p w:rsidR="002B641B" w:rsidRPr="002B641B" w:rsidRDefault="000A72A5" w:rsidP="005649EE">
      <w:pPr>
        <w:pStyle w:val="BRnumbering"/>
      </w:pPr>
      <w:r>
        <w:t>i</w:t>
      </w:r>
      <w:r w:rsidR="002B641B" w:rsidRPr="002B641B">
        <w:t>dentification of thresholds below which risk to particular categories of asset will be at very low risk of adverse impact</w:t>
      </w:r>
    </w:p>
    <w:p w:rsidR="002B641B" w:rsidRPr="002B641B" w:rsidRDefault="000A72A5" w:rsidP="005649EE">
      <w:pPr>
        <w:pStyle w:val="BRnumbering"/>
      </w:pPr>
      <w:r>
        <w:t>m</w:t>
      </w:r>
      <w:r w:rsidR="002B641B" w:rsidRPr="002B641B">
        <w:t>easurement of groundwater drawdown and ground movement response</w:t>
      </w:r>
    </w:p>
    <w:p w:rsidR="002B641B" w:rsidRPr="002B641B" w:rsidRDefault="000A72A5" w:rsidP="005649EE">
      <w:pPr>
        <w:pStyle w:val="BRnumbering"/>
      </w:pPr>
      <w:r>
        <w:t>c</w:t>
      </w:r>
      <w:r w:rsidR="002B641B" w:rsidRPr="002B641B">
        <w:t>omparison of the predicted subsidence impact with the thresholds for the assets present within the zone of subsidence influence</w:t>
      </w:r>
    </w:p>
    <w:p w:rsidR="002B641B" w:rsidRPr="002B641B" w:rsidRDefault="000A72A5" w:rsidP="005649EE">
      <w:pPr>
        <w:pStyle w:val="BRnumbering"/>
      </w:pPr>
      <w:proofErr w:type="gramStart"/>
      <w:r>
        <w:t>i</w:t>
      </w:r>
      <w:r w:rsidR="002B641B" w:rsidRPr="002B641B">
        <w:t>mplementation</w:t>
      </w:r>
      <w:proofErr w:type="gramEnd"/>
      <w:r w:rsidR="002B641B" w:rsidRPr="002B641B">
        <w:t xml:space="preserve"> of mitigation or control measures to address potential adverse impacts.</w:t>
      </w:r>
    </w:p>
    <w:p w:rsidR="002B641B" w:rsidRPr="002B641B" w:rsidRDefault="002B641B" w:rsidP="002B641B">
      <w:pPr>
        <w:pStyle w:val="Heading2"/>
      </w:pPr>
      <w:bookmarkStart w:id="614" w:name="_Toc402425349"/>
      <w:r w:rsidRPr="002B641B">
        <w:t xml:space="preserve">Risk </w:t>
      </w:r>
      <w:r w:rsidR="006A40B5">
        <w:t>a</w:t>
      </w:r>
      <w:r w:rsidRPr="002B641B">
        <w:t xml:space="preserve">ssessment </w:t>
      </w:r>
      <w:r w:rsidR="006A40B5">
        <w:t>a</w:t>
      </w:r>
      <w:r w:rsidRPr="002B641B">
        <w:t>pproach</w:t>
      </w:r>
      <w:bookmarkEnd w:id="614"/>
    </w:p>
    <w:p w:rsidR="000A72A5" w:rsidRDefault="002B641B" w:rsidP="000A72A5">
      <w:pPr>
        <w:pStyle w:val="BRNormal11pt0"/>
        <w:rPr>
          <w:lang w:val="en-GB"/>
        </w:rPr>
      </w:pPr>
      <w:r w:rsidRPr="002B641B">
        <w:rPr>
          <w:lang w:val="en-GB"/>
        </w:rPr>
        <w:t xml:space="preserve">The </w:t>
      </w:r>
      <w:r w:rsidRPr="000A72A5">
        <w:rPr>
          <w:lang w:val="en-GB"/>
        </w:rPr>
        <w:t xml:space="preserve">Australian </w:t>
      </w:r>
      <w:r w:rsidR="002D6822">
        <w:rPr>
          <w:lang w:val="en-GB"/>
        </w:rPr>
        <w:t>S</w:t>
      </w:r>
      <w:r w:rsidRPr="000A72A5">
        <w:rPr>
          <w:lang w:val="en-GB"/>
        </w:rPr>
        <w:t xml:space="preserve">tandard </w:t>
      </w:r>
      <w:r w:rsidR="000A72A5">
        <w:rPr>
          <w:lang w:val="en-GB"/>
        </w:rPr>
        <w:t>r</w:t>
      </w:r>
      <w:r w:rsidRPr="000A72A5">
        <w:rPr>
          <w:lang w:val="en-GB"/>
        </w:rPr>
        <w:t xml:space="preserve">isk </w:t>
      </w:r>
      <w:r w:rsidR="000A72A5">
        <w:rPr>
          <w:lang w:val="en-GB"/>
        </w:rPr>
        <w:t>m</w:t>
      </w:r>
      <w:r w:rsidRPr="000A72A5">
        <w:rPr>
          <w:lang w:val="en-GB"/>
        </w:rPr>
        <w:t xml:space="preserve">anagement – </w:t>
      </w:r>
      <w:r w:rsidR="000A72A5">
        <w:rPr>
          <w:lang w:val="en-GB"/>
        </w:rPr>
        <w:t>p</w:t>
      </w:r>
      <w:r w:rsidRPr="000A72A5">
        <w:rPr>
          <w:lang w:val="en-GB"/>
        </w:rPr>
        <w:t xml:space="preserve">rinciples and </w:t>
      </w:r>
      <w:r w:rsidR="000A72A5">
        <w:rPr>
          <w:lang w:val="en-GB"/>
        </w:rPr>
        <w:t>g</w:t>
      </w:r>
      <w:r w:rsidRPr="000A72A5">
        <w:rPr>
          <w:lang w:val="en-GB"/>
        </w:rPr>
        <w:t>uidelines</w:t>
      </w:r>
      <w:r w:rsidRPr="002B641B">
        <w:rPr>
          <w:lang w:val="en-GB"/>
        </w:rPr>
        <w:t xml:space="preserve"> (AS/NZS ISO</w:t>
      </w:r>
      <w:r w:rsidR="002D6822">
        <w:rPr>
          <w:lang w:val="en-GB"/>
        </w:rPr>
        <w:t> </w:t>
      </w:r>
      <w:r w:rsidRPr="002B641B">
        <w:rPr>
          <w:lang w:val="en-GB"/>
        </w:rPr>
        <w:t>31000:2009) defines risk assessment as the</w:t>
      </w:r>
      <w:r w:rsidR="000A72A5">
        <w:rPr>
          <w:lang w:val="en-GB"/>
        </w:rPr>
        <w:t>:</w:t>
      </w:r>
    </w:p>
    <w:p w:rsidR="00587EC4" w:rsidRDefault="000A72A5">
      <w:pPr>
        <w:pStyle w:val="BRQuote"/>
        <w:rPr>
          <w:lang w:val="en-GB"/>
        </w:rPr>
      </w:pPr>
      <w:r>
        <w:rPr>
          <w:lang w:val="en-GB"/>
        </w:rPr>
        <w:t>‘…</w:t>
      </w:r>
      <w:r w:rsidR="002B641B" w:rsidRPr="002B641B">
        <w:rPr>
          <w:lang w:val="en-GB"/>
        </w:rPr>
        <w:t>overall process of risk identification, risk analysis and risk evaluation.</w:t>
      </w:r>
      <w:r>
        <w:rPr>
          <w:lang w:val="en-GB"/>
        </w:rPr>
        <w:t>’</w:t>
      </w:r>
    </w:p>
    <w:p w:rsidR="002B641B" w:rsidRPr="002B641B" w:rsidRDefault="002B641B" w:rsidP="002B641B">
      <w:pPr>
        <w:pStyle w:val="BRNormal11pt0"/>
        <w:rPr>
          <w:lang w:val="en-AU"/>
        </w:rPr>
      </w:pPr>
      <w:r w:rsidRPr="002B641B">
        <w:rPr>
          <w:lang w:val="en-GB"/>
        </w:rPr>
        <w:t xml:space="preserve">Risk assessment of the potential impacts of predicted subsidence on assets may adopt an approach that considers the importance and value of the asset, and the risk of impact for various severity levels. Risk criteria may consider the </w:t>
      </w:r>
      <w:r w:rsidRPr="002B641B">
        <w:rPr>
          <w:lang w:val="en-AU"/>
        </w:rPr>
        <w:t>causes and consequences of impacts, the method of measurement of those impacts, the timeframe(s) of the likelihood and/or consequence(s), the definition of likelihood and level of risk, the threshold levels at which risk becomes unacceptable, and the potential for development of measures to respond to subsidence.</w:t>
      </w:r>
    </w:p>
    <w:p w:rsidR="002B641B" w:rsidRPr="002B641B" w:rsidRDefault="002B641B" w:rsidP="002B641B">
      <w:pPr>
        <w:pStyle w:val="BRNormal11pt0"/>
        <w:rPr>
          <w:lang w:val="en-AU"/>
        </w:rPr>
      </w:pPr>
      <w:r w:rsidRPr="002B641B">
        <w:rPr>
          <w:lang w:val="en-GB"/>
        </w:rPr>
        <w:t xml:space="preserve">Thresholds for acceptable degrees of subsidence should be established for specific types of asset. Predictions and subsidence monitoring measurements would be compared to the thresholds to assess the potential for subsidence to impact assets. </w:t>
      </w:r>
    </w:p>
    <w:p w:rsidR="002B641B" w:rsidRPr="002B641B" w:rsidRDefault="002B641B" w:rsidP="002B641B">
      <w:pPr>
        <w:pStyle w:val="BRNormal11pt0"/>
        <w:rPr>
          <w:lang w:val="en-AU"/>
        </w:rPr>
      </w:pPr>
      <w:r w:rsidRPr="002B641B">
        <w:rPr>
          <w:lang w:val="en-AU"/>
        </w:rPr>
        <w:t xml:space="preserve">A common approach to risk assessment involves the development and use of a risk matrix tool that assesses both the likelihood and consequence of potential impacts. </w:t>
      </w:r>
      <w:r w:rsidRPr="002B641B">
        <w:rPr>
          <w:lang w:val="en-GB"/>
        </w:rPr>
        <w:t>Table</w:t>
      </w:r>
      <w:r w:rsidR="00F009A9">
        <w:rPr>
          <w:lang w:val="en-GB"/>
        </w:rPr>
        <w:t xml:space="preserve">s </w:t>
      </w:r>
      <w:r w:rsidR="002C43B4">
        <w:rPr>
          <w:lang w:val="en-GB"/>
        </w:rPr>
        <w:t>20</w:t>
      </w:r>
      <w:r w:rsidR="000F0BC2">
        <w:rPr>
          <w:lang w:val="en-GB"/>
        </w:rPr>
        <w:t>, 2</w:t>
      </w:r>
      <w:r w:rsidR="002C43B4">
        <w:rPr>
          <w:lang w:val="en-GB"/>
        </w:rPr>
        <w:t>1</w:t>
      </w:r>
      <w:r w:rsidR="000F0BC2">
        <w:rPr>
          <w:lang w:val="en-GB"/>
        </w:rPr>
        <w:t xml:space="preserve"> and </w:t>
      </w:r>
      <w:r w:rsidR="002C43B4">
        <w:rPr>
          <w:lang w:val="en-GB"/>
        </w:rPr>
        <w:t>22</w:t>
      </w:r>
      <w:r w:rsidR="002C43B4" w:rsidRPr="002B641B">
        <w:rPr>
          <w:lang w:val="en-GB"/>
        </w:rPr>
        <w:t xml:space="preserve"> </w:t>
      </w:r>
      <w:r w:rsidRPr="002B641B">
        <w:rPr>
          <w:lang w:val="en-GB"/>
        </w:rPr>
        <w:t>provide an example of a risk management strategy matrix, indicating the management strategy approach that might be adopted given the severity of impact (considering the particular value and importance of an asset and the damage/harm to that asset) and the likelihood of impact.</w:t>
      </w:r>
    </w:p>
    <w:p w:rsidR="002B641B" w:rsidRPr="002B641B" w:rsidRDefault="002B641B" w:rsidP="002B641B">
      <w:pPr>
        <w:pStyle w:val="BRNormal11pt0"/>
        <w:rPr>
          <w:lang w:val="en-GB"/>
        </w:rPr>
      </w:pPr>
      <w:r w:rsidRPr="002B641B">
        <w:rPr>
          <w:lang w:val="en-GB"/>
        </w:rPr>
        <w:t>The importance and value of an asset may be defined in a quantitative sense according to the financial, community, heritage and environmental value of the asset. The importance, value and fragility of the asset would need to be assessed. High value assets might include major state infrastructure such as major dams, or protected ecosystems; whilst low value assets might include minor roads.</w:t>
      </w:r>
    </w:p>
    <w:p w:rsidR="002B641B" w:rsidRDefault="002B641B" w:rsidP="002B641B">
      <w:pPr>
        <w:pStyle w:val="BRNormal11pt0"/>
        <w:rPr>
          <w:lang w:val="en-GB"/>
        </w:rPr>
      </w:pPr>
      <w:r w:rsidRPr="002B641B">
        <w:rPr>
          <w:lang w:val="en-GB"/>
        </w:rPr>
        <w:t>Where there was assessed to be a high value asset and/or high severity impact to an asset, a management strategy would be adopted. The management strategy adopted may comprise monitoring potential subsidence and review of monitoring data on a periodic basis, or management of the expected impact itself.</w:t>
      </w:r>
    </w:p>
    <w:p w:rsidR="00587EC4" w:rsidRDefault="000A72A5">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20</w:t>
      </w:r>
      <w:r w:rsidR="00E252C4" w:rsidRPr="001E0FA8">
        <w:fldChar w:fldCharType="end"/>
      </w:r>
      <w:r>
        <w:t xml:space="preserve"> </w:t>
      </w:r>
      <w:r w:rsidR="00781EF7">
        <w:t>Example risk assessment matrix</w:t>
      </w:r>
    </w:p>
    <w:tbl>
      <w:tblPr>
        <w:tblStyle w:val="TableGrid"/>
        <w:tblW w:w="9064" w:type="dxa"/>
        <w:tblInd w:w="116" w:type="dxa"/>
        <w:tblLayout w:type="fixed"/>
        <w:tblLook w:val="04A0"/>
      </w:tblPr>
      <w:tblGrid>
        <w:gridCol w:w="1843"/>
        <w:gridCol w:w="1416"/>
        <w:gridCol w:w="1416"/>
        <w:gridCol w:w="1416"/>
        <w:gridCol w:w="1272"/>
        <w:gridCol w:w="1701"/>
      </w:tblGrid>
      <w:tr w:rsidR="00F009A9" w:rsidRPr="0075269C" w:rsidTr="001551B2">
        <w:trPr>
          <w:trHeight w:hRule="exact" w:val="340"/>
          <w:tblHeader/>
        </w:trPr>
        <w:tc>
          <w:tcPr>
            <w:tcW w:w="1843" w:type="dxa"/>
            <w:tcBorders>
              <w:top w:val="single" w:sz="8" w:space="0" w:color="auto"/>
              <w:left w:val="single" w:sz="8" w:space="0" w:color="auto"/>
              <w:bottom w:val="nil"/>
              <w:right w:val="single" w:sz="4" w:space="0" w:color="auto"/>
            </w:tcBorders>
            <w:shd w:val="clear" w:color="auto" w:fill="C6D9F1" w:themeFill="text2" w:themeFillTint="33"/>
          </w:tcPr>
          <w:p w:rsidR="00F009A9" w:rsidRPr="0075269C" w:rsidRDefault="00F009A9" w:rsidP="00F009A9">
            <w:pPr>
              <w:pStyle w:val="Tableheading"/>
            </w:pPr>
            <w:r w:rsidRPr="0075269C">
              <w:t>Likelihood</w:t>
            </w:r>
          </w:p>
        </w:tc>
        <w:tc>
          <w:tcPr>
            <w:tcW w:w="1416" w:type="dxa"/>
            <w:tcBorders>
              <w:top w:val="single" w:sz="8" w:space="0" w:color="auto"/>
              <w:left w:val="single" w:sz="4" w:space="0" w:color="auto"/>
              <w:bottom w:val="single" w:sz="12" w:space="0" w:color="auto"/>
              <w:right w:val="nil"/>
            </w:tcBorders>
            <w:shd w:val="clear" w:color="auto" w:fill="C6D9F1" w:themeFill="text2" w:themeFillTint="33"/>
          </w:tcPr>
          <w:p w:rsidR="00F009A9" w:rsidRPr="0075269C" w:rsidRDefault="00F009A9" w:rsidP="00F009A9">
            <w:pPr>
              <w:pStyle w:val="Tableheading"/>
            </w:pPr>
          </w:p>
        </w:tc>
        <w:tc>
          <w:tcPr>
            <w:tcW w:w="1416" w:type="dxa"/>
            <w:tcBorders>
              <w:top w:val="single" w:sz="8" w:space="0" w:color="auto"/>
              <w:left w:val="nil"/>
              <w:bottom w:val="single" w:sz="12" w:space="0" w:color="auto"/>
              <w:right w:val="nil"/>
            </w:tcBorders>
            <w:shd w:val="clear" w:color="auto" w:fill="C6D9F1" w:themeFill="text2" w:themeFillTint="33"/>
          </w:tcPr>
          <w:p w:rsidR="00F009A9" w:rsidRPr="0075269C" w:rsidRDefault="00F009A9" w:rsidP="00F009A9">
            <w:pPr>
              <w:pStyle w:val="Tableheading"/>
            </w:pPr>
          </w:p>
        </w:tc>
        <w:tc>
          <w:tcPr>
            <w:tcW w:w="1416" w:type="dxa"/>
            <w:tcBorders>
              <w:top w:val="single" w:sz="8" w:space="0" w:color="auto"/>
              <w:left w:val="nil"/>
              <w:bottom w:val="single" w:sz="12" w:space="0" w:color="auto"/>
              <w:right w:val="nil"/>
            </w:tcBorders>
            <w:shd w:val="clear" w:color="auto" w:fill="C6D9F1" w:themeFill="text2" w:themeFillTint="33"/>
          </w:tcPr>
          <w:p w:rsidR="00F009A9" w:rsidRPr="0075269C" w:rsidRDefault="00F009A9" w:rsidP="00F009A9">
            <w:pPr>
              <w:pStyle w:val="Tableheading"/>
            </w:pPr>
            <w:r>
              <w:t>Impact</w:t>
            </w:r>
          </w:p>
        </w:tc>
        <w:tc>
          <w:tcPr>
            <w:tcW w:w="1272" w:type="dxa"/>
            <w:tcBorders>
              <w:top w:val="single" w:sz="8" w:space="0" w:color="auto"/>
              <w:left w:val="nil"/>
              <w:bottom w:val="single" w:sz="12" w:space="0" w:color="auto"/>
              <w:right w:val="nil"/>
            </w:tcBorders>
            <w:shd w:val="clear" w:color="auto" w:fill="C6D9F1" w:themeFill="text2" w:themeFillTint="33"/>
          </w:tcPr>
          <w:p w:rsidR="00F009A9" w:rsidRPr="0075269C" w:rsidRDefault="00F009A9" w:rsidP="00F009A9">
            <w:pPr>
              <w:pStyle w:val="Tableheading"/>
            </w:pPr>
          </w:p>
        </w:tc>
        <w:tc>
          <w:tcPr>
            <w:tcW w:w="1701" w:type="dxa"/>
            <w:tcBorders>
              <w:top w:val="single" w:sz="8" w:space="0" w:color="auto"/>
              <w:left w:val="nil"/>
              <w:bottom w:val="single" w:sz="12" w:space="0" w:color="auto"/>
              <w:right w:val="single" w:sz="8" w:space="0" w:color="auto"/>
            </w:tcBorders>
            <w:shd w:val="clear" w:color="auto" w:fill="C6D9F1" w:themeFill="text2" w:themeFillTint="33"/>
          </w:tcPr>
          <w:p w:rsidR="00F009A9" w:rsidRPr="0075269C" w:rsidRDefault="00F009A9" w:rsidP="00F009A9">
            <w:pPr>
              <w:pStyle w:val="Tableheading"/>
            </w:pPr>
          </w:p>
        </w:tc>
      </w:tr>
      <w:tr w:rsidR="00F009A9" w:rsidRPr="0075269C" w:rsidTr="001551B2">
        <w:trPr>
          <w:trHeight w:hRule="exact" w:val="678"/>
        </w:trPr>
        <w:tc>
          <w:tcPr>
            <w:tcW w:w="1843" w:type="dxa"/>
            <w:tcBorders>
              <w:top w:val="nil"/>
              <w:right w:val="single" w:sz="4" w:space="0" w:color="auto"/>
            </w:tcBorders>
            <w:shd w:val="clear" w:color="auto" w:fill="C6D9F1" w:themeFill="text2" w:themeFillTint="33"/>
          </w:tcPr>
          <w:p w:rsidR="00F009A9" w:rsidRPr="0075269C" w:rsidRDefault="00F009A9" w:rsidP="00F009A9">
            <w:pPr>
              <w:pStyle w:val="Tabletext"/>
            </w:pPr>
          </w:p>
        </w:tc>
        <w:tc>
          <w:tcPr>
            <w:tcW w:w="1416" w:type="dxa"/>
            <w:tcBorders>
              <w:top w:val="single" w:sz="12" w:space="0" w:color="auto"/>
              <w:left w:val="single" w:sz="4" w:space="0" w:color="auto"/>
              <w:bottom w:val="single" w:sz="12" w:space="0" w:color="auto"/>
              <w:right w:val="single" w:sz="4" w:space="0" w:color="auto"/>
            </w:tcBorders>
          </w:tcPr>
          <w:p w:rsidR="00F009A9" w:rsidRDefault="00F009A9" w:rsidP="00F009A9">
            <w:pPr>
              <w:pStyle w:val="Tabletext"/>
              <w:jc w:val="center"/>
            </w:pPr>
            <w:r>
              <w:t>1</w:t>
            </w:r>
          </w:p>
          <w:p w:rsidR="00F009A9" w:rsidRPr="0075269C" w:rsidRDefault="00F009A9" w:rsidP="00F009A9">
            <w:pPr>
              <w:pStyle w:val="Tabletext"/>
              <w:jc w:val="center"/>
            </w:pPr>
            <w:r>
              <w:t>(Insignificant</w:t>
            </w:r>
            <w:r w:rsidRPr="0075269C">
              <w:t>)</w:t>
            </w:r>
          </w:p>
        </w:tc>
        <w:tc>
          <w:tcPr>
            <w:tcW w:w="1416" w:type="dxa"/>
            <w:tcBorders>
              <w:top w:val="single" w:sz="12" w:space="0" w:color="auto"/>
              <w:left w:val="single" w:sz="4" w:space="0" w:color="auto"/>
              <w:bottom w:val="single" w:sz="12" w:space="0" w:color="auto"/>
              <w:right w:val="single" w:sz="4" w:space="0" w:color="auto"/>
            </w:tcBorders>
          </w:tcPr>
          <w:p w:rsidR="00F009A9" w:rsidRDefault="00F009A9" w:rsidP="00F009A9">
            <w:pPr>
              <w:pStyle w:val="Tabletext"/>
              <w:jc w:val="center"/>
            </w:pPr>
            <w:r>
              <w:t>2</w:t>
            </w:r>
          </w:p>
          <w:p w:rsidR="00F009A9" w:rsidRPr="0075269C" w:rsidRDefault="00F009A9" w:rsidP="00F009A9">
            <w:pPr>
              <w:pStyle w:val="Tabletext"/>
              <w:jc w:val="center"/>
            </w:pPr>
            <w:r>
              <w:t>(Minor</w:t>
            </w:r>
            <w:r w:rsidRPr="0075269C">
              <w:t>)</w:t>
            </w:r>
          </w:p>
        </w:tc>
        <w:tc>
          <w:tcPr>
            <w:tcW w:w="1416" w:type="dxa"/>
            <w:tcBorders>
              <w:top w:val="single" w:sz="12" w:space="0" w:color="auto"/>
              <w:left w:val="single" w:sz="4" w:space="0" w:color="auto"/>
              <w:bottom w:val="single" w:sz="12" w:space="0" w:color="auto"/>
              <w:right w:val="single" w:sz="4" w:space="0" w:color="auto"/>
            </w:tcBorders>
          </w:tcPr>
          <w:p w:rsidR="00F009A9" w:rsidRDefault="00F009A9" w:rsidP="00F009A9">
            <w:pPr>
              <w:pStyle w:val="Tabletext"/>
              <w:jc w:val="center"/>
            </w:pPr>
            <w:r>
              <w:t>3</w:t>
            </w:r>
          </w:p>
          <w:p w:rsidR="00F009A9" w:rsidRPr="0075269C" w:rsidRDefault="00F009A9" w:rsidP="00F009A9">
            <w:pPr>
              <w:pStyle w:val="Tabletext"/>
              <w:jc w:val="center"/>
            </w:pPr>
            <w:r>
              <w:t>(</w:t>
            </w:r>
            <w:r w:rsidRPr="0075269C">
              <w:t>Moderate</w:t>
            </w:r>
            <w:r>
              <w:t>)</w:t>
            </w:r>
          </w:p>
        </w:tc>
        <w:tc>
          <w:tcPr>
            <w:tcW w:w="1272" w:type="dxa"/>
            <w:tcBorders>
              <w:top w:val="single" w:sz="12" w:space="0" w:color="auto"/>
              <w:left w:val="single" w:sz="4" w:space="0" w:color="auto"/>
              <w:bottom w:val="single" w:sz="12" w:space="0" w:color="auto"/>
              <w:right w:val="single" w:sz="4" w:space="0" w:color="auto"/>
            </w:tcBorders>
          </w:tcPr>
          <w:p w:rsidR="00F009A9" w:rsidRDefault="00F009A9" w:rsidP="00F009A9">
            <w:pPr>
              <w:pStyle w:val="Tabletext"/>
              <w:jc w:val="center"/>
            </w:pPr>
            <w:r>
              <w:t>4</w:t>
            </w:r>
          </w:p>
          <w:p w:rsidR="00F009A9" w:rsidRPr="0075269C" w:rsidRDefault="00F009A9" w:rsidP="00F009A9">
            <w:pPr>
              <w:pStyle w:val="Tabletext"/>
              <w:jc w:val="center"/>
            </w:pPr>
            <w:r>
              <w:t>(</w:t>
            </w:r>
            <w:r w:rsidRPr="0075269C">
              <w:t>Major)</w:t>
            </w:r>
          </w:p>
        </w:tc>
        <w:tc>
          <w:tcPr>
            <w:tcW w:w="1701" w:type="dxa"/>
            <w:tcBorders>
              <w:top w:val="single" w:sz="12" w:space="0" w:color="auto"/>
              <w:left w:val="single" w:sz="4" w:space="0" w:color="auto"/>
              <w:bottom w:val="single" w:sz="12" w:space="0" w:color="auto"/>
            </w:tcBorders>
          </w:tcPr>
          <w:p w:rsidR="00F009A9" w:rsidRDefault="00F009A9" w:rsidP="00F009A9">
            <w:pPr>
              <w:pStyle w:val="Tabletext"/>
              <w:jc w:val="center"/>
            </w:pPr>
            <w:r>
              <w:t>5</w:t>
            </w:r>
          </w:p>
          <w:p w:rsidR="00F009A9" w:rsidRPr="0075269C" w:rsidRDefault="00F009A9" w:rsidP="00F009A9">
            <w:pPr>
              <w:pStyle w:val="Tabletext"/>
              <w:jc w:val="center"/>
            </w:pPr>
            <w:r>
              <w:t>(</w:t>
            </w:r>
            <w:r w:rsidRPr="0075269C">
              <w:t>Catastrophic)</w:t>
            </w:r>
          </w:p>
        </w:tc>
      </w:tr>
      <w:tr w:rsidR="00F009A9" w:rsidRPr="0075269C" w:rsidTr="001551B2">
        <w:trPr>
          <w:trHeight w:hRule="exact" w:val="340"/>
        </w:trPr>
        <w:tc>
          <w:tcPr>
            <w:tcW w:w="1843" w:type="dxa"/>
            <w:tcBorders>
              <w:right w:val="single" w:sz="12" w:space="0" w:color="auto"/>
            </w:tcBorders>
            <w:vAlign w:val="center"/>
          </w:tcPr>
          <w:p w:rsidR="00F009A9" w:rsidRPr="0075269C" w:rsidRDefault="00F009A9" w:rsidP="00F009A9">
            <w:pPr>
              <w:pStyle w:val="Tabletext"/>
            </w:pPr>
            <w:r>
              <w:t>A (</w:t>
            </w:r>
            <w:r w:rsidRPr="0075269C">
              <w:t>Certain</w:t>
            </w:r>
            <w:r>
              <w:t>)</w:t>
            </w:r>
          </w:p>
        </w:tc>
        <w:tc>
          <w:tcPr>
            <w:tcW w:w="1416" w:type="dxa"/>
            <w:tcBorders>
              <w:top w:val="single" w:sz="12" w:space="0" w:color="auto"/>
              <w:left w:val="single" w:sz="12" w:space="0" w:color="auto"/>
              <w:right w:val="single" w:sz="12" w:space="0" w:color="auto"/>
            </w:tcBorders>
            <w:shd w:val="clear" w:color="auto" w:fill="FFFF99"/>
            <w:vAlign w:val="center"/>
          </w:tcPr>
          <w:p w:rsidR="00F009A9" w:rsidRPr="0075269C" w:rsidRDefault="00F009A9" w:rsidP="00F009A9">
            <w:pPr>
              <w:pStyle w:val="Tabletext"/>
            </w:pPr>
            <w:r>
              <w:t>Moderate</w:t>
            </w:r>
          </w:p>
        </w:tc>
        <w:tc>
          <w:tcPr>
            <w:tcW w:w="1416" w:type="dxa"/>
            <w:tcBorders>
              <w:top w:val="single" w:sz="12" w:space="0" w:color="auto"/>
              <w:left w:val="single" w:sz="12" w:space="0" w:color="auto"/>
              <w:bottom w:val="single" w:sz="12" w:space="0" w:color="auto"/>
              <w:right w:val="single" w:sz="12" w:space="0" w:color="auto"/>
            </w:tcBorders>
            <w:shd w:val="clear" w:color="auto" w:fill="F79646" w:themeFill="accent6"/>
            <w:vAlign w:val="center"/>
          </w:tcPr>
          <w:p w:rsidR="00F009A9" w:rsidRPr="0075269C" w:rsidRDefault="00F009A9" w:rsidP="00F009A9">
            <w:pPr>
              <w:pStyle w:val="Tabletext"/>
            </w:pPr>
            <w:r>
              <w:t>High</w:t>
            </w:r>
          </w:p>
        </w:tc>
        <w:tc>
          <w:tcPr>
            <w:tcW w:w="1416" w:type="dxa"/>
            <w:tcBorders>
              <w:top w:val="single" w:sz="12" w:space="0" w:color="auto"/>
              <w:left w:val="single" w:sz="12" w:space="0" w:color="auto"/>
              <w:bottom w:val="single" w:sz="12" w:space="0" w:color="auto"/>
              <w:right w:val="nil"/>
            </w:tcBorders>
            <w:shd w:val="clear" w:color="auto" w:fill="FF0000"/>
            <w:vAlign w:val="center"/>
          </w:tcPr>
          <w:p w:rsidR="00F009A9" w:rsidRPr="0075269C" w:rsidRDefault="00F009A9" w:rsidP="00F009A9">
            <w:pPr>
              <w:pStyle w:val="Tabletext"/>
            </w:pPr>
            <w:r>
              <w:t>Extreme</w:t>
            </w:r>
          </w:p>
        </w:tc>
        <w:tc>
          <w:tcPr>
            <w:tcW w:w="1272" w:type="dxa"/>
            <w:tcBorders>
              <w:top w:val="single" w:sz="12" w:space="0" w:color="auto"/>
              <w:left w:val="nil"/>
              <w:bottom w:val="single" w:sz="4" w:space="0" w:color="auto"/>
              <w:right w:val="nil"/>
            </w:tcBorders>
            <w:shd w:val="clear" w:color="auto" w:fill="FF0000"/>
            <w:vAlign w:val="center"/>
          </w:tcPr>
          <w:p w:rsidR="00F009A9" w:rsidRPr="0075269C" w:rsidRDefault="00F009A9" w:rsidP="00F009A9">
            <w:pPr>
              <w:pStyle w:val="Tabletext"/>
            </w:pPr>
            <w:r>
              <w:t>Extreme</w:t>
            </w:r>
          </w:p>
        </w:tc>
        <w:tc>
          <w:tcPr>
            <w:tcW w:w="1701" w:type="dxa"/>
            <w:tcBorders>
              <w:top w:val="single" w:sz="12" w:space="0" w:color="auto"/>
              <w:left w:val="nil"/>
              <w:right w:val="single" w:sz="12" w:space="0" w:color="auto"/>
            </w:tcBorders>
            <w:shd w:val="clear" w:color="auto" w:fill="FF0000"/>
            <w:vAlign w:val="center"/>
          </w:tcPr>
          <w:p w:rsidR="00F009A9" w:rsidRPr="0075269C" w:rsidRDefault="00F009A9" w:rsidP="00F009A9">
            <w:pPr>
              <w:pStyle w:val="Tabletext"/>
            </w:pPr>
            <w:r>
              <w:t>Extreme</w:t>
            </w:r>
          </w:p>
        </w:tc>
      </w:tr>
      <w:tr w:rsidR="00F009A9" w:rsidRPr="0075269C" w:rsidTr="001551B2">
        <w:trPr>
          <w:trHeight w:hRule="exact" w:val="340"/>
        </w:trPr>
        <w:tc>
          <w:tcPr>
            <w:tcW w:w="1843" w:type="dxa"/>
            <w:tcBorders>
              <w:right w:val="single" w:sz="12" w:space="0" w:color="auto"/>
            </w:tcBorders>
            <w:vAlign w:val="center"/>
          </w:tcPr>
          <w:p w:rsidR="00F009A9" w:rsidRPr="0075269C" w:rsidRDefault="00F009A9" w:rsidP="00F009A9">
            <w:pPr>
              <w:pStyle w:val="Tabletext"/>
            </w:pPr>
            <w:r>
              <w:t>B (</w:t>
            </w:r>
            <w:r w:rsidRPr="0075269C">
              <w:t>Likely</w:t>
            </w:r>
            <w:r>
              <w:t>)</w:t>
            </w:r>
          </w:p>
        </w:tc>
        <w:tc>
          <w:tcPr>
            <w:tcW w:w="1416" w:type="dxa"/>
            <w:tcBorders>
              <w:left w:val="single" w:sz="12" w:space="0" w:color="auto"/>
              <w:bottom w:val="single" w:sz="12" w:space="0" w:color="auto"/>
              <w:right w:val="nil"/>
            </w:tcBorders>
            <w:shd w:val="clear" w:color="auto" w:fill="FFFF99"/>
            <w:vAlign w:val="center"/>
          </w:tcPr>
          <w:p w:rsidR="00F009A9" w:rsidRPr="0075269C" w:rsidRDefault="00F009A9" w:rsidP="00F009A9">
            <w:pPr>
              <w:pStyle w:val="Tabletext"/>
            </w:pPr>
            <w:r>
              <w:t>Moderate</w:t>
            </w:r>
          </w:p>
        </w:tc>
        <w:tc>
          <w:tcPr>
            <w:tcW w:w="1416" w:type="dxa"/>
            <w:tcBorders>
              <w:top w:val="single" w:sz="12" w:space="0" w:color="auto"/>
              <w:left w:val="nil"/>
              <w:right w:val="single" w:sz="12" w:space="0" w:color="auto"/>
            </w:tcBorders>
            <w:shd w:val="clear" w:color="auto" w:fill="FFFF99"/>
            <w:vAlign w:val="center"/>
          </w:tcPr>
          <w:p w:rsidR="00F009A9" w:rsidRPr="0075269C" w:rsidRDefault="00F009A9" w:rsidP="00F009A9">
            <w:pPr>
              <w:pStyle w:val="Tabletext"/>
            </w:pPr>
            <w:r>
              <w:t>Moderate</w:t>
            </w:r>
          </w:p>
        </w:tc>
        <w:tc>
          <w:tcPr>
            <w:tcW w:w="1416" w:type="dxa"/>
            <w:tcBorders>
              <w:top w:val="single" w:sz="12" w:space="0" w:color="auto"/>
              <w:left w:val="single" w:sz="12" w:space="0" w:color="auto"/>
              <w:bottom w:val="single" w:sz="12" w:space="0" w:color="auto"/>
              <w:right w:val="single" w:sz="12" w:space="0" w:color="auto"/>
            </w:tcBorders>
            <w:shd w:val="clear" w:color="auto" w:fill="F79646" w:themeFill="accent6"/>
            <w:vAlign w:val="center"/>
          </w:tcPr>
          <w:p w:rsidR="00F009A9" w:rsidRPr="0075269C" w:rsidRDefault="00F009A9" w:rsidP="00F009A9">
            <w:pPr>
              <w:pStyle w:val="Tabletext"/>
            </w:pPr>
            <w:r>
              <w:t>High</w:t>
            </w:r>
          </w:p>
        </w:tc>
        <w:tc>
          <w:tcPr>
            <w:tcW w:w="1272" w:type="dxa"/>
            <w:tcBorders>
              <w:left w:val="single" w:sz="12" w:space="0" w:color="auto"/>
              <w:bottom w:val="single" w:sz="12" w:space="0" w:color="auto"/>
              <w:right w:val="nil"/>
            </w:tcBorders>
            <w:shd w:val="clear" w:color="auto" w:fill="FF0000"/>
            <w:vAlign w:val="center"/>
          </w:tcPr>
          <w:p w:rsidR="00F009A9" w:rsidRPr="0075269C" w:rsidRDefault="00F009A9" w:rsidP="00F009A9">
            <w:pPr>
              <w:pStyle w:val="Tabletext"/>
            </w:pPr>
            <w:r>
              <w:t>Extreme</w:t>
            </w:r>
          </w:p>
        </w:tc>
        <w:tc>
          <w:tcPr>
            <w:tcW w:w="1701" w:type="dxa"/>
            <w:tcBorders>
              <w:left w:val="nil"/>
              <w:right w:val="single" w:sz="12" w:space="0" w:color="auto"/>
            </w:tcBorders>
            <w:shd w:val="clear" w:color="auto" w:fill="FF0000"/>
            <w:vAlign w:val="center"/>
          </w:tcPr>
          <w:p w:rsidR="00F009A9" w:rsidRPr="0075269C" w:rsidRDefault="00F009A9" w:rsidP="00F009A9">
            <w:pPr>
              <w:pStyle w:val="Tabletext"/>
            </w:pPr>
            <w:r>
              <w:t>Extreme</w:t>
            </w:r>
          </w:p>
        </w:tc>
      </w:tr>
      <w:tr w:rsidR="00F009A9" w:rsidRPr="0075269C" w:rsidTr="001551B2">
        <w:trPr>
          <w:trHeight w:hRule="exact" w:val="340"/>
        </w:trPr>
        <w:tc>
          <w:tcPr>
            <w:tcW w:w="1843" w:type="dxa"/>
            <w:tcBorders>
              <w:right w:val="single" w:sz="12" w:space="0" w:color="auto"/>
            </w:tcBorders>
            <w:vAlign w:val="center"/>
          </w:tcPr>
          <w:p w:rsidR="00F009A9" w:rsidRPr="0075269C" w:rsidRDefault="00F009A9" w:rsidP="00F009A9">
            <w:pPr>
              <w:pStyle w:val="Tabletext"/>
            </w:pPr>
            <w:r>
              <w:t>C (Possible)</w:t>
            </w:r>
          </w:p>
        </w:tc>
        <w:tc>
          <w:tcPr>
            <w:tcW w:w="1416" w:type="dxa"/>
            <w:tcBorders>
              <w:top w:val="single" w:sz="12" w:space="0" w:color="auto"/>
              <w:left w:val="single" w:sz="12" w:space="0" w:color="auto"/>
              <w:bottom w:val="single" w:sz="4" w:space="0" w:color="auto"/>
              <w:right w:val="single" w:sz="12" w:space="0" w:color="auto"/>
            </w:tcBorders>
            <w:shd w:val="clear" w:color="auto" w:fill="92CDDC" w:themeFill="accent5" w:themeFillTint="99"/>
            <w:vAlign w:val="center"/>
          </w:tcPr>
          <w:p w:rsidR="00F009A9" w:rsidRPr="0075269C" w:rsidRDefault="00F009A9" w:rsidP="00F009A9">
            <w:pPr>
              <w:pStyle w:val="Tabletext"/>
            </w:pPr>
            <w:r>
              <w:t>Low</w:t>
            </w:r>
          </w:p>
        </w:tc>
        <w:tc>
          <w:tcPr>
            <w:tcW w:w="1416" w:type="dxa"/>
            <w:tcBorders>
              <w:left w:val="single" w:sz="12" w:space="0" w:color="auto"/>
              <w:bottom w:val="single" w:sz="12" w:space="0" w:color="auto"/>
              <w:right w:val="nil"/>
            </w:tcBorders>
            <w:shd w:val="clear" w:color="auto" w:fill="FFFF99"/>
            <w:vAlign w:val="center"/>
          </w:tcPr>
          <w:p w:rsidR="00F009A9" w:rsidRPr="0075269C" w:rsidRDefault="00F009A9" w:rsidP="00F009A9">
            <w:pPr>
              <w:pStyle w:val="Tabletext"/>
            </w:pPr>
            <w:r>
              <w:t>Moderate</w:t>
            </w:r>
          </w:p>
        </w:tc>
        <w:tc>
          <w:tcPr>
            <w:tcW w:w="1416" w:type="dxa"/>
            <w:tcBorders>
              <w:top w:val="single" w:sz="12" w:space="0" w:color="auto"/>
              <w:left w:val="nil"/>
              <w:right w:val="single" w:sz="12" w:space="0" w:color="auto"/>
            </w:tcBorders>
            <w:shd w:val="clear" w:color="auto" w:fill="FFFF99"/>
            <w:vAlign w:val="center"/>
          </w:tcPr>
          <w:p w:rsidR="00F009A9" w:rsidRPr="0075269C" w:rsidRDefault="00F009A9" w:rsidP="00F009A9">
            <w:pPr>
              <w:pStyle w:val="Tabletext"/>
            </w:pPr>
            <w:r>
              <w:t>Moderate</w:t>
            </w:r>
          </w:p>
        </w:tc>
        <w:tc>
          <w:tcPr>
            <w:tcW w:w="1272" w:type="dxa"/>
            <w:tcBorders>
              <w:top w:val="single" w:sz="12" w:space="0" w:color="auto"/>
              <w:left w:val="single" w:sz="12" w:space="0" w:color="auto"/>
              <w:bottom w:val="single" w:sz="12" w:space="0" w:color="auto"/>
              <w:right w:val="single" w:sz="12" w:space="0" w:color="auto"/>
            </w:tcBorders>
            <w:shd w:val="clear" w:color="auto" w:fill="F79646" w:themeFill="accent6"/>
            <w:vAlign w:val="center"/>
          </w:tcPr>
          <w:p w:rsidR="00F009A9" w:rsidRPr="0075269C" w:rsidRDefault="00F009A9" w:rsidP="00F009A9">
            <w:pPr>
              <w:pStyle w:val="Tabletext"/>
            </w:pPr>
            <w:r>
              <w:t>High</w:t>
            </w:r>
          </w:p>
        </w:tc>
        <w:tc>
          <w:tcPr>
            <w:tcW w:w="1701" w:type="dxa"/>
            <w:tcBorders>
              <w:left w:val="single" w:sz="12" w:space="0" w:color="auto"/>
              <w:bottom w:val="single" w:sz="12" w:space="0" w:color="auto"/>
              <w:right w:val="single" w:sz="12" w:space="0" w:color="auto"/>
            </w:tcBorders>
            <w:shd w:val="clear" w:color="auto" w:fill="FF0000"/>
            <w:vAlign w:val="center"/>
          </w:tcPr>
          <w:p w:rsidR="00F009A9" w:rsidRPr="0075269C" w:rsidRDefault="00F009A9" w:rsidP="00F009A9">
            <w:pPr>
              <w:pStyle w:val="Tabletext"/>
            </w:pPr>
            <w:r>
              <w:t>Extreme</w:t>
            </w:r>
          </w:p>
        </w:tc>
      </w:tr>
      <w:tr w:rsidR="00F009A9" w:rsidRPr="0075269C" w:rsidTr="001551B2">
        <w:trPr>
          <w:trHeight w:hRule="exact" w:val="340"/>
        </w:trPr>
        <w:tc>
          <w:tcPr>
            <w:tcW w:w="1843" w:type="dxa"/>
            <w:tcBorders>
              <w:right w:val="single" w:sz="12" w:space="0" w:color="auto"/>
            </w:tcBorders>
            <w:vAlign w:val="center"/>
          </w:tcPr>
          <w:p w:rsidR="00F009A9" w:rsidRPr="0075269C" w:rsidRDefault="00F009A9" w:rsidP="00F009A9">
            <w:pPr>
              <w:pStyle w:val="Tabletext"/>
            </w:pPr>
            <w:r>
              <w:t>D (</w:t>
            </w:r>
            <w:r w:rsidRPr="0075269C">
              <w:t>Unlikely</w:t>
            </w:r>
            <w:r>
              <w:t>)</w:t>
            </w:r>
          </w:p>
        </w:tc>
        <w:tc>
          <w:tcPr>
            <w:tcW w:w="1416" w:type="dxa"/>
            <w:tcBorders>
              <w:left w:val="single" w:sz="12" w:space="0" w:color="auto"/>
              <w:right w:val="nil"/>
            </w:tcBorders>
            <w:shd w:val="clear" w:color="auto" w:fill="92CDDC" w:themeFill="accent5" w:themeFillTint="99"/>
            <w:vAlign w:val="center"/>
          </w:tcPr>
          <w:p w:rsidR="00F009A9" w:rsidRPr="0075269C" w:rsidRDefault="00F009A9" w:rsidP="00F009A9">
            <w:pPr>
              <w:pStyle w:val="Tabletext"/>
            </w:pPr>
            <w:r>
              <w:t>Low</w:t>
            </w:r>
          </w:p>
        </w:tc>
        <w:tc>
          <w:tcPr>
            <w:tcW w:w="1416" w:type="dxa"/>
            <w:tcBorders>
              <w:top w:val="single" w:sz="12" w:space="0" w:color="auto"/>
              <w:left w:val="nil"/>
              <w:right w:val="single" w:sz="12" w:space="0" w:color="auto"/>
            </w:tcBorders>
            <w:shd w:val="clear" w:color="auto" w:fill="92CDDC" w:themeFill="accent5" w:themeFillTint="99"/>
            <w:vAlign w:val="center"/>
          </w:tcPr>
          <w:p w:rsidR="00F009A9" w:rsidRPr="0075269C" w:rsidRDefault="00F009A9" w:rsidP="00F009A9">
            <w:pPr>
              <w:pStyle w:val="Tabletext"/>
            </w:pPr>
            <w:r>
              <w:t>Low</w:t>
            </w:r>
          </w:p>
        </w:tc>
        <w:tc>
          <w:tcPr>
            <w:tcW w:w="1416" w:type="dxa"/>
            <w:tcBorders>
              <w:left w:val="single" w:sz="12" w:space="0" w:color="auto"/>
              <w:bottom w:val="single" w:sz="12" w:space="0" w:color="auto"/>
              <w:right w:val="nil"/>
            </w:tcBorders>
            <w:shd w:val="clear" w:color="auto" w:fill="FFFF99"/>
            <w:vAlign w:val="center"/>
          </w:tcPr>
          <w:p w:rsidR="00F009A9" w:rsidRPr="0075269C" w:rsidRDefault="00F009A9" w:rsidP="00F009A9">
            <w:pPr>
              <w:pStyle w:val="Tabletext"/>
            </w:pPr>
            <w:r>
              <w:t>Moderate</w:t>
            </w:r>
          </w:p>
        </w:tc>
        <w:tc>
          <w:tcPr>
            <w:tcW w:w="1272" w:type="dxa"/>
            <w:tcBorders>
              <w:top w:val="single" w:sz="12" w:space="0" w:color="auto"/>
              <w:left w:val="nil"/>
              <w:right w:val="single" w:sz="12" w:space="0" w:color="auto"/>
            </w:tcBorders>
            <w:shd w:val="clear" w:color="auto" w:fill="FFFF99"/>
            <w:vAlign w:val="center"/>
          </w:tcPr>
          <w:p w:rsidR="00F009A9" w:rsidRPr="0075269C" w:rsidRDefault="00F009A9" w:rsidP="00F009A9">
            <w:pPr>
              <w:pStyle w:val="Tabletext"/>
            </w:pPr>
            <w:r>
              <w:t>Moderate</w:t>
            </w:r>
          </w:p>
        </w:tc>
        <w:tc>
          <w:tcPr>
            <w:tcW w:w="1701" w:type="dxa"/>
            <w:tcBorders>
              <w:top w:val="single" w:sz="12" w:space="0" w:color="auto"/>
              <w:left w:val="single" w:sz="12" w:space="0" w:color="auto"/>
              <w:bottom w:val="single" w:sz="12" w:space="0" w:color="auto"/>
              <w:right w:val="single" w:sz="12" w:space="0" w:color="auto"/>
            </w:tcBorders>
            <w:shd w:val="clear" w:color="auto" w:fill="F79646" w:themeFill="accent6"/>
            <w:vAlign w:val="center"/>
          </w:tcPr>
          <w:p w:rsidR="00F009A9" w:rsidRPr="0075269C" w:rsidRDefault="00F009A9" w:rsidP="00F009A9">
            <w:pPr>
              <w:pStyle w:val="Tabletext"/>
            </w:pPr>
            <w:r>
              <w:t>High</w:t>
            </w:r>
          </w:p>
        </w:tc>
      </w:tr>
      <w:tr w:rsidR="00F009A9" w:rsidRPr="0075269C" w:rsidTr="001551B2">
        <w:trPr>
          <w:trHeight w:hRule="exact" w:val="340"/>
        </w:trPr>
        <w:tc>
          <w:tcPr>
            <w:tcW w:w="1843" w:type="dxa"/>
            <w:tcBorders>
              <w:right w:val="single" w:sz="12" w:space="0" w:color="auto"/>
            </w:tcBorders>
            <w:vAlign w:val="center"/>
          </w:tcPr>
          <w:p w:rsidR="00F009A9" w:rsidRPr="0075269C" w:rsidRDefault="00F009A9" w:rsidP="00F009A9">
            <w:pPr>
              <w:pStyle w:val="Tabletext"/>
            </w:pPr>
            <w:r>
              <w:t>E (Not Expected)</w:t>
            </w:r>
          </w:p>
        </w:tc>
        <w:tc>
          <w:tcPr>
            <w:tcW w:w="1416" w:type="dxa"/>
            <w:tcBorders>
              <w:left w:val="single" w:sz="12" w:space="0" w:color="auto"/>
              <w:bottom w:val="single" w:sz="12" w:space="0" w:color="auto"/>
              <w:right w:val="nil"/>
            </w:tcBorders>
            <w:shd w:val="clear" w:color="auto" w:fill="92CDDC" w:themeFill="accent5" w:themeFillTint="99"/>
            <w:vAlign w:val="center"/>
          </w:tcPr>
          <w:p w:rsidR="00F009A9" w:rsidRPr="0075269C" w:rsidRDefault="00F009A9" w:rsidP="00F009A9">
            <w:pPr>
              <w:pStyle w:val="Tabletext"/>
            </w:pPr>
            <w:r>
              <w:t>Low</w:t>
            </w:r>
          </w:p>
        </w:tc>
        <w:tc>
          <w:tcPr>
            <w:tcW w:w="1416" w:type="dxa"/>
            <w:tcBorders>
              <w:left w:val="nil"/>
              <w:bottom w:val="single" w:sz="12" w:space="0" w:color="auto"/>
              <w:right w:val="nil"/>
            </w:tcBorders>
            <w:shd w:val="clear" w:color="auto" w:fill="92CDDC" w:themeFill="accent5" w:themeFillTint="99"/>
            <w:vAlign w:val="center"/>
          </w:tcPr>
          <w:p w:rsidR="00F009A9" w:rsidRPr="0075269C" w:rsidRDefault="00F009A9" w:rsidP="00F009A9">
            <w:pPr>
              <w:pStyle w:val="Tabletext"/>
            </w:pPr>
            <w:r>
              <w:t>Low</w:t>
            </w:r>
          </w:p>
        </w:tc>
        <w:tc>
          <w:tcPr>
            <w:tcW w:w="1416" w:type="dxa"/>
            <w:tcBorders>
              <w:top w:val="single" w:sz="12" w:space="0" w:color="auto"/>
              <w:left w:val="nil"/>
              <w:bottom w:val="single" w:sz="12" w:space="0" w:color="auto"/>
              <w:right w:val="single" w:sz="12" w:space="0" w:color="auto"/>
            </w:tcBorders>
            <w:shd w:val="clear" w:color="auto" w:fill="92CDDC" w:themeFill="accent5" w:themeFillTint="99"/>
            <w:vAlign w:val="center"/>
          </w:tcPr>
          <w:p w:rsidR="00F009A9" w:rsidRPr="0075269C" w:rsidRDefault="00F009A9" w:rsidP="00F009A9">
            <w:pPr>
              <w:pStyle w:val="Tabletext"/>
            </w:pPr>
            <w:r>
              <w:t>Low</w:t>
            </w:r>
          </w:p>
        </w:tc>
        <w:tc>
          <w:tcPr>
            <w:tcW w:w="1272" w:type="dxa"/>
            <w:tcBorders>
              <w:left w:val="single" w:sz="12" w:space="0" w:color="auto"/>
              <w:bottom w:val="single" w:sz="12" w:space="0" w:color="auto"/>
              <w:right w:val="nil"/>
            </w:tcBorders>
            <w:shd w:val="clear" w:color="auto" w:fill="FFFF99"/>
            <w:vAlign w:val="center"/>
          </w:tcPr>
          <w:p w:rsidR="00F009A9" w:rsidRPr="0075269C" w:rsidRDefault="00F009A9" w:rsidP="00F009A9">
            <w:pPr>
              <w:pStyle w:val="Tabletext"/>
            </w:pPr>
            <w:r>
              <w:t>Moderate</w:t>
            </w:r>
          </w:p>
        </w:tc>
        <w:tc>
          <w:tcPr>
            <w:tcW w:w="1701" w:type="dxa"/>
            <w:tcBorders>
              <w:top w:val="single" w:sz="12" w:space="0" w:color="auto"/>
              <w:left w:val="nil"/>
              <w:bottom w:val="single" w:sz="12" w:space="0" w:color="auto"/>
              <w:right w:val="single" w:sz="12" w:space="0" w:color="auto"/>
            </w:tcBorders>
            <w:shd w:val="clear" w:color="auto" w:fill="FFFF99"/>
            <w:vAlign w:val="center"/>
          </w:tcPr>
          <w:p w:rsidR="00F009A9" w:rsidRPr="0075269C" w:rsidRDefault="00F009A9" w:rsidP="00F009A9">
            <w:pPr>
              <w:pStyle w:val="Tabletext"/>
            </w:pPr>
            <w:r>
              <w:t>Moderate</w:t>
            </w:r>
          </w:p>
        </w:tc>
      </w:tr>
    </w:tbl>
    <w:p w:rsidR="00587EC4" w:rsidRPr="002D6822" w:rsidRDefault="00587EC4" w:rsidP="002D6822">
      <w:pPr>
        <w:pStyle w:val="BRNormal11pt0"/>
        <w:rPr>
          <w:lang w:val="en-GB"/>
        </w:rPr>
      </w:pPr>
    </w:p>
    <w:p w:rsidR="00587EC4" w:rsidRDefault="00F009A9">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21</w:t>
      </w:r>
      <w:r w:rsidR="00E252C4" w:rsidRPr="001E0FA8">
        <w:fldChar w:fldCharType="end"/>
      </w:r>
      <w:r>
        <w:t xml:space="preserve"> Example risk rating descriptors, for those shown in Table </w:t>
      </w:r>
      <w:r w:rsidR="002C43B4">
        <w:t>20</w:t>
      </w:r>
    </w:p>
    <w:tbl>
      <w:tblPr>
        <w:tblStyle w:val="TableGrid"/>
        <w:tblW w:w="0" w:type="auto"/>
        <w:tblInd w:w="108" w:type="dxa"/>
        <w:tblLook w:val="04A0"/>
      </w:tblPr>
      <w:tblGrid>
        <w:gridCol w:w="2268"/>
        <w:gridCol w:w="6804"/>
      </w:tblGrid>
      <w:tr w:rsidR="00F009A9" w:rsidTr="001551B2">
        <w:tc>
          <w:tcPr>
            <w:tcW w:w="2268" w:type="dxa"/>
            <w:shd w:val="clear" w:color="auto" w:fill="C6D9F1" w:themeFill="text2" w:themeFillTint="33"/>
          </w:tcPr>
          <w:p w:rsidR="00F009A9" w:rsidRDefault="00F009A9" w:rsidP="00F009A9">
            <w:pPr>
              <w:pStyle w:val="Tableheading"/>
            </w:pPr>
            <w:r>
              <w:t>Control action rating</w:t>
            </w:r>
          </w:p>
        </w:tc>
        <w:tc>
          <w:tcPr>
            <w:tcW w:w="6804" w:type="dxa"/>
            <w:shd w:val="clear" w:color="auto" w:fill="C6D9F1" w:themeFill="text2" w:themeFillTint="33"/>
          </w:tcPr>
          <w:p w:rsidR="00F009A9" w:rsidRDefault="00F009A9" w:rsidP="00F009A9">
            <w:pPr>
              <w:pStyle w:val="Tableheading"/>
            </w:pPr>
            <w:r>
              <w:t>Qualitative risk action description</w:t>
            </w:r>
          </w:p>
        </w:tc>
      </w:tr>
      <w:tr w:rsidR="00F009A9" w:rsidTr="001551B2">
        <w:tc>
          <w:tcPr>
            <w:tcW w:w="2268" w:type="dxa"/>
            <w:shd w:val="clear" w:color="auto" w:fill="FF0000"/>
          </w:tcPr>
          <w:p w:rsidR="00F009A9" w:rsidRDefault="00F009A9" w:rsidP="00F009A9">
            <w:pPr>
              <w:pStyle w:val="Tabletext"/>
            </w:pPr>
            <w:r>
              <w:t>Extreme</w:t>
            </w:r>
          </w:p>
        </w:tc>
        <w:tc>
          <w:tcPr>
            <w:tcW w:w="6804" w:type="dxa"/>
          </w:tcPr>
          <w:p w:rsidR="00F009A9" w:rsidRDefault="00F009A9" w:rsidP="00F009A9">
            <w:pPr>
              <w:pStyle w:val="Tabletext"/>
            </w:pPr>
            <w:r>
              <w:t>Measures must be taken to reduce the (future) impact.</w:t>
            </w:r>
          </w:p>
        </w:tc>
      </w:tr>
      <w:tr w:rsidR="00F009A9" w:rsidTr="001551B2">
        <w:tc>
          <w:tcPr>
            <w:tcW w:w="2268" w:type="dxa"/>
            <w:shd w:val="clear" w:color="auto" w:fill="FFC000"/>
          </w:tcPr>
          <w:p w:rsidR="00F009A9" w:rsidRDefault="00F009A9" w:rsidP="00F009A9">
            <w:pPr>
              <w:pStyle w:val="Tabletext"/>
            </w:pPr>
            <w:r>
              <w:t>High</w:t>
            </w:r>
          </w:p>
        </w:tc>
        <w:tc>
          <w:tcPr>
            <w:tcW w:w="6804" w:type="dxa"/>
          </w:tcPr>
          <w:p w:rsidR="00F009A9" w:rsidRDefault="00F009A9" w:rsidP="00F009A9">
            <w:pPr>
              <w:pStyle w:val="Tabletext"/>
            </w:pPr>
            <w:r>
              <w:t>Measures must be taken to reduce expected impact to acceptable criteria.</w:t>
            </w:r>
          </w:p>
        </w:tc>
      </w:tr>
      <w:tr w:rsidR="00F009A9" w:rsidTr="001551B2">
        <w:tc>
          <w:tcPr>
            <w:tcW w:w="2268" w:type="dxa"/>
            <w:shd w:val="clear" w:color="auto" w:fill="FFFF99"/>
          </w:tcPr>
          <w:p w:rsidR="00F009A9" w:rsidRDefault="00F009A9" w:rsidP="00F009A9">
            <w:pPr>
              <w:pStyle w:val="Tabletext"/>
            </w:pPr>
            <w:r>
              <w:t>Moderate</w:t>
            </w:r>
          </w:p>
        </w:tc>
        <w:tc>
          <w:tcPr>
            <w:tcW w:w="6804" w:type="dxa"/>
          </w:tcPr>
          <w:p w:rsidR="00F009A9" w:rsidRDefault="00F009A9" w:rsidP="00F009A9">
            <w:pPr>
              <w:pStyle w:val="Tabletext"/>
            </w:pPr>
            <w:r>
              <w:t>Monitoring of subsidence must be undertaken and review of monitoring data must be undertaken on a regular basis.</w:t>
            </w:r>
          </w:p>
        </w:tc>
      </w:tr>
      <w:tr w:rsidR="00F009A9" w:rsidTr="001551B2">
        <w:tc>
          <w:tcPr>
            <w:tcW w:w="2268" w:type="dxa"/>
            <w:shd w:val="clear" w:color="auto" w:fill="92CDDC" w:themeFill="accent5" w:themeFillTint="99"/>
          </w:tcPr>
          <w:p w:rsidR="00F009A9" w:rsidRDefault="00F009A9" w:rsidP="00F009A9">
            <w:pPr>
              <w:pStyle w:val="Tabletext"/>
            </w:pPr>
            <w:r>
              <w:t>Low</w:t>
            </w:r>
          </w:p>
        </w:tc>
        <w:tc>
          <w:tcPr>
            <w:tcW w:w="6804" w:type="dxa"/>
          </w:tcPr>
          <w:p w:rsidR="00F009A9" w:rsidRDefault="00F009A9" w:rsidP="00F009A9">
            <w:pPr>
              <w:pStyle w:val="Tabletext"/>
            </w:pPr>
            <w:r>
              <w:t>Monitoring and review of subsidence may be undertaken on long-term basis.</w:t>
            </w:r>
          </w:p>
        </w:tc>
      </w:tr>
    </w:tbl>
    <w:p w:rsidR="00587EC4" w:rsidRDefault="00F009A9">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22</w:t>
      </w:r>
      <w:r w:rsidR="00E252C4" w:rsidRPr="001E0FA8">
        <w:fldChar w:fldCharType="end"/>
      </w:r>
      <w:r>
        <w:t xml:space="preserve"> Example descriptors for the severity of impact and likelihood categories shown in Table </w:t>
      </w:r>
      <w:r w:rsidR="002C43B4">
        <w:t>20</w:t>
      </w:r>
    </w:p>
    <w:tbl>
      <w:tblPr>
        <w:tblStyle w:val="TableGrid"/>
        <w:tblW w:w="0" w:type="auto"/>
        <w:tblInd w:w="108" w:type="dxa"/>
        <w:tblLook w:val="04A0"/>
      </w:tblPr>
      <w:tblGrid>
        <w:gridCol w:w="709"/>
        <w:gridCol w:w="1985"/>
        <w:gridCol w:w="6378"/>
      </w:tblGrid>
      <w:tr w:rsidR="002B641B" w:rsidTr="00781EF7">
        <w:tc>
          <w:tcPr>
            <w:tcW w:w="709" w:type="dxa"/>
            <w:tcBorders>
              <w:right w:val="nil"/>
            </w:tcBorders>
            <w:shd w:val="clear" w:color="auto" w:fill="B8CCE4" w:themeFill="accent1" w:themeFillTint="66"/>
          </w:tcPr>
          <w:p w:rsidR="002B641B" w:rsidRDefault="002B641B" w:rsidP="00A9314B">
            <w:pPr>
              <w:pStyle w:val="Tableheading"/>
            </w:pPr>
          </w:p>
        </w:tc>
        <w:tc>
          <w:tcPr>
            <w:tcW w:w="1985" w:type="dxa"/>
            <w:tcBorders>
              <w:left w:val="nil"/>
              <w:right w:val="nil"/>
            </w:tcBorders>
            <w:shd w:val="clear" w:color="auto" w:fill="B8CCE4" w:themeFill="accent1" w:themeFillTint="66"/>
          </w:tcPr>
          <w:p w:rsidR="002B641B" w:rsidRDefault="002B641B" w:rsidP="00A9314B">
            <w:pPr>
              <w:pStyle w:val="Tableheading"/>
            </w:pPr>
            <w:r>
              <w:t>Severity of impact</w:t>
            </w:r>
          </w:p>
        </w:tc>
        <w:tc>
          <w:tcPr>
            <w:tcW w:w="6378" w:type="dxa"/>
            <w:tcBorders>
              <w:left w:val="nil"/>
            </w:tcBorders>
            <w:shd w:val="clear" w:color="auto" w:fill="B8CCE4" w:themeFill="accent1" w:themeFillTint="66"/>
          </w:tcPr>
          <w:p w:rsidR="002B641B" w:rsidRDefault="002B641B" w:rsidP="00A9314B">
            <w:pPr>
              <w:pStyle w:val="Tableheading"/>
            </w:pPr>
          </w:p>
        </w:tc>
      </w:tr>
      <w:tr w:rsidR="002B641B" w:rsidTr="00781EF7">
        <w:tc>
          <w:tcPr>
            <w:tcW w:w="709" w:type="dxa"/>
          </w:tcPr>
          <w:p w:rsidR="002B641B" w:rsidRDefault="002B641B" w:rsidP="00A9314B">
            <w:pPr>
              <w:pStyle w:val="Tabletext"/>
              <w:jc w:val="center"/>
            </w:pPr>
            <w:r>
              <w:t>5</w:t>
            </w:r>
          </w:p>
        </w:tc>
        <w:tc>
          <w:tcPr>
            <w:tcW w:w="1985" w:type="dxa"/>
          </w:tcPr>
          <w:p w:rsidR="002B641B" w:rsidRDefault="002B641B" w:rsidP="00A9314B">
            <w:pPr>
              <w:pStyle w:val="Tabletext"/>
            </w:pPr>
            <w:r>
              <w:t>Catastrophic</w:t>
            </w:r>
          </w:p>
        </w:tc>
        <w:tc>
          <w:tcPr>
            <w:tcW w:w="6378" w:type="dxa"/>
          </w:tcPr>
          <w:p w:rsidR="002B641B" w:rsidRDefault="00A9314B" w:rsidP="00A9314B">
            <w:pPr>
              <w:pStyle w:val="Tabletext"/>
            </w:pPr>
            <w:r>
              <w:t>Irreversible environmental harm, major national infrastructure irreparably impacted, significant financial loss.</w:t>
            </w:r>
          </w:p>
        </w:tc>
      </w:tr>
      <w:tr w:rsidR="002B641B" w:rsidTr="00781EF7">
        <w:tc>
          <w:tcPr>
            <w:tcW w:w="709" w:type="dxa"/>
          </w:tcPr>
          <w:p w:rsidR="002B641B" w:rsidRDefault="002B641B" w:rsidP="00A9314B">
            <w:pPr>
              <w:pStyle w:val="Tabletext"/>
              <w:jc w:val="center"/>
            </w:pPr>
            <w:r>
              <w:t>4</w:t>
            </w:r>
          </w:p>
        </w:tc>
        <w:tc>
          <w:tcPr>
            <w:tcW w:w="1985" w:type="dxa"/>
          </w:tcPr>
          <w:p w:rsidR="002B641B" w:rsidRDefault="002B641B" w:rsidP="00A9314B">
            <w:pPr>
              <w:pStyle w:val="Tabletext"/>
            </w:pPr>
            <w:r>
              <w:t>Major</w:t>
            </w:r>
          </w:p>
        </w:tc>
        <w:tc>
          <w:tcPr>
            <w:tcW w:w="6378" w:type="dxa"/>
          </w:tcPr>
          <w:p w:rsidR="002B641B" w:rsidRDefault="00A9314B" w:rsidP="00A9314B">
            <w:pPr>
              <w:pStyle w:val="Tabletext"/>
            </w:pPr>
            <w:r>
              <w:t>Severe permanent harm to the environment, significant environmental damage with wide spread impact, disruption in serviceability of infrastructure.</w:t>
            </w:r>
          </w:p>
        </w:tc>
      </w:tr>
      <w:tr w:rsidR="002B641B" w:rsidTr="00781EF7">
        <w:tc>
          <w:tcPr>
            <w:tcW w:w="709" w:type="dxa"/>
          </w:tcPr>
          <w:p w:rsidR="002B641B" w:rsidRDefault="002B641B" w:rsidP="00A9314B">
            <w:pPr>
              <w:pStyle w:val="Tabletext"/>
              <w:jc w:val="center"/>
            </w:pPr>
            <w:r>
              <w:t>3</w:t>
            </w:r>
          </w:p>
        </w:tc>
        <w:tc>
          <w:tcPr>
            <w:tcW w:w="1985" w:type="dxa"/>
          </w:tcPr>
          <w:p w:rsidR="002B641B" w:rsidRDefault="002B641B" w:rsidP="00A9314B">
            <w:pPr>
              <w:pStyle w:val="Tabletext"/>
            </w:pPr>
            <w:r>
              <w:t>Serious</w:t>
            </w:r>
          </w:p>
        </w:tc>
        <w:tc>
          <w:tcPr>
            <w:tcW w:w="6378" w:type="dxa"/>
          </w:tcPr>
          <w:p w:rsidR="002B641B" w:rsidRDefault="00A9314B" w:rsidP="00A9314B">
            <w:pPr>
              <w:pStyle w:val="Tabletext"/>
            </w:pPr>
            <w:r>
              <w:t>Considerable damage to the environment, minor damage to high value infrastructure.</w:t>
            </w:r>
          </w:p>
        </w:tc>
      </w:tr>
      <w:tr w:rsidR="002B641B" w:rsidTr="00781EF7">
        <w:tc>
          <w:tcPr>
            <w:tcW w:w="709" w:type="dxa"/>
          </w:tcPr>
          <w:p w:rsidR="002B641B" w:rsidRDefault="002B641B" w:rsidP="00A9314B">
            <w:pPr>
              <w:pStyle w:val="Tabletext"/>
              <w:jc w:val="center"/>
            </w:pPr>
            <w:r>
              <w:t>2</w:t>
            </w:r>
          </w:p>
        </w:tc>
        <w:tc>
          <w:tcPr>
            <w:tcW w:w="1985" w:type="dxa"/>
          </w:tcPr>
          <w:p w:rsidR="002B641B" w:rsidRDefault="002B641B" w:rsidP="00A9314B">
            <w:pPr>
              <w:pStyle w:val="Tabletext"/>
            </w:pPr>
            <w:r>
              <w:t>Minor</w:t>
            </w:r>
          </w:p>
        </w:tc>
        <w:tc>
          <w:tcPr>
            <w:tcW w:w="6378" w:type="dxa"/>
          </w:tcPr>
          <w:p w:rsidR="002B641B" w:rsidRDefault="00A9314B" w:rsidP="00A9314B">
            <w:pPr>
              <w:pStyle w:val="Tabletext"/>
            </w:pPr>
            <w:r>
              <w:t>Temporary harm to environment, minimal damage to the environment, minor damage to low value infrastructure.</w:t>
            </w:r>
          </w:p>
        </w:tc>
      </w:tr>
      <w:tr w:rsidR="002B641B" w:rsidTr="00781EF7">
        <w:tc>
          <w:tcPr>
            <w:tcW w:w="709" w:type="dxa"/>
          </w:tcPr>
          <w:p w:rsidR="002B641B" w:rsidRDefault="002B641B" w:rsidP="00A9314B">
            <w:pPr>
              <w:pStyle w:val="Tabletext"/>
              <w:jc w:val="center"/>
            </w:pPr>
            <w:r>
              <w:t>1</w:t>
            </w:r>
          </w:p>
        </w:tc>
        <w:tc>
          <w:tcPr>
            <w:tcW w:w="1985" w:type="dxa"/>
            <w:tcBorders>
              <w:bottom w:val="single" w:sz="4" w:space="0" w:color="auto"/>
            </w:tcBorders>
          </w:tcPr>
          <w:p w:rsidR="002B641B" w:rsidRDefault="002B641B" w:rsidP="00A9314B">
            <w:pPr>
              <w:pStyle w:val="Tabletext"/>
            </w:pPr>
            <w:r>
              <w:t>Insignificant</w:t>
            </w:r>
          </w:p>
        </w:tc>
        <w:tc>
          <w:tcPr>
            <w:tcW w:w="6378" w:type="dxa"/>
          </w:tcPr>
          <w:p w:rsidR="002B641B" w:rsidRDefault="00A9314B" w:rsidP="00A9314B">
            <w:pPr>
              <w:pStyle w:val="Tabletext"/>
            </w:pPr>
            <w:r>
              <w:t>Negligible environmental harm/damage, negligible impact to infrastructure.</w:t>
            </w:r>
          </w:p>
        </w:tc>
      </w:tr>
      <w:tr w:rsidR="002B641B" w:rsidTr="00781EF7">
        <w:tc>
          <w:tcPr>
            <w:tcW w:w="709" w:type="dxa"/>
            <w:tcBorders>
              <w:right w:val="nil"/>
            </w:tcBorders>
            <w:shd w:val="clear" w:color="auto" w:fill="B8CCE4" w:themeFill="accent1" w:themeFillTint="66"/>
          </w:tcPr>
          <w:p w:rsidR="002B641B" w:rsidRDefault="002B641B" w:rsidP="00A9314B">
            <w:pPr>
              <w:pStyle w:val="Tableheading"/>
            </w:pPr>
          </w:p>
        </w:tc>
        <w:tc>
          <w:tcPr>
            <w:tcW w:w="1985" w:type="dxa"/>
            <w:tcBorders>
              <w:left w:val="nil"/>
              <w:right w:val="nil"/>
            </w:tcBorders>
            <w:shd w:val="clear" w:color="auto" w:fill="B8CCE4" w:themeFill="accent1" w:themeFillTint="66"/>
          </w:tcPr>
          <w:p w:rsidR="002B641B" w:rsidRDefault="00A9314B" w:rsidP="00A9314B">
            <w:pPr>
              <w:pStyle w:val="Tableheading"/>
            </w:pPr>
            <w:r>
              <w:t>Likelihood</w:t>
            </w:r>
          </w:p>
        </w:tc>
        <w:tc>
          <w:tcPr>
            <w:tcW w:w="6378" w:type="dxa"/>
            <w:tcBorders>
              <w:left w:val="nil"/>
            </w:tcBorders>
            <w:shd w:val="clear" w:color="auto" w:fill="B8CCE4" w:themeFill="accent1" w:themeFillTint="66"/>
          </w:tcPr>
          <w:p w:rsidR="002B641B" w:rsidRDefault="002B641B" w:rsidP="00A9314B">
            <w:pPr>
              <w:pStyle w:val="Tableheading"/>
            </w:pPr>
          </w:p>
        </w:tc>
      </w:tr>
      <w:tr w:rsidR="002B641B" w:rsidTr="00781EF7">
        <w:tc>
          <w:tcPr>
            <w:tcW w:w="709" w:type="dxa"/>
          </w:tcPr>
          <w:p w:rsidR="002B641B" w:rsidRDefault="00A9314B" w:rsidP="00A9314B">
            <w:pPr>
              <w:pStyle w:val="Tabletext"/>
              <w:jc w:val="center"/>
            </w:pPr>
            <w:r>
              <w:t>A</w:t>
            </w:r>
          </w:p>
        </w:tc>
        <w:tc>
          <w:tcPr>
            <w:tcW w:w="1985" w:type="dxa"/>
          </w:tcPr>
          <w:p w:rsidR="002B641B" w:rsidRDefault="00A9314B" w:rsidP="00A9314B">
            <w:pPr>
              <w:pStyle w:val="Tabletext"/>
            </w:pPr>
            <w:r>
              <w:t>Certain</w:t>
            </w:r>
          </w:p>
        </w:tc>
        <w:tc>
          <w:tcPr>
            <w:tcW w:w="6378" w:type="dxa"/>
          </w:tcPr>
          <w:p w:rsidR="002B641B" w:rsidRDefault="00A9314B" w:rsidP="00A9314B">
            <w:pPr>
              <w:pStyle w:val="Tabletext"/>
            </w:pPr>
            <w:r>
              <w:t>Impact has occurred or cannot be avoided.</w:t>
            </w:r>
          </w:p>
        </w:tc>
      </w:tr>
      <w:tr w:rsidR="002B641B" w:rsidTr="00781EF7">
        <w:tc>
          <w:tcPr>
            <w:tcW w:w="709" w:type="dxa"/>
          </w:tcPr>
          <w:p w:rsidR="002B641B" w:rsidRDefault="00A9314B" w:rsidP="00A9314B">
            <w:pPr>
              <w:pStyle w:val="Tabletext"/>
              <w:jc w:val="center"/>
            </w:pPr>
            <w:r>
              <w:t>B</w:t>
            </w:r>
          </w:p>
        </w:tc>
        <w:tc>
          <w:tcPr>
            <w:tcW w:w="1985" w:type="dxa"/>
          </w:tcPr>
          <w:p w:rsidR="002B641B" w:rsidRDefault="00A9314B" w:rsidP="00A9314B">
            <w:pPr>
              <w:pStyle w:val="Tabletext"/>
            </w:pPr>
            <w:r>
              <w:t>Likely</w:t>
            </w:r>
          </w:p>
        </w:tc>
        <w:tc>
          <w:tcPr>
            <w:tcW w:w="6378" w:type="dxa"/>
          </w:tcPr>
          <w:p w:rsidR="002B641B" w:rsidRDefault="00A9314B" w:rsidP="00A9314B">
            <w:pPr>
              <w:pStyle w:val="Tabletext"/>
            </w:pPr>
            <w:r>
              <w:t>Impact is predicted to occur based on subsidence impact modelling and/or review of existing monitoring data.</w:t>
            </w:r>
          </w:p>
        </w:tc>
      </w:tr>
      <w:tr w:rsidR="002B641B" w:rsidTr="00781EF7">
        <w:tc>
          <w:tcPr>
            <w:tcW w:w="709" w:type="dxa"/>
          </w:tcPr>
          <w:p w:rsidR="002B641B" w:rsidRDefault="00A9314B" w:rsidP="00A9314B">
            <w:pPr>
              <w:pStyle w:val="Tabletext"/>
              <w:jc w:val="center"/>
            </w:pPr>
            <w:r>
              <w:t>C</w:t>
            </w:r>
          </w:p>
        </w:tc>
        <w:tc>
          <w:tcPr>
            <w:tcW w:w="1985" w:type="dxa"/>
          </w:tcPr>
          <w:p w:rsidR="002B641B" w:rsidRDefault="00A9314B" w:rsidP="00A9314B">
            <w:pPr>
              <w:pStyle w:val="Tabletext"/>
            </w:pPr>
            <w:r>
              <w:t>Possible</w:t>
            </w:r>
          </w:p>
        </w:tc>
        <w:tc>
          <w:tcPr>
            <w:tcW w:w="6378" w:type="dxa"/>
          </w:tcPr>
          <w:p w:rsidR="002B641B" w:rsidRDefault="00A9314B" w:rsidP="00A9314B">
            <w:pPr>
              <w:pStyle w:val="Tabletext"/>
            </w:pPr>
            <w:r>
              <w:t>It is possible impact may occur.</w:t>
            </w:r>
          </w:p>
        </w:tc>
      </w:tr>
      <w:tr w:rsidR="002B641B" w:rsidTr="00781EF7">
        <w:tc>
          <w:tcPr>
            <w:tcW w:w="709" w:type="dxa"/>
          </w:tcPr>
          <w:p w:rsidR="002B641B" w:rsidRDefault="00A9314B" w:rsidP="00A9314B">
            <w:pPr>
              <w:pStyle w:val="Tabletext"/>
              <w:jc w:val="center"/>
            </w:pPr>
            <w:r>
              <w:t>D</w:t>
            </w:r>
          </w:p>
        </w:tc>
        <w:tc>
          <w:tcPr>
            <w:tcW w:w="1985" w:type="dxa"/>
          </w:tcPr>
          <w:p w:rsidR="002B641B" w:rsidRDefault="00A9314B" w:rsidP="00A9314B">
            <w:pPr>
              <w:pStyle w:val="Tabletext"/>
            </w:pPr>
            <w:r>
              <w:t>Unlikely</w:t>
            </w:r>
          </w:p>
        </w:tc>
        <w:tc>
          <w:tcPr>
            <w:tcW w:w="6378" w:type="dxa"/>
          </w:tcPr>
          <w:p w:rsidR="002B641B" w:rsidRDefault="00A9314B" w:rsidP="00A9314B">
            <w:pPr>
              <w:pStyle w:val="Tabletext"/>
            </w:pPr>
            <w:r>
              <w:t>Impact is not expected to occur under expected future conditions/operations.</w:t>
            </w:r>
          </w:p>
        </w:tc>
      </w:tr>
      <w:tr w:rsidR="002B641B" w:rsidTr="00781EF7">
        <w:tc>
          <w:tcPr>
            <w:tcW w:w="709" w:type="dxa"/>
          </w:tcPr>
          <w:p w:rsidR="002B641B" w:rsidRDefault="00A9314B" w:rsidP="00A9314B">
            <w:pPr>
              <w:pStyle w:val="Tabletext"/>
              <w:jc w:val="center"/>
            </w:pPr>
            <w:r>
              <w:t>E</w:t>
            </w:r>
          </w:p>
        </w:tc>
        <w:tc>
          <w:tcPr>
            <w:tcW w:w="1985" w:type="dxa"/>
          </w:tcPr>
          <w:p w:rsidR="002B641B" w:rsidRDefault="00A9314B" w:rsidP="00A9314B">
            <w:pPr>
              <w:pStyle w:val="Tabletext"/>
            </w:pPr>
            <w:r>
              <w:t>Not expected</w:t>
            </w:r>
          </w:p>
        </w:tc>
        <w:tc>
          <w:tcPr>
            <w:tcW w:w="6378" w:type="dxa"/>
          </w:tcPr>
          <w:p w:rsidR="002B641B" w:rsidRDefault="00A9314B" w:rsidP="00A9314B">
            <w:pPr>
              <w:pStyle w:val="Tabletext"/>
            </w:pPr>
            <w:r>
              <w:t>Impact is not expected to occur under any foreseeable circumstances.</w:t>
            </w:r>
          </w:p>
        </w:tc>
      </w:tr>
    </w:tbl>
    <w:p w:rsidR="003D4205" w:rsidRDefault="003D4205" w:rsidP="003D4205">
      <w:pPr>
        <w:pStyle w:val="BRNormal11pt0"/>
      </w:pPr>
    </w:p>
    <w:p w:rsidR="00EE7F34" w:rsidRPr="00EE7F34" w:rsidRDefault="00EE7F34" w:rsidP="00EE7F34">
      <w:pPr>
        <w:pStyle w:val="Heading2"/>
      </w:pPr>
      <w:bookmarkStart w:id="615" w:name="_Toc402425350"/>
      <w:r w:rsidRPr="00EE7F34">
        <w:t xml:space="preserve">Subsidence </w:t>
      </w:r>
      <w:r w:rsidR="006A40B5">
        <w:t>t</w:t>
      </w:r>
      <w:r w:rsidRPr="00EE7F34">
        <w:t>hresholds</w:t>
      </w:r>
      <w:bookmarkEnd w:id="615"/>
    </w:p>
    <w:p w:rsidR="00EE7F34" w:rsidRPr="00EE7F34" w:rsidRDefault="00EE7F34" w:rsidP="00EE7F34">
      <w:pPr>
        <w:pStyle w:val="BRNormal11pt0"/>
        <w:rPr>
          <w:lang w:val="en-GB"/>
        </w:rPr>
      </w:pPr>
      <w:r w:rsidRPr="00EE7F34">
        <w:rPr>
          <w:lang w:val="en-GB"/>
        </w:rPr>
        <w:t xml:space="preserve">The level of subsidence </w:t>
      </w:r>
      <w:r w:rsidR="00F009A9">
        <w:rPr>
          <w:lang w:val="en-GB"/>
        </w:rPr>
        <w:t>that</w:t>
      </w:r>
      <w:r w:rsidR="00F009A9" w:rsidRPr="00EE7F34">
        <w:rPr>
          <w:lang w:val="en-GB"/>
        </w:rPr>
        <w:t xml:space="preserve"> </w:t>
      </w:r>
      <w:r w:rsidRPr="00EE7F34">
        <w:rPr>
          <w:lang w:val="en-GB"/>
        </w:rPr>
        <w:t xml:space="preserve">might give rise to adverse impacts is discussed in </w:t>
      </w:r>
      <w:r w:rsidR="00FE7B02">
        <w:rPr>
          <w:lang w:val="en-GB"/>
        </w:rPr>
        <w:t>S</w:t>
      </w:r>
      <w:r w:rsidR="00F009A9">
        <w:rPr>
          <w:lang w:val="en-GB"/>
        </w:rPr>
        <w:t>ection 8</w:t>
      </w:r>
      <w:r w:rsidR="00F009A9" w:rsidRPr="00EE7F34">
        <w:rPr>
          <w:lang w:val="en-GB"/>
        </w:rPr>
        <w:t xml:space="preserve"> </w:t>
      </w:r>
      <w:r w:rsidRPr="00EE7F34">
        <w:rPr>
          <w:i/>
          <w:iCs/>
          <w:lang w:val="en-GB"/>
        </w:rPr>
        <w:t xml:space="preserve">Potential Impacts of Subsidence </w:t>
      </w:r>
      <w:r w:rsidRPr="00EE7F34">
        <w:rPr>
          <w:lang w:val="en-GB"/>
        </w:rPr>
        <w:t>of this report. This section addresses several manmade and natural assets.</w:t>
      </w:r>
      <w:r w:rsidR="00B431EA">
        <w:rPr>
          <w:lang w:val="en-GB"/>
        </w:rPr>
        <w:t xml:space="preserve"> </w:t>
      </w:r>
      <w:r w:rsidRPr="00EE7F34">
        <w:rPr>
          <w:lang w:val="en-GB"/>
        </w:rPr>
        <w:t>For many asset types, an accepted set of threshold values is not available.</w:t>
      </w:r>
      <w:r w:rsidR="00B431EA">
        <w:rPr>
          <w:lang w:val="en-GB"/>
        </w:rPr>
        <w:t xml:space="preserve"> </w:t>
      </w:r>
      <w:r w:rsidRPr="00EE7F34">
        <w:rPr>
          <w:lang w:val="en-GB"/>
        </w:rPr>
        <w:t xml:space="preserve">Table </w:t>
      </w:r>
      <w:r w:rsidR="002C43B4">
        <w:rPr>
          <w:lang w:val="en-GB"/>
        </w:rPr>
        <w:t>23</w:t>
      </w:r>
      <w:r w:rsidR="002C43B4" w:rsidRPr="00EE7F34">
        <w:rPr>
          <w:lang w:val="en-GB"/>
        </w:rPr>
        <w:t xml:space="preserve"> </w:t>
      </w:r>
      <w:r w:rsidRPr="00EE7F34">
        <w:rPr>
          <w:lang w:val="en-GB"/>
        </w:rPr>
        <w:t>provides example thresholds.</w:t>
      </w:r>
      <w:r w:rsidR="00263F82">
        <w:rPr>
          <w:lang w:val="en-GB"/>
        </w:rPr>
        <w:t xml:space="preserve"> </w:t>
      </w:r>
      <w:r w:rsidRPr="00EE7F34">
        <w:rPr>
          <w:lang w:val="en-GB"/>
        </w:rPr>
        <w:t>Where recognised thresholds are available, these have been nominated, and in other cases values based on the nature of the threat are proposed.</w:t>
      </w:r>
    </w:p>
    <w:p w:rsidR="00EE7F34" w:rsidRPr="00EE7F34" w:rsidRDefault="00EE7F34" w:rsidP="00EE7F34">
      <w:pPr>
        <w:pStyle w:val="BRNormal11pt0"/>
        <w:rPr>
          <w:lang w:val="en-GB"/>
        </w:rPr>
      </w:pPr>
      <w:r w:rsidRPr="00EE7F34">
        <w:rPr>
          <w:lang w:val="en-GB"/>
        </w:rPr>
        <w:t xml:space="preserve">If initial assessment based upon closed form solutions or simplified conservative analysis indicates that the thresholds listed in Table </w:t>
      </w:r>
      <w:r w:rsidR="002C43B4">
        <w:rPr>
          <w:lang w:val="en-GB"/>
        </w:rPr>
        <w:t>23</w:t>
      </w:r>
      <w:r w:rsidR="002C43B4" w:rsidRPr="00EE7F34">
        <w:rPr>
          <w:lang w:val="en-GB"/>
        </w:rPr>
        <w:t xml:space="preserve"> </w:t>
      </w:r>
      <w:r w:rsidRPr="00EE7F34">
        <w:rPr>
          <w:lang w:val="en-GB"/>
        </w:rPr>
        <w:t>would not be exceeded, no further assessment would be required.</w:t>
      </w:r>
      <w:r w:rsidR="00B431EA">
        <w:rPr>
          <w:lang w:val="en-GB"/>
        </w:rPr>
        <w:t xml:space="preserve"> </w:t>
      </w:r>
      <w:r w:rsidRPr="00EE7F34">
        <w:rPr>
          <w:lang w:val="en-GB"/>
        </w:rPr>
        <w:t>Where analysis reveals the possibility that those thresholds would be exceeded, closer examination of the assets involved would be appropriate.</w:t>
      </w:r>
    </w:p>
    <w:p w:rsidR="003D4205" w:rsidRDefault="003D4205">
      <w:pPr>
        <w:autoSpaceDE/>
        <w:autoSpaceDN/>
        <w:rPr>
          <w:rFonts w:eastAsia="Times New Roman" w:cs="Times New Roman"/>
          <w:sz w:val="20"/>
          <w:szCs w:val="20"/>
          <w:lang w:val="en-GB" w:eastAsia="en-US"/>
        </w:rPr>
      </w:pPr>
      <w:r>
        <w:br w:type="page"/>
      </w:r>
    </w:p>
    <w:p w:rsidR="00093D1C" w:rsidRDefault="00F009A9">
      <w:pPr>
        <w:pStyle w:val="Caption-table"/>
      </w:pPr>
      <w:r w:rsidRPr="001E0FA8">
        <w:t xml:space="preserve">Table </w:t>
      </w:r>
      <w:r w:rsidR="00E252C4" w:rsidRPr="001E0FA8">
        <w:fldChar w:fldCharType="begin"/>
      </w:r>
      <w:r w:rsidRPr="001E0FA8">
        <w:instrText xml:space="preserve"> SEQ Table \* ARABIC </w:instrText>
      </w:r>
      <w:r w:rsidR="00E252C4" w:rsidRPr="001E0FA8">
        <w:fldChar w:fldCharType="separate"/>
      </w:r>
      <w:r w:rsidR="00906141">
        <w:rPr>
          <w:noProof/>
        </w:rPr>
        <w:t>23</w:t>
      </w:r>
      <w:r w:rsidR="00E252C4" w:rsidRPr="001E0FA8">
        <w:fldChar w:fldCharType="end"/>
      </w:r>
      <w:r>
        <w:t xml:space="preserve"> </w:t>
      </w:r>
      <w:r w:rsidR="00EE7F34" w:rsidRPr="00EE7F34">
        <w:t xml:space="preserve">Example of </w:t>
      </w:r>
      <w:r>
        <w:t>s</w:t>
      </w:r>
      <w:r w:rsidR="00EE7F34" w:rsidRPr="00EE7F34">
        <w:t xml:space="preserve">ubsidence </w:t>
      </w:r>
      <w:r>
        <w:t>t</w:t>
      </w:r>
      <w:r w:rsidR="00EE7F34" w:rsidRPr="00EE7F34">
        <w:t xml:space="preserve">hresholds for </w:t>
      </w:r>
      <w:r>
        <w:t>s</w:t>
      </w:r>
      <w:r w:rsidR="00EE7F34" w:rsidRPr="00EE7F34">
        <w:t xml:space="preserve">pecific </w:t>
      </w:r>
      <w:r>
        <w:t>a</w:t>
      </w:r>
      <w:r w:rsidR="00EE7F34" w:rsidRPr="00EE7F34">
        <w:t>ssets</w:t>
      </w:r>
    </w:p>
    <w:tbl>
      <w:tblPr>
        <w:tblW w:w="0" w:type="auto"/>
        <w:tblInd w:w="108" w:type="dxa"/>
        <w:tblCellMar>
          <w:left w:w="0" w:type="dxa"/>
          <w:right w:w="0" w:type="dxa"/>
        </w:tblCellMar>
        <w:tblLook w:val="04A0"/>
      </w:tblPr>
      <w:tblGrid>
        <w:gridCol w:w="2213"/>
        <w:gridCol w:w="2305"/>
        <w:gridCol w:w="2298"/>
        <w:gridCol w:w="2318"/>
      </w:tblGrid>
      <w:tr w:rsidR="00EE7F34" w:rsidRPr="00EE7F34" w:rsidTr="00EE7F34">
        <w:trPr>
          <w:tblHeader/>
        </w:trPr>
        <w:tc>
          <w:tcPr>
            <w:tcW w:w="2213" w:type="dxa"/>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EE7F34" w:rsidRPr="00EE7F34" w:rsidRDefault="00EE7F34" w:rsidP="00EE7F34">
            <w:pPr>
              <w:pStyle w:val="Tableheading"/>
              <w:rPr>
                <w:lang w:val="en-GB"/>
              </w:rPr>
            </w:pPr>
            <w:r w:rsidRPr="00EE7F34">
              <w:rPr>
                <w:lang w:val="en-GB"/>
              </w:rPr>
              <w:t>Asset category</w:t>
            </w:r>
          </w:p>
        </w:tc>
        <w:tc>
          <w:tcPr>
            <w:tcW w:w="2305" w:type="dxa"/>
            <w:tcBorders>
              <w:top w:val="single" w:sz="8" w:space="0" w:color="auto"/>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EE7F34" w:rsidRPr="00EE7F34" w:rsidRDefault="00EE7F34" w:rsidP="00EE7F34">
            <w:pPr>
              <w:pStyle w:val="Tableheading"/>
              <w:rPr>
                <w:lang w:val="en-GB"/>
              </w:rPr>
            </w:pPr>
            <w:r w:rsidRPr="00EE7F34">
              <w:rPr>
                <w:lang w:val="en-GB"/>
              </w:rPr>
              <w:t>Relevant Response</w:t>
            </w:r>
          </w:p>
        </w:tc>
        <w:tc>
          <w:tcPr>
            <w:tcW w:w="2298" w:type="dxa"/>
            <w:tcBorders>
              <w:top w:val="single" w:sz="8" w:space="0" w:color="auto"/>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EE7F34" w:rsidRPr="00EE7F34" w:rsidRDefault="00EE7F34" w:rsidP="00EE7F34">
            <w:pPr>
              <w:pStyle w:val="Tableheading"/>
              <w:rPr>
                <w:lang w:val="en-GB"/>
              </w:rPr>
            </w:pPr>
            <w:r w:rsidRPr="00EE7F34">
              <w:rPr>
                <w:lang w:val="en-GB"/>
              </w:rPr>
              <w:t>Proposed Threshold</w:t>
            </w:r>
          </w:p>
        </w:tc>
        <w:tc>
          <w:tcPr>
            <w:tcW w:w="2318" w:type="dxa"/>
            <w:tcBorders>
              <w:top w:val="single" w:sz="8" w:space="0" w:color="auto"/>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EE7F34" w:rsidRPr="00EE7F34" w:rsidRDefault="00EE7F34" w:rsidP="00EE7F34">
            <w:pPr>
              <w:pStyle w:val="Tableheading"/>
              <w:rPr>
                <w:lang w:val="en-GB"/>
              </w:rPr>
            </w:pPr>
            <w:r w:rsidRPr="00EE7F34">
              <w:rPr>
                <w:lang w:val="en-GB"/>
              </w:rPr>
              <w:t>Justification</w:t>
            </w:r>
          </w:p>
        </w:tc>
      </w:tr>
      <w:tr w:rsidR="00EE7F34" w:rsidRPr="00EE7F34" w:rsidTr="00EE7F34">
        <w:tc>
          <w:tcPr>
            <w:tcW w:w="22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Flood levees</w:t>
            </w:r>
          </w:p>
          <w:p w:rsidR="00EE7F34" w:rsidRPr="00EE7F34" w:rsidRDefault="00EE7F34" w:rsidP="00EE7F34">
            <w:pPr>
              <w:pStyle w:val="Tabletext"/>
              <w:rPr>
                <w:lang w:val="en-GB"/>
              </w:rPr>
            </w:pPr>
            <w:r w:rsidRPr="00EE7F34">
              <w:rPr>
                <w:lang w:val="en-GB"/>
              </w:rPr>
              <w:t>River banks</w:t>
            </w:r>
          </w:p>
          <w:p w:rsidR="00EE7F34" w:rsidRPr="00EE7F34" w:rsidRDefault="00EE7F34" w:rsidP="00EE7F34">
            <w:pPr>
              <w:pStyle w:val="Tabletext"/>
              <w:rPr>
                <w:lang w:val="en-GB"/>
              </w:rPr>
            </w:pPr>
            <w:r w:rsidRPr="00EE7F34">
              <w:rPr>
                <w:lang w:val="en-GB"/>
              </w:rPr>
              <w:t xml:space="preserve">Farm dams </w:t>
            </w:r>
          </w:p>
          <w:p w:rsidR="00EE7F34" w:rsidRPr="00EE7F34" w:rsidRDefault="00EE7F34" w:rsidP="00EE7F34">
            <w:pPr>
              <w:pStyle w:val="Tabletext"/>
              <w:rPr>
                <w:lang w:val="en-GB"/>
              </w:rPr>
            </w:pPr>
            <w:r w:rsidRPr="00EE7F34">
              <w:rPr>
                <w:lang w:val="en-GB"/>
              </w:rPr>
              <w:t>Flood prone land</w:t>
            </w:r>
          </w:p>
          <w:p w:rsidR="00EE7F34" w:rsidRPr="00EE7F34" w:rsidRDefault="00EE7F34" w:rsidP="00EE7F34">
            <w:pPr>
              <w:pStyle w:val="Tabletext"/>
              <w:rPr>
                <w:lang w:val="en-GB"/>
              </w:rPr>
            </w:pPr>
            <w:r w:rsidRPr="00EE7F34">
              <w:rPr>
                <w:lang w:val="en-GB"/>
              </w:rPr>
              <w:t xml:space="preserve">Shorelines </w:t>
            </w:r>
          </w:p>
          <w:p w:rsidR="00EE7F34" w:rsidRPr="00EE7F34" w:rsidRDefault="00EE7F34" w:rsidP="00EE7F34">
            <w:pPr>
              <w:pStyle w:val="Tabletext"/>
              <w:rPr>
                <w:lang w:val="en-GB"/>
              </w:rPr>
            </w:pPr>
            <w:r w:rsidRPr="00EE7F34">
              <w:rPr>
                <w:lang w:val="en-GB"/>
              </w:rPr>
              <w:t>Wetlands</w:t>
            </w:r>
          </w:p>
        </w:tc>
        <w:tc>
          <w:tcPr>
            <w:tcW w:w="2305"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Settlement</w:t>
            </w:r>
          </w:p>
        </w:tc>
        <w:tc>
          <w:tcPr>
            <w:tcW w:w="229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100 mm</w:t>
            </w:r>
          </w:p>
        </w:tc>
        <w:tc>
          <w:tcPr>
            <w:tcW w:w="231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Construction tolerance for flood level would be of the order of 100 mm so that subsidence of this value would be unlikely to affec</w:t>
            </w:r>
            <w:r w:rsidR="00B431EA">
              <w:rPr>
                <w:lang w:val="en-GB"/>
              </w:rPr>
              <w:t>t performance during flooding.</w:t>
            </w:r>
          </w:p>
        </w:tc>
      </w:tr>
      <w:tr w:rsidR="00EE7F34" w:rsidRPr="00EE7F34" w:rsidTr="00EE7F34">
        <w:tc>
          <w:tcPr>
            <w:tcW w:w="2213"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F34" w:rsidRPr="00EE7F34" w:rsidRDefault="00EE7F34" w:rsidP="00EE7F34">
            <w:pPr>
              <w:pStyle w:val="Tabletext"/>
              <w:rPr>
                <w:lang w:val="en-GB"/>
              </w:rPr>
            </w:pPr>
            <w:r w:rsidRPr="00EE7F34">
              <w:rPr>
                <w:lang w:val="en-GB"/>
              </w:rPr>
              <w:t xml:space="preserve">Residential </w:t>
            </w:r>
            <w:r w:rsidR="00F009A9">
              <w:rPr>
                <w:lang w:val="en-GB"/>
              </w:rPr>
              <w:t>b</w:t>
            </w:r>
            <w:r w:rsidRPr="00EE7F34">
              <w:rPr>
                <w:lang w:val="en-GB"/>
              </w:rPr>
              <w:t>uildings</w:t>
            </w:r>
          </w:p>
          <w:p w:rsidR="00EE7F34" w:rsidRPr="00EE7F34" w:rsidRDefault="00EE7F34" w:rsidP="00EE7F34">
            <w:pPr>
              <w:pStyle w:val="Tabletext"/>
              <w:rPr>
                <w:lang w:val="en-GB"/>
              </w:rPr>
            </w:pPr>
            <w:r w:rsidRPr="00EE7F34">
              <w:rPr>
                <w:lang w:val="en-GB"/>
              </w:rPr>
              <w:t>Civic buildings</w:t>
            </w:r>
          </w:p>
          <w:p w:rsidR="00EE7F34" w:rsidRPr="00EE7F34" w:rsidRDefault="00EE7F34" w:rsidP="00EE7F34">
            <w:pPr>
              <w:pStyle w:val="Tabletext"/>
              <w:rPr>
                <w:lang w:val="en-GB"/>
              </w:rPr>
            </w:pPr>
            <w:r w:rsidRPr="00EE7F34">
              <w:rPr>
                <w:lang w:val="en-GB"/>
              </w:rPr>
              <w:t>Pipelines</w:t>
            </w:r>
          </w:p>
          <w:p w:rsidR="00EE7F34" w:rsidRPr="00EE7F34" w:rsidRDefault="00EE7F34" w:rsidP="00EE7F34">
            <w:pPr>
              <w:pStyle w:val="Tabletext"/>
              <w:rPr>
                <w:lang w:val="en-GB"/>
              </w:rPr>
            </w:pPr>
          </w:p>
        </w:tc>
        <w:tc>
          <w:tcPr>
            <w:tcW w:w="2305" w:type="dxa"/>
            <w:tcBorders>
              <w:top w:val="nil"/>
              <w:left w:val="nil"/>
              <w:bottom w:val="single" w:sz="8" w:space="0" w:color="auto"/>
              <w:right w:val="single" w:sz="8" w:space="0" w:color="auto"/>
            </w:tcBorders>
            <w:tcMar>
              <w:top w:w="0" w:type="dxa"/>
              <w:left w:w="108" w:type="dxa"/>
              <w:bottom w:w="0" w:type="dxa"/>
              <w:right w:w="108" w:type="dxa"/>
            </w:tcMar>
          </w:tcPr>
          <w:p w:rsidR="00EE7F34" w:rsidRPr="00EE7F34" w:rsidRDefault="00EE7F34" w:rsidP="00EE7F34">
            <w:pPr>
              <w:pStyle w:val="Tabletext"/>
              <w:rPr>
                <w:lang w:val="en-GB"/>
              </w:rPr>
            </w:pPr>
            <w:r w:rsidRPr="00EE7F34">
              <w:rPr>
                <w:lang w:val="en-GB"/>
              </w:rPr>
              <w:t>Horizontal tensile strain</w:t>
            </w:r>
          </w:p>
          <w:p w:rsidR="00EE7F34" w:rsidRPr="00EE7F34" w:rsidRDefault="00EE7F34" w:rsidP="00EE7F34">
            <w:pPr>
              <w:pStyle w:val="Tabletext"/>
              <w:rPr>
                <w:lang w:val="en-GB"/>
              </w:rPr>
            </w:pPr>
          </w:p>
          <w:p w:rsidR="00EE7F34" w:rsidRPr="00EE7F34" w:rsidRDefault="00EE7F34" w:rsidP="00EE7F34">
            <w:pPr>
              <w:pStyle w:val="Tabletext"/>
              <w:rPr>
                <w:lang w:val="en-GB"/>
              </w:rPr>
            </w:pPr>
          </w:p>
          <w:p w:rsidR="00EE7F34" w:rsidRPr="00EE7F34" w:rsidRDefault="00EE7F34" w:rsidP="00EE7F34">
            <w:pPr>
              <w:pStyle w:val="Tabletext"/>
              <w:rPr>
                <w:lang w:val="en-GB"/>
              </w:rPr>
            </w:pPr>
          </w:p>
          <w:p w:rsidR="00EE7F34" w:rsidRPr="00EE7F34" w:rsidRDefault="00EE7F34" w:rsidP="00EE7F34">
            <w:pPr>
              <w:pStyle w:val="Tabletext"/>
              <w:rPr>
                <w:lang w:val="en-GB"/>
              </w:rPr>
            </w:pPr>
          </w:p>
        </w:tc>
        <w:tc>
          <w:tcPr>
            <w:tcW w:w="2298" w:type="dxa"/>
            <w:tcBorders>
              <w:top w:val="nil"/>
              <w:left w:val="nil"/>
              <w:bottom w:val="single" w:sz="8" w:space="0" w:color="auto"/>
              <w:right w:val="single" w:sz="8" w:space="0" w:color="auto"/>
            </w:tcBorders>
            <w:tcMar>
              <w:top w:w="0" w:type="dxa"/>
              <w:left w:w="108" w:type="dxa"/>
              <w:bottom w:w="0" w:type="dxa"/>
              <w:right w:w="108" w:type="dxa"/>
            </w:tcMar>
          </w:tcPr>
          <w:p w:rsidR="00EE7F34" w:rsidRPr="00EE7F34" w:rsidRDefault="00EE7F34" w:rsidP="00EE7F34">
            <w:pPr>
              <w:pStyle w:val="Tabletext"/>
              <w:rPr>
                <w:lang w:val="en-GB"/>
              </w:rPr>
            </w:pPr>
            <w:r w:rsidRPr="00EE7F34">
              <w:rPr>
                <w:lang w:val="en-GB"/>
              </w:rPr>
              <w:t>0.05%</w:t>
            </w:r>
          </w:p>
          <w:p w:rsidR="00EE7F34" w:rsidRPr="00EE7F34" w:rsidRDefault="00EE7F34" w:rsidP="00EE7F34">
            <w:pPr>
              <w:pStyle w:val="Tabletext"/>
              <w:rPr>
                <w:lang w:val="en-GB"/>
              </w:rPr>
            </w:pPr>
          </w:p>
          <w:p w:rsidR="00EE7F34" w:rsidRPr="00EE7F34" w:rsidRDefault="00EE7F34" w:rsidP="00EE7F34">
            <w:pPr>
              <w:pStyle w:val="Tabletext"/>
              <w:rPr>
                <w:lang w:val="en-GB"/>
              </w:rPr>
            </w:pPr>
          </w:p>
          <w:p w:rsidR="00EE7F34" w:rsidRPr="00EE7F34" w:rsidRDefault="00EE7F34" w:rsidP="00EE7F34">
            <w:pPr>
              <w:pStyle w:val="Tabletext"/>
              <w:rPr>
                <w:lang w:val="en-GB"/>
              </w:rPr>
            </w:pPr>
          </w:p>
          <w:p w:rsidR="00EE7F34" w:rsidRPr="00EE7F34" w:rsidRDefault="00EE7F34" w:rsidP="00EE7F34">
            <w:pPr>
              <w:pStyle w:val="Tabletext"/>
              <w:rPr>
                <w:lang w:val="en-GB"/>
              </w:rPr>
            </w:pPr>
          </w:p>
          <w:p w:rsidR="00EE7F34" w:rsidRPr="00EE7F34" w:rsidRDefault="00EE7F34" w:rsidP="00EE7F34">
            <w:pPr>
              <w:pStyle w:val="Tabletext"/>
              <w:rPr>
                <w:lang w:val="en-GB"/>
              </w:rPr>
            </w:pPr>
          </w:p>
        </w:tc>
        <w:tc>
          <w:tcPr>
            <w:tcW w:w="231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Burland (2012) indicates that tensile strain of less than 0.05% would be unlikely to cause more than negligible damage to sensitive structures.</w:t>
            </w:r>
          </w:p>
          <w:p w:rsidR="00EE7F34" w:rsidRPr="00EE7F34" w:rsidRDefault="00EE7F34" w:rsidP="00EE7F34">
            <w:pPr>
              <w:pStyle w:val="Tabletext"/>
              <w:rPr>
                <w:lang w:val="en-GB"/>
              </w:rPr>
            </w:pPr>
            <w:r w:rsidRPr="00EE7F34">
              <w:rPr>
                <w:lang w:val="en-GB"/>
              </w:rPr>
              <w:t>Curvature (hogging) is considered unlikely to be relevant.</w:t>
            </w:r>
          </w:p>
        </w:tc>
      </w:tr>
      <w:tr w:rsidR="00EE7F34" w:rsidRPr="00EE7F34" w:rsidTr="00EE7F34">
        <w:tc>
          <w:tcPr>
            <w:tcW w:w="22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Rocky streams</w:t>
            </w:r>
          </w:p>
          <w:p w:rsidR="00EE7F34" w:rsidRPr="00EE7F34" w:rsidRDefault="00EE7F34" w:rsidP="00EE7F34">
            <w:pPr>
              <w:pStyle w:val="Tabletext"/>
              <w:rPr>
                <w:lang w:val="en-GB"/>
              </w:rPr>
            </w:pPr>
            <w:r w:rsidRPr="00EE7F34">
              <w:rPr>
                <w:lang w:val="en-GB"/>
              </w:rPr>
              <w:t>Rivers with rock beds</w:t>
            </w:r>
          </w:p>
          <w:p w:rsidR="00EE7F34" w:rsidRPr="00EE7F34" w:rsidRDefault="00EE7F34" w:rsidP="00EE7F34">
            <w:pPr>
              <w:pStyle w:val="Tabletext"/>
              <w:rPr>
                <w:lang w:val="en-GB"/>
              </w:rPr>
            </w:pPr>
            <w:r w:rsidRPr="00EE7F34">
              <w:rPr>
                <w:lang w:val="en-GB"/>
              </w:rPr>
              <w:t>Rocky springs</w:t>
            </w:r>
          </w:p>
          <w:p w:rsidR="00EE7F34" w:rsidRPr="00EE7F34" w:rsidRDefault="00EE7F34" w:rsidP="00EE7F34">
            <w:pPr>
              <w:pStyle w:val="Tabletext"/>
              <w:rPr>
                <w:lang w:val="en-GB"/>
              </w:rPr>
            </w:pPr>
            <w:r w:rsidRPr="00EE7F34">
              <w:rPr>
                <w:lang w:val="en-GB"/>
              </w:rPr>
              <w:t>Wetlands over rock</w:t>
            </w:r>
          </w:p>
        </w:tc>
        <w:tc>
          <w:tcPr>
            <w:tcW w:w="2305"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Horizontal tensile strain</w:t>
            </w:r>
          </w:p>
        </w:tc>
        <w:tc>
          <w:tcPr>
            <w:tcW w:w="229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0.05%</w:t>
            </w:r>
          </w:p>
        </w:tc>
        <w:tc>
          <w:tcPr>
            <w:tcW w:w="231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The risk to rocky water courses would be through cracking of the rock beds though tensile strain.</w:t>
            </w:r>
          </w:p>
          <w:p w:rsidR="00EE7F34" w:rsidRPr="00EE7F34" w:rsidRDefault="00EE7F34" w:rsidP="00EE7F34">
            <w:pPr>
              <w:pStyle w:val="Tabletext"/>
              <w:rPr>
                <w:lang w:val="en-GB"/>
              </w:rPr>
            </w:pPr>
            <w:r w:rsidRPr="00EE7F34">
              <w:rPr>
                <w:lang w:val="en-GB"/>
              </w:rPr>
              <w:t>The proposed threshold is lower than the value of 6 mm/m (0.6%) proposed by Farmer (1985).</w:t>
            </w:r>
          </w:p>
        </w:tc>
      </w:tr>
      <w:tr w:rsidR="00EE7F34" w:rsidRPr="00EE7F34" w:rsidTr="00EE7F34">
        <w:tc>
          <w:tcPr>
            <w:tcW w:w="22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Major dams</w:t>
            </w:r>
          </w:p>
        </w:tc>
        <w:tc>
          <w:tcPr>
            <w:tcW w:w="2305"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 xml:space="preserve">Settlement </w:t>
            </w:r>
          </w:p>
          <w:p w:rsidR="00EE7F34" w:rsidRPr="00EE7F34" w:rsidRDefault="00EE7F34" w:rsidP="00EE7F34">
            <w:pPr>
              <w:pStyle w:val="Tabletext"/>
              <w:rPr>
                <w:lang w:val="en-GB"/>
              </w:rPr>
            </w:pPr>
            <w:r w:rsidRPr="00EE7F34">
              <w:rPr>
                <w:lang w:val="en-GB"/>
              </w:rPr>
              <w:t>Tensile strain</w:t>
            </w:r>
          </w:p>
          <w:p w:rsidR="00EE7F34" w:rsidRPr="00EE7F34" w:rsidRDefault="00EE7F34" w:rsidP="00EE7F34">
            <w:pPr>
              <w:pStyle w:val="Tabletext"/>
              <w:rPr>
                <w:lang w:val="en-GB"/>
              </w:rPr>
            </w:pPr>
            <w:r w:rsidRPr="00EE7F34">
              <w:rPr>
                <w:lang w:val="en-GB"/>
              </w:rPr>
              <w:t>Curvature</w:t>
            </w:r>
          </w:p>
        </w:tc>
        <w:tc>
          <w:tcPr>
            <w:tcW w:w="229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EE7F34">
            <w:pPr>
              <w:pStyle w:val="Tabletext"/>
              <w:rPr>
                <w:lang w:val="en-GB"/>
              </w:rPr>
            </w:pPr>
            <w:r w:rsidRPr="00EE7F34">
              <w:rPr>
                <w:lang w:val="en-GB"/>
              </w:rPr>
              <w:t>Specific assessment</w:t>
            </w:r>
          </w:p>
        </w:tc>
        <w:tc>
          <w:tcPr>
            <w:tcW w:w="2318" w:type="dxa"/>
            <w:tcBorders>
              <w:top w:val="nil"/>
              <w:left w:val="nil"/>
              <w:bottom w:val="single" w:sz="8" w:space="0" w:color="auto"/>
              <w:right w:val="single" w:sz="8" w:space="0" w:color="auto"/>
            </w:tcBorders>
            <w:tcMar>
              <w:top w:w="0" w:type="dxa"/>
              <w:left w:w="108" w:type="dxa"/>
              <w:bottom w:w="0" w:type="dxa"/>
              <w:right w:w="108" w:type="dxa"/>
            </w:tcMar>
            <w:hideMark/>
          </w:tcPr>
          <w:p w:rsidR="00EE7F34" w:rsidRPr="00EE7F34" w:rsidRDefault="00EE7F34" w:rsidP="00B431EA">
            <w:pPr>
              <w:pStyle w:val="Tabletext"/>
              <w:rPr>
                <w:lang w:val="en-GB"/>
              </w:rPr>
            </w:pPr>
            <w:r w:rsidRPr="00EE7F34">
              <w:rPr>
                <w:lang w:val="en-GB"/>
              </w:rPr>
              <w:t>The consequences of dam failure can be severe and result in loss of life. A specific assessment of major dams is proposed.</w:t>
            </w:r>
          </w:p>
        </w:tc>
      </w:tr>
    </w:tbl>
    <w:p w:rsidR="00EE7F34" w:rsidRPr="00EE7F34" w:rsidRDefault="00EE7F34" w:rsidP="00EE7F34">
      <w:pPr>
        <w:pStyle w:val="Heading2"/>
      </w:pPr>
      <w:bookmarkStart w:id="616" w:name="_Toc402425351"/>
      <w:r w:rsidRPr="00EE7F34">
        <w:t xml:space="preserve">Subsidence </w:t>
      </w:r>
      <w:r w:rsidR="006A40B5">
        <w:t>m</w:t>
      </w:r>
      <w:r w:rsidRPr="00EE7F34">
        <w:t>onitoring</w:t>
      </w:r>
      <w:bookmarkEnd w:id="616"/>
    </w:p>
    <w:p w:rsidR="00EE7F34" w:rsidRPr="00EE7F34" w:rsidRDefault="00EE7F34" w:rsidP="00EE7F34">
      <w:pPr>
        <w:pStyle w:val="BRNormal11pt0"/>
        <w:rPr>
          <w:lang w:val="en-AU"/>
        </w:rPr>
      </w:pPr>
      <w:r w:rsidRPr="00EE7F34">
        <w:rPr>
          <w:lang w:val="en-AU"/>
        </w:rPr>
        <w:t>Subsidence monitoring would be conducted wherever there is the potential for subsidence to occur.</w:t>
      </w:r>
    </w:p>
    <w:p w:rsidR="00EE7F34" w:rsidRPr="00EE7F34" w:rsidRDefault="00EE7F34" w:rsidP="00EE7F34">
      <w:pPr>
        <w:pStyle w:val="BRNormal11pt0"/>
        <w:rPr>
          <w:lang w:val="en-AU"/>
        </w:rPr>
      </w:pPr>
      <w:r w:rsidRPr="00EE7F34">
        <w:rPr>
          <w:lang w:val="en-AU"/>
        </w:rPr>
        <w:t xml:space="preserve">Subsidence monitoring regimes need to consider the type and distribution of monitoring techniques/equipment (as discussed in </w:t>
      </w:r>
      <w:r w:rsidR="00F009A9">
        <w:rPr>
          <w:lang w:val="en-AU"/>
        </w:rPr>
        <w:t>section 11.3</w:t>
      </w:r>
      <w:r w:rsidR="00F009A9" w:rsidRPr="00EE7F34">
        <w:rPr>
          <w:lang w:val="en-AU"/>
        </w:rPr>
        <w:t xml:space="preserve"> </w:t>
      </w:r>
      <w:r w:rsidRPr="00EE7F34">
        <w:rPr>
          <w:i/>
          <w:lang w:val="en-AU"/>
        </w:rPr>
        <w:t>Monitoring Plan and Instrument Selection</w:t>
      </w:r>
      <w:r w:rsidRPr="00EE7F34">
        <w:rPr>
          <w:lang w:val="en-AU"/>
        </w:rPr>
        <w:t xml:space="preserve"> of this report) such that monitoring regimes are suited to capturing expected subsidence behaviour in their records. In many cases, installation of piezometers to measure hydraulic head changes may also be required, to monitor for impacts on groundwater resources.</w:t>
      </w:r>
    </w:p>
    <w:p w:rsidR="00EE7F34" w:rsidRPr="00EE7F34" w:rsidRDefault="00EE7F34" w:rsidP="00EE7F34">
      <w:pPr>
        <w:pStyle w:val="BRNormal11pt0"/>
        <w:rPr>
          <w:lang w:val="en-AU"/>
        </w:rPr>
      </w:pPr>
      <w:r w:rsidRPr="00EE7F34">
        <w:rPr>
          <w:lang w:val="en-AU"/>
        </w:rPr>
        <w:t>Priority subsidence monitoring locations</w:t>
      </w:r>
      <w:r w:rsidRPr="00EE7F34">
        <w:rPr>
          <w:lang w:val="en-GB"/>
        </w:rPr>
        <w:t xml:space="preserve"> </w:t>
      </w:r>
      <w:r w:rsidRPr="00EE7F34">
        <w:rPr>
          <w:lang w:val="en-AU"/>
        </w:rPr>
        <w:t xml:space="preserve">may be considered over </w:t>
      </w:r>
      <w:r w:rsidR="00F009A9">
        <w:rPr>
          <w:lang w:val="en-AU"/>
        </w:rPr>
        <w:t>a</w:t>
      </w:r>
      <w:r w:rsidRPr="00EE7F34">
        <w:rPr>
          <w:lang w:val="en-GB"/>
        </w:rPr>
        <w:t>reas where there is potential for impact</w:t>
      </w:r>
      <w:r w:rsidRPr="00EE7F34">
        <w:rPr>
          <w:lang w:val="en-AU"/>
        </w:rPr>
        <w:t xml:space="preserve">, such as in relatively close proximity to </w:t>
      </w:r>
      <w:r w:rsidR="003721DE">
        <w:rPr>
          <w:lang w:val="en-AU"/>
        </w:rPr>
        <w:t>coal seam gas</w:t>
      </w:r>
      <w:r w:rsidR="003721DE" w:rsidRPr="00E13ED7">
        <w:rPr>
          <w:lang w:val="en-AU"/>
        </w:rPr>
        <w:t xml:space="preserve"> </w:t>
      </w:r>
      <w:r w:rsidRPr="00EE7F34">
        <w:rPr>
          <w:lang w:val="en-AU"/>
        </w:rPr>
        <w:t>production wells.</w:t>
      </w:r>
    </w:p>
    <w:p w:rsidR="00EE7F34" w:rsidRPr="00EE7F34" w:rsidRDefault="00EE7F34" w:rsidP="00EE7F34">
      <w:pPr>
        <w:pStyle w:val="Heading2"/>
      </w:pPr>
      <w:bookmarkStart w:id="617" w:name="_Toc402425352"/>
      <w:r w:rsidRPr="00EE7F34">
        <w:t xml:space="preserve">Subsidence </w:t>
      </w:r>
      <w:r w:rsidR="006A40B5">
        <w:t>m</w:t>
      </w:r>
      <w:r w:rsidRPr="00EE7F34">
        <w:t xml:space="preserve">anagement </w:t>
      </w:r>
      <w:r w:rsidR="006A40B5">
        <w:t>r</w:t>
      </w:r>
      <w:r w:rsidRPr="00EE7F34">
        <w:t>esponses</w:t>
      </w:r>
      <w:bookmarkEnd w:id="617"/>
    </w:p>
    <w:p w:rsidR="00EE7F34" w:rsidRPr="00EE7F34" w:rsidRDefault="00EE7F34" w:rsidP="00EE7F34">
      <w:pPr>
        <w:pStyle w:val="Listintrotext"/>
        <w:rPr>
          <w:lang w:val="en-GB"/>
        </w:rPr>
      </w:pPr>
      <w:r w:rsidRPr="00EE7F34">
        <w:rPr>
          <w:lang w:val="en-GB"/>
        </w:rPr>
        <w:t>Management of potential impacts to assets may include the following response measures:</w:t>
      </w:r>
    </w:p>
    <w:p w:rsidR="00EE7F34" w:rsidRPr="00EE7F34" w:rsidRDefault="00F009A9" w:rsidP="007702DF">
      <w:pPr>
        <w:pStyle w:val="BRdotpoints"/>
        <w:rPr>
          <w:lang w:val="en-GB"/>
        </w:rPr>
      </w:pPr>
      <w:proofErr w:type="gramStart"/>
      <w:r>
        <w:rPr>
          <w:lang w:val="en-GB"/>
        </w:rPr>
        <w:t>m</w:t>
      </w:r>
      <w:r w:rsidR="00EE7F34" w:rsidRPr="00EE7F34">
        <w:rPr>
          <w:lang w:val="en-GB"/>
        </w:rPr>
        <w:t>odification</w:t>
      </w:r>
      <w:proofErr w:type="gramEnd"/>
      <w:r w:rsidR="00EE7F34" w:rsidRPr="00EE7F34">
        <w:rPr>
          <w:lang w:val="en-GB"/>
        </w:rPr>
        <w:t xml:space="preserve"> of well field design (e.g. reduced number of wells/pumping over select</w:t>
      </w:r>
      <w:r w:rsidR="00DC0B34">
        <w:rPr>
          <w:lang w:val="en-GB"/>
        </w:rPr>
        <w:t>ed</w:t>
      </w:r>
      <w:r w:rsidR="00EE7F34" w:rsidRPr="00EE7F34">
        <w:rPr>
          <w:lang w:val="en-GB"/>
        </w:rPr>
        <w:t xml:space="preserve"> areas) to reduce subsidence in sensitive areas. This would likely require more elaborate subsidence assessment than screening assessment</w:t>
      </w:r>
    </w:p>
    <w:p w:rsidR="00EE7F34" w:rsidRPr="00EE7F34" w:rsidRDefault="00F009A9" w:rsidP="007702DF">
      <w:pPr>
        <w:pStyle w:val="BRdotpoints"/>
        <w:rPr>
          <w:lang w:val="en-GB"/>
        </w:rPr>
      </w:pPr>
      <w:proofErr w:type="gramStart"/>
      <w:r>
        <w:rPr>
          <w:lang w:val="en-GB"/>
        </w:rPr>
        <w:t>r</w:t>
      </w:r>
      <w:r w:rsidR="00EE7F34" w:rsidRPr="00EE7F34">
        <w:rPr>
          <w:lang w:val="en-GB"/>
        </w:rPr>
        <w:t>epair/make-good</w:t>
      </w:r>
      <w:proofErr w:type="gramEnd"/>
      <w:r w:rsidR="00EE7F34" w:rsidRPr="00EE7F34">
        <w:rPr>
          <w:lang w:val="en-GB"/>
        </w:rPr>
        <w:t xml:space="preserve"> any damage to assets as they arise. This approach is likely to be most suitable for built infrastructure. It may be possible to make-good loss of water resources (e.g. damaged dams, damaged river routing) by provision of the lost resource to its users, but this approach is unlikely to be appropriate where subsidence causes damage to ecosystems </w:t>
      </w:r>
    </w:p>
    <w:p w:rsidR="00EE7F34" w:rsidRPr="00EE7F34" w:rsidRDefault="00F009A9" w:rsidP="007702DF">
      <w:pPr>
        <w:pStyle w:val="BRdotpoints"/>
        <w:rPr>
          <w:lang w:val="en-GB"/>
        </w:rPr>
      </w:pPr>
      <w:r>
        <w:rPr>
          <w:lang w:val="en-GB"/>
        </w:rPr>
        <w:t>i</w:t>
      </w:r>
      <w:r w:rsidR="00EE7F34" w:rsidRPr="00EE7F34">
        <w:rPr>
          <w:lang w:val="en-GB"/>
        </w:rPr>
        <w:t>njection of produced water into shallow or deep aquifer systems to reduce the depressurisation in localised areas of injection, thereby reducing the subsidence experienced in those areas</w:t>
      </w:r>
    </w:p>
    <w:p w:rsidR="00EE7F34" w:rsidRPr="00EE7F34" w:rsidRDefault="00F009A9" w:rsidP="007702DF">
      <w:pPr>
        <w:pStyle w:val="BRdotpoints"/>
        <w:rPr>
          <w:lang w:val="en-GB"/>
        </w:rPr>
      </w:pPr>
      <w:r>
        <w:rPr>
          <w:lang w:val="en-GB"/>
        </w:rPr>
        <w:t>e</w:t>
      </w:r>
      <w:r w:rsidR="00EE7F34" w:rsidRPr="00EE7F34">
        <w:rPr>
          <w:lang w:val="en-GB"/>
        </w:rPr>
        <w:t xml:space="preserve">ngineering measures (such as ground improvement methods to increase the stiffness of the ground) prior to </w:t>
      </w:r>
      <w:r w:rsidR="003721DE">
        <w:rPr>
          <w:lang w:val="en-AU"/>
        </w:rPr>
        <w:t>coal seam gas</w:t>
      </w:r>
      <w:r w:rsidR="003721DE" w:rsidRPr="00E13ED7">
        <w:rPr>
          <w:lang w:val="en-AU"/>
        </w:rPr>
        <w:t xml:space="preserve"> </w:t>
      </w:r>
      <w:r w:rsidR="00EE7F34" w:rsidRPr="00EE7F34">
        <w:rPr>
          <w:lang w:val="en-GB"/>
        </w:rPr>
        <w:t>production, to reduce expected differential subsidence movement over sensitive areas</w:t>
      </w:r>
    </w:p>
    <w:p w:rsidR="00EE7F34" w:rsidRPr="00EE7F34" w:rsidRDefault="00F009A9" w:rsidP="007702DF">
      <w:pPr>
        <w:pStyle w:val="FinalDotPoint"/>
        <w:rPr>
          <w:lang w:val="en-GB"/>
        </w:rPr>
      </w:pPr>
      <w:proofErr w:type="gramStart"/>
      <w:r>
        <w:rPr>
          <w:lang w:val="en-GB"/>
        </w:rPr>
        <w:t>a</w:t>
      </w:r>
      <w:r w:rsidR="00EE7F34" w:rsidRPr="00EE7F34">
        <w:rPr>
          <w:lang w:val="en-GB"/>
        </w:rPr>
        <w:t>cquisition</w:t>
      </w:r>
      <w:proofErr w:type="gramEnd"/>
      <w:r w:rsidR="00EE7F34" w:rsidRPr="00EE7F34">
        <w:rPr>
          <w:lang w:val="en-GB"/>
        </w:rPr>
        <w:t xml:space="preserve"> of sensitive assets by the </w:t>
      </w:r>
      <w:r w:rsidR="003721DE">
        <w:rPr>
          <w:lang w:val="en-AU"/>
        </w:rPr>
        <w:t>coal seam gas</w:t>
      </w:r>
      <w:r w:rsidR="003721DE" w:rsidRPr="00E13ED7">
        <w:rPr>
          <w:lang w:val="en-AU"/>
        </w:rPr>
        <w:t xml:space="preserve"> </w:t>
      </w:r>
      <w:r w:rsidR="00EE7F34" w:rsidRPr="00EE7F34">
        <w:rPr>
          <w:lang w:val="en-GB"/>
        </w:rPr>
        <w:t xml:space="preserve">proponent/operator, for some (restricted) assets. Careful location of the </w:t>
      </w:r>
      <w:r w:rsidR="003721DE">
        <w:rPr>
          <w:lang w:val="en-AU"/>
        </w:rPr>
        <w:t>coal seam gas</w:t>
      </w:r>
      <w:r w:rsidR="003721DE" w:rsidRPr="00E13ED7">
        <w:rPr>
          <w:lang w:val="en-AU"/>
        </w:rPr>
        <w:t xml:space="preserve"> </w:t>
      </w:r>
      <w:r w:rsidR="00EE7F34" w:rsidRPr="00EE7F34">
        <w:rPr>
          <w:lang w:val="en-GB"/>
        </w:rPr>
        <w:t>well</w:t>
      </w:r>
      <w:r w:rsidR="00B3565D">
        <w:rPr>
          <w:lang w:val="en-GB"/>
        </w:rPr>
        <w:t xml:space="preserve"> </w:t>
      </w:r>
      <w:r w:rsidR="00EE7F34" w:rsidRPr="00EE7F34">
        <w:rPr>
          <w:lang w:val="en-GB"/>
        </w:rPr>
        <w:t>field, to place sensitive areas on the barrier between adjacent well tributary areas (remote from well), may be used to reduce differential settlements.</w:t>
      </w:r>
    </w:p>
    <w:p w:rsidR="00EE7F34" w:rsidRPr="00EE7F34" w:rsidRDefault="00EE7F34" w:rsidP="00EE7F34">
      <w:pPr>
        <w:pStyle w:val="Listintrotext"/>
        <w:rPr>
          <w:lang w:val="en-GB"/>
        </w:rPr>
      </w:pPr>
      <w:r w:rsidRPr="00EE7F34">
        <w:rPr>
          <w:lang w:val="en-GB"/>
        </w:rPr>
        <w:t xml:space="preserve">In developing a </w:t>
      </w:r>
      <w:r w:rsidRPr="00EE7F34">
        <w:t>management</w:t>
      </w:r>
      <w:r w:rsidRPr="00EE7F34">
        <w:rPr>
          <w:lang w:val="en-GB"/>
        </w:rPr>
        <w:t xml:space="preserve"> response strategy, the following should be considered:</w:t>
      </w:r>
    </w:p>
    <w:p w:rsidR="00EE7F34" w:rsidRPr="00EE7F34" w:rsidRDefault="00F009A9" w:rsidP="007702DF">
      <w:pPr>
        <w:pStyle w:val="BRdotpoints"/>
        <w:rPr>
          <w:lang w:val="en-GB"/>
        </w:rPr>
      </w:pPr>
      <w:r>
        <w:rPr>
          <w:lang w:val="en-GB"/>
        </w:rPr>
        <w:t>t</w:t>
      </w:r>
      <w:r w:rsidR="00EE7F34" w:rsidRPr="00EE7F34">
        <w:rPr>
          <w:lang w:val="en-GB"/>
        </w:rPr>
        <w:t>he reasons for selection of a particular management measure(s)</w:t>
      </w:r>
    </w:p>
    <w:p w:rsidR="00EE7F34" w:rsidRPr="00EE7F34" w:rsidRDefault="00F009A9" w:rsidP="007702DF">
      <w:pPr>
        <w:pStyle w:val="BRdotpoints"/>
        <w:rPr>
          <w:lang w:val="en-GB"/>
        </w:rPr>
      </w:pPr>
      <w:r>
        <w:rPr>
          <w:lang w:val="en-GB"/>
        </w:rPr>
        <w:t>w</w:t>
      </w:r>
      <w:r w:rsidR="00EE7F34" w:rsidRPr="00EE7F34">
        <w:rPr>
          <w:lang w:val="en-GB"/>
        </w:rPr>
        <w:t>hom is responsible for implementing the management measures(s)</w:t>
      </w:r>
    </w:p>
    <w:p w:rsidR="00EE7F34" w:rsidRPr="00EE7F34" w:rsidRDefault="00F009A9" w:rsidP="007702DF">
      <w:pPr>
        <w:pStyle w:val="BRdotpoints"/>
        <w:rPr>
          <w:lang w:val="en-GB"/>
        </w:rPr>
      </w:pPr>
      <w:r>
        <w:rPr>
          <w:lang w:val="en-GB"/>
        </w:rPr>
        <w:t>p</w:t>
      </w:r>
      <w:r w:rsidR="00EE7F34" w:rsidRPr="00EE7F34">
        <w:rPr>
          <w:lang w:val="en-GB"/>
        </w:rPr>
        <w:t>roposed actions for the management measures(s)</w:t>
      </w:r>
    </w:p>
    <w:p w:rsidR="00EE7F34" w:rsidRPr="00EE7F34" w:rsidRDefault="00F009A9" w:rsidP="007702DF">
      <w:pPr>
        <w:pStyle w:val="BRdotpoints"/>
        <w:rPr>
          <w:lang w:val="en-GB"/>
        </w:rPr>
      </w:pPr>
      <w:r>
        <w:rPr>
          <w:lang w:val="en-GB"/>
        </w:rPr>
        <w:t>r</w:t>
      </w:r>
      <w:r w:rsidR="00EE7F34" w:rsidRPr="00EE7F34">
        <w:rPr>
          <w:lang w:val="en-GB"/>
        </w:rPr>
        <w:t>esource requirements, including contingencies</w:t>
      </w:r>
    </w:p>
    <w:p w:rsidR="00EE7F34" w:rsidRPr="00EE7F34" w:rsidRDefault="00F009A9" w:rsidP="007702DF">
      <w:pPr>
        <w:pStyle w:val="BRdotpoints"/>
        <w:rPr>
          <w:lang w:val="en-GB"/>
        </w:rPr>
      </w:pPr>
      <w:r>
        <w:rPr>
          <w:lang w:val="en-GB"/>
        </w:rPr>
        <w:t>p</w:t>
      </w:r>
      <w:r w:rsidR="00EE7F34" w:rsidRPr="00EE7F34">
        <w:rPr>
          <w:lang w:val="en-GB"/>
        </w:rPr>
        <w:t>erformance measures and constraints for implementation of the management measures(s)</w:t>
      </w:r>
    </w:p>
    <w:p w:rsidR="00EE7F34" w:rsidRPr="00EE7F34" w:rsidRDefault="00F009A9" w:rsidP="007702DF">
      <w:pPr>
        <w:pStyle w:val="BRdotpoints"/>
        <w:rPr>
          <w:lang w:val="en-GB"/>
        </w:rPr>
      </w:pPr>
      <w:r>
        <w:rPr>
          <w:lang w:val="en-GB"/>
        </w:rPr>
        <w:t>r</w:t>
      </w:r>
      <w:r w:rsidR="00EE7F34" w:rsidRPr="00EE7F34">
        <w:rPr>
          <w:lang w:val="en-GB"/>
        </w:rPr>
        <w:t>eporting and review</w:t>
      </w:r>
    </w:p>
    <w:p w:rsidR="00473294" w:rsidRPr="00473294" w:rsidRDefault="00F009A9" w:rsidP="007702DF">
      <w:pPr>
        <w:pStyle w:val="BRdotpoints"/>
        <w:rPr>
          <w:lang w:val="en-GB"/>
        </w:rPr>
      </w:pPr>
      <w:proofErr w:type="gramStart"/>
      <w:r>
        <w:rPr>
          <w:lang w:val="en-GB"/>
        </w:rPr>
        <w:t>t</w:t>
      </w:r>
      <w:r w:rsidR="00EE7F34" w:rsidRPr="00EE7F34">
        <w:rPr>
          <w:lang w:val="en-GB"/>
        </w:rPr>
        <w:t>iming</w:t>
      </w:r>
      <w:proofErr w:type="gramEnd"/>
      <w:r w:rsidR="00EE7F34" w:rsidRPr="00EE7F34">
        <w:rPr>
          <w:lang w:val="en-GB"/>
        </w:rPr>
        <w:t xml:space="preserve"> and schedule.</w:t>
      </w:r>
    </w:p>
    <w:p w:rsidR="00EE7F34" w:rsidRPr="00EE7F34" w:rsidRDefault="00EE7F34" w:rsidP="00EE7F34">
      <w:pPr>
        <w:pStyle w:val="Heading2"/>
      </w:pPr>
      <w:bookmarkStart w:id="618" w:name="_Toc402425353"/>
      <w:r w:rsidRPr="00EE7F34">
        <w:t xml:space="preserve">Example </w:t>
      </w:r>
      <w:r w:rsidR="006A40B5">
        <w:t>d</w:t>
      </w:r>
      <w:r w:rsidRPr="00EE7F34">
        <w:t xml:space="preserve">evelopment of </w:t>
      </w:r>
      <w:r w:rsidR="006A40B5">
        <w:t>s</w:t>
      </w:r>
      <w:r w:rsidRPr="00EE7F34">
        <w:t xml:space="preserve">ubsidence </w:t>
      </w:r>
      <w:r w:rsidR="006A40B5">
        <w:t>m</w:t>
      </w:r>
      <w:r w:rsidRPr="00EE7F34">
        <w:t xml:space="preserve">anagement </w:t>
      </w:r>
      <w:r w:rsidR="006A40B5">
        <w:t>s</w:t>
      </w:r>
      <w:r w:rsidRPr="00EE7F34">
        <w:t>trategy</w:t>
      </w:r>
      <w:bookmarkEnd w:id="618"/>
    </w:p>
    <w:p w:rsidR="00EE7F34" w:rsidRPr="00EE7F34" w:rsidRDefault="00EE7F34" w:rsidP="00EE7F34">
      <w:pPr>
        <w:pStyle w:val="BRNormal11pt0"/>
        <w:rPr>
          <w:lang w:val="en-GB"/>
        </w:rPr>
      </w:pPr>
      <w:r w:rsidRPr="00EE7F34">
        <w:rPr>
          <w:lang w:val="en-GB"/>
        </w:rPr>
        <w:t>This section provides an example of a broad approach to assess subsidence impacts, to classify those impacts, and to select a subsidence management approach in response to classified predicted impacts. Thresholds nominated in the example should be treated as illustrative.</w:t>
      </w:r>
    </w:p>
    <w:p w:rsidR="00EE7F34" w:rsidRPr="00EE7F34" w:rsidRDefault="00EE7F34" w:rsidP="00EE7F34">
      <w:pPr>
        <w:pStyle w:val="Listintrotext"/>
        <w:rPr>
          <w:lang w:val="en-GB"/>
        </w:rPr>
      </w:pPr>
      <w:r w:rsidRPr="00EE7F34">
        <w:rPr>
          <w:lang w:val="en-GB"/>
        </w:rPr>
        <w:t xml:space="preserve">The sequence of assessment tasks is </w:t>
      </w:r>
      <w:r w:rsidR="00CF72F2">
        <w:rPr>
          <w:lang w:val="en-GB"/>
        </w:rPr>
        <w:t>summarised below.</w:t>
      </w:r>
    </w:p>
    <w:p w:rsidR="00EE7F34" w:rsidRPr="005649EE" w:rsidRDefault="00EE7F34" w:rsidP="005649EE">
      <w:pPr>
        <w:pStyle w:val="BRnumbering"/>
        <w:numPr>
          <w:ilvl w:val="0"/>
          <w:numId w:val="43"/>
        </w:numPr>
        <w:ind w:left="426" w:hanging="426"/>
      </w:pPr>
      <w:r w:rsidRPr="005649EE">
        <w:t xml:space="preserve">Assessment of the depressurisation of the ground due to groundwater drawdown and coal seam degassing using suitable methods, such as those described in </w:t>
      </w:r>
      <w:r w:rsidR="00CF72F2">
        <w:t>section 9</w:t>
      </w:r>
      <w:r w:rsidR="00CF72F2" w:rsidRPr="005649EE">
        <w:t xml:space="preserve"> </w:t>
      </w:r>
      <w:r w:rsidRPr="005649EE">
        <w:rPr>
          <w:i/>
        </w:rPr>
        <w:t>Subsidence Assessment Approaches</w:t>
      </w:r>
      <w:r w:rsidR="00CF72F2">
        <w:t>.</w:t>
      </w:r>
    </w:p>
    <w:p w:rsidR="00EE7F34" w:rsidRPr="00EE7F34" w:rsidRDefault="00EE7F34" w:rsidP="005649EE">
      <w:pPr>
        <w:pStyle w:val="BRnumbering"/>
      </w:pPr>
      <w:r w:rsidRPr="00EE7F34">
        <w:t xml:space="preserve">Assessment of ground subsidence due to ground depressurisation using suitable methods, such as those described in </w:t>
      </w:r>
      <w:r w:rsidR="00CF72F2">
        <w:t>section 9</w:t>
      </w:r>
      <w:r w:rsidR="00CF72F2" w:rsidRPr="00EE7F34">
        <w:t xml:space="preserve"> </w:t>
      </w:r>
      <w:r w:rsidRPr="00EE7F34">
        <w:rPr>
          <w:i/>
        </w:rPr>
        <w:t>Subsidence Assessment Approaches</w:t>
      </w:r>
      <w:r w:rsidRPr="00EE7F34">
        <w:t>, including:</w:t>
      </w:r>
    </w:p>
    <w:p w:rsidR="00EE7F34" w:rsidRPr="00EE7F34" w:rsidRDefault="00CF72F2" w:rsidP="005649EE">
      <w:pPr>
        <w:pStyle w:val="Number2ndlevel"/>
      </w:pPr>
      <w:proofErr w:type="gramStart"/>
      <w:r>
        <w:t>a</w:t>
      </w:r>
      <w:r w:rsidR="00EE7F34" w:rsidRPr="00EE7F34">
        <w:t>ssessment</w:t>
      </w:r>
      <w:proofErr w:type="gramEnd"/>
      <w:r w:rsidR="00EE7F34" w:rsidRPr="00EE7F34">
        <w:t xml:space="preserve"> of the subsidence of saturated alluvial (compressible) sediments, if present, in the depressurised area. This may be achieved using the following method:</w:t>
      </w:r>
    </w:p>
    <w:p w:rsidR="00EE7F34" w:rsidRPr="00EE7F34" w:rsidRDefault="00CF72F2" w:rsidP="005649EE">
      <w:pPr>
        <w:pStyle w:val="Number3rdlevel"/>
      </w:pPr>
      <w:r>
        <w:t>c</w:t>
      </w:r>
      <w:r w:rsidR="00EE7F34" w:rsidRPr="00EE7F34">
        <w:t xml:space="preserve">alculation of the groundwater flow, </w:t>
      </w:r>
      <w:r w:rsidR="00EE7F34" w:rsidRPr="00EE7F34">
        <w:rPr>
          <w:i/>
        </w:rPr>
        <w:t>q</w:t>
      </w:r>
      <w:r w:rsidR="00EE7F34" w:rsidRPr="00EE7F34">
        <w:t xml:space="preserve">, from the alluvium to the underlying units, using methods discussed in </w:t>
      </w:r>
      <w:r>
        <w:t>section 9</w:t>
      </w:r>
      <w:r w:rsidRPr="00EE7F34">
        <w:t xml:space="preserve"> </w:t>
      </w:r>
      <w:r w:rsidR="00EE7F34" w:rsidRPr="00EE7F34">
        <w:rPr>
          <w:i/>
        </w:rPr>
        <w:t>Subsidence Assessment Approaches</w:t>
      </w:r>
      <w:r w:rsidR="00EE7F34" w:rsidRPr="00EE7F34">
        <w:t xml:space="preserve"> of this </w:t>
      </w:r>
      <w:r>
        <w:t>report</w:t>
      </w:r>
      <w:r w:rsidRPr="00EE7F34">
        <w:t xml:space="preserve"> </w:t>
      </w:r>
      <w:r w:rsidR="00EE7F34" w:rsidRPr="00EE7F34">
        <w:t>(screening level adequate initially)</w:t>
      </w:r>
    </w:p>
    <w:p w:rsidR="00EE7F34" w:rsidRPr="00EE7F34" w:rsidRDefault="00CF72F2" w:rsidP="005649EE">
      <w:pPr>
        <w:pStyle w:val="Number3rdlevel"/>
      </w:pPr>
      <w:proofErr w:type="gramStart"/>
      <w:r>
        <w:t>i</w:t>
      </w:r>
      <w:r w:rsidR="00EE7F34" w:rsidRPr="00EE7F34">
        <w:t>f</w:t>
      </w:r>
      <w:proofErr w:type="gramEnd"/>
      <w:r w:rsidR="00EE7F34" w:rsidRPr="00EE7F34">
        <w:t xml:space="preserve"> </w:t>
      </w:r>
      <w:r w:rsidR="00EE7F34" w:rsidRPr="00EE7F34">
        <w:rPr>
          <w:i/>
        </w:rPr>
        <w:t>q</w:t>
      </w:r>
      <w:r w:rsidR="00EE7F34" w:rsidRPr="00EE7F34">
        <w:t xml:space="preserve"> is greater than 1</w:t>
      </w:r>
      <w:r>
        <w:t xml:space="preserve"> per cent</w:t>
      </w:r>
      <w:r w:rsidR="00EE7F34" w:rsidRPr="00EE7F34">
        <w:t xml:space="preserve"> of mean annual rainfall, carry out groundwater assessment of drawdown in alluvial sediments in the long term. Otherwise, make nominal allowance for subsidence due to </w:t>
      </w:r>
      <w:r w:rsidR="00532A1B">
        <w:t>compaction</w:t>
      </w:r>
      <w:r w:rsidR="00EE7F34" w:rsidRPr="00EE7F34">
        <w:t xml:space="preserve"> of alluvial sediments of 12.5 mm. (</w:t>
      </w:r>
      <w:r w:rsidR="00B431EA">
        <w:t>t</w:t>
      </w:r>
      <w:r w:rsidR="00EE7F34" w:rsidRPr="00EE7F34">
        <w:t>his nominal allowance is based upon 0.25 m drawdown within a soil profile of 50 m saturated thickness and a typical modulus for a loose sand of 10 MPa)</w:t>
      </w:r>
    </w:p>
    <w:p w:rsidR="00EE7F34" w:rsidRPr="00EE7F34" w:rsidRDefault="00CF72F2" w:rsidP="005649EE">
      <w:pPr>
        <w:pStyle w:val="Number3rdlevel"/>
      </w:pPr>
      <w:proofErr w:type="gramStart"/>
      <w:r>
        <w:t>a</w:t>
      </w:r>
      <w:r w:rsidR="00EE7F34" w:rsidRPr="005649EE">
        <w:t>ssess</w:t>
      </w:r>
      <w:proofErr w:type="gramEnd"/>
      <w:r w:rsidR="00EE7F34" w:rsidRPr="00EE7F34">
        <w:t xml:space="preserve"> the </w:t>
      </w:r>
      <w:r w:rsidR="00532A1B">
        <w:t>compaction</w:t>
      </w:r>
      <w:r w:rsidR="00EE7F34" w:rsidRPr="00EE7F34">
        <w:t xml:space="preserve"> of alluvial sediments if drawdown exceeds the greater of 0.5 m or 50</w:t>
      </w:r>
      <w:r>
        <w:t xml:space="preserve"> per cent</w:t>
      </w:r>
      <w:r w:rsidR="00EE7F34" w:rsidRPr="00EE7F34">
        <w:t xml:space="preserve"> of annual groundwater level variation. Otherwise, make nominal allowance of 25 mm for </w:t>
      </w:r>
      <w:r w:rsidR="00532A1B">
        <w:t>compaction</w:t>
      </w:r>
      <w:r w:rsidR="00EE7F34" w:rsidRPr="00EE7F34">
        <w:t xml:space="preserve"> of alluvial sediments (</w:t>
      </w:r>
      <w:r w:rsidR="00B431EA">
        <w:t>t</w:t>
      </w:r>
      <w:r w:rsidR="00EE7F34" w:rsidRPr="00EE7F34">
        <w:t>his nominal allowance is based upon 0.5 m drawdown within a soil profile of 50 m saturated thickness and a typical modulus of 10 MPa for loose sand).</w:t>
      </w:r>
    </w:p>
    <w:p w:rsidR="00EE7F34" w:rsidRPr="00EE7F34" w:rsidRDefault="00CF72F2" w:rsidP="005649EE">
      <w:pPr>
        <w:pStyle w:val="Number2ndlevel"/>
      </w:pPr>
      <w:proofErr w:type="gramStart"/>
      <w:r>
        <w:t>a</w:t>
      </w:r>
      <w:r w:rsidR="00EE7F34" w:rsidRPr="00EE7F34">
        <w:t>ssess</w:t>
      </w:r>
      <w:proofErr w:type="gramEnd"/>
      <w:r w:rsidR="00EE7F34" w:rsidRPr="00EE7F34">
        <w:t xml:space="preserve"> subsidence of rock units underlying alluvium, using suitable methods, such as those described in </w:t>
      </w:r>
      <w:r>
        <w:t>section 9</w:t>
      </w:r>
      <w:r w:rsidRPr="00EE7F34">
        <w:t xml:space="preserve"> </w:t>
      </w:r>
      <w:r w:rsidR="00EE7F34" w:rsidRPr="00EE7F34">
        <w:rPr>
          <w:i/>
        </w:rPr>
        <w:t>Subsidence Assessment Approaches</w:t>
      </w:r>
      <w:r w:rsidR="00EE7F34" w:rsidRPr="00EE7F34">
        <w:t xml:space="preserve"> of this </w:t>
      </w:r>
      <w:r>
        <w:t>report</w:t>
      </w:r>
      <w:r w:rsidR="00EE7F34" w:rsidRPr="00EE7F34">
        <w:t>. Initially</w:t>
      </w:r>
      <w:r>
        <w:t>,</w:t>
      </w:r>
      <w:r w:rsidR="00EE7F34" w:rsidRPr="00EE7F34">
        <w:t xml:space="preserve"> the screening level assessments would be appropriate. </w:t>
      </w:r>
    </w:p>
    <w:p w:rsidR="00EE7F34" w:rsidRPr="00EE7F34" w:rsidRDefault="00867439" w:rsidP="005649EE">
      <w:pPr>
        <w:pStyle w:val="Number2ndlevel"/>
      </w:pPr>
      <w:proofErr w:type="gramStart"/>
      <w:r>
        <w:t>combine</w:t>
      </w:r>
      <w:proofErr w:type="gramEnd"/>
      <w:r w:rsidR="00EE7F34" w:rsidRPr="00EE7F34">
        <w:t xml:space="preserve"> the subsidence components attributed to the alluvial soils, rock profile and degassing to estimate the magnitude of total land subsidence.</w:t>
      </w:r>
      <w:r>
        <w:t xml:space="preserve"> Adding the components together will give a conservative estimate of the maximum possible subsidence, but the observed subsidence at the surface will depend on the geotechnical properties of the various layers throughout the depth profile.</w:t>
      </w:r>
    </w:p>
    <w:p w:rsidR="00EE7F34" w:rsidRPr="00EE7F34" w:rsidRDefault="00EE7F34" w:rsidP="005649EE">
      <w:pPr>
        <w:pStyle w:val="BRnumbering"/>
      </w:pPr>
      <w:r w:rsidRPr="00EE7F34">
        <w:t>Classify the subsidence predicted in the area affected by ground depressurisation and nominate the subsidence management strategy response for each class:</w:t>
      </w:r>
    </w:p>
    <w:p w:rsidR="00EE7F34" w:rsidRPr="00EE7F34" w:rsidRDefault="00EE7F34" w:rsidP="005649EE">
      <w:pPr>
        <w:pStyle w:val="Number2ndlevel"/>
      </w:pPr>
      <w:r w:rsidRPr="00EE7F34">
        <w:t xml:space="preserve">Class 1 – </w:t>
      </w:r>
      <w:r w:rsidR="00CF72F2">
        <w:t>s</w:t>
      </w:r>
      <w:r w:rsidRPr="00EE7F34">
        <w:t xml:space="preserve">ubsidence less than 50 mm – </w:t>
      </w:r>
      <w:r w:rsidR="00CF72F2">
        <w:t>m</w:t>
      </w:r>
      <w:r w:rsidRPr="00EE7F34">
        <w:t xml:space="preserve">inimal risk: </w:t>
      </w:r>
      <w:r w:rsidR="00CF72F2">
        <w:t>m</w:t>
      </w:r>
      <w:r w:rsidRPr="00EE7F34">
        <w:t>onitoring of subsidence and groundwater level in alluvial aquifer at selected locations where subsidence assessed as likely to be largest (</w:t>
      </w:r>
      <w:r w:rsidR="00CF72F2">
        <w:t xml:space="preserve">e.g. </w:t>
      </w:r>
      <w:r w:rsidRPr="00EE7F34">
        <w:t xml:space="preserve">near individual wells at centre of </w:t>
      </w:r>
      <w:r w:rsidR="003721DE">
        <w:rPr>
          <w:lang w:val="en-AU"/>
        </w:rPr>
        <w:t>coal seam gas</w:t>
      </w:r>
      <w:r w:rsidR="003721DE" w:rsidRPr="00E13ED7">
        <w:rPr>
          <w:lang w:val="en-AU"/>
        </w:rPr>
        <w:t xml:space="preserve"> </w:t>
      </w:r>
      <w:r w:rsidRPr="00EE7F34">
        <w:t>well field and at locations of deepest alluvial soils) to confirm assessment during operation. Review monitoring annually. Should monitoring trends indicate that subsidence or drawdown expectations would be exceeded</w:t>
      </w:r>
      <w:r w:rsidR="00CF72F2">
        <w:t>,</w:t>
      </w:r>
      <w:r w:rsidRPr="00EE7F34">
        <w:t xml:space="preserve"> treat as for Class 2</w:t>
      </w:r>
    </w:p>
    <w:p w:rsidR="00EE7F34" w:rsidRPr="00EE7F34" w:rsidRDefault="00EE7F34" w:rsidP="005649EE">
      <w:pPr>
        <w:pStyle w:val="Number2ndlevel"/>
      </w:pPr>
      <w:r w:rsidRPr="00EE7F34">
        <w:t xml:space="preserve">Class 2 – </w:t>
      </w:r>
      <w:r w:rsidR="00CF72F2">
        <w:t>s</w:t>
      </w:r>
      <w:r w:rsidRPr="00EE7F34">
        <w:t xml:space="preserve">ubsidence between 50 and 100 mm – </w:t>
      </w:r>
      <w:r w:rsidR="00CF72F2">
        <w:t>l</w:t>
      </w:r>
      <w:r w:rsidRPr="00EE7F34">
        <w:t xml:space="preserve">ow </w:t>
      </w:r>
      <w:proofErr w:type="gramStart"/>
      <w:r w:rsidRPr="00EE7F34">
        <w:t>risk</w:t>
      </w:r>
      <w:proofErr w:type="gramEnd"/>
      <w:r w:rsidRPr="00EE7F34">
        <w:t xml:space="preserve">: </w:t>
      </w:r>
      <w:r w:rsidR="00CF72F2">
        <w:t>i</w:t>
      </w:r>
      <w:r w:rsidRPr="00EE7F34">
        <w:t xml:space="preserve">dentify locations of assets (environmental and anthropogenic) </w:t>
      </w:r>
      <w:r w:rsidR="00CF72F2">
        <w:t>that</w:t>
      </w:r>
      <w:r w:rsidR="00CF72F2" w:rsidRPr="00EE7F34">
        <w:t xml:space="preserve"> </w:t>
      </w:r>
      <w:r w:rsidRPr="00EE7F34">
        <w:t>are highly sensitive to subsidence. Monitor subsidence and groundwater level at locations where subsidence assessed as likely to be largest (</w:t>
      </w:r>
      <w:r w:rsidR="00CF72F2">
        <w:t xml:space="preserve">e.g. </w:t>
      </w:r>
      <w:r w:rsidRPr="00EE7F34">
        <w:t xml:space="preserve">near individual wells at centre of </w:t>
      </w:r>
      <w:r w:rsidR="003721DE">
        <w:rPr>
          <w:lang w:val="en-AU"/>
        </w:rPr>
        <w:t>coal seam gas</w:t>
      </w:r>
      <w:r w:rsidR="003721DE" w:rsidRPr="00E13ED7">
        <w:rPr>
          <w:lang w:val="en-AU"/>
        </w:rPr>
        <w:t xml:space="preserve"> </w:t>
      </w:r>
      <w:r w:rsidRPr="00EE7F34">
        <w:t>well field and at locations of deepest alluvial soils) and at locations of selected sensitive assets to confirm assessment during operation (priority locations). Review monitoring annually and compare monitoring results against nominated subsidence thresholds for specific assets. Should monitoring trends indicate that subsidence or drawdown expectations would be exceeded</w:t>
      </w:r>
      <w:r w:rsidR="00CF72F2">
        <w:t>,</w:t>
      </w:r>
      <w:r w:rsidRPr="00EE7F34">
        <w:t xml:space="preserve"> treat as for Class 3</w:t>
      </w:r>
    </w:p>
    <w:p w:rsidR="00EE7F34" w:rsidRPr="00EE7F34" w:rsidRDefault="00EE7F34" w:rsidP="005649EE">
      <w:pPr>
        <w:pStyle w:val="Number2ndlevel"/>
      </w:pPr>
      <w:r w:rsidRPr="00EE7F34">
        <w:t xml:space="preserve">Class 3 – </w:t>
      </w:r>
      <w:r w:rsidR="00CF72F2">
        <w:t>s</w:t>
      </w:r>
      <w:r w:rsidRPr="00EE7F34">
        <w:t xml:space="preserve">ubsidence between 100 and 200 mm – </w:t>
      </w:r>
      <w:r w:rsidR="00CF72F2">
        <w:t>m</w:t>
      </w:r>
      <w:r w:rsidRPr="00EE7F34">
        <w:t xml:space="preserve">oderate </w:t>
      </w:r>
      <w:proofErr w:type="gramStart"/>
      <w:r w:rsidRPr="00EE7F34">
        <w:t>risk</w:t>
      </w:r>
      <w:proofErr w:type="gramEnd"/>
      <w:r w:rsidRPr="00EE7F34">
        <w:t xml:space="preserve">: </w:t>
      </w:r>
      <w:r w:rsidR="00CF72F2">
        <w:t>a</w:t>
      </w:r>
      <w:r w:rsidRPr="00EE7F34">
        <w:t>ssess the extent of long</w:t>
      </w:r>
      <w:r w:rsidR="00CF72F2">
        <w:t>-</w:t>
      </w:r>
      <w:r w:rsidRPr="00EE7F34">
        <w:t xml:space="preserve">term groundwater impact and assess subsidence within this area identifying predicted subsidence zones. Prepare an inventory of assets (environmental and anthropogenic) within the area assessed to be </w:t>
      </w:r>
      <w:r w:rsidR="00EC319F">
        <w:t>affected</w:t>
      </w:r>
      <w:r w:rsidRPr="00EE7F34">
        <w:t xml:space="preserve"> at Class 2 level or higher. Monitor subsidence in a way </w:t>
      </w:r>
      <w:r w:rsidR="00CF72F2">
        <w:t>that</w:t>
      </w:r>
      <w:r w:rsidR="00CF72F2" w:rsidRPr="00EE7F34">
        <w:t xml:space="preserve"> </w:t>
      </w:r>
      <w:r w:rsidRPr="00EE7F34">
        <w:t>allows development of contours of subsidence at annual intervals</w:t>
      </w:r>
      <w:r w:rsidR="00CF72F2">
        <w:t>,</w:t>
      </w:r>
      <w:r w:rsidRPr="00EE7F34">
        <w:t xml:space="preserve"> including monitoring of groundwater level and subsidence at priority locations on a monthly basis. Review six monthly until trends become clear, then at annual intervals. Make assessments of the impacts on subsidence sensitive assets within Class 3 zones. Should monitoring indicate the presence of Class 4 impact zones</w:t>
      </w:r>
      <w:r w:rsidR="00CF72F2">
        <w:t>,</w:t>
      </w:r>
      <w:r w:rsidRPr="00EE7F34">
        <w:t xml:space="preserve"> then treat as for Class 4. If anticipated subsidence of sensitive assets indicates potential for adverse impacts</w:t>
      </w:r>
      <w:r w:rsidR="00CF72F2">
        <w:t>,</w:t>
      </w:r>
      <w:r w:rsidRPr="00EE7F34">
        <w:t xml:space="preserve"> then management of these impacts is to be carried out. </w:t>
      </w:r>
    </w:p>
    <w:p w:rsidR="00EE7F34" w:rsidRPr="00EE7F34" w:rsidRDefault="00EE7F34" w:rsidP="005649EE">
      <w:pPr>
        <w:pStyle w:val="Number2ndlevel"/>
      </w:pPr>
      <w:r w:rsidRPr="00EE7F34">
        <w:t xml:space="preserve">Case 4 – </w:t>
      </w:r>
      <w:r w:rsidR="00CF72F2">
        <w:t>s</w:t>
      </w:r>
      <w:r w:rsidRPr="00EE7F34">
        <w:t xml:space="preserve">ubsidence of 200 mm or more – </w:t>
      </w:r>
      <w:r w:rsidR="00CF72F2">
        <w:t>h</w:t>
      </w:r>
      <w:r w:rsidRPr="00EE7F34">
        <w:t xml:space="preserve">igh </w:t>
      </w:r>
      <w:proofErr w:type="gramStart"/>
      <w:r w:rsidRPr="00EE7F34">
        <w:t>risk</w:t>
      </w:r>
      <w:proofErr w:type="gramEnd"/>
      <w:r w:rsidRPr="00EE7F34">
        <w:t xml:space="preserve">: </w:t>
      </w:r>
      <w:r w:rsidR="00CF72F2">
        <w:t>a</w:t>
      </w:r>
      <w:r w:rsidRPr="00EE7F34">
        <w:t>ssess the extent of long</w:t>
      </w:r>
      <w:r w:rsidR="00CF72F2">
        <w:t>-</w:t>
      </w:r>
      <w:r w:rsidRPr="00EE7F34">
        <w:t xml:space="preserve">term groundwater impact and assess subsidence within this area identifying predicted subsidence zones. Prepare an inventory of assets (environmental and anthropogenic) within the area assessed to be impacted at Class 2 level or higher. Monitor subsidence in a way </w:t>
      </w:r>
      <w:r w:rsidR="00CF72F2">
        <w:t>that</w:t>
      </w:r>
      <w:r w:rsidR="00CF72F2" w:rsidRPr="00EE7F34">
        <w:t xml:space="preserve"> </w:t>
      </w:r>
      <w:r w:rsidRPr="00EE7F34">
        <w:t>allows development of contours of subsidence at annual intervals</w:t>
      </w:r>
      <w:r w:rsidR="00CF72F2">
        <w:t>,</w:t>
      </w:r>
      <w:r w:rsidRPr="00EE7F34">
        <w:t xml:space="preserve"> including monitoring of groundwater level and subsidence at priority locations on a monthly basis. Review six monthly until trends become clear, then review at annual intervals. Make assessments of the impacts on subsidence-sensitive assets within Class 3 and Class 4 zones. If anticipated subsidence of sensitive assets indicates potential for adverse impacts</w:t>
      </w:r>
      <w:r w:rsidR="00CF72F2">
        <w:t>,</w:t>
      </w:r>
      <w:r w:rsidRPr="00EE7F34">
        <w:t xml:space="preserve"> then management of these impacts would need to be carried out. Subsidence management responses such as injection of produced water would need to consider longer term impacts beyond the decommissioning of the </w:t>
      </w:r>
      <w:r w:rsidR="003721DE">
        <w:rPr>
          <w:lang w:val="en-AU"/>
        </w:rPr>
        <w:t>coal seam gas</w:t>
      </w:r>
      <w:r w:rsidR="003721DE" w:rsidRPr="00E13ED7">
        <w:rPr>
          <w:lang w:val="en-AU"/>
        </w:rPr>
        <w:t xml:space="preserve"> </w:t>
      </w:r>
      <w:r w:rsidRPr="00EE7F34">
        <w:t xml:space="preserve">operation when produced water would </w:t>
      </w:r>
      <w:r w:rsidR="00CF72F2">
        <w:t>no longer</w:t>
      </w:r>
      <w:r w:rsidR="00CF72F2" w:rsidRPr="00EE7F34">
        <w:t xml:space="preserve"> </w:t>
      </w:r>
      <w:r w:rsidRPr="00EE7F34">
        <w:t>be available.</w:t>
      </w:r>
    </w:p>
    <w:p w:rsidR="00EE7F34" w:rsidRPr="00EE7F34" w:rsidRDefault="00EE7F34" w:rsidP="00EE7F34">
      <w:pPr>
        <w:pStyle w:val="Listintrotext"/>
        <w:rPr>
          <w:lang w:val="en-GB"/>
        </w:rPr>
      </w:pPr>
    </w:p>
    <w:p w:rsidR="00EE7F34" w:rsidRPr="00EE7F34" w:rsidRDefault="00773DBF" w:rsidP="005649EE">
      <w:pPr>
        <w:pStyle w:val="Heading1"/>
      </w:pPr>
      <w:bookmarkStart w:id="619" w:name="_Toc402425354"/>
      <w:r>
        <w:t>Conclusions and s</w:t>
      </w:r>
      <w:r w:rsidR="00EE7F34" w:rsidRPr="00EE7F34">
        <w:t>ummary</w:t>
      </w:r>
      <w:bookmarkEnd w:id="619"/>
    </w:p>
    <w:p w:rsidR="00EE7F34" w:rsidRPr="00EE7F34" w:rsidRDefault="00EE7F34" w:rsidP="005649EE">
      <w:pPr>
        <w:pStyle w:val="BRNormal11pt0"/>
        <w:rPr>
          <w:lang w:val="en-GB"/>
        </w:rPr>
      </w:pPr>
      <w:r w:rsidRPr="00EE7F34">
        <w:rPr>
          <w:lang w:val="en-GB"/>
        </w:rPr>
        <w:t xml:space="preserve">Coal seam gas is a type of natural gas extracted from coal seams at depth (generally more than 200 m below the ground surface). It is an increasing source of natural gas around the world and Australia possesses </w:t>
      </w:r>
      <w:r w:rsidR="000170F4">
        <w:rPr>
          <w:lang w:val="en-GB"/>
        </w:rPr>
        <w:t>substantial</w:t>
      </w:r>
      <w:r w:rsidR="000170F4" w:rsidRPr="00EE7F34">
        <w:rPr>
          <w:lang w:val="en-GB"/>
        </w:rPr>
        <w:t xml:space="preserve"> </w:t>
      </w:r>
      <w:r w:rsidRPr="00EE7F34">
        <w:rPr>
          <w:lang w:val="en-GB"/>
        </w:rPr>
        <w:t>deposits. Coal seam gas production involves the extraction of groundwater to facilitate depressurisation (</w:t>
      </w:r>
      <w:r w:rsidR="006F1931">
        <w:rPr>
          <w:lang w:val="en-GB"/>
        </w:rPr>
        <w:t xml:space="preserve">i.e. </w:t>
      </w:r>
      <w:r w:rsidRPr="00EE7F34">
        <w:rPr>
          <w:lang w:val="en-GB"/>
        </w:rPr>
        <w:t xml:space="preserve">lowering of the water pressure) of the target coal seam. Coal seam gas developments in Australia are </w:t>
      </w:r>
      <w:r w:rsidR="00327B9A">
        <w:rPr>
          <w:lang w:val="en-GB"/>
        </w:rPr>
        <w:t>predominantly</w:t>
      </w:r>
      <w:r w:rsidRPr="00EE7F34">
        <w:rPr>
          <w:lang w:val="en-GB"/>
        </w:rPr>
        <w:t xml:space="preserve"> located in rural areas with established groundwater abstraction (such as for agricultural, mining or domestic use). The geological conditions in these environments typically comprise surficial alluvial soil systems (such as in sands or clays), underlain by consolidated sedimentary rock units (</w:t>
      </w:r>
      <w:r w:rsidR="00145830">
        <w:rPr>
          <w:lang w:val="en-GB"/>
        </w:rPr>
        <w:t xml:space="preserve">such as </w:t>
      </w:r>
      <w:r w:rsidRPr="00EE7F34">
        <w:rPr>
          <w:lang w:val="en-GB"/>
        </w:rPr>
        <w:t>sandstone, siltstone, mudstone), with coal seams interbedded within layered sedimentary rock.</w:t>
      </w:r>
    </w:p>
    <w:p w:rsidR="00EE7F34" w:rsidRPr="00EE7F34" w:rsidRDefault="00EE7F34" w:rsidP="005649EE">
      <w:pPr>
        <w:pStyle w:val="BRNormal11pt0"/>
        <w:rPr>
          <w:lang w:val="en-GB"/>
        </w:rPr>
      </w:pPr>
      <w:r w:rsidRPr="00EE7F34">
        <w:rPr>
          <w:lang w:val="en-GB"/>
        </w:rPr>
        <w:t xml:space="preserve">A typical coal seam gas extraction site comprises multiple </w:t>
      </w:r>
      <w:r w:rsidR="003721DE">
        <w:rPr>
          <w:lang w:val="en-AU"/>
        </w:rPr>
        <w:t>coal seam gas</w:t>
      </w:r>
      <w:r w:rsidR="003721DE" w:rsidRPr="00E13ED7">
        <w:rPr>
          <w:lang w:val="en-AU"/>
        </w:rPr>
        <w:t xml:space="preserve"> </w:t>
      </w:r>
      <w:r w:rsidRPr="00EE7F34">
        <w:rPr>
          <w:lang w:val="en-GB"/>
        </w:rPr>
        <w:t>extraction (production) wells, collectively referred to as a well</w:t>
      </w:r>
      <w:r w:rsidR="006F1931">
        <w:rPr>
          <w:lang w:val="en-GB"/>
        </w:rPr>
        <w:t xml:space="preserve"> </w:t>
      </w:r>
      <w:r w:rsidRPr="00EE7F34">
        <w:rPr>
          <w:lang w:val="en-GB"/>
        </w:rPr>
        <w:t>field, where groundwater is extracted to lower the pressure in the target coal formations to release the coal seam gas.</w:t>
      </w:r>
    </w:p>
    <w:p w:rsidR="00EE7F34" w:rsidRPr="00EE7F34" w:rsidRDefault="00532A1B" w:rsidP="005649EE">
      <w:pPr>
        <w:pStyle w:val="BRNormal11pt0"/>
        <w:rPr>
          <w:lang w:val="en-GB"/>
        </w:rPr>
      </w:pPr>
      <w:r>
        <w:rPr>
          <w:lang w:val="en-GB"/>
        </w:rPr>
        <w:t>Surface</w:t>
      </w:r>
      <w:r w:rsidR="00EE7F34" w:rsidRPr="00EE7F34">
        <w:rPr>
          <w:lang w:val="en-GB"/>
        </w:rPr>
        <w:t xml:space="preserve"> subsidence occurs when soil, coal or rock (geological units) </w:t>
      </w:r>
      <w:r>
        <w:rPr>
          <w:lang w:val="en-GB"/>
        </w:rPr>
        <w:t>compact</w:t>
      </w:r>
      <w:r w:rsidR="00EE7F34" w:rsidRPr="00EE7F34">
        <w:rPr>
          <w:lang w:val="en-GB"/>
        </w:rPr>
        <w:t xml:space="preserve"> due to changes in pressure induced by groundwater extraction and degassing of the coal.</w:t>
      </w:r>
      <w:r w:rsidR="006F1931">
        <w:rPr>
          <w:lang w:val="en-GB"/>
        </w:rPr>
        <w:t xml:space="preserve"> </w:t>
      </w:r>
      <w:r w:rsidR="00EE7F34" w:rsidRPr="00EE7F34">
        <w:rPr>
          <w:lang w:val="en-GB"/>
        </w:rPr>
        <w:t xml:space="preserve">Subsidence at the surface is the sum of the </w:t>
      </w:r>
      <w:r>
        <w:rPr>
          <w:lang w:val="en-GB"/>
        </w:rPr>
        <w:t xml:space="preserve">compaction </w:t>
      </w:r>
      <w:r w:rsidR="00EE7F34" w:rsidRPr="00EE7F34">
        <w:rPr>
          <w:lang w:val="en-GB"/>
        </w:rPr>
        <w:t>occurring within (potentially) multiple geological units. It is dependent on the groundwater withdrawal, the degassing of the coal, the depth and depth-interval over which compression occurs, and the geotechnical properties of the geological units throughout the depth profile.</w:t>
      </w:r>
    </w:p>
    <w:p w:rsidR="00EE7F34" w:rsidRPr="00EE7F34" w:rsidRDefault="00532A1B" w:rsidP="005649EE">
      <w:pPr>
        <w:pStyle w:val="BRNormal11pt0"/>
        <w:rPr>
          <w:lang w:val="en-GB"/>
        </w:rPr>
      </w:pPr>
      <w:r>
        <w:rPr>
          <w:lang w:val="en-GB"/>
        </w:rPr>
        <w:t>Surface</w:t>
      </w:r>
      <w:r w:rsidR="00EE7F34" w:rsidRPr="00EE7F34">
        <w:rPr>
          <w:lang w:val="en-GB"/>
        </w:rPr>
        <w:t xml:space="preserve"> subsidence may </w:t>
      </w:r>
      <w:r>
        <w:rPr>
          <w:lang w:val="en-GB"/>
        </w:rPr>
        <w:t>affect</w:t>
      </w:r>
      <w:r w:rsidR="00EE7F34" w:rsidRPr="00EE7F34">
        <w:rPr>
          <w:lang w:val="en-GB"/>
        </w:rPr>
        <w:t xml:space="preserve"> a variety of assets, including infrastructure (such as buildings, roads, railways, pipelines, dams, water channels, levees and electrical infrastructure) and environmental assets (such as aquifers, streams, lakes, springs and other surface water resources). </w:t>
      </w:r>
    </w:p>
    <w:p w:rsidR="00EE7F34" w:rsidRPr="00EE7F34" w:rsidRDefault="00EE7F34" w:rsidP="005649EE">
      <w:pPr>
        <w:pStyle w:val="BRNormal11pt0"/>
        <w:rPr>
          <w:lang w:val="en-AU"/>
        </w:rPr>
      </w:pPr>
      <w:r w:rsidRPr="00EE7F34">
        <w:rPr>
          <w:lang w:val="en-AU"/>
        </w:rPr>
        <w:t>Subsidence models are developed to predict the magnitude and extent of subsidence. The outcomes of such assessments may then be used to inform subsidence monitoring schemes and, where required, to manage or mitigate the potential impact of subsidence on assets.</w:t>
      </w:r>
    </w:p>
    <w:p w:rsidR="005649EE" w:rsidRDefault="00EE7F34" w:rsidP="005649EE">
      <w:pPr>
        <w:pStyle w:val="BRNormal11pt0"/>
        <w:rPr>
          <w:lang w:val="en-AU"/>
        </w:rPr>
      </w:pPr>
      <w:r w:rsidRPr="00EE7F34">
        <w:rPr>
          <w:lang w:val="en-AU"/>
        </w:rPr>
        <w:t>Modelling may be undertaken to predict potential subsidence by either</w:t>
      </w:r>
      <w:r w:rsidR="005649EE">
        <w:rPr>
          <w:lang w:val="en-AU"/>
        </w:rPr>
        <w:t>:</w:t>
      </w:r>
    </w:p>
    <w:p w:rsidR="005649EE" w:rsidRDefault="00EE7F34" w:rsidP="007702DF">
      <w:pPr>
        <w:pStyle w:val="BRdotpoints"/>
        <w:rPr>
          <w:lang w:val="en-AU"/>
        </w:rPr>
      </w:pPr>
      <w:r w:rsidRPr="00EE7F34">
        <w:rPr>
          <w:lang w:val="en-AU"/>
        </w:rPr>
        <w:t xml:space="preserve">extrapolation </w:t>
      </w:r>
      <w:r w:rsidR="005649EE">
        <w:rPr>
          <w:lang w:val="en-AU"/>
        </w:rPr>
        <w:t>of the results of experience</w:t>
      </w:r>
    </w:p>
    <w:p w:rsidR="005649EE" w:rsidRDefault="00D334D9" w:rsidP="007702DF">
      <w:pPr>
        <w:pStyle w:val="BRdotpoints"/>
        <w:rPr>
          <w:lang w:val="en-AU"/>
        </w:rPr>
      </w:pPr>
      <w:r>
        <w:t>analysis of the compression (and resulting compaction) within the vertical profile due to changes in groundwater pressure arising from coal seam gas extraction, and due to changes in the coal matrix arising from coal seam gas extraction.</w:t>
      </w:r>
    </w:p>
    <w:p w:rsidR="00EE7F34" w:rsidRPr="00EE7F34" w:rsidRDefault="00EE7F34" w:rsidP="005649EE">
      <w:pPr>
        <w:pStyle w:val="Post-listtext"/>
        <w:rPr>
          <w:lang w:val="en-AU"/>
        </w:rPr>
      </w:pPr>
      <w:r w:rsidRPr="00EE7F34">
        <w:rPr>
          <w:lang w:val="en-AU"/>
        </w:rPr>
        <w:t xml:space="preserve">Currently there </w:t>
      </w:r>
      <w:r w:rsidR="00D334D9">
        <w:rPr>
          <w:lang w:val="en-AU"/>
        </w:rPr>
        <w:t xml:space="preserve">are </w:t>
      </w:r>
      <w:r w:rsidRPr="00EE7F34">
        <w:rPr>
          <w:lang w:val="en-AU"/>
        </w:rPr>
        <w:t>very limited subsidence data available for Australian coal seam gas developments.</w:t>
      </w:r>
      <w:r w:rsidRPr="00EE7F34">
        <w:rPr>
          <w:lang w:val="en-GB"/>
        </w:rPr>
        <w:t xml:space="preserve"> As such, the first method </w:t>
      </w:r>
      <w:r w:rsidRPr="00EE7F34">
        <w:rPr>
          <w:lang w:val="en-AU"/>
        </w:rPr>
        <w:t>will not be effective until a sufficient database of experience is developed, and the second method will need to be adopted.</w:t>
      </w:r>
    </w:p>
    <w:p w:rsidR="00EE7F34" w:rsidRPr="00EE7F34" w:rsidRDefault="00EE7F34" w:rsidP="005649EE">
      <w:pPr>
        <w:pStyle w:val="BRNormal11pt0"/>
        <w:rPr>
          <w:lang w:val="en-AU"/>
        </w:rPr>
      </w:pPr>
      <w:r w:rsidRPr="00EE7F34">
        <w:rPr>
          <w:lang w:val="en-AU"/>
        </w:rPr>
        <w:t xml:space="preserve">Predictive subsidence modelling approaches provide estimates of both the </w:t>
      </w:r>
      <w:r w:rsidR="00D334D9">
        <w:rPr>
          <w:lang w:val="en-AU"/>
        </w:rPr>
        <w:t>compaction</w:t>
      </w:r>
      <w:r w:rsidRPr="00EE7F34">
        <w:rPr>
          <w:lang w:val="en-AU"/>
        </w:rPr>
        <w:t xml:space="preserve"> of hydrogeological units due to changes in groundwater pressure and the </w:t>
      </w:r>
      <w:r w:rsidR="00D334D9">
        <w:rPr>
          <w:lang w:val="en-AU"/>
        </w:rPr>
        <w:t>compaction</w:t>
      </w:r>
      <w:r w:rsidRPr="00EE7F34">
        <w:rPr>
          <w:lang w:val="en-AU"/>
        </w:rPr>
        <w:t xml:space="preserve"> of the coal seam due to degassing. These two components </w:t>
      </w:r>
      <w:r w:rsidR="005D1B12">
        <w:rPr>
          <w:lang w:val="en-AU"/>
        </w:rPr>
        <w:t>may</w:t>
      </w:r>
      <w:r w:rsidRPr="00EE7F34">
        <w:rPr>
          <w:lang w:val="en-AU"/>
        </w:rPr>
        <w:t xml:space="preserve"> </w:t>
      </w:r>
      <w:r w:rsidR="005D1B12">
        <w:rPr>
          <w:lang w:val="en-AU"/>
        </w:rPr>
        <w:t xml:space="preserve">be </w:t>
      </w:r>
      <w:r w:rsidRPr="00EE7F34">
        <w:rPr>
          <w:lang w:val="en-AU"/>
        </w:rPr>
        <w:t>added together for all geological units experiencing a pressure change to provide a</w:t>
      </w:r>
      <w:r w:rsidR="005D1B12">
        <w:rPr>
          <w:lang w:val="en-AU"/>
        </w:rPr>
        <w:t xml:space="preserve"> conservative</w:t>
      </w:r>
      <w:r w:rsidRPr="00EE7F34">
        <w:rPr>
          <w:lang w:val="en-AU"/>
        </w:rPr>
        <w:t xml:space="preserve"> estimate of the </w:t>
      </w:r>
      <w:r w:rsidR="005D1B12">
        <w:rPr>
          <w:lang w:val="en-AU"/>
        </w:rPr>
        <w:t xml:space="preserve">maximum possible </w:t>
      </w:r>
      <w:r w:rsidRPr="00EE7F34">
        <w:rPr>
          <w:lang w:val="en-AU"/>
        </w:rPr>
        <w:t>surface subsidence</w:t>
      </w:r>
      <w:r w:rsidR="005D1B12">
        <w:rPr>
          <w:lang w:val="en-AU"/>
        </w:rPr>
        <w:t>, although the subsidence observed at the surface is likely to be less than such an estimate</w:t>
      </w:r>
      <w:r w:rsidRPr="00EE7F34">
        <w:rPr>
          <w:lang w:val="en-AU"/>
        </w:rPr>
        <w:t>.</w:t>
      </w:r>
    </w:p>
    <w:p w:rsidR="00EE7F34" w:rsidRPr="00EE7F34" w:rsidRDefault="00EE7F34" w:rsidP="005649EE">
      <w:pPr>
        <w:pStyle w:val="BRNormal11pt0"/>
        <w:rPr>
          <w:lang w:val="en-GB"/>
        </w:rPr>
      </w:pPr>
      <w:r w:rsidRPr="00EE7F34">
        <w:rPr>
          <w:lang w:val="en-AU"/>
        </w:rPr>
        <w:t xml:space="preserve">Different modelling approaches consider different assumptions and treatments of geological complexity within the ground. </w:t>
      </w:r>
      <w:r w:rsidRPr="00EE7F34">
        <w:rPr>
          <w:lang w:val="en-GB"/>
        </w:rPr>
        <w:t>The suitability of a modelling approach to predict subsidence accurately will depend on the conditions local to the development under assessment, and the level of detail required for the assessment (e.g. general screening for potential impacts to assets or detailed analysis of impacts to a specific asset). Accurate prediction of the magnitudes and extent of subsidence requires the appropriate selection of geotechnical and hydraulic properties of the geological units undergoing depressurisation.</w:t>
      </w:r>
    </w:p>
    <w:p w:rsidR="00EE7F34" w:rsidRPr="00EE7F34" w:rsidRDefault="00EE7F34" w:rsidP="005649EE">
      <w:pPr>
        <w:pStyle w:val="BRNormal11pt0"/>
        <w:rPr>
          <w:lang w:val="en-GB"/>
        </w:rPr>
      </w:pPr>
      <w:r w:rsidRPr="00EE7F34">
        <w:rPr>
          <w:lang w:val="en-GB"/>
        </w:rPr>
        <w:t>Subsidence monitoring is primarily undertaken to gain an understanding of the threat subsidence poses to infrastructure and the environment due to ground movement. It can provide an early warning of subsidence approaching levels that pose a risk to infrastructure and the environment. Monitoring is also a means of testing subsidence against subsidence modelling predictions. Data obtained from monitoring may be used to predict future subsidence extents and magnitudes.</w:t>
      </w:r>
    </w:p>
    <w:p w:rsidR="00EE7F34" w:rsidRPr="00EE7F34" w:rsidRDefault="00EE7F34" w:rsidP="005649EE">
      <w:pPr>
        <w:pStyle w:val="BRNormal11pt0"/>
        <w:rPr>
          <w:lang w:val="en-GB"/>
        </w:rPr>
      </w:pPr>
      <w:r w:rsidRPr="00EE7F34">
        <w:rPr>
          <w:lang w:val="en-GB"/>
        </w:rPr>
        <w:t xml:space="preserve">A range of instrumentation and monitoring techniques are available to undertake subsidence monitoring. Each monitoring technique possesses different advantages and disadvantages </w:t>
      </w:r>
      <w:r w:rsidR="0083025D">
        <w:rPr>
          <w:lang w:val="en-GB"/>
        </w:rPr>
        <w:t>with respect to</w:t>
      </w:r>
      <w:r w:rsidRPr="00EE7F34">
        <w:rPr>
          <w:lang w:val="en-GB"/>
        </w:rPr>
        <w:t xml:space="preserve"> performance, coverage, reliability, applicability/durability, maintenance, cost and installation requirements.</w:t>
      </w:r>
    </w:p>
    <w:p w:rsidR="00EE7F34" w:rsidRPr="00EE7F34" w:rsidRDefault="00EE7F34" w:rsidP="005649EE">
      <w:pPr>
        <w:pStyle w:val="BRNormal11pt0"/>
        <w:rPr>
          <w:lang w:val="en-GB"/>
        </w:rPr>
      </w:pPr>
      <w:r w:rsidRPr="00EE7F34">
        <w:rPr>
          <w:lang w:val="en-GB"/>
        </w:rPr>
        <w:t xml:space="preserve">Subsidence management strategies are developed to identify, monitor and mitigate the potential impact of </w:t>
      </w:r>
      <w:r w:rsidR="003721DE">
        <w:rPr>
          <w:lang w:val="en-AU"/>
        </w:rPr>
        <w:t>coal seam gas</w:t>
      </w:r>
      <w:r w:rsidR="00FD459A">
        <w:rPr>
          <w:lang w:val="en-GB"/>
        </w:rPr>
        <w:t xml:space="preserve"> </w:t>
      </w:r>
      <w:r w:rsidRPr="00EE7F34">
        <w:rPr>
          <w:lang w:val="en-GB"/>
        </w:rPr>
        <w:t>induced subsidence on infrastructure and the environment. To assess an appropriate management strategy, assessments should predict the extent and magnitude of potential subsidence, identify sensitive assets (infrastructure, water resources and ecosystems), and assess the potential impact of predicted subsidence on sensitive assets against impact criteria relevant to the type of asset.</w:t>
      </w:r>
    </w:p>
    <w:p w:rsidR="00EE7F34" w:rsidRPr="00EE7F34" w:rsidRDefault="00EE7F34" w:rsidP="005649EE">
      <w:pPr>
        <w:pStyle w:val="BRNormal11pt0"/>
        <w:rPr>
          <w:lang w:val="en-GB"/>
        </w:rPr>
      </w:pPr>
      <w:r w:rsidRPr="00EE7F34">
        <w:rPr>
          <w:lang w:val="en-GB"/>
        </w:rPr>
        <w:t>The management strategy adopted will depend on the risk of the potential impact, and may comprise review of monitoring data on a periodic basis, mitigation measures to reduce the expected impact, or other alternative courses of action such as modification of the coal seam gas production design.</w:t>
      </w:r>
    </w:p>
    <w:p w:rsidR="005649EE" w:rsidRPr="005649EE" w:rsidRDefault="005649EE" w:rsidP="00F21E5C">
      <w:pPr>
        <w:pStyle w:val="Heading1"/>
      </w:pPr>
      <w:bookmarkStart w:id="620" w:name="_Toc402425355"/>
      <w:r w:rsidRPr="005649EE">
        <w:t xml:space="preserve">Knowledge </w:t>
      </w:r>
      <w:r w:rsidR="006A40B5">
        <w:t>g</w:t>
      </w:r>
      <w:r w:rsidRPr="005649EE">
        <w:t xml:space="preserve">aps and </w:t>
      </w:r>
      <w:r w:rsidR="006A40B5">
        <w:t>c</w:t>
      </w:r>
      <w:r w:rsidRPr="005649EE">
        <w:t xml:space="preserve">ritical </w:t>
      </w:r>
      <w:r w:rsidR="006A40B5">
        <w:t>r</w:t>
      </w:r>
      <w:r w:rsidRPr="005649EE">
        <w:t xml:space="preserve">esearch </w:t>
      </w:r>
      <w:r w:rsidR="006A40B5">
        <w:t>r</w:t>
      </w:r>
      <w:r w:rsidRPr="005649EE">
        <w:t>equirements</w:t>
      </w:r>
      <w:bookmarkEnd w:id="620"/>
    </w:p>
    <w:p w:rsidR="005649EE" w:rsidRPr="005649EE" w:rsidRDefault="005649EE" w:rsidP="005649EE">
      <w:pPr>
        <w:pStyle w:val="Listintrotext"/>
        <w:rPr>
          <w:lang w:val="en-AU"/>
        </w:rPr>
      </w:pPr>
      <w:r w:rsidRPr="005649EE">
        <w:rPr>
          <w:lang w:val="en-AU"/>
        </w:rPr>
        <w:t xml:space="preserve">The following list identifies knowledge gaps relating to monitoring and management of subsidence due to </w:t>
      </w:r>
      <w:r w:rsidR="003721DE">
        <w:rPr>
          <w:lang w:val="en-AU"/>
        </w:rPr>
        <w:t>coal seam gas</w:t>
      </w:r>
      <w:r w:rsidR="003721DE" w:rsidRPr="00E13ED7">
        <w:rPr>
          <w:lang w:val="en-AU"/>
        </w:rPr>
        <w:t xml:space="preserve"> </w:t>
      </w:r>
      <w:r w:rsidRPr="005649EE">
        <w:rPr>
          <w:lang w:val="en-AU"/>
        </w:rPr>
        <w:t xml:space="preserve">extraction, and critical research requirements to </w:t>
      </w:r>
      <w:r w:rsidR="00A91AE7">
        <w:rPr>
          <w:lang w:val="en-AU"/>
        </w:rPr>
        <w:t>address</w:t>
      </w:r>
      <w:r w:rsidR="00A91AE7" w:rsidRPr="005649EE">
        <w:rPr>
          <w:lang w:val="en-AU"/>
        </w:rPr>
        <w:t xml:space="preserve"> </w:t>
      </w:r>
      <w:r w:rsidRPr="005649EE">
        <w:rPr>
          <w:lang w:val="en-AU"/>
        </w:rPr>
        <w:t>those knowledge gaps</w:t>
      </w:r>
      <w:r w:rsidR="00FD459A">
        <w:rPr>
          <w:lang w:val="en-AU"/>
        </w:rPr>
        <w:t>.</w:t>
      </w:r>
    </w:p>
    <w:p w:rsidR="005649EE" w:rsidRPr="005649EE" w:rsidRDefault="005649EE" w:rsidP="007702DF">
      <w:pPr>
        <w:pStyle w:val="BRdotpoints"/>
        <w:rPr>
          <w:lang w:val="en-GB"/>
        </w:rPr>
      </w:pPr>
      <w:r w:rsidRPr="005649EE">
        <w:rPr>
          <w:lang w:val="en-AU"/>
        </w:rPr>
        <w:t xml:space="preserve">There is no/limited </w:t>
      </w:r>
      <w:r w:rsidRPr="005649EE">
        <w:rPr>
          <w:lang w:val="en-GB"/>
        </w:rPr>
        <w:t xml:space="preserve">subsidence monitoring data for existing </w:t>
      </w:r>
      <w:r w:rsidR="003721DE">
        <w:rPr>
          <w:lang w:val="en-AU"/>
        </w:rPr>
        <w:t>coal seam gas</w:t>
      </w:r>
      <w:r w:rsidR="003721DE" w:rsidRPr="00E13ED7">
        <w:rPr>
          <w:lang w:val="en-AU"/>
        </w:rPr>
        <w:t xml:space="preserve"> </w:t>
      </w:r>
      <w:r w:rsidRPr="005649EE">
        <w:rPr>
          <w:lang w:val="en-GB"/>
        </w:rPr>
        <w:t xml:space="preserve">developments in Australia. Collation of such data across Australian </w:t>
      </w:r>
      <w:r w:rsidR="003721DE">
        <w:rPr>
          <w:lang w:val="en-AU"/>
        </w:rPr>
        <w:t>coal seam gas</w:t>
      </w:r>
      <w:r w:rsidR="003721DE" w:rsidRPr="00E13ED7">
        <w:rPr>
          <w:lang w:val="en-AU"/>
        </w:rPr>
        <w:t xml:space="preserve"> </w:t>
      </w:r>
      <w:r w:rsidRPr="005649EE">
        <w:rPr>
          <w:lang w:val="en-GB"/>
        </w:rPr>
        <w:t>developments, including the magnitude of subsidence, and its relationship to geological and groundwater extraction conditions, and observed impacts (if any), would provide useful review of critical conditions and the potential for validation/improvement of subsidence prediction models.</w:t>
      </w:r>
    </w:p>
    <w:p w:rsidR="005649EE" w:rsidRPr="005649EE" w:rsidRDefault="005649EE" w:rsidP="007702DF">
      <w:pPr>
        <w:pStyle w:val="BRdotpoints"/>
        <w:rPr>
          <w:lang w:val="en-GB"/>
        </w:rPr>
      </w:pPr>
      <w:r w:rsidRPr="005649EE">
        <w:rPr>
          <w:lang w:val="en-GB"/>
        </w:rPr>
        <w:t xml:space="preserve">Coal mining subsidence data offer one potential data set to calibrate the much smaller effects of </w:t>
      </w:r>
      <w:r w:rsidR="003721DE">
        <w:rPr>
          <w:lang w:val="en-AU"/>
        </w:rPr>
        <w:t>coal seam gas</w:t>
      </w:r>
      <w:r w:rsidR="003721DE" w:rsidRPr="00E13ED7">
        <w:rPr>
          <w:lang w:val="en-AU"/>
        </w:rPr>
        <w:t xml:space="preserve"> </w:t>
      </w:r>
      <w:r w:rsidRPr="005649EE">
        <w:rPr>
          <w:lang w:val="en-GB"/>
        </w:rPr>
        <w:t xml:space="preserve">extraction. These historic data are a valuable resource for calibration. Importantly, they can be used to examine both surface and subsurface effects of deformation, and the effects on migration of fluids. Damage to water resources and well integrity are also observations that may be scaled to </w:t>
      </w:r>
      <w:r w:rsidR="003721DE">
        <w:rPr>
          <w:lang w:val="en-AU"/>
        </w:rPr>
        <w:t>coal seam gas</w:t>
      </w:r>
      <w:r w:rsidR="003721DE" w:rsidRPr="00E13ED7">
        <w:rPr>
          <w:lang w:val="en-AU"/>
        </w:rPr>
        <w:t xml:space="preserve"> </w:t>
      </w:r>
      <w:r w:rsidRPr="005649EE">
        <w:rPr>
          <w:lang w:val="en-GB"/>
        </w:rPr>
        <w:t>applications.</w:t>
      </w:r>
    </w:p>
    <w:p w:rsidR="005649EE" w:rsidRPr="005649EE" w:rsidRDefault="005649EE" w:rsidP="007702DF">
      <w:pPr>
        <w:pStyle w:val="BRdotpoints"/>
        <w:rPr>
          <w:lang w:val="en-GB"/>
        </w:rPr>
      </w:pPr>
      <w:r w:rsidRPr="005649EE">
        <w:rPr>
          <w:lang w:val="en-GB"/>
        </w:rPr>
        <w:t>There is limited geotechnical and hydrogeological data for deep sediments (&gt;</w:t>
      </w:r>
      <w:r w:rsidR="00FD459A">
        <w:rPr>
          <w:lang w:val="en-GB"/>
        </w:rPr>
        <w:t> </w:t>
      </w:r>
      <w:r w:rsidRPr="005649EE">
        <w:rPr>
          <w:lang w:val="en-GB"/>
        </w:rPr>
        <w:t xml:space="preserve">200 m below ground surface) in the public domain. Since target </w:t>
      </w:r>
      <w:r w:rsidR="003721DE">
        <w:rPr>
          <w:lang w:val="en-AU"/>
        </w:rPr>
        <w:t>coal seam gas</w:t>
      </w:r>
      <w:r w:rsidR="00FD459A">
        <w:rPr>
          <w:lang w:val="en-GB"/>
        </w:rPr>
        <w:t xml:space="preserve"> </w:t>
      </w:r>
      <w:r w:rsidRPr="005649EE">
        <w:rPr>
          <w:lang w:val="en-GB"/>
        </w:rPr>
        <w:t xml:space="preserve">bearing formations are typically at </w:t>
      </w:r>
      <w:r w:rsidR="000170F4">
        <w:rPr>
          <w:lang w:val="en-GB"/>
        </w:rPr>
        <w:t>great</w:t>
      </w:r>
      <w:r w:rsidR="000170F4" w:rsidRPr="005649EE">
        <w:rPr>
          <w:lang w:val="en-GB"/>
        </w:rPr>
        <w:t xml:space="preserve"> </w:t>
      </w:r>
      <w:r w:rsidRPr="005649EE">
        <w:rPr>
          <w:lang w:val="en-GB"/>
        </w:rPr>
        <w:t xml:space="preserve">depth, these data are of importance in accurately estimating subsidence. Where data are not available for specific </w:t>
      </w:r>
      <w:r w:rsidR="003721DE">
        <w:rPr>
          <w:lang w:val="en-AU"/>
        </w:rPr>
        <w:t>coal seam gas</w:t>
      </w:r>
      <w:r w:rsidR="003721DE" w:rsidRPr="00E13ED7">
        <w:rPr>
          <w:lang w:val="en-AU"/>
        </w:rPr>
        <w:t xml:space="preserve"> </w:t>
      </w:r>
      <w:r w:rsidRPr="005649EE">
        <w:rPr>
          <w:lang w:val="en-GB"/>
        </w:rPr>
        <w:t>developments, data in the public domain must be used. The more detailed those data, the better constrained subsidence models can be.</w:t>
      </w:r>
    </w:p>
    <w:p w:rsidR="005649EE" w:rsidRPr="005649EE" w:rsidRDefault="005649EE" w:rsidP="007702DF">
      <w:pPr>
        <w:pStyle w:val="BRdotpoints"/>
        <w:rPr>
          <w:lang w:val="en-AU"/>
        </w:rPr>
      </w:pPr>
      <w:r w:rsidRPr="005649EE">
        <w:rPr>
          <w:lang w:val="en-GB"/>
        </w:rPr>
        <w:t xml:space="preserve">Records of the magnitude of subsidence at which damage occurs to various assets (subsidence thresholds) are limited. As such, it </w:t>
      </w:r>
      <w:r w:rsidR="00EE1026">
        <w:rPr>
          <w:lang w:val="en-GB"/>
        </w:rPr>
        <w:t>is</w:t>
      </w:r>
      <w:r w:rsidRPr="005649EE">
        <w:rPr>
          <w:lang w:val="en-AU"/>
        </w:rPr>
        <w:t xml:space="preserve"> difficult to develop subsidence thresholds against which subsidence monitoring data should be compared to assess impacts.</w:t>
      </w:r>
    </w:p>
    <w:p w:rsidR="005649EE" w:rsidRPr="005649EE" w:rsidRDefault="005649EE" w:rsidP="005649EE">
      <w:pPr>
        <w:pStyle w:val="Listintrotext"/>
        <w:rPr>
          <w:b/>
          <w:bCs/>
          <w:lang w:val="en-AU"/>
        </w:rPr>
      </w:pPr>
      <w:r w:rsidRPr="005649EE">
        <w:rPr>
          <w:lang w:val="en-AU"/>
        </w:rPr>
        <w:br w:type="page"/>
      </w:r>
    </w:p>
    <w:p w:rsidR="005649EE" w:rsidRPr="005649EE" w:rsidRDefault="005649EE" w:rsidP="005649EE">
      <w:pPr>
        <w:pStyle w:val="Heading1"/>
      </w:pPr>
      <w:bookmarkStart w:id="621" w:name="_Toc402425356"/>
      <w:r w:rsidRPr="005649EE">
        <w:t>References</w:t>
      </w:r>
      <w:bookmarkEnd w:id="621"/>
    </w:p>
    <w:p w:rsidR="00665F95" w:rsidRPr="00235306" w:rsidRDefault="00665F95" w:rsidP="00BA1FBC">
      <w:pPr>
        <w:pStyle w:val="Referencelist"/>
      </w:pPr>
      <w:proofErr w:type="gramStart"/>
      <w:r w:rsidRPr="00235306">
        <w:t xml:space="preserve">ABS 2011, </w:t>
      </w:r>
      <w:r w:rsidRPr="00235306">
        <w:rPr>
          <w:i/>
        </w:rPr>
        <w:t xml:space="preserve">Australian standard geographical classification (ASGC) digital boundaries, </w:t>
      </w:r>
      <w:r w:rsidRPr="00235306">
        <w:t>Australian Bureau of Statistics (ABS), July 2011.</w:t>
      </w:r>
      <w:proofErr w:type="gramEnd"/>
    </w:p>
    <w:p w:rsidR="005649EE" w:rsidRPr="00235306" w:rsidRDefault="005649EE" w:rsidP="00BA1FBC">
      <w:pPr>
        <w:pStyle w:val="Referencelist"/>
      </w:pPr>
      <w:r w:rsidRPr="00235306">
        <w:t>Agarwal, B., H. Hermansen, J. Sylte, L. Thomas, 2000.</w:t>
      </w:r>
      <w:r w:rsidR="00565387">
        <w:t xml:space="preserve"> </w:t>
      </w:r>
      <w:r w:rsidRPr="00235306">
        <w:t xml:space="preserve">Reservoir Characterization of Ekofisk Field: A </w:t>
      </w:r>
      <w:proofErr w:type="gramStart"/>
      <w:r w:rsidRPr="00235306">
        <w:t>Giant,</w:t>
      </w:r>
      <w:proofErr w:type="gramEnd"/>
      <w:r w:rsidRPr="00235306">
        <w:t xml:space="preserve"> Fractured Chalk Reservoir in the Norwegian North Sea - History Match.</w:t>
      </w:r>
      <w:r w:rsidR="00565387">
        <w:t xml:space="preserve"> </w:t>
      </w:r>
      <w:r w:rsidRPr="00235306">
        <w:t>SPE Reservoir Evaluation &amp; Engineering, Volume 3, Issue 6, p. 534-543.</w:t>
      </w:r>
    </w:p>
    <w:p w:rsidR="005649EE" w:rsidRPr="00235306" w:rsidRDefault="005649EE" w:rsidP="00BA1FBC">
      <w:pPr>
        <w:pStyle w:val="Referencelist"/>
      </w:pPr>
      <w:r w:rsidRPr="00235306">
        <w:t>AGL Energy Pty Ltd, 2012. Camden Gas Project Proposed Expansion of Stage 2, Report on the Potential for Coal Seam Methane Gas Extraction to Result in Subsidence at the Surface, Report Number MSEC305, Revision C, April 2007, Report Prepared by Mine Subsidence Engineering Consultants Pty Ltd</w:t>
      </w:r>
      <w:r w:rsidR="00824B9F">
        <w:t>.</w:t>
      </w:r>
    </w:p>
    <w:p w:rsidR="005649EE" w:rsidRPr="00235306" w:rsidRDefault="005649EE" w:rsidP="00BA1FBC">
      <w:pPr>
        <w:pStyle w:val="Referencelist"/>
      </w:pPr>
      <w:r w:rsidRPr="00235306">
        <w:t>Amelung, F., D.L. Galloway, J. Bell, H. Zebker, and R.J. Laczniak, 1999, Sensing the Ups and Downs of Las Vegas: InSAR Reveals Structural Control of Land Subsidence and Aquifer-System Deformation, Geology, 27(6), p. 483-486.</w:t>
      </w:r>
    </w:p>
    <w:p w:rsidR="005649EE" w:rsidRPr="00235306" w:rsidRDefault="005649EE" w:rsidP="00BA1FBC">
      <w:pPr>
        <w:pStyle w:val="Referencelist"/>
      </w:pPr>
      <w:r w:rsidRPr="00235306">
        <w:rPr>
          <w:lang w:val="en-AU"/>
        </w:rPr>
        <w:t xml:space="preserve">American Lifelines Alliance, 2001, Guidelines for the design of buried steel pipe, </w:t>
      </w:r>
      <w:r w:rsidRPr="00781EF7">
        <w:t>www.americanlifelinesalliance.com/pdf/Update061305.pdf</w:t>
      </w:r>
      <w:r w:rsidRPr="00235306">
        <w:t>, accessed 13 November 2012.</w:t>
      </w:r>
    </w:p>
    <w:p w:rsidR="005649EE" w:rsidRPr="005649EE" w:rsidRDefault="005649EE" w:rsidP="00BA1FBC">
      <w:pPr>
        <w:pStyle w:val="Referencelist"/>
      </w:pPr>
      <w:r w:rsidRPr="00235306">
        <w:t>Aminian, K., 2003, Coalbed Methane – Fundamental Concepts.</w:t>
      </w:r>
      <w:r w:rsidR="00565387">
        <w:t xml:space="preserve"> </w:t>
      </w:r>
      <w:proofErr w:type="gramStart"/>
      <w:r w:rsidRPr="00235306">
        <w:t>West Virginia University, Petroleum and Natural Gas Department.</w:t>
      </w:r>
      <w:proofErr w:type="gramEnd"/>
      <w:r w:rsidRPr="00235306">
        <w:t xml:space="preserve"> </w:t>
      </w:r>
      <w:r w:rsidR="00824B9F" w:rsidRPr="00781EF7">
        <w:t>http://www.karl.nrcce.wvu.edu/regional/coalbedmethane_aminian_paper_</w:t>
      </w:r>
      <w:proofErr w:type="gramStart"/>
      <w:r w:rsidR="00824B9F" w:rsidRPr="00781EF7">
        <w:t>1.pdf</w:t>
      </w:r>
      <w:r w:rsidR="00824B9F">
        <w:t xml:space="preserve"> </w:t>
      </w:r>
      <w:r w:rsidRPr="00235306">
        <w:t>,</w:t>
      </w:r>
      <w:proofErr w:type="gramEnd"/>
      <w:r w:rsidRPr="00235306">
        <w:t xml:space="preserve"> accessed 16</w:t>
      </w:r>
      <w:r w:rsidR="00824B9F">
        <w:t> </w:t>
      </w:r>
      <w:r w:rsidRPr="00235306">
        <w:t>April 2014.</w:t>
      </w:r>
    </w:p>
    <w:p w:rsidR="002F546E" w:rsidRPr="006C7C28" w:rsidRDefault="00611B2A" w:rsidP="00BA1FBC">
      <w:pPr>
        <w:pStyle w:val="Referencelist"/>
      </w:pPr>
      <w:proofErr w:type="gramStart"/>
      <w:r w:rsidRPr="006C7C28">
        <w:t>Aquaterra</w:t>
      </w:r>
      <w:r w:rsidR="00565387" w:rsidRPr="006C7C28">
        <w:t xml:space="preserve"> </w:t>
      </w:r>
      <w:r w:rsidR="006C7C28" w:rsidRPr="006C7C28">
        <w:t xml:space="preserve">Consulting </w:t>
      </w:r>
      <w:r w:rsidRPr="006C7C28">
        <w:t>2009</w:t>
      </w:r>
      <w:r w:rsidR="00A54383" w:rsidRPr="006C7C28">
        <w:t>.</w:t>
      </w:r>
      <w:proofErr w:type="gramEnd"/>
      <w:r w:rsidR="00A54383" w:rsidRPr="006C7C28">
        <w:t xml:space="preserve"> An integrated Hydrogeological and Geotechnical Modelling Approach to Predicting Groundwater and Surface Water Impacts of Subsidence above Longwall Mines in the Hunter Valley.</w:t>
      </w:r>
      <w:r w:rsidR="00487D8D" w:rsidRPr="006C7C28">
        <w:t xml:space="preserve"> </w:t>
      </w:r>
      <w:r w:rsidR="00487D8D" w:rsidRPr="00781EF7">
        <w:t>http://www.3pillarsnetwork.com.au/kb/1-dundon-p---integrated-hydrogeotechnical-modelling-approach.pdf</w:t>
      </w:r>
      <w:r w:rsidR="00487D8D" w:rsidRPr="006C7C28">
        <w:t>, accessed 28 July 2014</w:t>
      </w:r>
    </w:p>
    <w:p w:rsidR="005649EE" w:rsidRPr="00235306" w:rsidRDefault="005649EE" w:rsidP="00BA1FBC">
      <w:pPr>
        <w:pStyle w:val="Referencelist"/>
      </w:pPr>
      <w:r w:rsidRPr="00235306">
        <w:t xml:space="preserve">Arrow Energy Pty Ltd, 2012a. Surat Gas Project Environmental Impact Statement, Report No. </w:t>
      </w:r>
      <w:proofErr w:type="gramStart"/>
      <w:r w:rsidRPr="00235306">
        <w:t>CR 7040_4_v3.</w:t>
      </w:r>
      <w:proofErr w:type="gramEnd"/>
      <w:r w:rsidR="00824B9F">
        <w:t xml:space="preserve"> </w:t>
      </w:r>
      <w:r w:rsidR="00824B9F" w:rsidRPr="00781EF7">
        <w:rPr>
          <w:lang w:val="en-AU"/>
        </w:rPr>
        <w:t>http://www.arrowenergy.com.au/page/Community/Project_Assessment_EIS/Surat_Gas_Project_EIS/#item-3</w:t>
      </w:r>
      <w:r w:rsidR="00824B9F">
        <w:t xml:space="preserve"> accessed 27 August 2014.</w:t>
      </w:r>
    </w:p>
    <w:p w:rsidR="005649EE" w:rsidRPr="00235306" w:rsidRDefault="005649EE" w:rsidP="00BA1FBC">
      <w:pPr>
        <w:pStyle w:val="Referencelist"/>
      </w:pPr>
      <w:r w:rsidRPr="00235306">
        <w:t xml:space="preserve">Arrow Energy Pty Ltd, 2012b. </w:t>
      </w:r>
      <w:proofErr w:type="gramStart"/>
      <w:r w:rsidRPr="00235306">
        <w:t xml:space="preserve">Surat Gas Project Environment Impact Statement, Chapter 14, </w:t>
      </w:r>
      <w:r w:rsidRPr="00781EF7">
        <w:rPr>
          <w:lang w:val="en-AU"/>
        </w:rPr>
        <w:t>http://www.arrowenergy.com.au/page/Community/Project_Assessment_EIS/Surat_Gas_Project_EIS/#item-3</w:t>
      </w:r>
      <w:r w:rsidR="00824B9F" w:rsidRPr="00824B9F">
        <w:t xml:space="preserve"> </w:t>
      </w:r>
      <w:r w:rsidR="00824B9F">
        <w:t>accessed 27 August 2014.</w:t>
      </w:r>
      <w:proofErr w:type="gramEnd"/>
    </w:p>
    <w:p w:rsidR="005649EE" w:rsidRPr="00235306" w:rsidRDefault="005649EE" w:rsidP="00BA1FBC">
      <w:pPr>
        <w:pStyle w:val="Referencelist"/>
      </w:pPr>
      <w:r w:rsidRPr="00235306">
        <w:t>Barnett, B., L.R. Townley, V. Post, R.E. Evans, R.J. Hunt, L. Peeters, S. Richardson, A.D. Werner, A. Knapton, and A. Boronkay, 2012. Australian Groundwater Modelling Guidelines, Waterline report, National Water Commission, Canberra.</w:t>
      </w:r>
    </w:p>
    <w:p w:rsidR="005649EE" w:rsidRPr="00235306" w:rsidRDefault="005649EE" w:rsidP="00BA1FBC">
      <w:pPr>
        <w:pStyle w:val="Referencelist"/>
      </w:pPr>
      <w:proofErr w:type="gramStart"/>
      <w:r w:rsidRPr="00235306">
        <w:t>Booker, J.R., and J.P. Carter, 1984.</w:t>
      </w:r>
      <w:proofErr w:type="gramEnd"/>
      <w:r w:rsidRPr="00235306">
        <w:t xml:space="preserve"> Analysis of a Point Sink Embedded in a Porous Elastic Half Space. International Journal for Numerical and Analytical Methods in Geomechanics, Vol 10, pp 137-150.</w:t>
      </w:r>
    </w:p>
    <w:p w:rsidR="005649EE" w:rsidRPr="00235306" w:rsidRDefault="005649EE" w:rsidP="00BA1FBC">
      <w:pPr>
        <w:pStyle w:val="Referencelist"/>
      </w:pPr>
      <w:proofErr w:type="gramStart"/>
      <w:r w:rsidRPr="00235306">
        <w:t>Booker, J.R., and J.P. Carter, 1987.</w:t>
      </w:r>
      <w:proofErr w:type="gramEnd"/>
      <w:r w:rsidRPr="00235306">
        <w:t xml:space="preserve"> Analysis of a Compressible Pore Fluid from a Point Sink in an Isotropic elastic Half Space with Anisotropic Permeability. </w:t>
      </w:r>
      <w:proofErr w:type="gramStart"/>
      <w:r w:rsidRPr="00235306">
        <w:t>International Journal Solids Structures Vol 23, No 3 pp 369 -385.</w:t>
      </w:r>
      <w:proofErr w:type="gramEnd"/>
    </w:p>
    <w:p w:rsidR="00665F95" w:rsidRPr="00235306" w:rsidRDefault="00665F95" w:rsidP="00BA1FBC">
      <w:pPr>
        <w:pStyle w:val="Referencelist"/>
      </w:pPr>
      <w:r w:rsidRPr="00235306">
        <w:t xml:space="preserve">Borissova, I 2000, </w:t>
      </w:r>
      <w:r w:rsidR="00611B2A" w:rsidRPr="00611B2A">
        <w:t xml:space="preserve">Sedimentary basins of Australia – basin outlines and basement relief image (National Geoscience Dataset), </w:t>
      </w:r>
      <w:r w:rsidRPr="00235306">
        <w:t>catalogue number 31243, Geoscience Australia, 8 December 2008.</w:t>
      </w:r>
    </w:p>
    <w:p w:rsidR="005649EE" w:rsidRPr="00235306" w:rsidRDefault="005649EE" w:rsidP="00BA1FBC">
      <w:pPr>
        <w:pStyle w:val="Referencelist"/>
      </w:pPr>
      <w:r w:rsidRPr="00235306">
        <w:t>Bracegirdle, A., R.J. Mair, and R.N. Taylor, 1996.A methodology for evaluating potential damage to cast iron pipes induced by tunnelling.Proceedings of Geotechnical Aspects of Underground Construction.</w:t>
      </w:r>
    </w:p>
    <w:p w:rsidR="005649EE" w:rsidRPr="00235306" w:rsidRDefault="005649EE" w:rsidP="00BA1FBC">
      <w:pPr>
        <w:pStyle w:val="Referencelist"/>
      </w:pPr>
      <w:r w:rsidRPr="00235306">
        <w:t>Brown, E.T., and C.R. Windsor, 1990, Near Surface In situ Stresses in Australia and Their Influence on Underground Construction, Institute of Engineers Australia Tunnelling Conference, Sydney, 11-13 September, 1990.</w:t>
      </w:r>
    </w:p>
    <w:p w:rsidR="005649EE" w:rsidRPr="00235306" w:rsidRDefault="005649EE" w:rsidP="00BA1FBC">
      <w:pPr>
        <w:pStyle w:val="Referencelist"/>
      </w:pPr>
      <w:proofErr w:type="gramStart"/>
      <w:r w:rsidRPr="00235306">
        <w:t>Burland, J.B., R.J. Mair, and J.R. Standing, 2004.</w:t>
      </w:r>
      <w:proofErr w:type="gramEnd"/>
      <w:r w:rsidR="00565387">
        <w:t xml:space="preserve"> </w:t>
      </w:r>
      <w:r w:rsidRPr="00235306">
        <w:t>Advances in Geotechnical Engineering: The Skempton Conference, Thomas Telford, London.</w:t>
      </w:r>
    </w:p>
    <w:p w:rsidR="005649EE" w:rsidRPr="00235306" w:rsidRDefault="005649EE" w:rsidP="00BA1FBC">
      <w:pPr>
        <w:pStyle w:val="Referencelist"/>
      </w:pPr>
      <w:r w:rsidRPr="00235306">
        <w:t xml:space="preserve">Burland, J.B., 2012 Building response to ground movements. </w:t>
      </w:r>
      <w:proofErr w:type="gramStart"/>
      <w:r w:rsidRPr="00235306">
        <w:t>Chapter 26 of ICE Manual of Geotechnical Engineering.</w:t>
      </w:r>
      <w:proofErr w:type="gramEnd"/>
    </w:p>
    <w:p w:rsidR="005649EE" w:rsidRPr="00235306" w:rsidRDefault="005649EE" w:rsidP="00BA1FBC">
      <w:pPr>
        <w:pStyle w:val="Referencelist"/>
      </w:pPr>
      <w:r w:rsidRPr="00235306">
        <w:t xml:space="preserve">Canterbury City Council, 2001, </w:t>
      </w:r>
      <w:proofErr w:type="gramStart"/>
      <w:r w:rsidRPr="00235306">
        <w:t>The</w:t>
      </w:r>
      <w:proofErr w:type="gramEnd"/>
      <w:r w:rsidRPr="00235306">
        <w:t xml:space="preserve"> Management of Coastal Erosion - Report 2, Canturbury City Council, UK.</w:t>
      </w:r>
    </w:p>
    <w:p w:rsidR="005649EE" w:rsidRPr="00235306" w:rsidRDefault="005649EE" w:rsidP="00BA1FBC">
      <w:pPr>
        <w:pStyle w:val="Referencelist"/>
      </w:pPr>
      <w:r w:rsidRPr="00235306">
        <w:t>Carnec, C., and C. Delacourt, 2000, Three years of mining subsidence monitored by SAR interferometry, near Gardanne, France, Journal of Applied Geophysics, 43(1), p. 43-54.</w:t>
      </w:r>
    </w:p>
    <w:p w:rsidR="005649EE" w:rsidRPr="00235306" w:rsidRDefault="005649EE" w:rsidP="00BA1FBC">
      <w:pPr>
        <w:pStyle w:val="Referencelist"/>
      </w:pPr>
      <w:proofErr w:type="gramStart"/>
      <w:r w:rsidRPr="00235306">
        <w:t>Case, J.C., T.V. Edgar, and R.H. De Briun,</w:t>
      </w:r>
      <w:r w:rsidR="00565387">
        <w:t xml:space="preserve"> </w:t>
      </w:r>
      <w:r w:rsidRPr="00235306">
        <w:t>2000.</w:t>
      </w:r>
      <w:proofErr w:type="gramEnd"/>
      <w:r w:rsidRPr="00235306">
        <w:t xml:space="preserve"> Subsidence potential related to water withdrawal in the Powder River basin:</w:t>
      </w:r>
      <w:r w:rsidR="00565387">
        <w:t xml:space="preserve"> </w:t>
      </w:r>
      <w:r w:rsidRPr="00235306">
        <w:t>Wyoming State, Geological Survey Wyoming Geo-notes No.68, p. 19-20.</w:t>
      </w:r>
    </w:p>
    <w:p w:rsidR="005649EE" w:rsidRPr="00235306" w:rsidRDefault="005649EE" w:rsidP="00BA1FBC">
      <w:pPr>
        <w:pStyle w:val="Referencelist"/>
        <w:rPr>
          <w:u w:val="single"/>
        </w:rPr>
      </w:pPr>
      <w:r w:rsidRPr="00235306">
        <w:t>Coffey Environments, 2012, Surat Gas Project EIS: Appendix G Groundwater Impact Assessment, prepared for Arrow Energy, Report Ref: ENAUBRIS107040AC-GW EIS-RPT6</w:t>
      </w:r>
      <w:r w:rsidR="00ED2B3C">
        <w:t>.</w:t>
      </w:r>
    </w:p>
    <w:p w:rsidR="005649EE" w:rsidRPr="00235306" w:rsidRDefault="005649EE" w:rsidP="00BA1FBC">
      <w:pPr>
        <w:pStyle w:val="Referencelist"/>
      </w:pPr>
      <w:proofErr w:type="gramStart"/>
      <w:r w:rsidRPr="00235306">
        <w:t>Colesanti, C., and Wasowski, J., 2006, Investigating landslides with space-borne Synthetic Aperture Radar (SAR) interferometry, Engineergin Geology, 88, p.173-199.</w:t>
      </w:r>
      <w:proofErr w:type="gramEnd"/>
    </w:p>
    <w:p w:rsidR="005649EE" w:rsidRPr="00235306" w:rsidRDefault="005649EE" w:rsidP="00BA1FBC">
      <w:pPr>
        <w:pStyle w:val="Referencelist"/>
      </w:pPr>
      <w:proofErr w:type="gramStart"/>
      <w:r w:rsidRPr="00235306">
        <w:t>Commonwealth of Australia, 2014.</w:t>
      </w:r>
      <w:proofErr w:type="gramEnd"/>
      <w:r w:rsidRPr="00235306">
        <w:t xml:space="preserve"> Co-produced water - Risks to aquatic ecosystems, Background Review.</w:t>
      </w:r>
      <w:r w:rsidR="00565387">
        <w:t xml:space="preserve"> </w:t>
      </w:r>
      <w:proofErr w:type="gramStart"/>
      <w:r w:rsidRPr="00235306">
        <w:t>Department of the Environment, Canberra.</w:t>
      </w:r>
      <w:proofErr w:type="gramEnd"/>
    </w:p>
    <w:p w:rsidR="005649EE" w:rsidRPr="00235306" w:rsidRDefault="005649EE" w:rsidP="00BA1FBC">
      <w:pPr>
        <w:pStyle w:val="Referencelist"/>
      </w:pPr>
      <w:r w:rsidRPr="00235306">
        <w:t xml:space="preserve">Considine M.L., 1984, Soils Shrink, Trees Drink, and Houses Crack, ECOS Magazine 1984, CSIRO Publishing, </w:t>
      </w:r>
      <w:r w:rsidRPr="00781EF7">
        <w:t>http://www.ecosmagazine.com/?act=view_file&amp;file_id=EC41p13.pdf</w:t>
      </w:r>
      <w:r w:rsidRPr="00235306">
        <w:t>, accessed</w:t>
      </w:r>
      <w:r w:rsidR="00565387">
        <w:t xml:space="preserve"> </w:t>
      </w:r>
      <w:r w:rsidRPr="00235306">
        <w:t>28</w:t>
      </w:r>
      <w:r w:rsidR="00ED2B3C">
        <w:t> </w:t>
      </w:r>
      <w:r w:rsidRPr="00235306">
        <w:t>November 2012.</w:t>
      </w:r>
    </w:p>
    <w:p w:rsidR="005649EE" w:rsidRPr="00235306" w:rsidRDefault="005649EE" w:rsidP="00BA1FBC">
      <w:pPr>
        <w:pStyle w:val="Referencelist"/>
      </w:pPr>
      <w:r w:rsidRPr="00235306">
        <w:t xml:space="preserve">Craig, R.F., 2004. </w:t>
      </w:r>
      <w:proofErr w:type="gramStart"/>
      <w:r w:rsidRPr="00235306">
        <w:t>Craig’s Soil Mechanics, Seventh Edition, Spon Press, New York.</w:t>
      </w:r>
      <w:proofErr w:type="gramEnd"/>
    </w:p>
    <w:p w:rsidR="00F04996" w:rsidRPr="00235306" w:rsidRDefault="00F04996" w:rsidP="00BA1FBC">
      <w:pPr>
        <w:pStyle w:val="Referencelist"/>
      </w:pPr>
      <w:proofErr w:type="gramStart"/>
      <w:r w:rsidRPr="00235306">
        <w:t>Darini</w:t>
      </w:r>
      <w:r w:rsidR="00FC3891">
        <w:t>, G</w:t>
      </w:r>
      <w:r w:rsidRPr="00235306">
        <w:t xml:space="preserve"> 2007</w:t>
      </w:r>
      <w:r w:rsidR="00866F23">
        <w:t>.</w:t>
      </w:r>
      <w:proofErr w:type="gramEnd"/>
      <w:r w:rsidR="00866F23">
        <w:t xml:space="preserve"> Land subsidence due to groundwater withdrawal: the case of Bologna</w:t>
      </w:r>
      <w:r w:rsidR="00822A63">
        <w:t>, PhD thesis,</w:t>
      </w:r>
      <w:r w:rsidR="00866F23">
        <w:t xml:space="preserve"> </w:t>
      </w:r>
      <w:r w:rsidR="00B4513E">
        <w:t xml:space="preserve">Università Degli Studi Di Cassino </w:t>
      </w:r>
      <w:r w:rsidR="00822A63">
        <w:t>Cassino, p42</w:t>
      </w:r>
      <w:r w:rsidR="00EE1026">
        <w:t>.</w:t>
      </w:r>
    </w:p>
    <w:p w:rsidR="005649EE" w:rsidRPr="00235306" w:rsidRDefault="005649EE" w:rsidP="00BA1FBC">
      <w:pPr>
        <w:pStyle w:val="Referencelist"/>
      </w:pPr>
      <w:r w:rsidRPr="00235306">
        <w:t>Davis, E., C. Wright, S. Demetrius, J. Choi, and C. Craley, 2000, Precise Tiltmeter Subsidence Monitoring Enhances Reservoir Management, Society of Petroleum Engineers, Paper 62577.</w:t>
      </w:r>
    </w:p>
    <w:p w:rsidR="005649EE" w:rsidRPr="00235306" w:rsidRDefault="005649EE" w:rsidP="00BA1FBC">
      <w:pPr>
        <w:pStyle w:val="Referencelist"/>
      </w:pPr>
      <w:proofErr w:type="gramStart"/>
      <w:r w:rsidRPr="00235306">
        <w:t>Davies, R.J., S.A. Mathias, J. Moss, S. Hustoft, and L. Newport, 2012.</w:t>
      </w:r>
      <w:proofErr w:type="gramEnd"/>
      <w:r w:rsidRPr="00235306">
        <w:t xml:space="preserve"> Hydraulic fractures: How far can they go</w:t>
      </w:r>
      <w:proofErr w:type="gramStart"/>
      <w:r w:rsidRPr="00235306">
        <w:t>?,</w:t>
      </w:r>
      <w:proofErr w:type="gramEnd"/>
      <w:r w:rsidRPr="00235306">
        <w:t xml:space="preserve"> Marine and Petroleum, Geology 37:1-6.</w:t>
      </w:r>
    </w:p>
    <w:p w:rsidR="005649EE" w:rsidRPr="00235306" w:rsidRDefault="005649EE" w:rsidP="00BA1FBC">
      <w:pPr>
        <w:pStyle w:val="Referencelist"/>
      </w:pPr>
      <w:r w:rsidRPr="00235306">
        <w:t>Dawkins, A., 2003, Potential Management and Rehabilitation Requirements of Environmental Effects From Longwall Subsidence on Streams, Lakes and Groundwater Systems, in Aziz, N (ed), Coal 2003: Coal Operators' Conference, University of Wollongong &amp; the Australasian Institute of Mining and Metallurgy, 2003, p. 117-124.</w:t>
      </w:r>
    </w:p>
    <w:p w:rsidR="005649EE" w:rsidRPr="00235306" w:rsidRDefault="005649EE" w:rsidP="00BA1FBC">
      <w:pPr>
        <w:pStyle w:val="Referencelist"/>
      </w:pPr>
      <w:proofErr w:type="gramStart"/>
      <w:r w:rsidRPr="00235306">
        <w:t>De Vertuil D, Howell S, Campbell L, Guiton S, and Ryan D.</w:t>
      </w:r>
      <w:r w:rsidR="00565387">
        <w:t xml:space="preserve"> </w:t>
      </w:r>
      <w:r w:rsidRPr="00235306">
        <w:t>2013.</w:t>
      </w:r>
      <w:proofErr w:type="gramEnd"/>
      <w:r w:rsidRPr="00235306">
        <w:t xml:space="preserve"> Introducing dual phase to integrated regional groundwater numerical modelling of large scale coal seam gas development.</w:t>
      </w:r>
      <w:r w:rsidR="00565387">
        <w:t xml:space="preserve"> </w:t>
      </w:r>
      <w:r w:rsidRPr="00235306">
        <w:t>IAH Congress, Perth, 2013.</w:t>
      </w:r>
    </w:p>
    <w:p w:rsidR="00830D17" w:rsidRPr="00235306" w:rsidRDefault="00830D17" w:rsidP="00BA1FBC">
      <w:pPr>
        <w:pStyle w:val="Referencelist"/>
      </w:pPr>
      <w:r w:rsidRPr="00235306">
        <w:t xml:space="preserve">DNRC 1999, </w:t>
      </w:r>
      <w:r w:rsidR="00611B2A" w:rsidRPr="00611B2A">
        <w:t>Memorandum of ground water assessment, monitoring and reporting recommendations for coalbed methane operations</w:t>
      </w:r>
      <w:r w:rsidRPr="00235306">
        <w:rPr>
          <w:i/>
        </w:rPr>
        <w:t xml:space="preserve">, </w:t>
      </w:r>
      <w:r w:rsidRPr="00235306">
        <w:t xml:space="preserve">Department of Natural Resources and Conservation (DNRC), </w:t>
      </w:r>
      <w:r w:rsidR="00ED2B3C" w:rsidRPr="00781EF7">
        <w:t>http://www.dnrc.mt.gov/wrd/water_rts/cgwa/powder_riverbasin/memorandum.asp</w:t>
      </w:r>
      <w:r w:rsidR="00ED2B3C">
        <w:t>, accessed 23 June 2014</w:t>
      </w:r>
      <w:r w:rsidRPr="00235306">
        <w:t>.</w:t>
      </w:r>
    </w:p>
    <w:p w:rsidR="005649EE" w:rsidRPr="00235306" w:rsidRDefault="005649EE" w:rsidP="00BA1FBC">
      <w:pPr>
        <w:pStyle w:val="Referencelist"/>
      </w:pPr>
      <w:r w:rsidRPr="00235306">
        <w:t>Dunnicliff, J., 1993, Geotechnical Instrumentation for Monitoring Field Performance, John Wiley and Sons, New York</w:t>
      </w:r>
    </w:p>
    <w:p w:rsidR="005649EE" w:rsidRPr="00235306" w:rsidRDefault="005649EE" w:rsidP="00BA1FBC">
      <w:pPr>
        <w:pStyle w:val="Referencelist"/>
      </w:pPr>
      <w:r w:rsidRPr="00235306">
        <w:t xml:space="preserve">Ellsworth, W.L., 2013. </w:t>
      </w:r>
      <w:proofErr w:type="gramStart"/>
      <w:r w:rsidRPr="00235306">
        <w:t>Injection-Induced Earthquakes.</w:t>
      </w:r>
      <w:proofErr w:type="gramEnd"/>
      <w:r w:rsidR="00565387">
        <w:t xml:space="preserve"> </w:t>
      </w:r>
      <w:r w:rsidRPr="00235306">
        <w:t>Science 341, DOI: 10.1126/science.1225942.</w:t>
      </w:r>
    </w:p>
    <w:p w:rsidR="005649EE" w:rsidRPr="00235306" w:rsidRDefault="005649EE" w:rsidP="00BA1FBC">
      <w:pPr>
        <w:pStyle w:val="Referencelist"/>
      </w:pPr>
      <w:proofErr w:type="gramStart"/>
      <w:r w:rsidRPr="00235306">
        <w:t>Elsworth, D., and J. Liu.</w:t>
      </w:r>
      <w:proofErr w:type="gramEnd"/>
      <w:r w:rsidR="00565387">
        <w:t xml:space="preserve"> </w:t>
      </w:r>
      <w:r w:rsidRPr="00235306">
        <w:t>1995.</w:t>
      </w:r>
      <w:r w:rsidR="00565387">
        <w:t xml:space="preserve"> </w:t>
      </w:r>
      <w:r w:rsidRPr="00235306">
        <w:t>Topographic Influence of Longwall Mining on Ground-Water Supplies.</w:t>
      </w:r>
      <w:r w:rsidR="00565387">
        <w:t xml:space="preserve"> </w:t>
      </w:r>
      <w:r w:rsidRPr="00235306">
        <w:t>Groundwater, Volume 33, Issue 5, pages 786–793.</w:t>
      </w:r>
    </w:p>
    <w:p w:rsidR="005649EE" w:rsidRPr="00235306" w:rsidRDefault="005649EE" w:rsidP="00BA1FBC">
      <w:pPr>
        <w:pStyle w:val="Referencelist"/>
      </w:pPr>
      <w:proofErr w:type="gramStart"/>
      <w:r w:rsidRPr="00235306">
        <w:t>Elsworth, D. and T.W. Doe.</w:t>
      </w:r>
      <w:proofErr w:type="gramEnd"/>
      <w:r w:rsidR="00565387">
        <w:t xml:space="preserve"> </w:t>
      </w:r>
      <w:r w:rsidRPr="00235306">
        <w:t>1986.</w:t>
      </w:r>
      <w:r w:rsidR="00565387">
        <w:t xml:space="preserve"> </w:t>
      </w:r>
      <w:r w:rsidRPr="00235306">
        <w:t>Application of non-linear flow laws in determining rock fissure geometry from single borehole pumping tests.</w:t>
      </w:r>
      <w:r w:rsidR="00565387">
        <w:t xml:space="preserve"> </w:t>
      </w:r>
      <w:r w:rsidRPr="00235306">
        <w:t>International Journal of Rock Mechanics and Mining Sciences &amp; Geomechanics Abstracts, Volume 23, Issue 3, p. 245–254.</w:t>
      </w:r>
    </w:p>
    <w:p w:rsidR="005649EE" w:rsidRPr="00235306" w:rsidRDefault="00611B2A" w:rsidP="00BA1FBC">
      <w:pPr>
        <w:pStyle w:val="Referencelist"/>
      </w:pPr>
      <w:r w:rsidRPr="00611B2A">
        <w:t xml:space="preserve">Esterle, J.S., Williams, R., Sliwa, R., Malone, M., 2006.Variability in coal seam gas parameters that impact on fugitive gas emission estimations for Australian black coals. 36th Sydney Basin Symposium: Advanced in the study of the Sydney Basin. </w:t>
      </w:r>
      <w:proofErr w:type="gramStart"/>
      <w:r w:rsidRPr="00611B2A">
        <w:t>University of Wollongong, Wollongong, Australia.</w:t>
      </w:r>
      <w:proofErr w:type="gramEnd"/>
    </w:p>
    <w:p w:rsidR="005649EE" w:rsidRPr="00235306" w:rsidRDefault="005649EE" w:rsidP="00BA1FBC">
      <w:pPr>
        <w:pStyle w:val="Referencelist"/>
      </w:pPr>
      <w:r w:rsidRPr="00235306">
        <w:t xml:space="preserve">Farmer, I.W., 1985. </w:t>
      </w:r>
      <w:proofErr w:type="gramStart"/>
      <w:r w:rsidRPr="00235306">
        <w:t>Coal mine structures.</w:t>
      </w:r>
      <w:proofErr w:type="gramEnd"/>
      <w:r w:rsidRPr="00235306">
        <w:t xml:space="preserve"> Chapman and Hall, London.</w:t>
      </w:r>
    </w:p>
    <w:p w:rsidR="005649EE" w:rsidRPr="00235306" w:rsidRDefault="005649EE" w:rsidP="00BA1FBC">
      <w:pPr>
        <w:pStyle w:val="Referencelist"/>
      </w:pPr>
      <w:r w:rsidRPr="00235306">
        <w:t xml:space="preserve">Fell, R., P. MacGregor, D. Stapledon, and G. Bell, 2005, Geotechnical Engineering of Dams, A.A. Balkema Publishers, </w:t>
      </w:r>
      <w:proofErr w:type="gramStart"/>
      <w:r w:rsidRPr="00235306">
        <w:t>London</w:t>
      </w:r>
      <w:proofErr w:type="gramEnd"/>
      <w:r w:rsidRPr="00235306">
        <w:t>, UK.</w:t>
      </w:r>
    </w:p>
    <w:p w:rsidR="005649EE" w:rsidRPr="00235306" w:rsidRDefault="005649EE" w:rsidP="00BA1FBC">
      <w:pPr>
        <w:pStyle w:val="Referencelist"/>
      </w:pPr>
      <w:r w:rsidRPr="00235306">
        <w:t>Fetter, C.W., 2001, Applied Hydrogeology, Fourth Edition, Prentice Hill Inc, New Jersey.</w:t>
      </w:r>
    </w:p>
    <w:p w:rsidR="005649EE" w:rsidRPr="005649EE" w:rsidRDefault="005649EE" w:rsidP="00BA1FBC">
      <w:pPr>
        <w:pStyle w:val="Referencelist"/>
      </w:pPr>
      <w:proofErr w:type="gramStart"/>
      <w:r w:rsidRPr="00235306">
        <w:t>Flewelling, S. A., M. P. Tymchak, and N. Warpinski.</w:t>
      </w:r>
      <w:proofErr w:type="gramEnd"/>
      <w:r w:rsidR="00565387">
        <w:t xml:space="preserve"> </w:t>
      </w:r>
      <w:r w:rsidRPr="00235306">
        <w:t>2013.</w:t>
      </w:r>
      <w:r w:rsidR="00565387">
        <w:t xml:space="preserve"> </w:t>
      </w:r>
      <w:r w:rsidRPr="00235306">
        <w:t>Hydraulic fracture height limits and fault interactions in tight oil and gas formations.</w:t>
      </w:r>
      <w:r w:rsidR="00565387">
        <w:t xml:space="preserve"> </w:t>
      </w:r>
      <w:r w:rsidRPr="00235306">
        <w:t>Geophysical Research Letters, Volume 40, Issue 14, p. 3602–3606.</w:t>
      </w:r>
    </w:p>
    <w:p w:rsidR="005649EE" w:rsidRPr="00235306" w:rsidRDefault="005649EE" w:rsidP="00BA1FBC">
      <w:pPr>
        <w:pStyle w:val="Referencelist"/>
      </w:pPr>
      <w:r w:rsidRPr="00235306">
        <w:t>Gale, W.J., and M.W. Fabjanczyk, 1993, Design Approach to Assess Coal Mine Roadway Stability and Support Requirements, VIII Australian Tunnelling Conference, The Australian Institute of Mining and Metallurgy, p. 153-159.</w:t>
      </w:r>
    </w:p>
    <w:p w:rsidR="005649EE" w:rsidRPr="00235306" w:rsidRDefault="005649EE" w:rsidP="00BA1FBC">
      <w:pPr>
        <w:pStyle w:val="Referencelist"/>
      </w:pPr>
      <w:r w:rsidRPr="00235306">
        <w:t>Galera, J.M., M. Alvarez, Z.T. Bieniawski, 2007, Evaluation of the Deformation Modulus of Rock Masses Using RMR. Comparison with Dilatometer Tests, Comunicaciónpresentada en el Congreso “Underground Works under Special Conditions” organizado en Madrid el 6 de julio de 2007, por ISRM.</w:t>
      </w:r>
    </w:p>
    <w:p w:rsidR="005649EE" w:rsidRPr="00235306" w:rsidRDefault="005649EE" w:rsidP="00BA1FBC">
      <w:pPr>
        <w:pStyle w:val="Referencelist"/>
      </w:pPr>
      <w:proofErr w:type="gramStart"/>
      <w:r w:rsidRPr="00235306">
        <w:t>Gambolati, G., G. Ricceri, W. Bertoni, G. Brighenti, and E. Vuillermin.</w:t>
      </w:r>
      <w:proofErr w:type="gramEnd"/>
      <w:r w:rsidRPr="00235306">
        <w:t xml:space="preserve"> 1991.</w:t>
      </w:r>
      <w:r w:rsidR="00565387">
        <w:t xml:space="preserve"> </w:t>
      </w:r>
      <w:r w:rsidRPr="00235306">
        <w:t>Mathematical Simulation of the Subsidence of Ravenna.</w:t>
      </w:r>
      <w:r w:rsidR="00565387">
        <w:t xml:space="preserve"> </w:t>
      </w:r>
      <w:r w:rsidRPr="00235306">
        <w:t>Water Resources Research, Volume 27, Issue 11, p. 2899–2918.</w:t>
      </w:r>
    </w:p>
    <w:p w:rsidR="00093D1C" w:rsidRDefault="00EE1026">
      <w:pPr>
        <w:pStyle w:val="BodyText"/>
        <w:ind w:left="709" w:hanging="709"/>
        <w:rPr>
          <w:rFonts w:ascii="Arial" w:eastAsiaTheme="minorEastAsia" w:hAnsi="Arial" w:cs="Arial"/>
          <w:sz w:val="20"/>
          <w:lang w:val="en-GB"/>
        </w:rPr>
      </w:pPr>
      <w:proofErr w:type="gramStart"/>
      <w:r>
        <w:rPr>
          <w:rFonts w:ascii="Arial" w:eastAsiaTheme="minorEastAsia" w:hAnsi="Arial" w:cs="Arial"/>
          <w:sz w:val="20"/>
          <w:lang w:val="en-GB"/>
        </w:rPr>
        <w:t>Gao</w:t>
      </w:r>
      <w:proofErr w:type="gramEnd"/>
      <w:r>
        <w:rPr>
          <w:rFonts w:ascii="Arial" w:eastAsiaTheme="minorEastAsia" w:hAnsi="Arial" w:cs="Arial"/>
          <w:sz w:val="20"/>
          <w:lang w:val="en-GB"/>
        </w:rPr>
        <w:t xml:space="preserve"> S and Gong Z. </w:t>
      </w:r>
      <w:r w:rsidR="00611B2A" w:rsidRPr="00611B2A">
        <w:rPr>
          <w:rFonts w:ascii="Arial" w:eastAsiaTheme="minorEastAsia" w:hAnsi="Arial" w:cs="Arial"/>
          <w:sz w:val="20"/>
          <w:lang w:val="en-GB"/>
        </w:rPr>
        <w:t>2012.</w:t>
      </w:r>
      <w:r w:rsidR="00565387">
        <w:rPr>
          <w:rFonts w:ascii="Arial" w:eastAsiaTheme="minorEastAsia" w:hAnsi="Arial" w:cs="Arial"/>
          <w:sz w:val="20"/>
          <w:lang w:val="en-GB"/>
        </w:rPr>
        <w:t xml:space="preserve"> </w:t>
      </w:r>
      <w:proofErr w:type="gramStart"/>
      <w:r w:rsidR="00611B2A" w:rsidRPr="00611B2A">
        <w:rPr>
          <w:rFonts w:ascii="Arial" w:eastAsiaTheme="minorEastAsia" w:hAnsi="Arial" w:cs="Arial"/>
          <w:sz w:val="20"/>
          <w:lang w:val="en-GB"/>
        </w:rPr>
        <w:t>The Problem and Strategy on Subsidence Assessment of Construction Projects under Ballastless Track in Chinese High-Speed Railway.</w:t>
      </w:r>
      <w:proofErr w:type="gramEnd"/>
      <w:r w:rsidR="00611B2A" w:rsidRPr="00611B2A">
        <w:rPr>
          <w:rFonts w:ascii="Arial" w:eastAsiaTheme="minorEastAsia" w:hAnsi="Arial" w:cs="Arial"/>
          <w:sz w:val="20"/>
          <w:lang w:val="en-GB"/>
        </w:rPr>
        <w:t xml:space="preserve"> </w:t>
      </w:r>
      <w:proofErr w:type="gramStart"/>
      <w:r w:rsidR="00611B2A" w:rsidRPr="00611B2A">
        <w:rPr>
          <w:rFonts w:ascii="Arial" w:eastAsiaTheme="minorEastAsia" w:hAnsi="Arial" w:cs="Arial"/>
          <w:sz w:val="20"/>
          <w:lang w:val="en-GB"/>
        </w:rPr>
        <w:t>Proceedings of the 1st International Workshop on High-Speed and Intercity Railways.</w:t>
      </w:r>
      <w:proofErr w:type="gramEnd"/>
      <w:r w:rsidR="00565387">
        <w:rPr>
          <w:rFonts w:ascii="Arial" w:eastAsiaTheme="minorEastAsia" w:hAnsi="Arial" w:cs="Arial"/>
          <w:sz w:val="20"/>
          <w:lang w:val="en-GB"/>
        </w:rPr>
        <w:t xml:space="preserve"> </w:t>
      </w:r>
      <w:r w:rsidR="00611B2A" w:rsidRPr="00611B2A">
        <w:rPr>
          <w:rFonts w:ascii="Arial" w:eastAsiaTheme="minorEastAsia" w:hAnsi="Arial" w:cs="Arial"/>
          <w:sz w:val="20"/>
          <w:lang w:val="en-GB"/>
        </w:rPr>
        <w:t>Lecture Notes in Electrical Engineering</w:t>
      </w:r>
      <w:r w:rsidR="00A40A3E">
        <w:rPr>
          <w:rFonts w:ascii="Arial" w:eastAsiaTheme="minorEastAsia" w:hAnsi="Arial" w:cs="Arial"/>
          <w:sz w:val="20"/>
          <w:lang w:val="en-GB"/>
        </w:rPr>
        <w:t xml:space="preserve"> </w:t>
      </w:r>
      <w:r w:rsidR="00611B2A" w:rsidRPr="00611B2A">
        <w:rPr>
          <w:rFonts w:ascii="Arial" w:eastAsiaTheme="minorEastAsia" w:hAnsi="Arial" w:cs="Arial"/>
          <w:sz w:val="20"/>
          <w:lang w:val="en-GB"/>
        </w:rPr>
        <w:t>Volume 147, 2012, pp 483-488.</w:t>
      </w:r>
    </w:p>
    <w:p w:rsidR="005649EE" w:rsidRPr="00235306" w:rsidRDefault="005649EE" w:rsidP="00BA1FBC">
      <w:pPr>
        <w:pStyle w:val="Referencelist"/>
      </w:pPr>
      <w:r w:rsidRPr="00235306">
        <w:t xml:space="preserve">Gas Research Institute, 1996. </w:t>
      </w:r>
      <w:proofErr w:type="gramStart"/>
      <w:r w:rsidRPr="00235306">
        <w:t>A guide to coalbed methane reservoir engineering, Chicago, Illinois, USA, GRI 94/0397.</w:t>
      </w:r>
      <w:proofErr w:type="gramEnd"/>
    </w:p>
    <w:p w:rsidR="005649EE" w:rsidRPr="00235306" w:rsidRDefault="005649EE" w:rsidP="00BA1FBC">
      <w:pPr>
        <w:pStyle w:val="Referencelist"/>
      </w:pPr>
      <w:proofErr w:type="gramStart"/>
      <w:r w:rsidRPr="00235306">
        <w:t>Ge, L., H.C.Chang, L. Qin, M. Chen, and C. Rizos, 2003.</w:t>
      </w:r>
      <w:proofErr w:type="gramEnd"/>
      <w:r w:rsidRPr="00235306">
        <w:t xml:space="preserve"> Differential Radar Interferometry for Mine Subsidence Monitoring, Proceedings of the 11</w:t>
      </w:r>
      <w:r w:rsidRPr="00235306">
        <w:rPr>
          <w:vertAlign w:val="superscript"/>
        </w:rPr>
        <w:t>th</w:t>
      </w:r>
      <w:r w:rsidRPr="00235306">
        <w:t xml:space="preserve"> FIG Symposium on Deformation Measurements, Santorini, Greece.</w:t>
      </w:r>
    </w:p>
    <w:p w:rsidR="005649EE" w:rsidRPr="00235306" w:rsidRDefault="005649EE" w:rsidP="00BA1FBC">
      <w:pPr>
        <w:pStyle w:val="Referencelist"/>
      </w:pPr>
      <w:r w:rsidRPr="00235306">
        <w:t>Ge, L., H.C. Chang, and C. Rizos, 2007, Mine Subsidence Monitoring Using Multi-source Satellite SAR Images, Journal of Photogrammetric Engineering and Remote Sensing 73(3), p. 259-266.</w:t>
      </w:r>
    </w:p>
    <w:p w:rsidR="00093D1C" w:rsidRDefault="00611B2A">
      <w:pPr>
        <w:pStyle w:val="BodyText"/>
        <w:ind w:left="709" w:hanging="709"/>
        <w:rPr>
          <w:rFonts w:ascii="Arial" w:eastAsiaTheme="minorEastAsia" w:hAnsi="Arial" w:cs="Arial"/>
          <w:sz w:val="20"/>
          <w:lang w:val="en-GB"/>
        </w:rPr>
      </w:pPr>
      <w:proofErr w:type="gramStart"/>
      <w:r w:rsidRPr="00611B2A">
        <w:rPr>
          <w:rFonts w:ascii="Arial" w:eastAsiaTheme="minorEastAsia" w:hAnsi="Arial" w:cs="Arial"/>
          <w:sz w:val="20"/>
          <w:lang w:val="en-GB"/>
        </w:rPr>
        <w:t xml:space="preserve">Geab L, Lia X, Changa H, Nga AH, Zhanga K, </w:t>
      </w:r>
      <w:r w:rsidR="00EE1026">
        <w:rPr>
          <w:rFonts w:ascii="Arial" w:eastAsiaTheme="minorEastAsia" w:hAnsi="Arial" w:cs="Arial"/>
          <w:sz w:val="20"/>
          <w:lang w:val="en-GB"/>
        </w:rPr>
        <w:t>and Hua Z.</w:t>
      </w:r>
      <w:r w:rsidR="00565387">
        <w:rPr>
          <w:rFonts w:ascii="Arial" w:eastAsiaTheme="minorEastAsia" w:hAnsi="Arial" w:cs="Arial"/>
          <w:sz w:val="20"/>
          <w:lang w:val="en-GB"/>
        </w:rPr>
        <w:t xml:space="preserve"> </w:t>
      </w:r>
      <w:r w:rsidR="00EE1026">
        <w:rPr>
          <w:rFonts w:ascii="Arial" w:eastAsiaTheme="minorEastAsia" w:hAnsi="Arial" w:cs="Arial"/>
          <w:sz w:val="20"/>
          <w:lang w:val="en-GB"/>
        </w:rPr>
        <w:t>2010.</w:t>
      </w:r>
      <w:proofErr w:type="gramEnd"/>
      <w:r w:rsidR="00EE1026">
        <w:rPr>
          <w:rFonts w:ascii="Arial" w:eastAsiaTheme="minorEastAsia" w:hAnsi="Arial" w:cs="Arial"/>
          <w:sz w:val="20"/>
          <w:lang w:val="en-GB"/>
        </w:rPr>
        <w:t xml:space="preserve"> </w:t>
      </w:r>
      <w:proofErr w:type="gramStart"/>
      <w:r w:rsidRPr="00611B2A">
        <w:rPr>
          <w:rFonts w:ascii="Arial" w:eastAsiaTheme="minorEastAsia" w:hAnsi="Arial" w:cs="Arial"/>
          <w:sz w:val="20"/>
          <w:lang w:val="en-GB"/>
        </w:rPr>
        <w:t>Impact of ground subsidence on the Beijing–Tianjin high-speed railway as mapped by radar interferometry.</w:t>
      </w:r>
      <w:proofErr w:type="gramEnd"/>
      <w:r w:rsidR="00565387">
        <w:rPr>
          <w:rFonts w:ascii="Arial" w:eastAsiaTheme="minorEastAsia" w:hAnsi="Arial" w:cs="Arial"/>
          <w:sz w:val="20"/>
          <w:lang w:val="en-GB"/>
        </w:rPr>
        <w:t xml:space="preserve"> </w:t>
      </w:r>
      <w:r w:rsidRPr="00611B2A">
        <w:rPr>
          <w:rFonts w:ascii="Arial" w:eastAsiaTheme="minorEastAsia" w:hAnsi="Arial" w:cs="Arial"/>
          <w:sz w:val="20"/>
          <w:lang w:val="en-GB"/>
        </w:rPr>
        <w:t>Annals of GIS, Volume 16, Issue 2.</w:t>
      </w:r>
      <w:r w:rsidR="00565387">
        <w:rPr>
          <w:rFonts w:ascii="Arial" w:eastAsiaTheme="minorEastAsia" w:hAnsi="Arial" w:cs="Arial"/>
          <w:sz w:val="20"/>
          <w:lang w:val="en-GB"/>
        </w:rPr>
        <w:t xml:space="preserve"> </w:t>
      </w:r>
      <w:r w:rsidR="00ED2B3C">
        <w:rPr>
          <w:rFonts w:ascii="Arial" w:eastAsiaTheme="minorEastAsia" w:hAnsi="Arial" w:cs="Arial"/>
          <w:sz w:val="20"/>
          <w:lang w:val="en-GB"/>
        </w:rPr>
        <w:t>p</w:t>
      </w:r>
      <w:r w:rsidRPr="00611B2A">
        <w:rPr>
          <w:rFonts w:ascii="Arial" w:eastAsiaTheme="minorEastAsia" w:hAnsi="Arial" w:cs="Arial"/>
          <w:sz w:val="20"/>
          <w:lang w:val="en-GB"/>
        </w:rPr>
        <w:t>. 91 – 102.</w:t>
      </w:r>
    </w:p>
    <w:p w:rsidR="005649EE" w:rsidRPr="00235306" w:rsidRDefault="005649EE" w:rsidP="00BA1FBC">
      <w:pPr>
        <w:pStyle w:val="Referencelist"/>
      </w:pPr>
      <w:r w:rsidRPr="00235306">
        <w:t xml:space="preserve">Geokon, 2010, Model 4500 MLP, Datasheet, Geokon Incorporated, Lebanon, NH, USA, </w:t>
      </w:r>
      <w:r w:rsidR="005F47FD" w:rsidRPr="00781EF7">
        <w:t>http://www.geokon.com/piezometers</w:t>
      </w:r>
      <w:r w:rsidRPr="00235306">
        <w:t>, accessed 12 November, 2012.</w:t>
      </w:r>
    </w:p>
    <w:p w:rsidR="005649EE" w:rsidRPr="00235306" w:rsidRDefault="005649EE" w:rsidP="00BA1FBC">
      <w:pPr>
        <w:pStyle w:val="Referencelist"/>
      </w:pPr>
      <w:proofErr w:type="gramStart"/>
      <w:r w:rsidRPr="00235306">
        <w:t>Geosciences Australia (GA) and M.A. Habermehl, 2010.</w:t>
      </w:r>
      <w:proofErr w:type="gramEnd"/>
      <w:r w:rsidRPr="00235306">
        <w:t xml:space="preserve"> </w:t>
      </w:r>
      <w:proofErr w:type="gramStart"/>
      <w:r w:rsidRPr="00235306">
        <w:t>Advice in Relation to the Potential Impacts of Coal Seam Gas Extraction in the Surat and Bowen Basins, Queensland.</w:t>
      </w:r>
      <w:proofErr w:type="gramEnd"/>
      <w:r w:rsidRPr="00235306">
        <w:t xml:space="preserve"> Phase 1 Final Report, prepared for the Australian Government Department of the Environment, Water, Heritage and the Arts, Canberra.</w:t>
      </w:r>
    </w:p>
    <w:p w:rsidR="005649EE" w:rsidRPr="00235306" w:rsidRDefault="005649EE" w:rsidP="00BA1FBC">
      <w:pPr>
        <w:pStyle w:val="Referencelist"/>
      </w:pPr>
      <w:proofErr w:type="gramStart"/>
      <w:r w:rsidRPr="00235306">
        <w:t>Gerkhe H.H. and Van Genuchten M.T. 1993.</w:t>
      </w:r>
      <w:proofErr w:type="gramEnd"/>
      <w:r w:rsidRPr="00235306">
        <w:t xml:space="preserve"> A dual-porosity model for simulation the preferential movement of water and solutes in structured porous media. Water Resources Research 29(2) 305-319.</w:t>
      </w:r>
    </w:p>
    <w:p w:rsidR="005649EE" w:rsidRPr="00235306" w:rsidRDefault="005649EE" w:rsidP="00BA1FBC">
      <w:pPr>
        <w:pStyle w:val="Referencelist"/>
      </w:pPr>
      <w:proofErr w:type="gramStart"/>
      <w:r w:rsidRPr="00235306">
        <w:t>Gilluly, J., and Grant, U. S., 1949.</w:t>
      </w:r>
      <w:proofErr w:type="gramEnd"/>
      <w:r w:rsidRPr="00235306">
        <w:t xml:space="preserve"> </w:t>
      </w:r>
      <w:proofErr w:type="gramStart"/>
      <w:r w:rsidRPr="00235306">
        <w:t>Subsidence in the Long beach Harbour Area, California.</w:t>
      </w:r>
      <w:proofErr w:type="gramEnd"/>
      <w:r w:rsidR="00565387">
        <w:t xml:space="preserve"> </w:t>
      </w:r>
      <w:r w:rsidRPr="00235306">
        <w:t>Geological Society of America Bulletin, v. 60, no. 3, p. 461-530.</w:t>
      </w:r>
    </w:p>
    <w:p w:rsidR="005649EE" w:rsidRPr="00235306" w:rsidRDefault="005649EE" w:rsidP="00BA1FBC">
      <w:pPr>
        <w:pStyle w:val="Referencelist"/>
      </w:pPr>
      <w:proofErr w:type="gramStart"/>
      <w:r w:rsidRPr="005F47FD">
        <w:t>Golder Associates, 2009a, Santos GLNG Project Part 3, D2 - Arcadia, Fairview, Roma CSG Fields.</w:t>
      </w:r>
      <w:proofErr w:type="gramEnd"/>
      <w:r w:rsidRPr="005F47FD">
        <w:t xml:space="preserve"> Groundwater and Associated Water Management Impact Assessment, prepared for Santos, Report Ref: 087636015-019-R-RevB</w:t>
      </w:r>
      <w:r w:rsidR="005F47FD">
        <w:t>.</w:t>
      </w:r>
    </w:p>
    <w:p w:rsidR="005649EE" w:rsidRPr="00235306" w:rsidRDefault="005649EE" w:rsidP="00BA1FBC">
      <w:pPr>
        <w:pStyle w:val="Referencelist"/>
      </w:pPr>
      <w:proofErr w:type="gramStart"/>
      <w:r w:rsidRPr="00235306">
        <w:t>Golder Associates, 2009b, Coal Seam Gas Field Component for Environmental Impact Statement.</w:t>
      </w:r>
      <w:proofErr w:type="gramEnd"/>
      <w:r w:rsidRPr="00235306">
        <w:t xml:space="preserve"> Appendix 3.4 QGC Groundwater Study, Surat Basin, Queensland, prepared for Santos, Report Ref: 087633050 016 R Rev2</w:t>
      </w:r>
      <w:r w:rsidR="005F47FD">
        <w:t>.</w:t>
      </w:r>
    </w:p>
    <w:p w:rsidR="005649EE" w:rsidRPr="00235306" w:rsidRDefault="005649EE" w:rsidP="00BA1FBC">
      <w:pPr>
        <w:pStyle w:val="Referencelist"/>
        <w:rPr>
          <w:u w:val="single"/>
        </w:rPr>
      </w:pPr>
      <w:r w:rsidRPr="00235306">
        <w:t>Golder Associates, 2009c, Queensland Curtis LNG Supplementary EIS, Appendix 3.2: Groundwater Study - Northwest Development Area, prepared for Santos, Report Ref: 097626104-001</w:t>
      </w:r>
      <w:r w:rsidR="005F47FD">
        <w:t>.</w:t>
      </w:r>
    </w:p>
    <w:p w:rsidR="005649EE" w:rsidRPr="00235306" w:rsidRDefault="005649EE" w:rsidP="00BA1FBC">
      <w:pPr>
        <w:pStyle w:val="Referencelist"/>
      </w:pPr>
      <w:r w:rsidRPr="00235306">
        <w:t>Goodman R.E., 1989, Introduction to Rock Mechanics, John Wiley and Sons, New York.</w:t>
      </w:r>
    </w:p>
    <w:p w:rsidR="00093D1C" w:rsidRDefault="00B9580C">
      <w:pPr>
        <w:pStyle w:val="Referencelist"/>
      </w:pPr>
      <w:r w:rsidRPr="00235306">
        <w:t xml:space="preserve">Gray, B.J., Rotter, B.E., Best, R.J., and Baker, P. 2013. </w:t>
      </w:r>
      <w:proofErr w:type="gramStart"/>
      <w:r w:rsidR="00611B2A" w:rsidRPr="00611B2A">
        <w:t>Subsidence Impacts and Coal Seam Gas Extraction</w:t>
      </w:r>
      <w:r w:rsidRPr="00235306">
        <w:t>.</w:t>
      </w:r>
      <w:proofErr w:type="gramEnd"/>
      <w:r w:rsidRPr="00235306">
        <w:t xml:space="preserve"> </w:t>
      </w:r>
      <w:proofErr w:type="gramStart"/>
      <w:r w:rsidRPr="00235306">
        <w:t>Conference Presentation, APPEA Onshore</w:t>
      </w:r>
      <w:r w:rsidR="005F47FD">
        <w:t xml:space="preserve"> Gas Conference and Exhibition.</w:t>
      </w:r>
      <w:proofErr w:type="gramEnd"/>
      <w:r w:rsidR="005F47FD">
        <w:br/>
      </w:r>
      <w:r w:rsidRPr="00235306">
        <w:t xml:space="preserve">1-2 October, 2013. Adelaide, Australia. </w:t>
      </w:r>
    </w:p>
    <w:p w:rsidR="005649EE" w:rsidRPr="00235306" w:rsidRDefault="005649EE" w:rsidP="00BA1FBC">
      <w:pPr>
        <w:pStyle w:val="Referencelist"/>
        <w:rPr>
          <w:u w:val="single"/>
        </w:rPr>
      </w:pPr>
      <w:r w:rsidRPr="00235306">
        <w:t>Grigg, K.M., 2012. Using InSar technology and groundwater pumping data to model land subsidence from coal bed methane production in the Power River Basin, Wyoming, Geological Society of America Rocky Mountain Section, 64th Annual Meeting (9–11 May 2012), Paper No. 21-5 (Unpublished).</w:t>
      </w:r>
      <w:r w:rsidR="00565387">
        <w:t xml:space="preserve"> </w:t>
      </w:r>
      <w:r w:rsidRPr="00235306">
        <w:t>Abstracts with Programs, Vol. 44, No. 6, p. 67.</w:t>
      </w:r>
    </w:p>
    <w:p w:rsidR="005649EE" w:rsidRPr="00235306" w:rsidRDefault="005649EE" w:rsidP="00BA1FBC">
      <w:pPr>
        <w:pStyle w:val="Referencelist"/>
      </w:pPr>
      <w:proofErr w:type="gramStart"/>
      <w:r w:rsidRPr="00235306">
        <w:t>GSS Environmental, 2012, Six Monthly Monitoring Report (August 2011 – January 2012), Subsidence Landscape Monitoring and Management Program – Area 3, Dendrobium Mine, GSS Environmental, Hamilton, NSW.</w:t>
      </w:r>
      <w:proofErr w:type="gramEnd"/>
    </w:p>
    <w:p w:rsidR="005649EE" w:rsidRPr="00235306" w:rsidRDefault="005649EE" w:rsidP="00BA1FBC">
      <w:pPr>
        <w:pStyle w:val="Referencelist"/>
      </w:pPr>
      <w:r w:rsidRPr="00235306">
        <w:t xml:space="preserve">Harris Galveston Subsidence District, 2012, Borehole Extensometers, </w:t>
      </w:r>
      <w:r w:rsidR="005F47FD" w:rsidRPr="00781EF7">
        <w:t>http://www.hgsubsidence.org/frequently-asked-questions/measurement-faqs</w:t>
      </w:r>
      <w:r w:rsidRPr="00235306">
        <w:t xml:space="preserve">, accessed </w:t>
      </w:r>
      <w:r w:rsidR="005F47FD">
        <w:t>27 August 2014</w:t>
      </w:r>
      <w:r w:rsidRPr="00235306">
        <w:t>.</w:t>
      </w:r>
    </w:p>
    <w:p w:rsidR="005649EE" w:rsidRDefault="005649EE" w:rsidP="00BA1FBC">
      <w:pPr>
        <w:pStyle w:val="Referencelist"/>
      </w:pPr>
      <w:proofErr w:type="gramStart"/>
      <w:r w:rsidRPr="00235306">
        <w:t>Holmes, C., and J. Ross, 2009.</w:t>
      </w:r>
      <w:proofErr w:type="gramEnd"/>
      <w:r w:rsidRPr="00235306">
        <w:t xml:space="preserve"> CSG Reservoirs – The Importance of Geological Setting in Understanding Hydrogeological Regimes, Proceedings of the NSW IAH Symposium 2011 – Hydrogeology in NSW – The Challenge of Uncertainty, ed. McLean, W. and W. Milne-Home, 5-6 September, Sydney.</w:t>
      </w:r>
    </w:p>
    <w:p w:rsidR="00D06517" w:rsidRDefault="00611B2A" w:rsidP="00BA1FBC">
      <w:pPr>
        <w:pStyle w:val="Referencelist"/>
      </w:pPr>
      <w:proofErr w:type="gramStart"/>
      <w:r w:rsidRPr="00611B2A">
        <w:t>Holt, GE; Mildon, AD and Fletcher, KL.</w:t>
      </w:r>
      <w:proofErr w:type="gramEnd"/>
      <w:r w:rsidR="00565387">
        <w:t xml:space="preserve"> </w:t>
      </w:r>
      <w:r w:rsidRPr="00611B2A">
        <w:t>1984.</w:t>
      </w:r>
      <w:r w:rsidR="00565387">
        <w:t xml:space="preserve"> </w:t>
      </w:r>
      <w:r w:rsidRPr="00611B2A">
        <w:t>Monitoring the Effects of Coal Extraction under the Great Western Railw</w:t>
      </w:r>
      <w:r w:rsidR="00D06517">
        <w:t xml:space="preserve">ay near Bell, New South Wales. </w:t>
      </w:r>
      <w:proofErr w:type="gramStart"/>
      <w:r w:rsidRPr="00611B2A">
        <w:t>Proceedings of the 5th Australian Tunnelling Conference, Sydney, Australia.</w:t>
      </w:r>
      <w:proofErr w:type="gramEnd"/>
      <w:r w:rsidR="00565387">
        <w:t xml:space="preserve"> </w:t>
      </w:r>
      <w:proofErr w:type="gramStart"/>
      <w:r w:rsidRPr="00611B2A">
        <w:t>p</w:t>
      </w:r>
      <w:proofErr w:type="gramEnd"/>
      <w:r w:rsidRPr="00611B2A">
        <w:t xml:space="preserve"> 170-175.</w:t>
      </w:r>
    </w:p>
    <w:p w:rsidR="005649EE" w:rsidRPr="00235306" w:rsidRDefault="005649EE" w:rsidP="00BA1FBC">
      <w:pPr>
        <w:pStyle w:val="Referencelist"/>
      </w:pPr>
      <w:r w:rsidRPr="00235306">
        <w:t xml:space="preserve">Holzer, T.L., and D.L. Galloway, 2005, Impacts of land subsidence caused by withdrawal of underground fluids in the United States, in Ehlen, J., W.C. Haneberg, and R.A. Larson, (Eds), Humans as Geologic Agents: Boulder, Colorado, Geological Society of America Reviews in Engineering Geology, v. XVI, p. 87–99. </w:t>
      </w:r>
    </w:p>
    <w:p w:rsidR="0033334C" w:rsidRPr="00235306" w:rsidRDefault="0033334C" w:rsidP="00BA1FBC">
      <w:pPr>
        <w:pStyle w:val="Referencelist"/>
      </w:pPr>
      <w:proofErr w:type="gramStart"/>
      <w:r w:rsidRPr="00235306">
        <w:t xml:space="preserve">ICE 2012, </w:t>
      </w:r>
      <w:r w:rsidRPr="00235306">
        <w:rPr>
          <w:i/>
        </w:rPr>
        <w:t xml:space="preserve">Manual of geotechnical engineering, </w:t>
      </w:r>
      <w:r w:rsidRPr="00235306">
        <w:t>Volumes 1 and 2, Institute of Civil Engineers (ICE), Scotland.</w:t>
      </w:r>
      <w:proofErr w:type="gramEnd"/>
    </w:p>
    <w:p w:rsidR="005649EE" w:rsidRPr="00235306" w:rsidRDefault="005649EE" w:rsidP="00BA1FBC">
      <w:pPr>
        <w:pStyle w:val="Referencelist"/>
      </w:pPr>
      <w:r w:rsidRPr="00235306">
        <w:t xml:space="preserve">ICSM, 2012, Surveying for Mapping — Section 3, Surveying Heights, Intergovernmental Committee on Surveying and Mapping, Canberra, ACT, </w:t>
      </w:r>
      <w:r w:rsidRPr="00781EF7">
        <w:t>http://www.icsm.gov.au/mapping/surveying3.html</w:t>
      </w:r>
      <w:r w:rsidRPr="00235306">
        <w:t>, accessed 12 November, 2012.</w:t>
      </w:r>
    </w:p>
    <w:p w:rsidR="00251CAA" w:rsidRDefault="00251CAA" w:rsidP="00BA1FBC">
      <w:pPr>
        <w:pStyle w:val="Referencelist"/>
      </w:pPr>
      <w:r>
        <w:t>Ireland, R.L., Poland, J.F. and Riley, F.S., 1984, Land Subsidence in the San Joaquin Valley, California, as of 1980, US Geological Survey Professional Paper 437-1.</w:t>
      </w:r>
    </w:p>
    <w:p w:rsidR="005649EE" w:rsidRPr="005649EE" w:rsidRDefault="005649EE" w:rsidP="00BA1FBC">
      <w:pPr>
        <w:pStyle w:val="Referencelist"/>
      </w:pPr>
      <w:r w:rsidRPr="00235306">
        <w:t xml:space="preserve">ITM Soil, 2012, ST1 Vibrating Wire Spot Weldable Strain Gauge, Datasheet, ITM Soil Group Ltd, Uckfield, East Sussex, UK, </w:t>
      </w:r>
      <w:r w:rsidRPr="00781EF7">
        <w:t>http://www.itmsoil.com/pages/vibrating+wire+spot+weldable+strain+gauge</w:t>
      </w:r>
      <w:r w:rsidRPr="00235306">
        <w:t>, accessed 12 November, 2012.</w:t>
      </w:r>
    </w:p>
    <w:p w:rsidR="00326CCA" w:rsidRDefault="00326CCA" w:rsidP="00BA1FBC">
      <w:pPr>
        <w:pStyle w:val="Referencelist"/>
      </w:pPr>
      <w:r w:rsidRPr="00326CCA">
        <w:t xml:space="preserve">Izadi, G., Wang S., Elsworth, D., Liu, J., Wu, Y., </w:t>
      </w:r>
      <w:proofErr w:type="gramStart"/>
      <w:r w:rsidRPr="00326CCA">
        <w:t>Pone.,</w:t>
      </w:r>
      <w:proofErr w:type="gramEnd"/>
      <w:r w:rsidRPr="00326CCA">
        <w:t xml:space="preserve"> D, 2011, Permeability evolution of fluid-infiltrated coal containing discrete fractures. International Journal of Coal Geology, 85, 202-211.</w:t>
      </w:r>
    </w:p>
    <w:p w:rsidR="005649EE" w:rsidRPr="00235306" w:rsidRDefault="005649EE" w:rsidP="00BA1FBC">
      <w:pPr>
        <w:pStyle w:val="Referencelist"/>
        <w:rPr>
          <w:u w:val="single"/>
        </w:rPr>
      </w:pPr>
      <w:r w:rsidRPr="00235306">
        <w:t>Katzenstein, K.W., 2012. InS</w:t>
      </w:r>
      <w:r w:rsidR="00D06517">
        <w:t>AR</w:t>
      </w:r>
      <w:r w:rsidRPr="00235306">
        <w:t xml:space="preserve"> identifies subsidence resulting from coalbed methane production in the San Juan Basin, Colorado and New Mexico, Geological Society of America Rocky Mountain Section, 64th Annual Meeting (9–11 May 2012), </w:t>
      </w:r>
      <w:r w:rsidR="00D06517">
        <w:t xml:space="preserve">Paper No. 34-14 (Unpublished). </w:t>
      </w:r>
      <w:r w:rsidRPr="00235306">
        <w:t xml:space="preserve">Abstracts with Programs, Vol. 44, No. 6, p. 95 </w:t>
      </w:r>
      <w:r w:rsidRPr="00781EF7">
        <w:t>https://gsa.confex.com/gsa/2012RM/finalprogram/abstract_203599.htm</w:t>
      </w:r>
      <w:r w:rsidR="00221643">
        <w:t>, accessed 27 August 2014.</w:t>
      </w:r>
    </w:p>
    <w:p w:rsidR="005649EE" w:rsidRPr="00235306" w:rsidRDefault="005649EE" w:rsidP="00BA1FBC">
      <w:pPr>
        <w:pStyle w:val="Referencelist"/>
      </w:pPr>
      <w:proofErr w:type="gramStart"/>
      <w:r w:rsidRPr="00235306">
        <w:t>Johnson, R.L.Jr., M.P. Scott, R.G. Jeffrey, and Z. Chen, 2010.</w:t>
      </w:r>
      <w:proofErr w:type="gramEnd"/>
      <w:r w:rsidRPr="00235306">
        <w:t xml:space="preserve"> Evaluating Hydraulic Fracture Effectiveness in a Coal Seam Gas Reservoir from Surface Tiltmeter and Microseismic Monitoring, SPE Annual Technical Conference and Exhibition, 19-22 September 2010, Florence, Italy.</w:t>
      </w:r>
    </w:p>
    <w:p w:rsidR="005649EE" w:rsidRPr="00235306" w:rsidRDefault="005649EE" w:rsidP="00BA1FBC">
      <w:pPr>
        <w:pStyle w:val="Referencelist"/>
      </w:pPr>
      <w:proofErr w:type="gramStart"/>
      <w:r w:rsidRPr="00235306">
        <w:t>Laubach S.E., R.A. Marrett, J.E. Olson, and A.R. Scott, 1998.</w:t>
      </w:r>
      <w:proofErr w:type="gramEnd"/>
      <w:r w:rsidRPr="00235306">
        <w:t xml:space="preserve"> Characteristics and origins of coal cleat: A review. International Journal of Coal Geology 35: 175-207.</w:t>
      </w:r>
    </w:p>
    <w:p w:rsidR="005649EE" w:rsidRPr="00235306" w:rsidRDefault="005649EE" w:rsidP="00BA1FBC">
      <w:pPr>
        <w:pStyle w:val="Referencelist"/>
      </w:pPr>
      <w:r w:rsidRPr="00235306">
        <w:t>Levine, J.R., 1993. Coalification: the evolution of coal as source rock and reservoir rock for oil and gas, in Law, B.E. and D.D. Rice, eds., Hydrocarbons from Coal: AAPG Studies in Geology #38, Chapter 3, p. 39-77.</w:t>
      </w:r>
    </w:p>
    <w:p w:rsidR="005649EE" w:rsidRPr="00235306" w:rsidRDefault="005649EE" w:rsidP="00BA1FBC">
      <w:pPr>
        <w:pStyle w:val="Referencelist"/>
      </w:pPr>
      <w:proofErr w:type="gramStart"/>
      <w:r w:rsidRPr="00235306">
        <w:t>Lu, J.C.C.</w:t>
      </w:r>
      <w:r w:rsidR="00851FB4">
        <w:t>,</w:t>
      </w:r>
      <w:r w:rsidRPr="00235306">
        <w:t xml:space="preserve"> and F.T. Lin, 2006.</w:t>
      </w:r>
      <w:proofErr w:type="gramEnd"/>
      <w:r w:rsidRPr="00235306">
        <w:t xml:space="preserve"> The Transient Ground Surface Response due to a Pont Sink/Heat Source in an Elastic Half-Space. ASCE Conference on Advances in Unsaturated Soil, Seepage and Environmental Geotechnics, Shanghai, pp 210-218.</w:t>
      </w:r>
    </w:p>
    <w:p w:rsidR="005649EE" w:rsidRPr="00235306" w:rsidRDefault="005649EE" w:rsidP="00BA1FBC">
      <w:pPr>
        <w:pStyle w:val="Referencelist"/>
      </w:pPr>
      <w:r w:rsidRPr="00235306">
        <w:t>Marghany, M., 2012, Simulation of 3-D Coastal Spit Geomorphology Using Differential Synthetic Aperture Interferometry (DInSAR), Recent Interferometry Applications in Topography and Astronomy, Dr Ivan Padron (Ed.), ISBN: 978-953-51-0404-9</w:t>
      </w:r>
      <w:r w:rsidR="00851FB4">
        <w:t>.</w:t>
      </w:r>
    </w:p>
    <w:p w:rsidR="005649EE" w:rsidRPr="00235306" w:rsidRDefault="005649EE" w:rsidP="00BA1FBC">
      <w:pPr>
        <w:pStyle w:val="Referencelist"/>
      </w:pPr>
      <w:r w:rsidRPr="00235306">
        <w:t xml:space="preserve">Massarotto, P., V. Rudolph, S.D. Golding, 2003. Anisotropic Permeability Characterisation of Permian Coals, </w:t>
      </w:r>
      <w:r w:rsidRPr="00781EF7">
        <w:t>http://espace.uq.edu.au/eserv/UQ:99658/ICBM2Anisotropy0359May03.pdf</w:t>
      </w:r>
      <w:r w:rsidRPr="00235306">
        <w:t>, accessed 8</w:t>
      </w:r>
      <w:r w:rsidR="00851FB4">
        <w:t> </w:t>
      </w:r>
      <w:r w:rsidRPr="00235306">
        <w:t>August 2012.</w:t>
      </w:r>
    </w:p>
    <w:p w:rsidR="005649EE" w:rsidRPr="00235306" w:rsidRDefault="005649EE" w:rsidP="00BA1FBC">
      <w:pPr>
        <w:pStyle w:val="Referencelist"/>
        <w:rPr>
          <w:u w:val="single"/>
        </w:rPr>
      </w:pPr>
      <w:proofErr w:type="gramStart"/>
      <w:r w:rsidRPr="00235306">
        <w:t>MatrixPlus Consulting, 2009</w:t>
      </w:r>
      <w:r w:rsidR="000C76C1">
        <w:t>.</w:t>
      </w:r>
      <w:proofErr w:type="gramEnd"/>
      <w:r w:rsidRPr="00235306">
        <w:t xml:space="preserve"> GLNG Project EIS, Appendix P2: GLNG Environmental Impact Statement - Groundwater: Deep Aquifer Modelling, prepared for Santos, Report Ref: SAN801</w:t>
      </w:r>
      <w:r w:rsidR="00221643">
        <w:t>.</w:t>
      </w:r>
    </w:p>
    <w:p w:rsidR="005649EE" w:rsidRPr="00235306" w:rsidRDefault="005649EE" w:rsidP="00BA1FBC">
      <w:pPr>
        <w:pStyle w:val="Referencelist"/>
      </w:pPr>
      <w:proofErr w:type="gramStart"/>
      <w:r w:rsidRPr="00235306">
        <w:t>McNally, G., and R. Evans, 2007.</w:t>
      </w:r>
      <w:proofErr w:type="gramEnd"/>
      <w:r w:rsidR="000C76C1">
        <w:t xml:space="preserve"> </w:t>
      </w:r>
      <w:proofErr w:type="gramStart"/>
      <w:r w:rsidRPr="00235306">
        <w:t>Impacts of longwall mining on surface water and groundwater, Southern Coalfields NSW.</w:t>
      </w:r>
      <w:proofErr w:type="gramEnd"/>
      <w:r w:rsidRPr="00235306">
        <w:t xml:space="preserve"> Report for NSW Department of Environment and Climate Change.</w:t>
      </w:r>
    </w:p>
    <w:p w:rsidR="005649EE" w:rsidRPr="00235306" w:rsidRDefault="005649EE" w:rsidP="00BA1FBC">
      <w:pPr>
        <w:pStyle w:val="Referencelist"/>
      </w:pPr>
      <w:r w:rsidRPr="00235306">
        <w:t>Meredith, E., S. Kuzara, J. Wheaton, S. Bierbach, K. Chandler, T. Donato, J. Gunderson, and C. Schwartz, 2010.</w:t>
      </w:r>
      <w:r w:rsidR="00565387">
        <w:t xml:space="preserve"> </w:t>
      </w:r>
      <w:r w:rsidRPr="00235306">
        <w:t>Annual Coalbed Methane Regional Groundwater Monitoring Report: Powder River Basin, Montana. MBMG Open File Report 600, Montana Bureau of Mines and Geology.</w:t>
      </w:r>
    </w:p>
    <w:p w:rsidR="005649EE" w:rsidRPr="00235306" w:rsidRDefault="005649EE" w:rsidP="00BA1FBC">
      <w:pPr>
        <w:pStyle w:val="Referencelist"/>
      </w:pPr>
      <w:proofErr w:type="gramStart"/>
      <w:r w:rsidRPr="00235306">
        <w:t>McKee, C.R. and A.C. Bumb, 1987.</w:t>
      </w:r>
      <w:proofErr w:type="gramEnd"/>
      <w:r w:rsidRPr="00235306">
        <w:t xml:space="preserve"> Flow-testing coalbed methane production wells in the presence of water and gas, SPE Formation Evaluation, 2:4, 599-608.</w:t>
      </w:r>
    </w:p>
    <w:p w:rsidR="005649EE" w:rsidRPr="00235306" w:rsidRDefault="005649EE" w:rsidP="00BA1FBC">
      <w:pPr>
        <w:pStyle w:val="Referencelist"/>
      </w:pPr>
      <w:proofErr w:type="gramStart"/>
      <w:r w:rsidRPr="00235306">
        <w:t>Mikkelson, P.E., and G.E. Green, 2003</w:t>
      </w:r>
      <w:r w:rsidR="000C76C1">
        <w:t>.</w:t>
      </w:r>
      <w:proofErr w:type="gramEnd"/>
      <w:r w:rsidRPr="00235306">
        <w:t xml:space="preserve"> </w:t>
      </w:r>
      <w:proofErr w:type="gramStart"/>
      <w:r w:rsidRPr="00235306">
        <w:t>Piezometers in Fully Grouted Boreholes, Symposium on Field Measurements in Geomechanics, FMGM, Oslo, Norway.</w:t>
      </w:r>
      <w:proofErr w:type="gramEnd"/>
    </w:p>
    <w:p w:rsidR="005649EE" w:rsidRPr="00235306" w:rsidRDefault="005649EE" w:rsidP="00BA1FBC">
      <w:pPr>
        <w:pStyle w:val="Referencelist"/>
      </w:pPr>
      <w:proofErr w:type="gramStart"/>
      <w:r w:rsidRPr="00235306">
        <w:t>MSB (Mine Subsidence Board), 1997a</w:t>
      </w:r>
      <w:r w:rsidR="000C76C1">
        <w:t>.</w:t>
      </w:r>
      <w:proofErr w:type="gramEnd"/>
      <w:r w:rsidRPr="00235306">
        <w:t xml:space="preserve"> </w:t>
      </w:r>
      <w:proofErr w:type="gramStart"/>
      <w:r w:rsidRPr="00235306">
        <w:t>Guidelines for Coal Mining and Roads with Respect to Subsidence, Mine Subsidence Board, Newcastle West, NSW.</w:t>
      </w:r>
      <w:proofErr w:type="gramEnd"/>
    </w:p>
    <w:p w:rsidR="005649EE" w:rsidRPr="00235306" w:rsidRDefault="005649EE" w:rsidP="00BA1FBC">
      <w:pPr>
        <w:pStyle w:val="Referencelist"/>
      </w:pPr>
      <w:proofErr w:type="gramStart"/>
      <w:r w:rsidRPr="00235306">
        <w:t>MSB (Mine Subsidence Board), 1997b</w:t>
      </w:r>
      <w:r w:rsidR="000C76C1">
        <w:t>.</w:t>
      </w:r>
      <w:proofErr w:type="gramEnd"/>
      <w:r w:rsidRPr="00235306">
        <w:t xml:space="preserve"> </w:t>
      </w:r>
      <w:proofErr w:type="gramStart"/>
      <w:r w:rsidRPr="00235306">
        <w:t>Guidelines for Coal Mining and Transmission Lines with Respect to Subsidence, Mine Subsidence Board, Newcastle West, NSW.</w:t>
      </w:r>
      <w:proofErr w:type="gramEnd"/>
    </w:p>
    <w:p w:rsidR="005649EE" w:rsidRPr="00235306" w:rsidRDefault="005649EE" w:rsidP="00BA1FBC">
      <w:pPr>
        <w:pStyle w:val="Referencelist"/>
      </w:pPr>
      <w:proofErr w:type="gramStart"/>
      <w:r w:rsidRPr="00235306">
        <w:t>MSEC (Mine Subsidence Engineering Consultants), 2007a</w:t>
      </w:r>
      <w:r w:rsidR="000C76C1">
        <w:t>.</w:t>
      </w:r>
      <w:proofErr w:type="gramEnd"/>
      <w:r w:rsidRPr="00235306">
        <w:t xml:space="preserve"> Camden Gas Project Proposed Expansion of Stage 2: The Potential for Coal Seam Methane Gas Extraction to result in Subsidence at the Surface, Report Ref: MSEC305 Revision C.</w:t>
      </w:r>
    </w:p>
    <w:p w:rsidR="005649EE" w:rsidRPr="00235306" w:rsidRDefault="005649EE" w:rsidP="00BA1FBC">
      <w:pPr>
        <w:pStyle w:val="Referencelist"/>
      </w:pPr>
      <w:proofErr w:type="gramStart"/>
      <w:r w:rsidRPr="00235306">
        <w:t>MSEC (Mine Subsidence Engineering Consultants), 2007b</w:t>
      </w:r>
      <w:r w:rsidR="000C76C1">
        <w:t>.</w:t>
      </w:r>
      <w:proofErr w:type="gramEnd"/>
      <w:r w:rsidRPr="00235306">
        <w:t xml:space="preserve"> Mine Subsidence Damage to Building Structures, Mine Subsidence Engineering Consultants, Rev A.</w:t>
      </w:r>
    </w:p>
    <w:p w:rsidR="005649EE" w:rsidRPr="00235306" w:rsidRDefault="005649EE" w:rsidP="00BA1FBC">
      <w:pPr>
        <w:pStyle w:val="Referencelist"/>
      </w:pPr>
      <w:proofErr w:type="gramStart"/>
      <w:r w:rsidRPr="00235306">
        <w:t>MSEC (Mine Subsidence Engineering Consultants), 2008a</w:t>
      </w:r>
      <w:r w:rsidR="000C76C1">
        <w:t>.</w:t>
      </w:r>
      <w:proofErr w:type="gramEnd"/>
      <w:r w:rsidRPr="00235306">
        <w:t xml:space="preserve"> The Prediction of Subsidence Parameters and the Assessment of Mine Subsidence Impacts on Natural Features and Surface Infrastructure Resulting from the Proposed Extraction of Longwalls 705 to 710 at Appin Colliery in Support of the SMP Application,</w:t>
      </w:r>
      <w:r w:rsidR="000C76C1">
        <w:t xml:space="preserve"> Report no. MSEC342.</w:t>
      </w:r>
    </w:p>
    <w:p w:rsidR="005649EE" w:rsidRDefault="005649EE" w:rsidP="00BA1FBC">
      <w:pPr>
        <w:pStyle w:val="Referencelist"/>
      </w:pPr>
      <w:proofErr w:type="gramStart"/>
      <w:r w:rsidRPr="00235306">
        <w:t>MSEC (Mine Subsidence Engineering Consultants), 2008b</w:t>
      </w:r>
      <w:r w:rsidR="000C76C1">
        <w:t>.</w:t>
      </w:r>
      <w:proofErr w:type="gramEnd"/>
      <w:r w:rsidRPr="00235306">
        <w:t xml:space="preserve"> Tahmoor Colliery Longwall 24B, End of Panel Subsidence Monitoring report for Tahmoor Colliery Longwall 24B, Report no. </w:t>
      </w:r>
      <w:proofErr w:type="gramStart"/>
      <w:r w:rsidRPr="00235306">
        <w:t>MSEC272-06.</w:t>
      </w:r>
      <w:proofErr w:type="gramEnd"/>
    </w:p>
    <w:p w:rsidR="000C76C1" w:rsidRDefault="004D3996" w:rsidP="00BA1FBC">
      <w:pPr>
        <w:pStyle w:val="Referencelist"/>
      </w:pPr>
      <w:proofErr w:type="gramStart"/>
      <w:r>
        <w:t xml:space="preserve">MSEC </w:t>
      </w:r>
      <w:r w:rsidRPr="00235306">
        <w:t>(Mine Subsidence Engineering Consultants),</w:t>
      </w:r>
      <w:r>
        <w:t xml:space="preserve"> 2009</w:t>
      </w:r>
      <w:r w:rsidR="000C76C1">
        <w:t>.</w:t>
      </w:r>
      <w:proofErr w:type="gramEnd"/>
      <w:r>
        <w:t xml:space="preserve"> </w:t>
      </w:r>
      <w:proofErr w:type="gramStart"/>
      <w:r>
        <w:t>The prediction of subsidence parameters and the assessment of mine subsidence impacts on natural features and surface infrastructure resulting from the Bulli Seam Operations in support of the Part 3A Application.</w:t>
      </w:r>
      <w:proofErr w:type="gramEnd"/>
      <w:r w:rsidR="00565387">
        <w:t xml:space="preserve"> </w:t>
      </w:r>
      <w:proofErr w:type="gramStart"/>
      <w:r>
        <w:t>Bulli Seam Operations Subsidence Assessment.</w:t>
      </w:r>
      <w:proofErr w:type="gramEnd"/>
      <w:r>
        <w:t xml:space="preserve"> Report MSEC404 prepared for BHP Billiton Illawarra Coal.</w:t>
      </w:r>
    </w:p>
    <w:p w:rsidR="005649EE" w:rsidRPr="00235306" w:rsidRDefault="005649EE" w:rsidP="00BA1FBC">
      <w:pPr>
        <w:pStyle w:val="Referencelist"/>
      </w:pPr>
      <w:proofErr w:type="gramStart"/>
      <w:r w:rsidRPr="00235306">
        <w:t>MSEC (Mine Subsidence Engineering Consultants), 2012</w:t>
      </w:r>
      <w:r w:rsidR="000C76C1">
        <w:t>.</w:t>
      </w:r>
      <w:proofErr w:type="gramEnd"/>
      <w:r w:rsidRPr="00235306">
        <w:t xml:space="preserve"> The Management of Mine Subsidence, Effects, Impacts and Consequences, Caroona Coal Project, Community Consultative Committee Presentation</w:t>
      </w:r>
      <w:r w:rsidR="000C76C1">
        <w:t>.</w:t>
      </w:r>
    </w:p>
    <w:p w:rsidR="005649EE" w:rsidRPr="00235306" w:rsidRDefault="005649EE" w:rsidP="00BA1FBC">
      <w:pPr>
        <w:pStyle w:val="Referencelist"/>
      </w:pPr>
      <w:proofErr w:type="gramStart"/>
      <w:r w:rsidRPr="00235306">
        <w:t>Mining Research and Consulting Group, 2009</w:t>
      </w:r>
      <w:r w:rsidR="000C76C1">
        <w:t>.</w:t>
      </w:r>
      <w:proofErr w:type="gramEnd"/>
      <w:r w:rsidR="000C76C1">
        <w:t xml:space="preserve"> </w:t>
      </w:r>
      <w:r w:rsidRPr="00235306">
        <w:t>Multi Seam Subsidence Assessment for Ashton Coal Mine Logwalls 5 to 8, Appendix 4 Subsidence Assessment, Report No. ASH3584.</w:t>
      </w:r>
    </w:p>
    <w:p w:rsidR="005649EE" w:rsidRPr="00235306" w:rsidRDefault="005649EE" w:rsidP="00BA1FBC">
      <w:pPr>
        <w:pStyle w:val="Referencelist"/>
      </w:pPr>
      <w:proofErr w:type="gramStart"/>
      <w:r w:rsidRPr="00235306">
        <w:t>National Research Council, 2010.</w:t>
      </w:r>
      <w:proofErr w:type="gramEnd"/>
      <w:r w:rsidRPr="00235306">
        <w:t xml:space="preserve"> Management and Effects of Coalbed Methane Produced Water in the United States, Committee on Management and Effects of Coalbed Methane Development and Produced Water in the Western United States, The National Academies Press, Washington D.C., ISBN 0309154321.</w:t>
      </w:r>
    </w:p>
    <w:p w:rsidR="005649EE" w:rsidRPr="00235306" w:rsidRDefault="00611B2A" w:rsidP="00BA1FBC">
      <w:pPr>
        <w:pStyle w:val="Referencelist"/>
      </w:pPr>
      <w:proofErr w:type="gramStart"/>
      <w:r w:rsidRPr="00611B2A">
        <w:t>NRMMC</w:t>
      </w:r>
      <w:r w:rsidR="005649EE" w:rsidRPr="00235306">
        <w:t xml:space="preserve"> 2009</w:t>
      </w:r>
      <w:r w:rsidR="00E7490C">
        <w:t>.</w:t>
      </w:r>
      <w:proofErr w:type="gramEnd"/>
      <w:r w:rsidR="005649EE" w:rsidRPr="00235306">
        <w:t xml:space="preserve"> National Water Quality Management Strategy, Australian Guidelines for Water Recycling: Managing Health and Environmental Risks (Phase 2) - Managed Aquifer Recharge, Document No. 24, </w:t>
      </w:r>
      <w:r w:rsidR="009C224A" w:rsidRPr="00235306">
        <w:t xml:space="preserve">Natural Resource Management Ministerial Council (NRMMC), </w:t>
      </w:r>
      <w:r w:rsidR="005649EE" w:rsidRPr="00235306">
        <w:t>ISBN 1921173475.</w:t>
      </w:r>
    </w:p>
    <w:p w:rsidR="005649EE" w:rsidRPr="00235306" w:rsidRDefault="00611B2A" w:rsidP="00BA1FBC">
      <w:pPr>
        <w:pStyle w:val="Referencelist"/>
      </w:pPr>
      <w:proofErr w:type="gramStart"/>
      <w:r w:rsidRPr="00611B2A">
        <w:t>National Uniform</w:t>
      </w:r>
      <w:r w:rsidR="005649EE" w:rsidRPr="00235306">
        <w:t xml:space="preserve"> Drillers Licensing Committee, 2012</w:t>
      </w:r>
      <w:r w:rsidR="00E7490C">
        <w:t>.</w:t>
      </w:r>
      <w:proofErr w:type="gramEnd"/>
      <w:r w:rsidR="005649EE" w:rsidRPr="00235306">
        <w:t xml:space="preserve"> </w:t>
      </w:r>
      <w:proofErr w:type="gramStart"/>
      <w:r w:rsidR="005649EE" w:rsidRPr="00235306">
        <w:t>Minimum construction requirements for water bores</w:t>
      </w:r>
      <w:proofErr w:type="gramEnd"/>
      <w:r w:rsidR="005649EE" w:rsidRPr="00235306">
        <w:t xml:space="preserve"> in Australia, 3rd edition, ISBN 978-0-646-56917-8</w:t>
      </w:r>
    </w:p>
    <w:p w:rsidR="005649EE" w:rsidRPr="00235306" w:rsidRDefault="005649EE" w:rsidP="00BA1FBC">
      <w:pPr>
        <w:pStyle w:val="Referencelist"/>
      </w:pPr>
      <w:proofErr w:type="gramStart"/>
      <w:r w:rsidRPr="00235306">
        <w:t>NSW Department of Mineral Resources, 2003.</w:t>
      </w:r>
      <w:proofErr w:type="gramEnd"/>
      <w:r w:rsidRPr="00235306">
        <w:t xml:space="preserve"> Guideline for Applications for Subsidence Management Approvals, Rev</w:t>
      </w:r>
      <w:r w:rsidR="00553C9E">
        <w:t>ision</w:t>
      </w:r>
      <w:r w:rsidRPr="00235306">
        <w:t xml:space="preserve"> 2, </w:t>
      </w:r>
      <w:r w:rsidRPr="00781EF7">
        <w:t>http://www.resources.nsw.gov.au/__data/assets/pdf_file/0008/427049/edg17-Applications-for-Subsidence-Management-Approvals.pdf</w:t>
      </w:r>
      <w:r w:rsidRPr="00235306">
        <w:t>, accessed 17 April 2013.</w:t>
      </w:r>
    </w:p>
    <w:p w:rsidR="005649EE" w:rsidRPr="00235306" w:rsidRDefault="005649EE" w:rsidP="00BA1FBC">
      <w:pPr>
        <w:pStyle w:val="Referencelist"/>
      </w:pPr>
      <w:proofErr w:type="gramStart"/>
      <w:r w:rsidRPr="00235306">
        <w:t>O’Connor K.M., J. Crawford, K. Price, and R. Sharpe, 2004</w:t>
      </w:r>
      <w:r w:rsidR="00E7490C">
        <w:t>.</w:t>
      </w:r>
      <w:proofErr w:type="gramEnd"/>
      <w:r w:rsidRPr="00235306">
        <w:t xml:space="preserve"> Real Time Monitoring of Subsidence Over an Active Mine in Virginia Using TDR, Transportation Research Record, Journal of the Transportation Research Board, no. 1874, p. 147-154.</w:t>
      </w:r>
    </w:p>
    <w:p w:rsidR="005649EE" w:rsidRPr="005649EE" w:rsidRDefault="005649EE" w:rsidP="00BA1FBC">
      <w:pPr>
        <w:pStyle w:val="Referencelist"/>
      </w:pPr>
      <w:r w:rsidRPr="00235306">
        <w:t xml:space="preserve">Origin Energy Limited, 2012. Spring Gully Project Investor Analyst Handout, </w:t>
      </w:r>
      <w:r w:rsidRPr="00781EF7">
        <w:t>http://www.originenergy.com.au/files/Investor_07_Analyst_Visit_Handout.pdf</w:t>
      </w:r>
      <w:r w:rsidRPr="00235306">
        <w:t>, accessed 16</w:t>
      </w:r>
      <w:r w:rsidR="00553C9E">
        <w:t> </w:t>
      </w:r>
      <w:r w:rsidRPr="00235306">
        <w:t>August 2012.</w:t>
      </w:r>
    </w:p>
    <w:p w:rsidR="003F624E" w:rsidRPr="00235306" w:rsidRDefault="003F624E" w:rsidP="00BA1FBC">
      <w:pPr>
        <w:pStyle w:val="Referencelist"/>
      </w:pPr>
      <w:proofErr w:type="gramStart"/>
      <w:r w:rsidRPr="00235306">
        <w:t>Pini, R, Marx, D, Burlini, L, Giuseppe, S &amp; Mazzotti, M 2011</w:t>
      </w:r>
      <w:r w:rsidR="00E7490C">
        <w:t>.</w:t>
      </w:r>
      <w:proofErr w:type="gramEnd"/>
      <w:r w:rsidRPr="00235306">
        <w:t xml:space="preserve"> ‘Coal characterization for ECBM recovery: gas sorption under dry and humid conditions, and its effect on displacement dynamics</w:t>
      </w:r>
      <w:r w:rsidR="00A60C35" w:rsidRPr="00235306">
        <w:t>’</w:t>
      </w:r>
      <w:r w:rsidRPr="00235306">
        <w:t xml:space="preserve">, </w:t>
      </w:r>
      <w:r w:rsidRPr="00235306">
        <w:rPr>
          <w:i/>
        </w:rPr>
        <w:t xml:space="preserve">Energy Procedia, </w:t>
      </w:r>
      <w:r w:rsidRPr="00235306">
        <w:t>vol. 4</w:t>
      </w:r>
      <w:r w:rsidR="00526AA5" w:rsidRPr="00235306">
        <w:t>,</w:t>
      </w:r>
      <w:r w:rsidRPr="00235306">
        <w:t xml:space="preserve"> </w:t>
      </w:r>
      <w:r w:rsidR="00526AA5" w:rsidRPr="00235306">
        <w:t>pp. 2157-61.</w:t>
      </w:r>
    </w:p>
    <w:p w:rsidR="005649EE" w:rsidRPr="005649EE" w:rsidRDefault="005649EE" w:rsidP="00BA1FBC">
      <w:pPr>
        <w:pStyle w:val="Referencelist"/>
      </w:pPr>
      <w:r w:rsidRPr="00235306">
        <w:t xml:space="preserve">Poland, J.F., 1984. </w:t>
      </w:r>
      <w:proofErr w:type="gramStart"/>
      <w:r w:rsidRPr="00235306">
        <w:t>Guidebook to studies of land subsidence due to groundwater withdrawal, United Nations Educational, Scientific and Cultural Organization.</w:t>
      </w:r>
      <w:proofErr w:type="gramEnd"/>
      <w:r w:rsidRPr="00235306">
        <w:t xml:space="preserve"> </w:t>
      </w:r>
      <w:r w:rsidRPr="00781EF7">
        <w:t>http://wwwrcamnl.wr.usgs.gov/rgws/Unesco/</w:t>
      </w:r>
      <w:r w:rsidRPr="00235306">
        <w:t>, accessed 16 April 2014.</w:t>
      </w:r>
    </w:p>
    <w:p w:rsidR="005649EE" w:rsidRPr="00235306" w:rsidRDefault="005649EE" w:rsidP="00BA1FBC">
      <w:pPr>
        <w:pStyle w:val="Referencelist"/>
      </w:pPr>
      <w:r w:rsidRPr="00235306">
        <w:t xml:space="preserve">Queensland Government, 2000, Soils of Western Queensland, Technical Note WQ32, Western Queensland Best Practice Guidelines, </w:t>
      </w:r>
      <w:r w:rsidRPr="00781EF7">
        <w:t>http://www.tmr.qld.gov.au/~/media/busind/techstdpubs/Western%20Queensland%20Best%20Practice%20Guidelines/WQ32.pdf</w:t>
      </w:r>
      <w:r w:rsidRPr="00235306">
        <w:t>, accessed 28 November 2012.</w:t>
      </w:r>
    </w:p>
    <w:p w:rsidR="005649EE" w:rsidRPr="00235306" w:rsidRDefault="005649EE" w:rsidP="00BA1FBC">
      <w:pPr>
        <w:pStyle w:val="Referencelist"/>
      </w:pPr>
      <w:proofErr w:type="gramStart"/>
      <w:r w:rsidRPr="00235306">
        <w:t>Queensland Government, 2012.Queensland’s coal seam gas overview (February 2012), Document No.CC12-PET018, Department of Employment, Economic Development and Innovation, Geological Survey of Queensland.</w:t>
      </w:r>
      <w:proofErr w:type="gramEnd"/>
    </w:p>
    <w:p w:rsidR="00FA1FA5" w:rsidRPr="00235306" w:rsidRDefault="00FA1FA5" w:rsidP="00BA1FBC">
      <w:pPr>
        <w:pStyle w:val="Referencelist"/>
      </w:pPr>
      <w:r w:rsidRPr="00235306">
        <w:t xml:space="preserve">Queensland Government 2013, </w:t>
      </w:r>
      <w:r w:rsidR="00611B2A" w:rsidRPr="00611B2A">
        <w:rPr>
          <w:i/>
        </w:rPr>
        <w:t>Disposal of fraccing fluid</w:t>
      </w:r>
      <w:r w:rsidRPr="00235306">
        <w:t xml:space="preserve">, Department of Environment and Heritage Protection (DEHP), </w:t>
      </w:r>
      <w:r w:rsidRPr="00781EF7">
        <w:t>http://www.ehp.qld.gov.au/management/non-mining/disposal-fraccing-fluid.html</w:t>
      </w:r>
      <w:r w:rsidR="00E7490C">
        <w:t>,</w:t>
      </w:r>
      <w:r w:rsidR="00E7490C" w:rsidRPr="00E7490C">
        <w:t xml:space="preserve"> </w:t>
      </w:r>
      <w:r w:rsidR="00E7490C" w:rsidRPr="00235306">
        <w:t>accessed 18 June 2014</w:t>
      </w:r>
      <w:r w:rsidR="00E7490C">
        <w:t>.</w:t>
      </w:r>
    </w:p>
    <w:p w:rsidR="005649EE" w:rsidRPr="00235306" w:rsidRDefault="005649EE" w:rsidP="00BA1FBC">
      <w:pPr>
        <w:pStyle w:val="Referencelist"/>
      </w:pPr>
      <w:proofErr w:type="gramStart"/>
      <w:r w:rsidRPr="00235306">
        <w:t>Queensland Water Commission, 2012</w:t>
      </w:r>
      <w:r w:rsidR="00E7490C">
        <w:t>.</w:t>
      </w:r>
      <w:proofErr w:type="gramEnd"/>
      <w:r w:rsidRPr="00235306">
        <w:t xml:space="preserve"> Draft underground water impact report, Surat </w:t>
      </w:r>
      <w:r w:rsidR="00E7490C">
        <w:t>C</w:t>
      </w:r>
      <w:r w:rsidRPr="00235306">
        <w:t xml:space="preserve">umulative </w:t>
      </w:r>
      <w:r w:rsidR="00E7490C">
        <w:t>M</w:t>
      </w:r>
      <w:r w:rsidRPr="00235306">
        <w:t xml:space="preserve">anagement </w:t>
      </w:r>
      <w:r w:rsidR="00E7490C">
        <w:t>A</w:t>
      </w:r>
      <w:r w:rsidRPr="00235306">
        <w:t>rea, consultation draft</w:t>
      </w:r>
      <w:r w:rsidR="00E7490C">
        <w:t>,</w:t>
      </w:r>
      <w:r w:rsidRPr="00235306">
        <w:t xml:space="preserve"> State of Queensland. </w:t>
      </w:r>
      <w:proofErr w:type="gramStart"/>
      <w:r w:rsidRPr="00235306">
        <w:t>Queensland Water Commission.</w:t>
      </w:r>
      <w:proofErr w:type="gramEnd"/>
    </w:p>
    <w:p w:rsidR="005649EE" w:rsidRPr="00235306" w:rsidRDefault="005649EE" w:rsidP="00BA1FBC">
      <w:pPr>
        <w:pStyle w:val="Referencelist"/>
      </w:pPr>
      <w:proofErr w:type="gramStart"/>
      <w:r w:rsidRPr="00235306">
        <w:t>Rassam, D.W., I. Jolly, and T. Pickett, 2012</w:t>
      </w:r>
      <w:r w:rsidR="00E7490C">
        <w:t>.</w:t>
      </w:r>
      <w:proofErr w:type="gramEnd"/>
      <w:r w:rsidRPr="00235306">
        <w:t xml:space="preserve"> Guidelines for modelling groundwater-surface water interactions in eWater Source: Towards best practice model application, eWater Cooperative Research Centre, ISBN 978-1-921543059-3. </w:t>
      </w:r>
    </w:p>
    <w:p w:rsidR="005649EE" w:rsidRPr="00235306" w:rsidRDefault="005649EE" w:rsidP="00BA1FBC">
      <w:pPr>
        <w:pStyle w:val="Referencelist"/>
      </w:pPr>
      <w:proofErr w:type="gramStart"/>
      <w:r w:rsidRPr="00235306">
        <w:t>Rassam, D.W., and A.D. Werner, 2008</w:t>
      </w:r>
      <w:r w:rsidR="00E7490C">
        <w:t>.</w:t>
      </w:r>
      <w:proofErr w:type="gramEnd"/>
      <w:r w:rsidRPr="00235306">
        <w:t xml:space="preserve"> Review of groundwater–surfacewater interaction modelling approaches and their suitability for Australian conditions. </w:t>
      </w:r>
      <w:proofErr w:type="gramStart"/>
      <w:r w:rsidRPr="00235306">
        <w:t>eWater</w:t>
      </w:r>
      <w:proofErr w:type="gramEnd"/>
      <w:r w:rsidRPr="00235306">
        <w:t xml:space="preserve"> Technical Report. </w:t>
      </w:r>
      <w:proofErr w:type="gramStart"/>
      <w:r w:rsidRPr="00235306">
        <w:t>eWater</w:t>
      </w:r>
      <w:proofErr w:type="gramEnd"/>
      <w:r w:rsidRPr="00235306">
        <w:t xml:space="preserve"> Cooperative Researc</w:t>
      </w:r>
      <w:r w:rsidR="005E00C7">
        <w:t>h Centre, Canberra.</w:t>
      </w:r>
    </w:p>
    <w:p w:rsidR="005649EE" w:rsidRPr="00235306" w:rsidRDefault="005649EE" w:rsidP="00BA1FBC">
      <w:pPr>
        <w:pStyle w:val="Referencelist"/>
      </w:pPr>
      <w:proofErr w:type="gramStart"/>
      <w:r w:rsidRPr="00235306">
        <w:t>Rassam, D., G. Walker, and B. Barnett, 2008</w:t>
      </w:r>
      <w:r w:rsidR="00E7490C">
        <w:t>.</w:t>
      </w:r>
      <w:proofErr w:type="gramEnd"/>
      <w:r w:rsidRPr="00235306">
        <w:t xml:space="preserve"> Recommendations for modelling surface–groundwater interactions based on lessons learnt from the Murray-Darling Basin Sustainable Yields Project. </w:t>
      </w:r>
      <w:proofErr w:type="gramStart"/>
      <w:r w:rsidRPr="00235306">
        <w:t>A report to the Australian Government from the CSIRO Murray-Darling Basin Sustainable Yie</w:t>
      </w:r>
      <w:r w:rsidR="005E00C7">
        <w:t>lds Project.</w:t>
      </w:r>
      <w:proofErr w:type="gramEnd"/>
      <w:r w:rsidR="005E00C7">
        <w:t xml:space="preserve"> CSIRO, Australia.</w:t>
      </w:r>
    </w:p>
    <w:p w:rsidR="005649EE" w:rsidRPr="00235306" w:rsidRDefault="005649EE" w:rsidP="00BA1FBC">
      <w:pPr>
        <w:pStyle w:val="Referencelist"/>
      </w:pPr>
      <w:r w:rsidRPr="00235306">
        <w:t>Rice, D.D., 1993</w:t>
      </w:r>
      <w:r w:rsidR="00E7490C">
        <w:t>.</w:t>
      </w:r>
      <w:r w:rsidRPr="00235306">
        <w:t xml:space="preserve"> Compositions and origins of coalbed gas, in D.D., Rice and Law, B.E., eds., Hydrocarbons from coal: Tulsa, OK, American Assoc. of Petroleum Geologists, AAPG Studies in Geology 38, p. 159-184.</w:t>
      </w:r>
    </w:p>
    <w:p w:rsidR="005649EE" w:rsidRPr="00235306" w:rsidRDefault="005649EE" w:rsidP="00BA1FBC">
      <w:pPr>
        <w:pStyle w:val="Referencelist"/>
      </w:pPr>
      <w:proofErr w:type="gramStart"/>
      <w:r w:rsidRPr="00235306">
        <w:t>Riese, W.C., W.L. Pelzmann, and G.T. Snyder, 2005</w:t>
      </w:r>
      <w:r w:rsidR="00E7490C">
        <w:t>.</w:t>
      </w:r>
      <w:proofErr w:type="gramEnd"/>
      <w:r w:rsidRPr="00235306">
        <w:t xml:space="preserve"> New insights on the hydrocarbon system of the Fruitland Formation coal beds, northern San Juan Basin, Colorado and New Mexico, USA. Geological Society of America Special Papers, 387:73-111, doi: 10.1130/0-8137-2387-6.73. </w:t>
      </w:r>
    </w:p>
    <w:p w:rsidR="005649EE" w:rsidRPr="00235306" w:rsidRDefault="005649EE" w:rsidP="00BA1FBC">
      <w:pPr>
        <w:pStyle w:val="Referencelist"/>
      </w:pPr>
      <w:r w:rsidRPr="00235306">
        <w:t>Rightmire C.T., G.E. Eddy, and J.N. Kirr, 1984</w:t>
      </w:r>
      <w:proofErr w:type="gramStart"/>
      <w:r w:rsidRPr="00235306">
        <w:t>.“Coalbed Methane Resource of the United States”.The American Association of Petroleum Geologists.</w:t>
      </w:r>
      <w:proofErr w:type="gramEnd"/>
    </w:p>
    <w:p w:rsidR="005649EE" w:rsidRPr="00235306" w:rsidRDefault="005649EE" w:rsidP="00BA1FBC">
      <w:pPr>
        <w:pStyle w:val="Referencelist"/>
      </w:pPr>
      <w:r w:rsidRPr="00235306">
        <w:t>Riley, F.S., 1986</w:t>
      </w:r>
      <w:r w:rsidR="00E7490C">
        <w:t>.</w:t>
      </w:r>
      <w:r w:rsidRPr="00235306">
        <w:t xml:space="preserve"> Developments in Borehole Extensometry, Land Subsidence, A. I. Johnson, L. Carbognin&amp; L. Ubertini (Eds), Proc. Venice Symp., March 1984, IAHS Publ. no. 151, p. 169-186.</w:t>
      </w:r>
    </w:p>
    <w:p w:rsidR="005649EE" w:rsidRPr="00235306" w:rsidRDefault="005649EE" w:rsidP="00BA1FBC">
      <w:pPr>
        <w:pStyle w:val="Referencelist"/>
      </w:pPr>
      <w:r w:rsidRPr="00235306">
        <w:t>Robertson, E. P., 2005.</w:t>
      </w:r>
      <w:r w:rsidR="00E7490C">
        <w:t xml:space="preserve"> </w:t>
      </w:r>
      <w:proofErr w:type="gramStart"/>
      <w:r w:rsidRPr="00235306">
        <w:t>Measurement and Modeling of Sorption-Induced Strain and Permeability Changes in Coal.</w:t>
      </w:r>
      <w:proofErr w:type="gramEnd"/>
      <w:r w:rsidRPr="00235306">
        <w:t xml:space="preserve"> </w:t>
      </w:r>
      <w:proofErr w:type="gramStart"/>
      <w:r w:rsidRPr="00235306">
        <w:t>Idaho National Laboratory, Idaho Falls, Idaho 83415.</w:t>
      </w:r>
      <w:proofErr w:type="gramEnd"/>
      <w:r w:rsidR="00565387">
        <w:t xml:space="preserve"> </w:t>
      </w:r>
      <w:r w:rsidRPr="00235306">
        <w:t>Report INL/EXT-06-11832 prepared for the U.S. Department of Energy through the INL LDRD Program under DOE Idaho Operations Office, Contract DE-AC07-05ID14517.</w:t>
      </w:r>
      <w:r w:rsidR="00565387">
        <w:t xml:space="preserve"> </w:t>
      </w:r>
      <w:proofErr w:type="gramStart"/>
      <w:r w:rsidRPr="00235306">
        <w:t>Doctorate Dissertation, Colorado School of Mines, Golden (CO).</w:t>
      </w:r>
      <w:proofErr w:type="gramEnd"/>
    </w:p>
    <w:p w:rsidR="00B50C18" w:rsidRPr="00B50C18" w:rsidRDefault="00B50C18" w:rsidP="00B50C18">
      <w:pPr>
        <w:pStyle w:val="Referencelist"/>
      </w:pPr>
      <w:proofErr w:type="gramStart"/>
      <w:r w:rsidRPr="00B50C18">
        <w:t>Robertson, E.P., and R.L. Christiansen, 2005.</w:t>
      </w:r>
      <w:proofErr w:type="gramEnd"/>
      <w:r w:rsidRPr="00B50C18">
        <w:t xml:space="preserve"> </w:t>
      </w:r>
      <w:proofErr w:type="gramStart"/>
      <w:r w:rsidRPr="00B50C18">
        <w:t>Modelling permeability in coal using sorption-induced strain data: 2005 Society of Petroleum Engineers Annual Technical Conference and Exhibition, Dallas, Texas, SPE Paper Number 97068.</w:t>
      </w:r>
      <w:proofErr w:type="gramEnd"/>
    </w:p>
    <w:p w:rsidR="005649EE" w:rsidRPr="005649EE" w:rsidRDefault="005649EE" w:rsidP="00BA1FBC">
      <w:pPr>
        <w:pStyle w:val="Referencelist"/>
      </w:pPr>
      <w:proofErr w:type="gramStart"/>
      <w:r w:rsidRPr="00235306">
        <w:t>Robertson, E.P., and R.L. Christiansen, 2006</w:t>
      </w:r>
      <w:r w:rsidR="00E7490C">
        <w:t>.</w:t>
      </w:r>
      <w:proofErr w:type="gramEnd"/>
      <w:r w:rsidRPr="00235306">
        <w:t xml:space="preserve"> A Permeability Model for Coal and Other Fractured, Sorptive-Elastic Media, Idaho National Laboratory, Document No. </w:t>
      </w:r>
      <w:proofErr w:type="gramStart"/>
      <w:r w:rsidRPr="00235306">
        <w:t>INL/CON-06-11830.</w:t>
      </w:r>
      <w:proofErr w:type="gramEnd"/>
    </w:p>
    <w:p w:rsidR="003475AC" w:rsidRDefault="00B9580C">
      <w:pPr>
        <w:pStyle w:val="Referencelist"/>
      </w:pPr>
      <w:proofErr w:type="gramStart"/>
      <w:r w:rsidRPr="00235306">
        <w:t>Rotter, B.E. and Best, R.J. 2013.</w:t>
      </w:r>
      <w:proofErr w:type="gramEnd"/>
      <w:r w:rsidRPr="00235306">
        <w:t xml:space="preserve"> </w:t>
      </w:r>
      <w:proofErr w:type="gramStart"/>
      <w:r w:rsidRPr="00235306">
        <w:t xml:space="preserve">Analytical Modelling of </w:t>
      </w:r>
      <w:r w:rsidR="00E7490C">
        <w:t>S</w:t>
      </w:r>
      <w:r w:rsidRPr="00235306">
        <w:t>ubsidence Due to Coal Seam Gas Extraction.</w:t>
      </w:r>
      <w:proofErr w:type="gramEnd"/>
      <w:r w:rsidRPr="00235306">
        <w:t xml:space="preserve"> Conference Presentation, </w:t>
      </w:r>
      <w:r w:rsidR="002F0A59" w:rsidRPr="002F0A59">
        <w:t>International Association of Hydrogeologists 40</w:t>
      </w:r>
      <w:r w:rsidR="002F0A59" w:rsidRPr="002F0A59">
        <w:rPr>
          <w:vertAlign w:val="superscript"/>
        </w:rPr>
        <w:t>th</w:t>
      </w:r>
      <w:r w:rsidR="002F0A59" w:rsidRPr="002F0A59">
        <w:t xml:space="preserve"> International Congress</w:t>
      </w:r>
      <w:r w:rsidRPr="00235306">
        <w:t>. 15-20 September, 2013. Perth, Australia.</w:t>
      </w:r>
    </w:p>
    <w:p w:rsidR="005649EE" w:rsidRPr="00235306" w:rsidRDefault="005649EE" w:rsidP="00BA1FBC">
      <w:pPr>
        <w:pStyle w:val="Referencelist"/>
      </w:pPr>
      <w:r w:rsidRPr="00235306">
        <w:t xml:space="preserve">Saghafi, A., 2005. </w:t>
      </w:r>
      <w:proofErr w:type="gramStart"/>
      <w:r w:rsidRPr="00235306">
        <w:t>Enhanced Coal Bed Methane (ECBM) and CO</w:t>
      </w:r>
      <w:r w:rsidRPr="005A16BB">
        <w:rPr>
          <w:vertAlign w:val="subscript"/>
        </w:rPr>
        <w:t>2</w:t>
      </w:r>
      <w:r w:rsidRPr="00235306">
        <w:t xml:space="preserve"> storage in Australian coals, Coal Seam Methane and Greenhouse Gas Research, CSIRO Energy Technology.</w:t>
      </w:r>
      <w:proofErr w:type="gramEnd"/>
      <w:r w:rsidRPr="00235306">
        <w:t xml:space="preserve"> Presentation at the Australian Institute of Energy, 17 October 2005.</w:t>
      </w:r>
    </w:p>
    <w:p w:rsidR="005649EE" w:rsidRDefault="005649EE" w:rsidP="00BA1FBC">
      <w:pPr>
        <w:pStyle w:val="Referencelist"/>
        <w:rPr>
          <w:lang w:val="en-AU"/>
        </w:rPr>
      </w:pPr>
      <w:proofErr w:type="gramStart"/>
      <w:r w:rsidRPr="00235306">
        <w:t>Science Daily, 2006</w:t>
      </w:r>
      <w:r w:rsidR="005A16BB">
        <w:t>.</w:t>
      </w:r>
      <w:proofErr w:type="gramEnd"/>
      <w:r w:rsidRPr="00235306">
        <w:t xml:space="preserve"> Sinking Levees: New Report Maps Subsidence, Addresses Flooding </w:t>
      </w:r>
      <w:r w:rsidR="00A43CA6">
        <w:t>i</w:t>
      </w:r>
      <w:r w:rsidRPr="00235306">
        <w:t>n New Orleans</w:t>
      </w:r>
      <w:r w:rsidR="00A43CA6">
        <w:t>.</w:t>
      </w:r>
      <w:r w:rsidRPr="00235306">
        <w:t xml:space="preserve"> </w:t>
      </w:r>
      <w:r w:rsidRPr="00781EF7">
        <w:rPr>
          <w:lang w:val="en-AU"/>
        </w:rPr>
        <w:t>http://www.sciencedaily.com/releases/2006/06/060601092002.htm</w:t>
      </w:r>
      <w:r w:rsidRPr="00235306">
        <w:rPr>
          <w:lang w:val="en-AU"/>
        </w:rPr>
        <w:t>, accessed 13 November 2012.</w:t>
      </w:r>
    </w:p>
    <w:p w:rsidR="005649EE" w:rsidRPr="00235306" w:rsidRDefault="005649EE" w:rsidP="00BA1FBC">
      <w:pPr>
        <w:pStyle w:val="Referencelist"/>
      </w:pPr>
      <w:r w:rsidRPr="00235306">
        <w:t xml:space="preserve">Shi, J.Q., and Durucan, S., 2005. </w:t>
      </w:r>
      <w:proofErr w:type="gramStart"/>
      <w:r w:rsidRPr="00235306">
        <w:t>CO</w:t>
      </w:r>
      <w:r w:rsidRPr="00235306">
        <w:rPr>
          <w:vertAlign w:val="subscript"/>
        </w:rPr>
        <w:t>2</w:t>
      </w:r>
      <w:r w:rsidRPr="00235306">
        <w:t xml:space="preserve"> Storage in Deep Unminable Coal Seams.</w:t>
      </w:r>
      <w:proofErr w:type="gramEnd"/>
      <w:r w:rsidRPr="00235306">
        <w:t xml:space="preserve"> Oil &amp; Gas Science and Technology Rev. IFP 60(3):547–558.</w:t>
      </w:r>
    </w:p>
    <w:p w:rsidR="005649EE" w:rsidRPr="00235306" w:rsidRDefault="005649EE" w:rsidP="00BA1FBC">
      <w:pPr>
        <w:pStyle w:val="Referencelist"/>
      </w:pPr>
      <w:proofErr w:type="gramStart"/>
      <w:r w:rsidRPr="00235306">
        <w:t>SKM, 2011.</w:t>
      </w:r>
      <w:proofErr w:type="gramEnd"/>
      <w:r w:rsidRPr="00235306">
        <w:t xml:space="preserve"> CSG associated water quality risk characterisation. Report prepared by Sinclair Knight Merz for the NSW Government Office of Environment and Heritage.</w:t>
      </w:r>
    </w:p>
    <w:p w:rsidR="005649EE" w:rsidRPr="00235306" w:rsidRDefault="005649EE" w:rsidP="00BA1FBC">
      <w:pPr>
        <w:pStyle w:val="Referencelist"/>
      </w:pPr>
      <w:r w:rsidRPr="00235306">
        <w:t>Slope Indicator, 2011</w:t>
      </w:r>
      <w:r w:rsidR="005A16BB">
        <w:t>.</w:t>
      </w:r>
      <w:r w:rsidRPr="00235306">
        <w:t xml:space="preserve"> </w:t>
      </w:r>
      <w:proofErr w:type="gramStart"/>
      <w:r w:rsidRPr="00235306">
        <w:t>Pneumatic Piezometer, Datasheet, Durham Geo Slope Indicator, Mukilteo, WA, USA</w:t>
      </w:r>
      <w:r w:rsidR="00A43CA6">
        <w:t>.</w:t>
      </w:r>
      <w:proofErr w:type="gramEnd"/>
      <w:r w:rsidRPr="00235306">
        <w:t xml:space="preserve"> </w:t>
      </w:r>
      <w:r w:rsidRPr="00781EF7">
        <w:t>http://www.slopeindicator.com/pdf/pneumatic%20piezometer%20datasheet.pdf</w:t>
      </w:r>
      <w:r w:rsidRPr="00235306">
        <w:t>, accessed 12 November, 2012.</w:t>
      </w:r>
    </w:p>
    <w:p w:rsidR="005649EE" w:rsidRPr="00235306" w:rsidRDefault="005649EE" w:rsidP="00BA1FBC">
      <w:pPr>
        <w:pStyle w:val="Referencelist"/>
      </w:pPr>
      <w:r w:rsidRPr="00235306">
        <w:t>Slope Indicator, 2012a</w:t>
      </w:r>
      <w:r w:rsidR="005A16BB">
        <w:t>.</w:t>
      </w:r>
      <w:r w:rsidRPr="00235306">
        <w:t xml:space="preserve"> Geotechnical and Structural Instrumentation – Volume VI, Durham Geo Slope Indicator, Mukilteo, WA, USA, </w:t>
      </w:r>
      <w:r w:rsidR="006648C0" w:rsidRPr="00781EF7">
        <w:t>http://www.slopeindicator.com/pdf/catalog-slope-indicator-2011-color.pdf</w:t>
      </w:r>
      <w:r w:rsidRPr="00235306">
        <w:t>, accessed 12 November 2012.</w:t>
      </w:r>
    </w:p>
    <w:p w:rsidR="005649EE" w:rsidRPr="00235306" w:rsidRDefault="005649EE" w:rsidP="00BA1FBC">
      <w:pPr>
        <w:pStyle w:val="Referencelist"/>
      </w:pPr>
      <w:r w:rsidRPr="00235306">
        <w:t>Slope Indicator, 2012b</w:t>
      </w:r>
      <w:r w:rsidR="005A16BB">
        <w:t>.</w:t>
      </w:r>
      <w:r w:rsidRPr="00235306">
        <w:t xml:space="preserve"> Piezometers, Durham Geo Slope Indicator, Mukilteo, WA, USA, </w:t>
      </w:r>
      <w:r w:rsidR="006648C0" w:rsidRPr="00781EF7">
        <w:t>http://www.slopeindicator.com/instruments/piezo-comparison.php</w:t>
      </w:r>
      <w:r w:rsidRPr="00235306">
        <w:t>, accessed 3 December 2012.</w:t>
      </w:r>
    </w:p>
    <w:p w:rsidR="005649EE" w:rsidRPr="00235306" w:rsidRDefault="005649EE" w:rsidP="00BA1FBC">
      <w:pPr>
        <w:pStyle w:val="Referencelist"/>
      </w:pPr>
      <w:proofErr w:type="gramStart"/>
      <w:r w:rsidRPr="00235306">
        <w:t>Solinst, 2012</w:t>
      </w:r>
      <w:r w:rsidR="005A16BB">
        <w:t>.</w:t>
      </w:r>
      <w:proofErr w:type="gramEnd"/>
      <w:r w:rsidRPr="00235306">
        <w:t xml:space="preserve"> New Levelogger Edge, Solinst Canada Ltd, Georgetown, ON, Canada, </w:t>
      </w:r>
      <w:r w:rsidRPr="00781EF7">
        <w:t>http://www.solinst.com/About/about.html</w:t>
      </w:r>
      <w:r w:rsidRPr="00235306">
        <w:t>, accessed 12 November, 2012.</w:t>
      </w:r>
    </w:p>
    <w:p w:rsidR="005649EE" w:rsidRPr="00235306" w:rsidRDefault="005649EE" w:rsidP="00BA1FBC">
      <w:pPr>
        <w:pStyle w:val="Referencelist"/>
      </w:pPr>
      <w:r w:rsidRPr="00235306">
        <w:t xml:space="preserve">State of Queensland Department of Natural Resources and Mines </w:t>
      </w:r>
      <w:proofErr w:type="gramStart"/>
      <w:r w:rsidRPr="00235306">
        <w:t>2012</w:t>
      </w:r>
      <w:r w:rsidR="005A16BB">
        <w:t>.</w:t>
      </w:r>
      <w:r w:rsidRPr="00235306">
        <w:t>,</w:t>
      </w:r>
      <w:proofErr w:type="gramEnd"/>
      <w:r w:rsidRPr="00235306">
        <w:t xml:space="preserve"> Forecasting Coal Seam Gas Water Production in Queensland’s Surat and Southern Bowen Basins Technical Report, Healthy HeadWaters Coal Seam Gas Water Feasibility Study, Prepared by Klohn Crippen Berger, September 2012</w:t>
      </w:r>
      <w:r w:rsidR="005A16BB">
        <w:t>.</w:t>
      </w:r>
    </w:p>
    <w:p w:rsidR="005649EE" w:rsidRPr="00235306" w:rsidRDefault="005649EE" w:rsidP="00BA1FBC">
      <w:pPr>
        <w:pStyle w:val="Referencelist"/>
      </w:pPr>
      <w:proofErr w:type="gramStart"/>
      <w:r w:rsidRPr="00235306">
        <w:t>StevensWater, 2012</w:t>
      </w:r>
      <w:r w:rsidR="005A16BB">
        <w:t>.</w:t>
      </w:r>
      <w:proofErr w:type="gramEnd"/>
      <w:r w:rsidRPr="00235306">
        <w:t xml:space="preserve"> Contact Meter Datasheet, </w:t>
      </w:r>
      <w:r w:rsidRPr="00781EF7">
        <w:t>http://www.stevenswater.com/catalog/products/water_level_sensors/datasheet/contactmeter.pdf</w:t>
      </w:r>
      <w:r w:rsidRPr="00235306">
        <w:t>, accessed 12 November 2012.</w:t>
      </w:r>
    </w:p>
    <w:p w:rsidR="005649EE" w:rsidRPr="00235306" w:rsidRDefault="005649EE" w:rsidP="00BA1FBC">
      <w:pPr>
        <w:pStyle w:val="Referencelist"/>
      </w:pPr>
      <w:proofErr w:type="gramStart"/>
      <w:r w:rsidRPr="00235306">
        <w:t>Strata Engineering (Australia), 2003</w:t>
      </w:r>
      <w:r w:rsidR="005A16BB">
        <w:t>.</w:t>
      </w:r>
      <w:proofErr w:type="gramEnd"/>
      <w:r w:rsidRPr="00235306">
        <w:t xml:space="preserve"> Review of Industry Subsidence Data in Relation to the Influence of Overburden Lithology on subsidence and an Initial Assessment of a Sub-surface Fracturing Model for Groundwater Analysis.</w:t>
      </w:r>
      <w:r w:rsidR="00565387">
        <w:t xml:space="preserve"> </w:t>
      </w:r>
      <w:r w:rsidRPr="00235306">
        <w:t>Australian Coal Association Research Program Report (Project C10023).</w:t>
      </w:r>
    </w:p>
    <w:p w:rsidR="005649EE" w:rsidRPr="00235306" w:rsidRDefault="005649EE" w:rsidP="00BA1FBC">
      <w:pPr>
        <w:pStyle w:val="Referencelist"/>
      </w:pPr>
      <w:proofErr w:type="gramStart"/>
      <w:r w:rsidRPr="00235306">
        <w:t>Straubaar, R., E. van Gunsteren, and S. Moll, 2009</w:t>
      </w:r>
      <w:r w:rsidR="005A16BB">
        <w:t>.</w:t>
      </w:r>
      <w:proofErr w:type="gramEnd"/>
      <w:r w:rsidR="008543BD" w:rsidRPr="00235306">
        <w:t xml:space="preserve"> </w:t>
      </w:r>
      <w:proofErr w:type="gramStart"/>
      <w:r w:rsidRPr="00235306">
        <w:t>Design Considerations of a High Rockfill Dam Nam Ngum 2 CFRD, Lao PDR.1st International Symposium on</w:t>
      </w:r>
      <w:r w:rsidR="006648C0">
        <w:t xml:space="preserve"> </w:t>
      </w:r>
      <w:r w:rsidRPr="00235306">
        <w:t>Rockfill Dams, Chengdu, China.</w:t>
      </w:r>
      <w:proofErr w:type="gramEnd"/>
    </w:p>
    <w:p w:rsidR="005649EE" w:rsidRPr="00235306" w:rsidRDefault="005649EE" w:rsidP="00BA1FBC">
      <w:pPr>
        <w:pStyle w:val="Referencelist"/>
      </w:pPr>
      <w:proofErr w:type="gramStart"/>
      <w:r w:rsidRPr="00235306">
        <w:t>Surveyor-General Victoria, 2006</w:t>
      </w:r>
      <w:r w:rsidR="005A16BB">
        <w:t>.</w:t>
      </w:r>
      <w:proofErr w:type="gramEnd"/>
      <w:r w:rsidRPr="00235306">
        <w:t xml:space="preserve"> Guidelines for Cadastral Surveying using Global Navigation Satellite Systems (GNSS), Survey Practice Handbook, Melbourne, Victoria.</w:t>
      </w:r>
    </w:p>
    <w:p w:rsidR="005649EE" w:rsidRPr="00235306" w:rsidRDefault="005649EE" w:rsidP="00BA1FBC">
      <w:pPr>
        <w:pStyle w:val="Referencelist"/>
      </w:pPr>
      <w:proofErr w:type="gramStart"/>
      <w:r w:rsidRPr="00235306">
        <w:t>US Department of Energy, 2002</w:t>
      </w:r>
      <w:r w:rsidR="005A16BB">
        <w:t>.</w:t>
      </w:r>
      <w:proofErr w:type="gramEnd"/>
      <w:r w:rsidRPr="00235306">
        <w:t xml:space="preserve"> Powder River Basin Coalbed Methane Development and Produced Water Management Study, U.S. Department of Energy Office of Fossil Energy and National Energy Technology Laboratory, Document No. </w:t>
      </w:r>
      <w:proofErr w:type="gramStart"/>
      <w:r w:rsidRPr="00235306">
        <w:t>DOE/NETL-2003/1184.</w:t>
      </w:r>
      <w:proofErr w:type="gramEnd"/>
    </w:p>
    <w:p w:rsidR="005649EE" w:rsidRPr="00235306" w:rsidRDefault="005649EE" w:rsidP="00BA1FBC">
      <w:pPr>
        <w:pStyle w:val="Referencelist"/>
      </w:pPr>
      <w:proofErr w:type="gramStart"/>
      <w:r w:rsidRPr="00235306">
        <w:t>US EPA, 2004</w:t>
      </w:r>
      <w:r w:rsidR="005A16BB">
        <w:t>.</w:t>
      </w:r>
      <w:proofErr w:type="gramEnd"/>
      <w:r w:rsidRPr="00235306">
        <w:t xml:space="preserve"> Evaluation of Impacts to Underground Sources of Drinking Water by Hydraulic Fracturing of Coalbed Methane Reservoirs Study, Appendix </w:t>
      </w:r>
      <w:proofErr w:type="gramStart"/>
      <w:r w:rsidRPr="00235306">
        <w:t>A</w:t>
      </w:r>
      <w:proofErr w:type="gramEnd"/>
      <w:r w:rsidRPr="00235306">
        <w:t xml:space="preserve"> - Department of Energy - Hydraulic Fracturing White Paper, Available at http://water.epa.gov/type/groundwater/uic/class2/hydraulicfracturing/wells_coalbedmethanestudy.cfm </w:t>
      </w:r>
    </w:p>
    <w:p w:rsidR="005649EE" w:rsidRPr="00235306" w:rsidRDefault="005649EE" w:rsidP="00BA1FBC">
      <w:pPr>
        <w:pStyle w:val="Referencelist"/>
        <w:rPr>
          <w:u w:val="single"/>
          <w:lang w:val="en-AU"/>
        </w:rPr>
      </w:pPr>
      <w:proofErr w:type="gramStart"/>
      <w:r w:rsidRPr="00235306">
        <w:t xml:space="preserve">USGS, </w:t>
      </w:r>
      <w:r w:rsidRPr="00235306">
        <w:rPr>
          <w:lang w:val="en-AU"/>
        </w:rPr>
        <w:t>2005</w:t>
      </w:r>
      <w:r w:rsidR="005A16BB">
        <w:rPr>
          <w:lang w:val="en-AU"/>
        </w:rPr>
        <w:t>.</w:t>
      </w:r>
      <w:proofErr w:type="gramEnd"/>
      <w:r w:rsidRPr="00235306">
        <w:rPr>
          <w:lang w:val="en-AU"/>
        </w:rPr>
        <w:t xml:space="preserve"> </w:t>
      </w:r>
      <w:proofErr w:type="gramStart"/>
      <w:r w:rsidRPr="00235306">
        <w:rPr>
          <w:lang w:val="en-AU"/>
        </w:rPr>
        <w:t>Monitoring ground deformation from space.</w:t>
      </w:r>
      <w:proofErr w:type="gramEnd"/>
      <w:r w:rsidRPr="00235306">
        <w:rPr>
          <w:lang w:val="en-AU"/>
        </w:rPr>
        <w:t xml:space="preserve"> </w:t>
      </w:r>
      <w:r w:rsidR="00BB0840" w:rsidRPr="00235306">
        <w:t xml:space="preserve">United States Geological Survey (USGS). </w:t>
      </w:r>
      <w:r w:rsidRPr="00781EF7">
        <w:rPr>
          <w:lang w:val="en-AU"/>
        </w:rPr>
        <w:t>http://pubs.usgs.gov/fs/2005/3025/2005-3025.pdf</w:t>
      </w:r>
      <w:r w:rsidRPr="00235306">
        <w:rPr>
          <w:u w:val="single"/>
          <w:lang w:val="en-AU"/>
        </w:rPr>
        <w:t xml:space="preserve">, </w:t>
      </w:r>
      <w:r w:rsidRPr="00235306">
        <w:t>accessed 6 December 2012.</w:t>
      </w:r>
    </w:p>
    <w:p w:rsidR="005649EE" w:rsidRPr="00235306" w:rsidRDefault="005649EE" w:rsidP="00BA1FBC">
      <w:pPr>
        <w:pStyle w:val="Referencelist"/>
      </w:pPr>
      <w:proofErr w:type="gramStart"/>
      <w:r w:rsidRPr="00235306">
        <w:t>USGS, 2012</w:t>
      </w:r>
      <w:r w:rsidR="005A16BB">
        <w:t>.</w:t>
      </w:r>
      <w:proofErr w:type="gramEnd"/>
      <w:r w:rsidRPr="00235306">
        <w:t xml:space="preserve"> </w:t>
      </w:r>
      <w:r w:rsidR="00C85E01" w:rsidRPr="00235306">
        <w:t>United States Geological Survey (</w:t>
      </w:r>
      <w:r w:rsidRPr="00235306">
        <w:t>USGS</w:t>
      </w:r>
      <w:r w:rsidR="00C85E01" w:rsidRPr="00235306">
        <w:t>)</w:t>
      </w:r>
      <w:r w:rsidRPr="00235306">
        <w:t xml:space="preserve"> Global Positioning Application and Practice, </w:t>
      </w:r>
      <w:r w:rsidRPr="00781EF7">
        <w:t>http://water.usgs.gov/osw/gps/index.html</w:t>
      </w:r>
      <w:r w:rsidRPr="00235306">
        <w:t>, accessed 12 November, 2012.</w:t>
      </w:r>
    </w:p>
    <w:p w:rsidR="005649EE" w:rsidRPr="00235306" w:rsidRDefault="005649EE" w:rsidP="00BA1FBC">
      <w:pPr>
        <w:pStyle w:val="Referencelist"/>
      </w:pPr>
      <w:proofErr w:type="gramStart"/>
      <w:r w:rsidRPr="00235306">
        <w:t>University of Southern Queensland, 2011.</w:t>
      </w:r>
      <w:proofErr w:type="gramEnd"/>
      <w:r w:rsidRPr="00235306">
        <w:t xml:space="preserve"> Preliminary Assessment of Cumulative Drawdown Impacts in the Surat Basin Associated with the Coal Seam Gas Industry - Investigation of parameters and features for a regional model of Surat Basin Coal Seam Gas developments.</w:t>
      </w:r>
    </w:p>
    <w:p w:rsidR="005649EE" w:rsidRPr="00235306" w:rsidRDefault="005649EE" w:rsidP="00BA1FBC">
      <w:pPr>
        <w:pStyle w:val="Referencelist"/>
      </w:pPr>
      <w:r w:rsidRPr="00235306">
        <w:t>URS, 2009.GLNG Project EIS, Appendix P1: GLNG Environmental Impact Statement - Shallow Groundwater, prepared for Santos, Report Ref: 42626229</w:t>
      </w:r>
      <w:r w:rsidR="007470B1">
        <w:t>.</w:t>
      </w:r>
    </w:p>
    <w:p w:rsidR="005649EE" w:rsidRPr="00235306" w:rsidRDefault="005A16BB" w:rsidP="00BA1FBC">
      <w:pPr>
        <w:pStyle w:val="Referencelist"/>
      </w:pPr>
      <w:r>
        <w:t>Wang, S. 2012.</w:t>
      </w:r>
      <w:r w:rsidR="005649EE" w:rsidRPr="00235306">
        <w:t xml:space="preserve"> Gas Transport, Sorption, and mechanical Response of Fractured Coal.</w:t>
      </w:r>
      <w:r w:rsidR="00565387">
        <w:t xml:space="preserve"> </w:t>
      </w:r>
      <w:proofErr w:type="gramStart"/>
      <w:r w:rsidR="005649EE" w:rsidRPr="00235306">
        <w:t>Doctoral Dissertation, Graduate School College of Earth and Mineral Sciences, Pennsylvania State University, USA.</w:t>
      </w:r>
      <w:proofErr w:type="gramEnd"/>
    </w:p>
    <w:p w:rsidR="005F0275" w:rsidRPr="00235306" w:rsidRDefault="00611B2A" w:rsidP="005F0275">
      <w:pPr>
        <w:pStyle w:val="Referencelist"/>
      </w:pPr>
      <w:proofErr w:type="gramStart"/>
      <w:r w:rsidRPr="00611B2A">
        <w:t>Warren</w:t>
      </w:r>
      <w:r w:rsidR="005F0275" w:rsidRPr="00235306">
        <w:t>, J.E. and Root P.J., 1963</w:t>
      </w:r>
      <w:r w:rsidR="005A16BB">
        <w:t>.</w:t>
      </w:r>
      <w:r w:rsidR="005F0275" w:rsidRPr="00235306">
        <w:t>The behaviour of naturally fractured reservoirs.</w:t>
      </w:r>
      <w:proofErr w:type="gramEnd"/>
      <w:r w:rsidR="005F0275" w:rsidRPr="00235306">
        <w:t xml:space="preserve"> Society of Petroleum Engineers Journal, September 1963, 245-255.</w:t>
      </w:r>
    </w:p>
    <w:p w:rsidR="005649EE" w:rsidRPr="00235306" w:rsidRDefault="005649EE" w:rsidP="00BA1FBC">
      <w:pPr>
        <w:pStyle w:val="Referencelist"/>
      </w:pPr>
      <w:proofErr w:type="gramStart"/>
      <w:r w:rsidRPr="00235306">
        <w:t>Wheaton, J., and J. Metesh, 2002.</w:t>
      </w:r>
      <w:proofErr w:type="gramEnd"/>
      <w:r w:rsidR="005A16BB">
        <w:t xml:space="preserve"> </w:t>
      </w:r>
      <w:proofErr w:type="gramStart"/>
      <w:r w:rsidRPr="00235306">
        <w:t>Potential Ground-Water Drawdown and Recovery from Coalbed Methane Development in the Powder River Basin, Montana.</w:t>
      </w:r>
      <w:proofErr w:type="gramEnd"/>
      <w:r w:rsidRPr="00235306">
        <w:t xml:space="preserve"> Open-File Report MBMG 458, Montana Bureau of Mines and Geology, Montana Tech of The University of Montana, May.</w:t>
      </w:r>
    </w:p>
    <w:p w:rsidR="005649EE" w:rsidRPr="00235306" w:rsidRDefault="005649EE" w:rsidP="00BA1FBC">
      <w:pPr>
        <w:pStyle w:val="Referencelist"/>
      </w:pPr>
      <w:proofErr w:type="gramStart"/>
      <w:r w:rsidRPr="00235306">
        <w:t>Whittaker, B.N., and D.J. Reddish</w:t>
      </w:r>
      <w:r w:rsidR="005A16BB">
        <w:t>.</w:t>
      </w:r>
      <w:proofErr w:type="gramEnd"/>
      <w:r w:rsidRPr="00235306">
        <w:t xml:space="preserve"> 1989</w:t>
      </w:r>
      <w:proofErr w:type="gramStart"/>
      <w:r w:rsidRPr="00235306">
        <w:t>.Subsidence</w:t>
      </w:r>
      <w:proofErr w:type="gramEnd"/>
      <w:r w:rsidRPr="00235306">
        <w:t>, Occurrence, Prediction and Control.</w:t>
      </w:r>
      <w:r w:rsidR="007470B1">
        <w:t xml:space="preserve"> </w:t>
      </w:r>
      <w:proofErr w:type="gramStart"/>
      <w:r w:rsidRPr="00235306">
        <w:t>Developments in Geotechnical Engineering, 56, Elsevier.</w:t>
      </w:r>
      <w:proofErr w:type="gramEnd"/>
    </w:p>
    <w:p w:rsidR="005649EE" w:rsidRPr="00235306" w:rsidRDefault="005649EE" w:rsidP="00BA1FBC">
      <w:pPr>
        <w:pStyle w:val="Referencelist"/>
        <w:rPr>
          <w:u w:val="single"/>
        </w:rPr>
      </w:pPr>
      <w:proofErr w:type="gramStart"/>
      <w:r w:rsidRPr="00235306">
        <w:t>WorleyParsons, 2010a</w:t>
      </w:r>
      <w:r w:rsidR="005A16BB">
        <w:t>.</w:t>
      </w:r>
      <w:proofErr w:type="gramEnd"/>
      <w:r w:rsidRPr="00235306">
        <w:t xml:space="preserve"> Australia Pacific LNG Project, Volume 5: Gas Fields, Attachment 21: Groundwater Technical Report - Gas Fields, prepared for Australia Pacific LNG, </w:t>
      </w:r>
      <w:r w:rsidRPr="00781EF7">
        <w:rPr>
          <w:lang w:val="en-AU"/>
        </w:rPr>
        <w:t>http://www.aplng.com.au/pdf/eis/Volume_5/Vol5_Att_21-GroundWater_Gasfields.pdf</w:t>
      </w:r>
    </w:p>
    <w:p w:rsidR="005649EE" w:rsidRPr="00235306" w:rsidRDefault="005649EE" w:rsidP="00BA1FBC">
      <w:pPr>
        <w:pStyle w:val="Referencelist"/>
      </w:pPr>
      <w:proofErr w:type="gramStart"/>
      <w:r w:rsidRPr="00235306">
        <w:t>WorleyParsons, 2010b</w:t>
      </w:r>
      <w:r w:rsidR="005A16BB">
        <w:t>.</w:t>
      </w:r>
      <w:proofErr w:type="gramEnd"/>
      <w:r w:rsidRPr="00235306">
        <w:t xml:space="preserve"> </w:t>
      </w:r>
      <w:proofErr w:type="gramStart"/>
      <w:r w:rsidRPr="00235306">
        <w:t>Spatial analysis of coal seam water chemistry.</w:t>
      </w:r>
      <w:proofErr w:type="gramEnd"/>
      <w:r w:rsidRPr="00235306">
        <w:t xml:space="preserve"> </w:t>
      </w:r>
      <w:proofErr w:type="gramStart"/>
      <w:r w:rsidRPr="00235306">
        <w:t>Task 1: Literature review.</w:t>
      </w:r>
      <w:proofErr w:type="gramEnd"/>
      <w:r w:rsidR="00565387">
        <w:t xml:space="preserve"> </w:t>
      </w:r>
      <w:r w:rsidRPr="00235306">
        <w:t>Report prepared by WorleyParsons for the Department of Environment and Resource Management, Queensland.</w:t>
      </w:r>
    </w:p>
    <w:p w:rsidR="005649EE" w:rsidRPr="00235306" w:rsidRDefault="005649EE" w:rsidP="00BA1FBC">
      <w:pPr>
        <w:pStyle w:val="Referencelist"/>
        <w:rPr>
          <w:lang w:val="en-AU"/>
        </w:rPr>
      </w:pPr>
      <w:proofErr w:type="gramStart"/>
      <w:r w:rsidRPr="00235306">
        <w:t>Wong, P.K., and S. Summerell, 2012</w:t>
      </w:r>
      <w:r w:rsidR="005A16BB">
        <w:t>.</w:t>
      </w:r>
      <w:proofErr w:type="gramEnd"/>
      <w:r w:rsidRPr="00235306">
        <w:t xml:space="preserve"> Guidelines on Settlement Criteria for Design of Highways, </w:t>
      </w:r>
      <w:r w:rsidRPr="00235306">
        <w:rPr>
          <w:lang w:val="en-AU"/>
        </w:rPr>
        <w:t>Australian Geomechanics Society Sydney Chapter Symposium, October 2012.</w:t>
      </w:r>
    </w:p>
    <w:p w:rsidR="005649EE" w:rsidRPr="00235306" w:rsidRDefault="005649EE" w:rsidP="00BA1FBC">
      <w:pPr>
        <w:pStyle w:val="Referencelist"/>
      </w:pPr>
      <w:proofErr w:type="gramStart"/>
      <w:r w:rsidRPr="00235306">
        <w:t>Wu Y., Liu J., Chen Z., Elsworth D. and Pone D., 2011</w:t>
      </w:r>
      <w:r w:rsidR="005A16BB">
        <w:t>.</w:t>
      </w:r>
      <w:proofErr w:type="gramEnd"/>
      <w:r w:rsidRPr="00235306">
        <w:t xml:space="preserve"> A dual poroelastic model for CO</w:t>
      </w:r>
      <w:r w:rsidRPr="00235306">
        <w:rPr>
          <w:vertAlign w:val="subscript"/>
        </w:rPr>
        <w:t>2</w:t>
      </w:r>
      <w:r w:rsidRPr="00235306">
        <w:t xml:space="preserve"> enhanced coalbed methane recovery. International Journal of Coal Geology 86 177-189.</w:t>
      </w:r>
    </w:p>
    <w:p w:rsidR="005649EE" w:rsidRPr="00235306" w:rsidRDefault="005649EE" w:rsidP="00BA1FBC">
      <w:pPr>
        <w:pStyle w:val="Referencelist"/>
      </w:pPr>
      <w:proofErr w:type="gramStart"/>
      <w:r w:rsidRPr="00235306">
        <w:t>Wyllie, D.C., and C.W. Mah, 2004</w:t>
      </w:r>
      <w:r w:rsidR="005A16BB">
        <w:t>.</w:t>
      </w:r>
      <w:proofErr w:type="gramEnd"/>
      <w:r w:rsidRPr="00235306">
        <w:t xml:space="preserve"> </w:t>
      </w:r>
      <w:proofErr w:type="gramStart"/>
      <w:r w:rsidRPr="00235306">
        <w:t>Rock Slope Engineering Civil and Mining, 4th Edition, Spon Press, New York, NY.</w:t>
      </w:r>
      <w:proofErr w:type="gramEnd"/>
    </w:p>
    <w:p w:rsidR="005649EE" w:rsidRPr="00235306" w:rsidRDefault="005649EE" w:rsidP="00BA1FBC">
      <w:pPr>
        <w:pStyle w:val="Referencelist"/>
      </w:pPr>
      <w:r w:rsidRPr="00235306">
        <w:t>Younger, P.L., 1993</w:t>
      </w:r>
      <w:r w:rsidR="005A16BB">
        <w:t>.</w:t>
      </w:r>
      <w:r w:rsidRPr="00235306">
        <w:t xml:space="preserve"> </w:t>
      </w:r>
      <w:proofErr w:type="gramStart"/>
      <w:r w:rsidRPr="00235306">
        <w:t>Simple Generalized Methods for Estimating Aquifer Storage Parameters, Quarterly Journal of Engineering Geology, 26, pp. 127-135.</w:t>
      </w:r>
      <w:proofErr w:type="gramEnd"/>
    </w:p>
    <w:p w:rsidR="005649EE" w:rsidRDefault="005649EE" w:rsidP="00BA1FBC">
      <w:pPr>
        <w:pStyle w:val="Referencelist"/>
      </w:pPr>
      <w:proofErr w:type="gramStart"/>
      <w:r w:rsidRPr="00235306">
        <w:t>Youden, J., D. Power, and C. Randell, 2004</w:t>
      </w:r>
      <w:r w:rsidR="005A16BB">
        <w:t>.</w:t>
      </w:r>
      <w:proofErr w:type="gramEnd"/>
      <w:r w:rsidRPr="00235306">
        <w:t xml:space="preserve"> Differential lnSAR Measurement of Ground Movement along Pipeline Right-of-Ways, North Belridge, California, Final Report, C-CORE Report R-01-39552 for Gas Research Institute, Des Plaines, IL.</w:t>
      </w:r>
    </w:p>
    <w:p w:rsidR="005A16BB" w:rsidRPr="005649EE" w:rsidRDefault="005A16BB" w:rsidP="00BA1FBC">
      <w:pPr>
        <w:pStyle w:val="Referencelist"/>
      </w:pPr>
    </w:p>
    <w:p w:rsidR="000E1639" w:rsidRDefault="000E1639" w:rsidP="00D70BB9">
      <w:pPr>
        <w:pStyle w:val="BRNormal11pt0"/>
        <w:sectPr w:rsidR="000E1639" w:rsidSect="00781EF7">
          <w:headerReference w:type="default" r:id="rId144"/>
          <w:footerReference w:type="default" r:id="rId145"/>
          <w:headerReference w:type="first" r:id="rId146"/>
          <w:footerReference w:type="first" r:id="rId147"/>
          <w:pgSz w:w="11900" w:h="16840" w:code="9"/>
          <w:pgMar w:top="1963" w:right="1418" w:bottom="1418" w:left="1418" w:header="142" w:footer="567" w:gutter="0"/>
          <w:cols w:space="284"/>
          <w:noEndnote/>
          <w:titlePg/>
          <w:docGrid w:linePitch="326"/>
        </w:sectPr>
      </w:pPr>
    </w:p>
    <w:p w:rsidR="006C53ED" w:rsidRPr="00725706" w:rsidRDefault="006C53ED" w:rsidP="001E6DBD">
      <w:pPr>
        <w:pStyle w:val="AppendixH1"/>
      </w:pPr>
      <w:bookmarkStart w:id="622" w:name="pagetop"/>
      <w:bookmarkStart w:id="623" w:name="_Toc382993003"/>
      <w:bookmarkStart w:id="624" w:name="_Toc402425357"/>
      <w:bookmarkEnd w:id="451"/>
      <w:bookmarkEnd w:id="452"/>
      <w:bookmarkEnd w:id="453"/>
      <w:bookmarkEnd w:id="454"/>
      <w:bookmarkEnd w:id="455"/>
      <w:bookmarkEnd w:id="456"/>
      <w:bookmarkEnd w:id="457"/>
      <w:bookmarkEnd w:id="622"/>
      <w:r>
        <w:t>Appendix A</w:t>
      </w:r>
      <w:r w:rsidR="00ED7703">
        <w:t xml:space="preserve"> -</w:t>
      </w:r>
      <w:r>
        <w:t xml:space="preserve"> </w:t>
      </w:r>
      <w:bookmarkEnd w:id="623"/>
      <w:r w:rsidR="00ED7703">
        <w:rPr>
          <w:lang w:val="en-US"/>
        </w:rPr>
        <w:t>C</w:t>
      </w:r>
      <w:r w:rsidR="004263CA" w:rsidRPr="004263CA">
        <w:rPr>
          <w:lang w:val="en-US"/>
        </w:rPr>
        <w:t xml:space="preserve">oal </w:t>
      </w:r>
      <w:r w:rsidR="006A40B5">
        <w:rPr>
          <w:lang w:val="en-US"/>
        </w:rPr>
        <w:t>s</w:t>
      </w:r>
      <w:r w:rsidR="004263CA" w:rsidRPr="004263CA">
        <w:rPr>
          <w:lang w:val="en-US"/>
        </w:rPr>
        <w:t xml:space="preserve">eam </w:t>
      </w:r>
      <w:r w:rsidR="006A40B5">
        <w:rPr>
          <w:lang w:val="en-US"/>
        </w:rPr>
        <w:t>g</w:t>
      </w:r>
      <w:r w:rsidR="004263CA" w:rsidRPr="004263CA">
        <w:rPr>
          <w:lang w:val="en-US"/>
        </w:rPr>
        <w:t xml:space="preserve">as </w:t>
      </w:r>
      <w:r w:rsidR="006A40B5">
        <w:rPr>
          <w:lang w:val="en-US"/>
        </w:rPr>
        <w:t>w</w:t>
      </w:r>
      <w:r w:rsidR="004263CA" w:rsidRPr="004263CA">
        <w:rPr>
          <w:lang w:val="en-US"/>
        </w:rPr>
        <w:t>orkshop</w:t>
      </w:r>
      <w:bookmarkEnd w:id="624"/>
    </w:p>
    <w:p w:rsidR="004263CA" w:rsidRPr="004263CA" w:rsidRDefault="004263CA" w:rsidP="00E6767F">
      <w:pPr>
        <w:pStyle w:val="BRNormal11pt0"/>
        <w:rPr>
          <w:lang w:val="en-GB"/>
        </w:rPr>
      </w:pPr>
      <w:r w:rsidRPr="004263CA">
        <w:rPr>
          <w:lang w:val="en-GB"/>
        </w:rPr>
        <w:t xml:space="preserve">On 24 August 2012, Coffey Geotechnics Pty Ltd held a workshop on modelling </w:t>
      </w:r>
      <w:r w:rsidR="00D334D9">
        <w:rPr>
          <w:lang w:val="en-GB"/>
        </w:rPr>
        <w:t xml:space="preserve">the </w:t>
      </w:r>
      <w:r w:rsidRPr="004263CA">
        <w:rPr>
          <w:lang w:val="en-GB"/>
        </w:rPr>
        <w:t xml:space="preserve">impacts of coal seam gas on water resources and </w:t>
      </w:r>
      <w:r w:rsidR="00D334D9">
        <w:rPr>
          <w:lang w:val="en-GB"/>
        </w:rPr>
        <w:t xml:space="preserve">land </w:t>
      </w:r>
      <w:r w:rsidRPr="004263CA">
        <w:rPr>
          <w:lang w:val="en-GB"/>
        </w:rPr>
        <w:t xml:space="preserve">subsidence. The workshop was attended by groundwater modelling </w:t>
      </w:r>
      <w:r w:rsidRPr="00E6767F">
        <w:t>specialists</w:t>
      </w:r>
      <w:r w:rsidRPr="004263CA">
        <w:rPr>
          <w:lang w:val="en-GB"/>
        </w:rPr>
        <w:t xml:space="preserve"> and representatives from the coal seam gas industry. The attendees are listed below. The workshop provided an opportunity for industry and expert opinion to be considered in the development of this report.</w:t>
      </w:r>
    </w:p>
    <w:p w:rsidR="004263CA" w:rsidRPr="004263CA" w:rsidRDefault="004263CA" w:rsidP="00E6767F">
      <w:pPr>
        <w:pStyle w:val="BRNormal11pt0"/>
        <w:rPr>
          <w:lang w:val="en-GB"/>
        </w:rPr>
      </w:pPr>
      <w:r w:rsidRPr="004263CA">
        <w:rPr>
          <w:lang w:val="en-GB"/>
        </w:rPr>
        <w:t xml:space="preserve">A summary of comments provided by </w:t>
      </w:r>
      <w:r w:rsidRPr="00E6767F">
        <w:t>the</w:t>
      </w:r>
      <w:r w:rsidRPr="004263CA">
        <w:rPr>
          <w:lang w:val="en-GB"/>
        </w:rPr>
        <w:t xml:space="preserve"> attendees is shown below.</w:t>
      </w:r>
    </w:p>
    <w:p w:rsidR="00093D1C" w:rsidRDefault="00235306">
      <w:pPr>
        <w:pStyle w:val="Caption-table"/>
      </w:pPr>
      <w:r w:rsidRPr="001E0FA8">
        <w:t xml:space="preserve">Table </w:t>
      </w:r>
      <w:r>
        <w:t xml:space="preserve">A1 </w:t>
      </w:r>
      <w:r w:rsidR="00E6767F" w:rsidRPr="00E6767F">
        <w:t xml:space="preserve">Coal </w:t>
      </w:r>
      <w:r w:rsidR="00FE767A">
        <w:t>s</w:t>
      </w:r>
      <w:r w:rsidR="00E6767F" w:rsidRPr="00E6767F">
        <w:t xml:space="preserve">eam </w:t>
      </w:r>
      <w:r w:rsidR="00FE767A">
        <w:t>g</w:t>
      </w:r>
      <w:r w:rsidR="00E6767F" w:rsidRPr="00E6767F">
        <w:t xml:space="preserve">as </w:t>
      </w:r>
      <w:r w:rsidR="00FE767A">
        <w:t>w</w:t>
      </w:r>
      <w:r w:rsidR="00E6767F" w:rsidRPr="00E6767F">
        <w:t xml:space="preserve">orkshop </w:t>
      </w:r>
      <w:r w:rsidR="00FE767A">
        <w:t>n</w:t>
      </w:r>
      <w:r w:rsidR="00E6767F" w:rsidRPr="00E6767F">
        <w:t>otes</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7131"/>
      </w:tblGrid>
      <w:tr w:rsidR="00E6767F" w:rsidRPr="004263CA" w:rsidTr="00781EF7">
        <w:trPr>
          <w:tblHeader/>
        </w:trPr>
        <w:tc>
          <w:tcPr>
            <w:tcW w:w="1800" w:type="dxa"/>
            <w:shd w:val="clear" w:color="auto" w:fill="C6D9F1" w:themeFill="text2" w:themeFillTint="33"/>
          </w:tcPr>
          <w:p w:rsidR="00E6767F" w:rsidRPr="004263CA" w:rsidRDefault="00E6767F" w:rsidP="00E6767F">
            <w:pPr>
              <w:pStyle w:val="Tableheading"/>
              <w:rPr>
                <w:lang w:val="en-GB"/>
              </w:rPr>
            </w:pPr>
            <w:r>
              <w:rPr>
                <w:lang w:val="en-GB"/>
              </w:rPr>
              <w:t>Item</w:t>
            </w:r>
          </w:p>
        </w:tc>
        <w:tc>
          <w:tcPr>
            <w:tcW w:w="7131" w:type="dxa"/>
            <w:shd w:val="clear" w:color="auto" w:fill="C6D9F1" w:themeFill="text2" w:themeFillTint="33"/>
          </w:tcPr>
          <w:p w:rsidR="00E6767F" w:rsidRPr="004263CA" w:rsidRDefault="00E6767F" w:rsidP="00E6767F">
            <w:pPr>
              <w:pStyle w:val="Tableheading"/>
              <w:rPr>
                <w:lang w:val="en-GB"/>
              </w:rPr>
            </w:pPr>
            <w:r>
              <w:rPr>
                <w:lang w:val="en-GB"/>
              </w:rPr>
              <w:t>Details or discussion</w:t>
            </w:r>
          </w:p>
        </w:tc>
      </w:tr>
      <w:tr w:rsidR="00E6767F" w:rsidRPr="004263CA" w:rsidTr="00E6767F">
        <w:tc>
          <w:tcPr>
            <w:tcW w:w="1800" w:type="dxa"/>
          </w:tcPr>
          <w:p w:rsidR="00E6767F" w:rsidRPr="004263CA" w:rsidRDefault="00E6767F" w:rsidP="00E6767F">
            <w:pPr>
              <w:pStyle w:val="Tabletext"/>
              <w:rPr>
                <w:lang w:val="en-AU"/>
              </w:rPr>
            </w:pPr>
            <w:r w:rsidRPr="004263CA">
              <w:rPr>
                <w:lang w:val="en-GB"/>
              </w:rPr>
              <w:t>Project</w:t>
            </w:r>
            <w:r>
              <w:rPr>
                <w:lang w:val="en-GB"/>
              </w:rPr>
              <w:t xml:space="preserve"> name</w:t>
            </w:r>
          </w:p>
        </w:tc>
        <w:tc>
          <w:tcPr>
            <w:tcW w:w="7131" w:type="dxa"/>
          </w:tcPr>
          <w:p w:rsidR="00E6767F" w:rsidRPr="00E6767F" w:rsidRDefault="00E6767F" w:rsidP="007702DF">
            <w:pPr>
              <w:pStyle w:val="Tabledotpoint0"/>
            </w:pPr>
            <w:r w:rsidRPr="00E6767F">
              <w:t>C</w:t>
            </w:r>
            <w:r w:rsidR="00AD7D0B">
              <w:t xml:space="preserve">oal </w:t>
            </w:r>
            <w:r w:rsidR="005A16BB">
              <w:t>s</w:t>
            </w:r>
            <w:r w:rsidR="00AD7D0B">
              <w:t xml:space="preserve">eam </w:t>
            </w:r>
            <w:r w:rsidR="005A16BB">
              <w:t>g</w:t>
            </w:r>
            <w:r w:rsidR="00AD7D0B">
              <w:t>as</w:t>
            </w:r>
            <w:r w:rsidRPr="00E6767F">
              <w:t xml:space="preserve"> </w:t>
            </w:r>
            <w:r w:rsidR="005A16BB">
              <w:t>c</w:t>
            </w:r>
            <w:r w:rsidRPr="00E6767F">
              <w:t xml:space="preserve">omparison of </w:t>
            </w:r>
            <w:r w:rsidR="005A16BB">
              <w:t>g</w:t>
            </w:r>
            <w:r w:rsidRPr="00E6767F">
              <w:t xml:space="preserve">roundwater </w:t>
            </w:r>
            <w:r w:rsidR="005A16BB">
              <w:t>m</w:t>
            </w:r>
            <w:r w:rsidRPr="00E6767F">
              <w:t xml:space="preserve">odelling </w:t>
            </w:r>
            <w:r w:rsidR="005A16BB">
              <w:t>a</w:t>
            </w:r>
            <w:r w:rsidRPr="00E6767F">
              <w:t>pproaches</w:t>
            </w:r>
          </w:p>
          <w:p w:rsidR="00E6767F" w:rsidRPr="00E6767F" w:rsidRDefault="00E6767F" w:rsidP="007702DF">
            <w:pPr>
              <w:pStyle w:val="BRdotpoints"/>
              <w:rPr>
                <w:lang w:val="en-AU"/>
              </w:rPr>
            </w:pPr>
            <w:r w:rsidRPr="00E6767F">
              <w:rPr>
                <w:lang w:val="en-GB"/>
              </w:rPr>
              <w:t xml:space="preserve">Subsidence </w:t>
            </w:r>
            <w:r w:rsidR="005A16BB">
              <w:rPr>
                <w:lang w:val="en-GB"/>
              </w:rPr>
              <w:t>i</w:t>
            </w:r>
            <w:r w:rsidRPr="00E6767F">
              <w:rPr>
                <w:lang w:val="en-GB"/>
              </w:rPr>
              <w:t xml:space="preserve">mpacts from </w:t>
            </w:r>
            <w:r w:rsidR="005A16BB">
              <w:rPr>
                <w:lang w:val="en-GB"/>
              </w:rPr>
              <w:t>c</w:t>
            </w:r>
            <w:r w:rsidR="00AD7D0B">
              <w:rPr>
                <w:lang w:val="en-GB"/>
              </w:rPr>
              <w:t xml:space="preserve">oal </w:t>
            </w:r>
            <w:r w:rsidR="005A16BB">
              <w:rPr>
                <w:lang w:val="en-GB"/>
              </w:rPr>
              <w:t>s</w:t>
            </w:r>
            <w:r w:rsidR="00AD7D0B">
              <w:rPr>
                <w:lang w:val="en-GB"/>
              </w:rPr>
              <w:t xml:space="preserve">eam </w:t>
            </w:r>
            <w:r w:rsidR="005A16BB">
              <w:rPr>
                <w:lang w:val="en-GB"/>
              </w:rPr>
              <w:t>g</w:t>
            </w:r>
            <w:r w:rsidR="00AD7D0B">
              <w:rPr>
                <w:lang w:val="en-GB"/>
              </w:rPr>
              <w:t>as</w:t>
            </w:r>
            <w:r w:rsidR="00AD7D0B" w:rsidRPr="00E6767F">
              <w:rPr>
                <w:lang w:val="en-GB"/>
              </w:rPr>
              <w:t xml:space="preserve"> </w:t>
            </w:r>
            <w:r w:rsidR="005A16BB">
              <w:rPr>
                <w:lang w:val="en-GB"/>
              </w:rPr>
              <w:t>e</w:t>
            </w:r>
            <w:r w:rsidRPr="00E6767F">
              <w:rPr>
                <w:lang w:val="en-GB"/>
              </w:rPr>
              <w:t>xtraction</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Meeting time</w:t>
            </w:r>
          </w:p>
        </w:tc>
        <w:tc>
          <w:tcPr>
            <w:tcW w:w="7131" w:type="dxa"/>
          </w:tcPr>
          <w:p w:rsidR="00E6767F" w:rsidRPr="004263CA" w:rsidRDefault="00E6767F" w:rsidP="00E6767F">
            <w:pPr>
              <w:pStyle w:val="Tabletext"/>
              <w:rPr>
                <w:lang w:val="en-GB"/>
              </w:rPr>
            </w:pPr>
            <w:r w:rsidRPr="004263CA">
              <w:rPr>
                <w:lang w:val="en-GB"/>
              </w:rPr>
              <w:t>10:00 to 16:00, 24 August 2012</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Venue</w:t>
            </w:r>
          </w:p>
        </w:tc>
        <w:tc>
          <w:tcPr>
            <w:tcW w:w="7131" w:type="dxa"/>
          </w:tcPr>
          <w:p w:rsidR="00E6767F" w:rsidRPr="004263CA" w:rsidRDefault="00E6767F" w:rsidP="00E6767F">
            <w:pPr>
              <w:pStyle w:val="Tabletext"/>
              <w:rPr>
                <w:lang w:val="en-GB"/>
              </w:rPr>
            </w:pPr>
            <w:r w:rsidRPr="004263CA">
              <w:rPr>
                <w:lang w:val="en-GB"/>
              </w:rPr>
              <w:t>Coffey Chatswood (Sydney) Office</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Attendees</w:t>
            </w:r>
          </w:p>
          <w:p w:rsidR="00E6767F" w:rsidRPr="004263CA" w:rsidRDefault="00E6767F" w:rsidP="00E6767F">
            <w:pPr>
              <w:pStyle w:val="Tabletext"/>
              <w:rPr>
                <w:lang w:val="en-GB"/>
              </w:rPr>
            </w:pPr>
          </w:p>
        </w:tc>
        <w:tc>
          <w:tcPr>
            <w:tcW w:w="7131" w:type="dxa"/>
          </w:tcPr>
          <w:p w:rsidR="00093D1C" w:rsidRDefault="00E6767F">
            <w:pPr>
              <w:pStyle w:val="TableDotPoint"/>
              <w:rPr>
                <w:rFonts w:eastAsia="Times New Roman"/>
                <w:lang w:eastAsia="en-US"/>
              </w:rPr>
            </w:pPr>
            <w:r w:rsidRPr="004263CA">
              <w:t>Office of Water Science:</w:t>
            </w:r>
            <w:r w:rsidR="00565387">
              <w:t xml:space="preserve"> </w:t>
            </w:r>
            <w:r w:rsidRPr="004263CA">
              <w:t>Dr Geraldine Cusack, Bruce Gray</w:t>
            </w:r>
          </w:p>
          <w:p w:rsidR="00093D1C" w:rsidRDefault="00E6767F">
            <w:pPr>
              <w:pStyle w:val="TableDotPoint"/>
              <w:rPr>
                <w:rFonts w:eastAsia="Times New Roman"/>
                <w:lang w:eastAsia="en-US"/>
              </w:rPr>
            </w:pPr>
            <w:r w:rsidRPr="004263CA">
              <w:t>Qld Water Resources Commission: Dr Sanjeev</w:t>
            </w:r>
            <w:r w:rsidR="00FD459A">
              <w:t xml:space="preserve"> </w:t>
            </w:r>
            <w:r w:rsidRPr="004263CA">
              <w:t>Pandey</w:t>
            </w:r>
          </w:p>
          <w:p w:rsidR="00093D1C" w:rsidRDefault="00E6767F">
            <w:pPr>
              <w:pStyle w:val="TableDotPoint"/>
              <w:rPr>
                <w:rFonts w:eastAsia="Times New Roman"/>
                <w:lang w:eastAsia="en-US"/>
              </w:rPr>
            </w:pPr>
            <w:r w:rsidRPr="004263CA">
              <w:t>AGL Energy: John Ross</w:t>
            </w:r>
          </w:p>
          <w:p w:rsidR="00093D1C" w:rsidRDefault="00E6767F">
            <w:pPr>
              <w:pStyle w:val="TableDotPoint"/>
              <w:rPr>
                <w:rFonts w:eastAsia="Times New Roman"/>
                <w:lang w:eastAsia="en-US"/>
              </w:rPr>
            </w:pPr>
            <w:r w:rsidRPr="004263CA">
              <w:t>Arrow Energy: St. John Herbert, Simon Gossmann</w:t>
            </w:r>
          </w:p>
          <w:p w:rsidR="00093D1C" w:rsidRDefault="00E6767F">
            <w:pPr>
              <w:pStyle w:val="TableDotPoint"/>
              <w:rPr>
                <w:rFonts w:eastAsia="Times New Roman"/>
                <w:lang w:eastAsia="en-US"/>
              </w:rPr>
            </w:pPr>
            <w:r w:rsidRPr="004263CA">
              <w:t>QGC: John Grounds, Daniel de Verteuil</w:t>
            </w:r>
          </w:p>
          <w:p w:rsidR="00093D1C" w:rsidRDefault="00E6767F">
            <w:pPr>
              <w:pStyle w:val="TableDotPoint"/>
              <w:rPr>
                <w:rFonts w:eastAsia="Times New Roman"/>
                <w:lang w:eastAsia="en-US"/>
              </w:rPr>
            </w:pPr>
            <w:r w:rsidRPr="004263CA">
              <w:t>Santos: Glenn Toogood, Todd Gilmer, Dr Kumar Narayan</w:t>
            </w:r>
          </w:p>
          <w:p w:rsidR="00093D1C" w:rsidRDefault="00E6767F">
            <w:pPr>
              <w:pStyle w:val="TableDotPoint"/>
              <w:rPr>
                <w:rFonts w:eastAsia="Times New Roman"/>
                <w:lang w:eastAsia="en-US"/>
              </w:rPr>
            </w:pPr>
            <w:r w:rsidRPr="004263CA">
              <w:t>Kalf and Associates: Dr Frans</w:t>
            </w:r>
            <w:r w:rsidR="00FD459A">
              <w:t xml:space="preserve"> </w:t>
            </w:r>
            <w:r w:rsidRPr="004263CA">
              <w:t>Kalf</w:t>
            </w:r>
          </w:p>
          <w:p w:rsidR="00093D1C" w:rsidRDefault="00E6767F">
            <w:pPr>
              <w:pStyle w:val="TableDotPoint"/>
              <w:rPr>
                <w:rFonts w:eastAsia="Times New Roman"/>
                <w:lang w:eastAsia="en-US"/>
              </w:rPr>
            </w:pPr>
            <w:r w:rsidRPr="004263CA">
              <w:t>Heritage Computing: Dr Noel Merrick</w:t>
            </w:r>
          </w:p>
          <w:p w:rsidR="00093D1C" w:rsidRDefault="00E6767F">
            <w:pPr>
              <w:pStyle w:val="TableDotPoint"/>
              <w:rPr>
                <w:rFonts w:eastAsia="Times New Roman"/>
                <w:lang w:eastAsia="en-US"/>
              </w:rPr>
            </w:pPr>
            <w:r w:rsidRPr="004263CA">
              <w:t>Strata Control Technology:</w:t>
            </w:r>
            <w:r w:rsidR="00565387">
              <w:t xml:space="preserve"> </w:t>
            </w:r>
            <w:r w:rsidRPr="004263CA">
              <w:t xml:space="preserve">Dr Ken Mills, Dr Winton Gale </w:t>
            </w:r>
          </w:p>
          <w:p w:rsidR="00093D1C" w:rsidRDefault="00E6767F">
            <w:pPr>
              <w:pStyle w:val="TableDotPoint"/>
              <w:rPr>
                <w:rFonts w:eastAsia="Times New Roman"/>
                <w:lang w:eastAsia="en-US"/>
              </w:rPr>
            </w:pPr>
            <w:r w:rsidRPr="004263CA">
              <w:t>CoffeyEnvironments: Michael Blackam</w:t>
            </w:r>
          </w:p>
          <w:p w:rsidR="00093D1C" w:rsidRDefault="00E6767F">
            <w:pPr>
              <w:pStyle w:val="TableDotPoint"/>
              <w:rPr>
                <w:rFonts w:eastAsia="Times New Roman"/>
                <w:lang w:eastAsia="en-US"/>
              </w:rPr>
            </w:pPr>
            <w:r w:rsidRPr="004263CA">
              <w:t>Coffey Geotechnics: Ross Bes</w:t>
            </w:r>
            <w:r>
              <w:t>t, Paul Tammetta, Dr Ben Rotter</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Meeting subject</w:t>
            </w:r>
          </w:p>
        </w:tc>
        <w:tc>
          <w:tcPr>
            <w:tcW w:w="7131" w:type="dxa"/>
          </w:tcPr>
          <w:p w:rsidR="00E6767F" w:rsidRPr="004263CA" w:rsidRDefault="00E6767F" w:rsidP="00E6767F">
            <w:pPr>
              <w:pStyle w:val="Tabletext"/>
            </w:pPr>
            <w:r w:rsidRPr="004263CA">
              <w:rPr>
                <w:lang w:val="en-GB"/>
              </w:rPr>
              <w:t>Gathering input from industry and specialist experts on issues relevant to subsidence impacts from coal seam gas and modelling the impacts of coal seam gas extraction on water resources.</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Chair person</w:t>
            </w:r>
          </w:p>
        </w:tc>
        <w:tc>
          <w:tcPr>
            <w:tcW w:w="7131" w:type="dxa"/>
          </w:tcPr>
          <w:p w:rsidR="00E6767F" w:rsidRPr="004263CA" w:rsidRDefault="00E6767F" w:rsidP="00E6767F">
            <w:pPr>
              <w:pStyle w:val="Tabletext"/>
              <w:rPr>
                <w:lang w:val="en-GB"/>
              </w:rPr>
            </w:pPr>
            <w:r w:rsidRPr="004263CA">
              <w:rPr>
                <w:lang w:val="en-GB"/>
              </w:rPr>
              <w:t>Ross Best</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Characteristics of coal</w:t>
            </w:r>
          </w:p>
        </w:tc>
        <w:tc>
          <w:tcPr>
            <w:tcW w:w="7131" w:type="dxa"/>
          </w:tcPr>
          <w:p w:rsidR="00E6767F" w:rsidRPr="004263CA" w:rsidRDefault="00E6767F" w:rsidP="00573315">
            <w:pPr>
              <w:pStyle w:val="TableDotPoint"/>
            </w:pPr>
            <w:r w:rsidRPr="004263CA">
              <w:t>Characteristics of coal vary, including anisotropy and direction. Strong horizontal anisotropy has been observed at one location in the Bowen Basin.</w:t>
            </w:r>
          </w:p>
          <w:p w:rsidR="00E6767F" w:rsidRPr="004263CA" w:rsidRDefault="00E6767F" w:rsidP="00573315">
            <w:pPr>
              <w:pStyle w:val="TableDotPoint"/>
            </w:pPr>
            <w:r w:rsidRPr="004263CA">
              <w:t>Cleats are part of the coal fabric and are an intrinsic property of the coal.</w:t>
            </w:r>
            <w:r w:rsidR="00565387">
              <w:t xml:space="preserve"> </w:t>
            </w:r>
            <w:r w:rsidRPr="004263CA">
              <w:t>Increase in depth and the rank of coal is usually associated with smaller cleats.</w:t>
            </w:r>
          </w:p>
          <w:p w:rsidR="00E6767F" w:rsidRPr="004263CA" w:rsidRDefault="00E6767F" w:rsidP="00573315">
            <w:pPr>
              <w:pStyle w:val="TableDotPoint"/>
            </w:pPr>
            <w:r w:rsidRPr="004263CA">
              <w:t>Coal exhibits full range of porosity (dependent on rank).</w:t>
            </w:r>
          </w:p>
          <w:p w:rsidR="00E6767F" w:rsidRPr="004263CA" w:rsidRDefault="00E6767F" w:rsidP="00573315">
            <w:pPr>
              <w:pStyle w:val="TableDotPoint"/>
            </w:pPr>
            <w:r w:rsidRPr="004263CA">
              <w:t>If significant CO</w:t>
            </w:r>
            <w:r w:rsidRPr="004263CA">
              <w:rPr>
                <w:vertAlign w:val="subscript"/>
              </w:rPr>
              <w:t>2</w:t>
            </w:r>
            <w:r w:rsidRPr="004263CA">
              <w:t xml:space="preserve"> is present, cleats can become clogged with calcite.</w:t>
            </w:r>
          </w:p>
          <w:p w:rsidR="00E6767F" w:rsidRPr="004263CA" w:rsidRDefault="00E6767F" w:rsidP="00573315">
            <w:pPr>
              <w:pStyle w:val="TableDotPoint"/>
            </w:pPr>
            <w:r w:rsidRPr="004263CA">
              <w:t>Typically, (reservoir) models consider that the matrix has no pore volume (no water storage). In reality</w:t>
            </w:r>
            <w:r w:rsidR="00FD459A">
              <w:t>,</w:t>
            </w:r>
            <w:r w:rsidRPr="004263CA">
              <w:t xml:space="preserve"> there may be contributing water within the matrix.</w:t>
            </w:r>
          </w:p>
          <w:p w:rsidR="00E6767F" w:rsidRPr="004263CA" w:rsidRDefault="00E6767F" w:rsidP="00573315">
            <w:pPr>
              <w:pStyle w:val="TableDotPoint"/>
            </w:pPr>
            <w:r w:rsidRPr="004263CA">
              <w:t>How the coal is distributed in the coal bearing formation is important (in Surat coal is only 10% of thickness).</w:t>
            </w:r>
          </w:p>
          <w:p w:rsidR="00E6767F" w:rsidRPr="004263CA" w:rsidRDefault="00E6767F" w:rsidP="00573315">
            <w:pPr>
              <w:pStyle w:val="TableDotPoint"/>
            </w:pPr>
            <w:r w:rsidRPr="004263CA">
              <w:t>Representation of coal properties is scale dependent, and can be a function of micro level molecular pore investigations through to macro-level regional reservoir analyses.</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Sorption behaviour</w:t>
            </w:r>
          </w:p>
        </w:tc>
        <w:tc>
          <w:tcPr>
            <w:tcW w:w="7131" w:type="dxa"/>
          </w:tcPr>
          <w:p w:rsidR="00E6767F" w:rsidRPr="004263CA" w:rsidRDefault="00E6767F" w:rsidP="00573315">
            <w:pPr>
              <w:pStyle w:val="TableDotPoint"/>
            </w:pPr>
            <w:r w:rsidRPr="004263CA">
              <w:t xml:space="preserve">Data for Australian coals in the context of </w:t>
            </w:r>
            <w:r w:rsidR="00AD7D0B">
              <w:t>coal seam gas</w:t>
            </w:r>
            <w:r w:rsidR="00AD7D0B" w:rsidRPr="00E13ED7">
              <w:t xml:space="preserve"> </w:t>
            </w:r>
            <w:r w:rsidRPr="004263CA">
              <w:t>are not in the public domain.</w:t>
            </w:r>
          </w:p>
          <w:p w:rsidR="00E6767F" w:rsidRPr="004263CA" w:rsidRDefault="00E6767F" w:rsidP="00573315">
            <w:pPr>
              <w:pStyle w:val="TableDotPoint"/>
            </w:pPr>
            <w:r w:rsidRPr="004263CA">
              <w:t>It may be prudent to assess sorption behaviour separately for each development.</w:t>
            </w:r>
          </w:p>
          <w:p w:rsidR="00E6767F" w:rsidRPr="004263CA" w:rsidRDefault="00E6767F" w:rsidP="00573315">
            <w:pPr>
              <w:pStyle w:val="TableDotPoint"/>
            </w:pPr>
            <w:r w:rsidRPr="004263CA">
              <w:t xml:space="preserve">Gas carrying capacity of water is not sufficient to carry useful gas volumes. </w:t>
            </w:r>
          </w:p>
          <w:p w:rsidR="00E6767F" w:rsidRPr="004263CA" w:rsidRDefault="00E6767F" w:rsidP="00573315">
            <w:pPr>
              <w:pStyle w:val="TableDotPoint"/>
            </w:pPr>
            <w:r w:rsidRPr="004263CA">
              <w:t>Reservoir history matching can be useful for assessment of permeability changes due to gas desorption.</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Stress related changes</w:t>
            </w:r>
          </w:p>
        </w:tc>
        <w:tc>
          <w:tcPr>
            <w:tcW w:w="7131" w:type="dxa"/>
          </w:tcPr>
          <w:p w:rsidR="00E6767F" w:rsidRPr="004263CA" w:rsidRDefault="00E6767F" w:rsidP="00573315">
            <w:pPr>
              <w:pStyle w:val="TableDotPoint"/>
            </w:pPr>
            <w:r w:rsidRPr="004263CA">
              <w:t>Parameters are generally derived from lab scale tests (tests typically conducted on matrix to assess permeability, porosity, modulus, etc). Work conducted by Dr John Seidel (US) may be of use.</w:t>
            </w:r>
          </w:p>
          <w:p w:rsidR="00E6767F" w:rsidRPr="004263CA" w:rsidRDefault="00E6767F" w:rsidP="00573315">
            <w:pPr>
              <w:pStyle w:val="TableDotPoint"/>
            </w:pPr>
            <w:r w:rsidRPr="004263CA">
              <w:t>Industry derived parameters are generally not in the public domain, but parameter values may be found in Society of Petroleum Engineers Journal and similar publications.</w:t>
            </w:r>
          </w:p>
          <w:p w:rsidR="00E6767F" w:rsidRPr="004263CA" w:rsidRDefault="00E6767F" w:rsidP="00573315">
            <w:pPr>
              <w:pStyle w:val="TableDotPoint"/>
            </w:pPr>
            <w:r w:rsidRPr="004263CA">
              <w:t>Permeability reduces with depth. Increase in depth and increase in temperature both increase in capacity to store methane</w:t>
            </w:r>
            <w:r w:rsidR="00FD459A">
              <w:t>.</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Hydraulic fracturing</w:t>
            </w:r>
          </w:p>
        </w:tc>
        <w:tc>
          <w:tcPr>
            <w:tcW w:w="7131" w:type="dxa"/>
          </w:tcPr>
          <w:p w:rsidR="00E6767F" w:rsidRPr="004263CA" w:rsidRDefault="00E6767F" w:rsidP="00573315">
            <w:pPr>
              <w:pStyle w:val="TableDotPoint"/>
            </w:pPr>
            <w:r w:rsidRPr="004263CA">
              <w:t>As natural horizontal stresses in the coal seam are lower than in the overlying and underlying units, fracturing tends to be vertical and propagate horizontally parallel to the principal stress directions within the coal.</w:t>
            </w:r>
          </w:p>
          <w:p w:rsidR="00E6767F" w:rsidRPr="004263CA" w:rsidRDefault="00E6767F" w:rsidP="00573315">
            <w:pPr>
              <w:pStyle w:val="TableDotPoint"/>
            </w:pPr>
            <w:r w:rsidRPr="004263CA">
              <w:t>Hydraulic fraccing is required in Camden but not generally required in Surat (about 10-15% of wells are fracced in parts of the Surat).</w:t>
            </w:r>
          </w:p>
          <w:p w:rsidR="00E6767F" w:rsidRPr="004263CA" w:rsidRDefault="00E6767F" w:rsidP="00573315">
            <w:pPr>
              <w:pStyle w:val="TableDotPoint"/>
            </w:pPr>
            <w:r w:rsidRPr="004263CA">
              <w:t>Assessment of fracture propagation may be undertaken using micro</w:t>
            </w:r>
            <w:r w:rsidR="005346F5">
              <w:noBreakHyphen/>
            </w:r>
            <w:r w:rsidRPr="004263CA">
              <w:t>seismic sensors, and or the inclusion of a radioactive isotope within the proppant fluid.</w:t>
            </w:r>
          </w:p>
          <w:p w:rsidR="00E6767F" w:rsidRPr="004263CA" w:rsidRDefault="00E6767F" w:rsidP="00573315">
            <w:pPr>
              <w:pStyle w:val="TableDotPoint"/>
            </w:pPr>
            <w:r w:rsidRPr="004263CA">
              <w:t xml:space="preserve">Micro-seismic monitoring can provide a useful tool for identifying the position and depth of fracturing. </w:t>
            </w:r>
          </w:p>
          <w:p w:rsidR="00E6767F" w:rsidRPr="004263CA" w:rsidRDefault="00E6767F" w:rsidP="00573315">
            <w:pPr>
              <w:pStyle w:val="TableDotPoint"/>
            </w:pPr>
            <w:r w:rsidRPr="004263CA">
              <w:t>Tilt meters are commonly used to assess the direction of fractures in coal mining. Back analysis can indicate how fracture is growing.</w:t>
            </w:r>
          </w:p>
          <w:p w:rsidR="00E6767F" w:rsidRPr="004263CA" w:rsidRDefault="00E6767F" w:rsidP="00573315">
            <w:pPr>
              <w:pStyle w:val="TableDotPoint"/>
            </w:pPr>
            <w:r w:rsidRPr="004263CA">
              <w:t>Groundwater temperature profiling may be used to assess aquifer connectivity (between two wells).</w:t>
            </w:r>
          </w:p>
          <w:p w:rsidR="00E6767F" w:rsidRPr="004263CA" w:rsidRDefault="00E6767F" w:rsidP="00573315">
            <w:pPr>
              <w:pStyle w:val="TableDotPoint"/>
            </w:pPr>
            <w:r w:rsidRPr="004263CA">
              <w:t>Useful data may be found in Powder River study by Mark Zoback and from the University of Wollongong’s research on fracture flow.</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Flow processes near wells and well operation</w:t>
            </w:r>
          </w:p>
        </w:tc>
        <w:tc>
          <w:tcPr>
            <w:tcW w:w="7131" w:type="dxa"/>
          </w:tcPr>
          <w:p w:rsidR="00E6767F" w:rsidRPr="004263CA" w:rsidRDefault="00E6767F" w:rsidP="00573315">
            <w:pPr>
              <w:pStyle w:val="TableDotPoint"/>
            </w:pPr>
            <w:r w:rsidRPr="004263CA">
              <w:t>High pressure stream of gas and water (mixed) is present – gas and water are not spatially separated.</w:t>
            </w:r>
          </w:p>
          <w:p w:rsidR="00E6767F" w:rsidRPr="004263CA" w:rsidRDefault="00E6767F" w:rsidP="00573315">
            <w:pPr>
              <w:pStyle w:val="TableDotPoint"/>
            </w:pPr>
            <w:r w:rsidRPr="004263CA">
              <w:t xml:space="preserve">There is a time lag for water </w:t>
            </w:r>
            <w:r w:rsidR="005346F5">
              <w:t>(</w:t>
            </w:r>
            <w:r w:rsidRPr="004263CA">
              <w:t>i</w:t>
            </w:r>
            <w:proofErr w:type="gramStart"/>
            <w:r w:rsidRPr="004263CA">
              <w:t>,e</w:t>
            </w:r>
            <w:proofErr w:type="gramEnd"/>
            <w:r w:rsidRPr="004263CA">
              <w:t>. water continues to be released after initial depressurisation</w:t>
            </w:r>
            <w:r w:rsidR="005346F5">
              <w:t>)</w:t>
            </w:r>
            <w:r w:rsidRPr="004263CA">
              <w:t>.</w:t>
            </w:r>
          </w:p>
          <w:p w:rsidR="00E6767F" w:rsidRPr="004263CA" w:rsidRDefault="00E6767F" w:rsidP="00573315">
            <w:pPr>
              <w:pStyle w:val="TableDotPoint"/>
            </w:pPr>
            <w:r w:rsidRPr="004263CA">
              <w:t>Depressurisation potentially propagates up through the overlying strata and such effects are more likely to be witnessed in the vicinity of localised features (such as where a low hydraulic conductivity unit pinches out).</w:t>
            </w:r>
          </w:p>
          <w:p w:rsidR="00E6767F" w:rsidRPr="004263CA" w:rsidRDefault="00E6767F" w:rsidP="00573315">
            <w:pPr>
              <w:pStyle w:val="TableDotPoint"/>
            </w:pPr>
            <w:r w:rsidRPr="004263CA">
              <w:t>A single well in Surat/Bowen Basin has an average working lifespan of about 5 or 6 years, whereas the well field has a lifespan of about 30 or more years.</w:t>
            </w:r>
          </w:p>
          <w:p w:rsidR="00E6767F" w:rsidRPr="004263CA" w:rsidRDefault="00E6767F" w:rsidP="00573315">
            <w:pPr>
              <w:pStyle w:val="TableDotPoint"/>
            </w:pPr>
            <w:r w:rsidRPr="004263CA">
              <w:t>Gas and water are at the same pressure. Gas concentration dictates the type of flow (bubbles/slugs/etc). Gas bubbles up but meets capillary resistance.</w:t>
            </w:r>
          </w:p>
          <w:p w:rsidR="00E6767F" w:rsidRPr="004263CA" w:rsidRDefault="00E6767F" w:rsidP="00573315">
            <w:pPr>
              <w:pStyle w:val="TableDotPoint"/>
            </w:pPr>
            <w:r w:rsidRPr="004263CA">
              <w:t>Gas flows in the gas phase and is not significantly spatially separated from liquid (water) phase.</w:t>
            </w:r>
          </w:p>
          <w:p w:rsidR="00E6767F" w:rsidRPr="004263CA" w:rsidRDefault="00E6767F" w:rsidP="00573315">
            <w:pPr>
              <w:pStyle w:val="TableDotPoint"/>
            </w:pPr>
            <w:r w:rsidRPr="004263CA">
              <w:t>Gas field operators manage the well field system to avoid dead spots between wells. In the Powder River Basin, additional wells were installed during production to reduce well spacing to eliminate dead spots formed by the intersection of the cones of depression from each bore.</w:t>
            </w:r>
          </w:p>
          <w:p w:rsidR="00E6767F" w:rsidRPr="004263CA" w:rsidRDefault="00E6767F" w:rsidP="00573315">
            <w:pPr>
              <w:pStyle w:val="TableDotPoint"/>
            </w:pPr>
            <w:r w:rsidRPr="004263CA">
              <w:t>Horizontal wells are not used at present in the Surat and Bowen Basins – the coal seams not thick enough for them there – but they are used in the Southern Sydney Basin.</w:t>
            </w:r>
          </w:p>
          <w:p w:rsidR="00E6767F" w:rsidRPr="004263CA" w:rsidRDefault="00E6767F" w:rsidP="00573315">
            <w:pPr>
              <w:pStyle w:val="TableDotPoint"/>
            </w:pPr>
            <w:r w:rsidRPr="004263CA">
              <w:t>Q</w:t>
            </w:r>
            <w:r w:rsidR="005346F5">
              <w:t>ld</w:t>
            </w:r>
            <w:r w:rsidRPr="004263CA">
              <w:t xml:space="preserve"> Water Resources intend to obtain vertical groundwater pressure profile measurements from </w:t>
            </w:r>
            <w:r w:rsidR="00AD7D0B">
              <w:rPr>
                <w:lang w:val="en-AU"/>
              </w:rPr>
              <w:t>coal seam gas</w:t>
            </w:r>
            <w:r w:rsidR="00AD7D0B" w:rsidRPr="00E13ED7">
              <w:rPr>
                <w:lang w:val="en-AU"/>
              </w:rPr>
              <w:t xml:space="preserve"> </w:t>
            </w:r>
            <w:r w:rsidRPr="004263CA">
              <w:t>well</w:t>
            </w:r>
            <w:r w:rsidR="005346F5">
              <w:t xml:space="preserve"> </w:t>
            </w:r>
            <w:r w:rsidRPr="004263CA">
              <w:t>fields. Results available 2013/2014.</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Settlement considerations</w:t>
            </w:r>
          </w:p>
        </w:tc>
        <w:tc>
          <w:tcPr>
            <w:tcW w:w="7131" w:type="dxa"/>
          </w:tcPr>
          <w:p w:rsidR="00E6767F" w:rsidRPr="004263CA" w:rsidRDefault="00E6767F" w:rsidP="00573315">
            <w:pPr>
              <w:pStyle w:val="TableDotPoint"/>
            </w:pPr>
            <w:r w:rsidRPr="004263CA">
              <w:t xml:space="preserve">It is useful to consider cumulative impacts (including impacts from other </w:t>
            </w:r>
            <w:r w:rsidR="00AD7D0B">
              <w:t>coal seam gas</w:t>
            </w:r>
            <w:r w:rsidR="00AD7D0B" w:rsidRPr="00E13ED7">
              <w:t xml:space="preserve"> </w:t>
            </w:r>
            <w:r w:rsidRPr="004263CA">
              <w:t>operations and irrigation). Presence of disturbed ground (e.g. in vicinity of previous long wall mining) should also be noted.</w:t>
            </w:r>
          </w:p>
          <w:p w:rsidR="00E6767F" w:rsidRPr="004263CA" w:rsidRDefault="00E6767F" w:rsidP="00573315">
            <w:pPr>
              <w:pStyle w:val="TableDotPoint"/>
            </w:pPr>
            <w:r w:rsidRPr="004263CA">
              <w:t>Subsidence expression at the surface depends on the directional pressure distribution and ground deformation/deflection.</w:t>
            </w:r>
          </w:p>
          <w:p w:rsidR="00E6767F" w:rsidRPr="004263CA" w:rsidRDefault="00E6767F" w:rsidP="00573315">
            <w:pPr>
              <w:pStyle w:val="TableDotPoint"/>
            </w:pPr>
            <w:r w:rsidRPr="004263CA">
              <w:t>Accurate baseline measurements are helpful.</w:t>
            </w:r>
          </w:p>
          <w:p w:rsidR="00E6767F" w:rsidRPr="004263CA" w:rsidRDefault="00E6767F" w:rsidP="00573315">
            <w:pPr>
              <w:pStyle w:val="TableDotPoint"/>
            </w:pPr>
            <w:r w:rsidRPr="004263CA">
              <w:t>Multiple groundwater pressure monitoring points (in coal measures, coal matrix, aquifers and aquitards) within the well field would allow better understanding of the vertical propagation of pore pressure changes.</w:t>
            </w:r>
          </w:p>
          <w:p w:rsidR="00E6767F" w:rsidRPr="004263CA" w:rsidRDefault="00E6767F" w:rsidP="00573315">
            <w:pPr>
              <w:pStyle w:val="TableDotPoint"/>
            </w:pPr>
            <w:r w:rsidRPr="004263CA">
              <w:t>It is useful to conduct assessments in the context of what magnitudes are critical in different environments and whether settlement is differential/localised or widespread and uniform.</w:t>
            </w:r>
          </w:p>
          <w:p w:rsidR="00E6767F" w:rsidRPr="004263CA" w:rsidRDefault="00E6767F" w:rsidP="00573315">
            <w:pPr>
              <w:pStyle w:val="TableDotPoint"/>
            </w:pPr>
            <w:r w:rsidRPr="004263CA">
              <w:t>Differential settlement can be induced by geological features (e.g. dykes). None of the participants present reported differential settlement associated with groundwater level reduction near faults.</w:t>
            </w:r>
          </w:p>
          <w:p w:rsidR="00E6767F" w:rsidRPr="004263CA" w:rsidRDefault="00E6767F" w:rsidP="00573315">
            <w:pPr>
              <w:pStyle w:val="TableDotPoint"/>
            </w:pPr>
            <w:r w:rsidRPr="004263CA">
              <w:t>Different measurement techniques may predict differential settlement with varying adequacy.</w:t>
            </w:r>
          </w:p>
          <w:p w:rsidR="00E6767F" w:rsidRPr="004263CA" w:rsidRDefault="00E6767F" w:rsidP="00573315">
            <w:pPr>
              <w:pStyle w:val="TableDotPoint"/>
            </w:pPr>
            <w:r w:rsidRPr="004263CA">
              <w:t>Accurate baseline data is required to determine what is causing subsidence and to quantify the changes</w:t>
            </w:r>
          </w:p>
          <w:p w:rsidR="00E6767F" w:rsidRPr="004263CA" w:rsidRDefault="00E6767F" w:rsidP="00565387">
            <w:pPr>
              <w:pStyle w:val="TableDotPoint"/>
            </w:pPr>
            <w:r w:rsidRPr="004263CA">
              <w:t>Need to distinguish between uniform subsidence and non-uniform</w:t>
            </w:r>
            <w:r w:rsidR="00565387">
              <w:t xml:space="preserve"> </w:t>
            </w:r>
            <w:r w:rsidRPr="004263CA">
              <w:t>subsidence</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Settlement monitoring and measurements</w:t>
            </w:r>
          </w:p>
        </w:tc>
        <w:tc>
          <w:tcPr>
            <w:tcW w:w="7131" w:type="dxa"/>
          </w:tcPr>
          <w:p w:rsidR="00E6767F" w:rsidRPr="004263CA" w:rsidRDefault="00E6767F" w:rsidP="00573315">
            <w:pPr>
              <w:pStyle w:val="TableDotPoint"/>
            </w:pPr>
            <w:r w:rsidRPr="004263CA">
              <w:t>Australian developments have proposed monitoring but currently there is no/very limited data available.</w:t>
            </w:r>
          </w:p>
          <w:p w:rsidR="00E6767F" w:rsidRPr="004263CA" w:rsidRDefault="00E6767F" w:rsidP="00573315">
            <w:pPr>
              <w:pStyle w:val="TableDotPoint"/>
            </w:pPr>
            <w:r w:rsidRPr="004263CA">
              <w:t>The San Juan Basin and Powder River Basin developments may provide useful overseas data. Nelson (2007) may provide useful data for international cases of general (non-</w:t>
            </w:r>
            <w:r w:rsidR="00AD7D0B">
              <w:t>coal seam gas</w:t>
            </w:r>
            <w:r w:rsidR="00AD7D0B" w:rsidRPr="00E13ED7">
              <w:t xml:space="preserve"> </w:t>
            </w:r>
            <w:r w:rsidRPr="004263CA">
              <w:t>related) subsidence.</w:t>
            </w:r>
          </w:p>
          <w:p w:rsidR="00E6767F" w:rsidRPr="004263CA" w:rsidRDefault="00E6767F" w:rsidP="00573315">
            <w:pPr>
              <w:pStyle w:val="TableDotPoint"/>
            </w:pPr>
            <w:r w:rsidRPr="004263CA">
              <w:t>InSAR is an effective technique for measuring large settlements over large areas but may be confounded by (and analysis may require correction for) vegetation, ploughed fields, shrink/swell responses and movements greater than one satellite signal wavelength between satellite pass-overs.</w:t>
            </w:r>
          </w:p>
          <w:p w:rsidR="00E6767F" w:rsidRPr="004263CA" w:rsidRDefault="00E6767F" w:rsidP="00573315">
            <w:pPr>
              <w:pStyle w:val="TableDotPoint"/>
            </w:pPr>
            <w:r w:rsidRPr="004263CA">
              <w:t>Monitoring considered desirable when significant subsidence is expected.</w:t>
            </w:r>
          </w:p>
          <w:p w:rsidR="00E6767F" w:rsidRPr="004263CA" w:rsidRDefault="00E6767F" w:rsidP="00573315">
            <w:pPr>
              <w:pStyle w:val="TableDotPoint"/>
            </w:pPr>
            <w:r w:rsidRPr="004263CA">
              <w:t>Seismic methods for sensing changes in stress with depth may have significant limitations.</w:t>
            </w:r>
          </w:p>
          <w:p w:rsidR="00E6767F" w:rsidRPr="004263CA" w:rsidRDefault="00E6767F" w:rsidP="00573315">
            <w:pPr>
              <w:pStyle w:val="TableDotPoint"/>
            </w:pPr>
            <w:r w:rsidRPr="004263CA">
              <w:t>Potential impacts to swamps and wetlands may be worthy of consideration.</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Modelling approaches – purpose of modelling</w:t>
            </w:r>
          </w:p>
        </w:tc>
        <w:tc>
          <w:tcPr>
            <w:tcW w:w="7131" w:type="dxa"/>
          </w:tcPr>
          <w:p w:rsidR="00E6767F" w:rsidRPr="004263CA" w:rsidRDefault="00E6767F" w:rsidP="00573315">
            <w:pPr>
              <w:pStyle w:val="TableDotPoint"/>
            </w:pPr>
            <w:r w:rsidRPr="004263CA">
              <w:t xml:space="preserve">It is useful to consider cumulative impacts (including impacts from other </w:t>
            </w:r>
            <w:r w:rsidR="00AD7D0B">
              <w:t>coal seam gas</w:t>
            </w:r>
            <w:r w:rsidR="00AD7D0B" w:rsidRPr="00E13ED7">
              <w:t xml:space="preserve"> </w:t>
            </w:r>
            <w:r w:rsidRPr="004263CA">
              <w:t>operations and irrigation).</w:t>
            </w:r>
            <w:r w:rsidR="00565387">
              <w:t xml:space="preserve"> </w:t>
            </w:r>
            <w:r w:rsidRPr="004263CA">
              <w:t>The presence of disturbed ground (e.g. in vicinity of previous long wall mining) can be important.</w:t>
            </w:r>
          </w:p>
          <w:p w:rsidR="00E6767F" w:rsidRPr="004263CA" w:rsidRDefault="00E6767F" w:rsidP="00573315">
            <w:pPr>
              <w:pStyle w:val="TableDotPoint"/>
            </w:pPr>
            <w:r w:rsidRPr="004263CA">
              <w:t>Substitution (mitigation) by using production water for irrigation is relevant in the context of beneficial use.</w:t>
            </w:r>
          </w:p>
          <w:p w:rsidR="00E6767F" w:rsidRPr="004263CA" w:rsidRDefault="00E6767F" w:rsidP="00573315">
            <w:pPr>
              <w:pStyle w:val="TableDotPoint"/>
            </w:pPr>
            <w:r w:rsidRPr="004263CA">
              <w:t>Modelling can be used to drive groundwater monitoring choices that reduce model uncertainty.</w:t>
            </w:r>
          </w:p>
          <w:p w:rsidR="00E6767F" w:rsidRPr="004263CA" w:rsidRDefault="00E6767F" w:rsidP="00573315">
            <w:pPr>
              <w:pStyle w:val="TableDotPoint"/>
            </w:pPr>
            <w:r w:rsidRPr="004263CA">
              <w:t>Modelling can be used to assess the significance of ground disturbance associated with hydraulic fracturing.</w:t>
            </w:r>
          </w:p>
          <w:p w:rsidR="00E6767F" w:rsidRPr="004263CA" w:rsidRDefault="00E6767F" w:rsidP="00573315">
            <w:pPr>
              <w:pStyle w:val="TableDotPoint"/>
            </w:pPr>
            <w:r w:rsidRPr="004263CA">
              <w:t>Different models may be helpful in undertaking different impact assessments (e.g. assessment of regional groundwater impact may use different model to assessment of impact to springs).</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Modelling approaches - considerations</w:t>
            </w:r>
          </w:p>
        </w:tc>
        <w:tc>
          <w:tcPr>
            <w:tcW w:w="7131" w:type="dxa"/>
          </w:tcPr>
          <w:p w:rsidR="00E6767F" w:rsidRPr="004263CA" w:rsidRDefault="00E6767F" w:rsidP="00573315">
            <w:pPr>
              <w:pStyle w:val="TableDotPoint"/>
            </w:pPr>
            <w:r w:rsidRPr="004263CA">
              <w:t>Biggest constraint is data</w:t>
            </w:r>
            <w:r w:rsidR="005346F5">
              <w:t>.</w:t>
            </w:r>
          </w:p>
          <w:p w:rsidR="00E6767F" w:rsidRPr="004263CA" w:rsidRDefault="00E6767F" w:rsidP="00573315">
            <w:pPr>
              <w:pStyle w:val="TableDotPoint"/>
            </w:pPr>
            <w:r w:rsidRPr="004263CA">
              <w:t>There are scale issues with modelling in both time and space</w:t>
            </w:r>
            <w:r w:rsidR="005346F5">
              <w:t>.</w:t>
            </w:r>
          </w:p>
          <w:p w:rsidR="00E6767F" w:rsidRPr="004263CA" w:rsidRDefault="00E6767F" w:rsidP="00573315">
            <w:pPr>
              <w:pStyle w:val="TableDotPoint"/>
            </w:pPr>
            <w:r w:rsidRPr="004263CA">
              <w:t>The full recovery period may be important (potentially 100s of years).</w:t>
            </w:r>
          </w:p>
          <w:p w:rsidR="00E6767F" w:rsidRPr="004263CA" w:rsidRDefault="00E6767F" w:rsidP="00573315">
            <w:pPr>
              <w:pStyle w:val="TableDotPoint"/>
            </w:pPr>
            <w:r w:rsidRPr="004263CA">
              <w:t>Reservoir models can be split into single phase flow models and dual phase flow models.</w:t>
            </w:r>
          </w:p>
          <w:p w:rsidR="00E6767F" w:rsidRPr="004263CA" w:rsidRDefault="005346F5" w:rsidP="00573315">
            <w:pPr>
              <w:pStyle w:val="TableDotPoint"/>
            </w:pPr>
            <w:r>
              <w:t>I</w:t>
            </w:r>
            <w:r w:rsidR="00E6767F" w:rsidRPr="004263CA">
              <w:t>njection can be to: the coal seam, deeper underlying aquifers, or to shallower overlying aquifers.</w:t>
            </w:r>
          </w:p>
          <w:p w:rsidR="00E6767F" w:rsidRPr="004263CA" w:rsidRDefault="00E6767F" w:rsidP="00573315">
            <w:pPr>
              <w:pStyle w:val="TableDotPoint"/>
            </w:pPr>
            <w:r w:rsidRPr="004263CA">
              <w:t>Data on aquitards is very important and is typically very limited.</w:t>
            </w:r>
          </w:p>
          <w:p w:rsidR="00E6767F" w:rsidRPr="004263CA" w:rsidRDefault="00E6767F" w:rsidP="00573315">
            <w:pPr>
              <w:pStyle w:val="TableDotPoint"/>
            </w:pPr>
            <w:r w:rsidRPr="004263CA">
              <w:t>Flow under injection of viscous brines may not obey Darcy’s Law – cement grout may be a more relevant surrogate.</w:t>
            </w:r>
          </w:p>
          <w:p w:rsidR="00E6767F" w:rsidRPr="004263CA" w:rsidRDefault="00E6767F" w:rsidP="00573315">
            <w:pPr>
              <w:pStyle w:val="TableDotPoint"/>
            </w:pPr>
            <w:r w:rsidRPr="004263CA">
              <w:t>The potential presence of poorly constructed bores (that potentially hydraulically connect aquifers) may be relevant. Bore integrity and connectivity could be important.</w:t>
            </w:r>
          </w:p>
          <w:p w:rsidR="00E6767F" w:rsidRPr="004263CA" w:rsidRDefault="00E6767F" w:rsidP="00573315">
            <w:pPr>
              <w:pStyle w:val="TableDotPoint"/>
            </w:pPr>
            <w:r w:rsidRPr="004263CA">
              <w:t>It would be useful for comparison of modelling approaches to review of how different models communicate with each other (e.g. surface water models’ coupling groundwater models).</w:t>
            </w:r>
          </w:p>
          <w:p w:rsidR="00E6767F" w:rsidRPr="004263CA" w:rsidRDefault="00E6767F" w:rsidP="00573315">
            <w:pPr>
              <w:pStyle w:val="TableDotPoint"/>
            </w:pPr>
            <w:r w:rsidRPr="004263CA">
              <w:t>Discretisation/resolution is relevant to the context of modelling purpose.</w:t>
            </w:r>
          </w:p>
          <w:p w:rsidR="00E6767F" w:rsidRPr="004263CA" w:rsidRDefault="00E6767F" w:rsidP="00573315">
            <w:pPr>
              <w:pStyle w:val="TableDotPoint"/>
            </w:pPr>
            <w:r w:rsidRPr="004263CA">
              <w:t>Density-dependent flow may be relevant (e.g. where injection of low saline production water is of lower density than native groundwater).</w:t>
            </w:r>
          </w:p>
          <w:p w:rsidR="00E6767F" w:rsidRPr="00570387" w:rsidRDefault="00E6767F" w:rsidP="00573315">
            <w:pPr>
              <w:pStyle w:val="TableDotPoint"/>
            </w:pPr>
            <w:r w:rsidRPr="004263CA">
              <w:t xml:space="preserve">Types of </w:t>
            </w:r>
            <w:r w:rsidRPr="00570387">
              <w:t>models</w:t>
            </w:r>
            <w:r w:rsidR="005346F5">
              <w:t>:</w:t>
            </w:r>
          </w:p>
          <w:p w:rsidR="00E6767F" w:rsidRPr="004263CA" w:rsidRDefault="00E6767F" w:rsidP="00570387">
            <w:pPr>
              <w:pStyle w:val="Tabledotpoint2ndlevel"/>
            </w:pPr>
            <w:proofErr w:type="gramStart"/>
            <w:r w:rsidRPr="00570387">
              <w:t>conceptual</w:t>
            </w:r>
            <w:proofErr w:type="gramEnd"/>
            <w:r w:rsidRPr="00570387">
              <w:t>, analytical, sectional, regional, parameter estimation, numeric.</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Modelling approaches adopted by industry</w:t>
            </w:r>
          </w:p>
        </w:tc>
        <w:tc>
          <w:tcPr>
            <w:tcW w:w="7131" w:type="dxa"/>
          </w:tcPr>
          <w:p w:rsidR="00E6767F" w:rsidRPr="004263CA" w:rsidRDefault="00E6767F" w:rsidP="00573315">
            <w:pPr>
              <w:pStyle w:val="TableDotPoint"/>
            </w:pPr>
            <w:r w:rsidRPr="004263CA">
              <w:t>QGC are developing a coupled reservoir and regional groundwater model. This is at a research level and some time off being used for design or impact assessment.</w:t>
            </w:r>
          </w:p>
          <w:p w:rsidR="00E6767F" w:rsidRPr="004263CA" w:rsidRDefault="00E6767F" w:rsidP="00573315">
            <w:pPr>
              <w:pStyle w:val="TableDotPoint"/>
            </w:pPr>
            <w:r w:rsidRPr="004263CA">
              <w:t>QGC are working with the CSIRO and John Doherty on up</w:t>
            </w:r>
            <w:r w:rsidR="005346F5">
              <w:t>-</w:t>
            </w:r>
            <w:r w:rsidRPr="004263CA">
              <w:t>scaling of reservoir models in ECLIPSE to regional groundwater flow models in MODFLOW.</w:t>
            </w:r>
          </w:p>
          <w:p w:rsidR="00E6767F" w:rsidRPr="004263CA" w:rsidRDefault="00E6767F" w:rsidP="00573315">
            <w:pPr>
              <w:pStyle w:val="TableDotPoint"/>
            </w:pPr>
            <w:r w:rsidRPr="004263CA">
              <w:t>Santos conducted 2D analytical modelling for the Surat for assessing volumes of produced water.</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Modelling approaches - guidelines</w:t>
            </w:r>
          </w:p>
        </w:tc>
        <w:tc>
          <w:tcPr>
            <w:tcW w:w="7131" w:type="dxa"/>
          </w:tcPr>
          <w:p w:rsidR="00E6767F" w:rsidRPr="004263CA" w:rsidRDefault="00E6767F" w:rsidP="00573315">
            <w:pPr>
              <w:pStyle w:val="TableDotPoint"/>
            </w:pPr>
            <w:r w:rsidRPr="004263CA">
              <w:t>Highly prescriptive guidelines would tend to suppress creativity and dynamic exploration of new modelling tools.</w:t>
            </w:r>
          </w:p>
          <w:p w:rsidR="00E6767F" w:rsidRPr="004263CA" w:rsidRDefault="00E6767F" w:rsidP="00573315">
            <w:pPr>
              <w:pStyle w:val="TableDotPoint"/>
            </w:pPr>
            <w:r w:rsidRPr="004263CA">
              <w:t>Fit for purpose modelling is essential</w:t>
            </w:r>
            <w:r w:rsidR="005346F5">
              <w:t>.</w:t>
            </w:r>
          </w:p>
          <w:p w:rsidR="00E6767F" w:rsidRPr="004263CA" w:rsidRDefault="00E6767F" w:rsidP="00573315">
            <w:pPr>
              <w:pStyle w:val="TableDotPoint"/>
            </w:pPr>
            <w:r w:rsidRPr="004263CA">
              <w:t>Ground and surface water models (and how they link) are required</w:t>
            </w:r>
            <w:r w:rsidR="005346F5">
              <w:t>.</w:t>
            </w:r>
          </w:p>
          <w:p w:rsidR="00E6767F" w:rsidRPr="004263CA" w:rsidRDefault="00E6767F" w:rsidP="00573315">
            <w:pPr>
              <w:pStyle w:val="TableDotPoint"/>
            </w:pPr>
            <w:r w:rsidRPr="004263CA">
              <w:t>Repeatable, transparent and well documented models are required</w:t>
            </w:r>
            <w:r w:rsidR="005346F5">
              <w:t>.</w:t>
            </w:r>
          </w:p>
          <w:p w:rsidR="00E6767F" w:rsidRPr="004263CA" w:rsidRDefault="00E6767F" w:rsidP="00573315">
            <w:pPr>
              <w:pStyle w:val="TableDotPoint"/>
            </w:pPr>
            <w:r w:rsidRPr="004263CA">
              <w:t>Assumptions need to be comprehensive and clear</w:t>
            </w:r>
            <w:r w:rsidR="005346F5">
              <w:t>.</w:t>
            </w:r>
          </w:p>
          <w:p w:rsidR="00E6767F" w:rsidRPr="004263CA" w:rsidRDefault="00E6767F" w:rsidP="00573315">
            <w:pPr>
              <w:pStyle w:val="TableDotPoint"/>
            </w:pPr>
            <w:r w:rsidRPr="004263CA">
              <w:t>Errors need to be estimated</w:t>
            </w:r>
            <w:r w:rsidR="005346F5">
              <w:t>.</w:t>
            </w:r>
          </w:p>
          <w:p w:rsidR="00E6767F" w:rsidRPr="004263CA" w:rsidRDefault="00E6767F" w:rsidP="00573315">
            <w:pPr>
              <w:pStyle w:val="TableDotPoint"/>
            </w:pPr>
            <w:r w:rsidRPr="004263CA">
              <w:t xml:space="preserve">Chemistry of water </w:t>
            </w:r>
            <w:r w:rsidR="005346F5">
              <w:t>and</w:t>
            </w:r>
            <w:r w:rsidRPr="004263CA">
              <w:t xml:space="preserve"> mixing would be useful</w:t>
            </w:r>
            <w:r w:rsidR="005346F5">
              <w:t>.</w:t>
            </w:r>
          </w:p>
          <w:p w:rsidR="00E6767F" w:rsidRPr="004263CA" w:rsidRDefault="00E6767F" w:rsidP="00573315">
            <w:pPr>
              <w:pStyle w:val="TableDotPoint"/>
            </w:pPr>
            <w:r w:rsidRPr="004263CA">
              <w:t>Long term modelling to assist monitoring and evaluation (M&amp;E)</w:t>
            </w:r>
            <w:r w:rsidR="005346F5">
              <w:t>.</w:t>
            </w:r>
          </w:p>
          <w:p w:rsidR="00E6767F" w:rsidRPr="004263CA" w:rsidRDefault="00E6767F" w:rsidP="00573315">
            <w:pPr>
              <w:pStyle w:val="TableDotPoint"/>
            </w:pPr>
            <w:r w:rsidRPr="004263CA">
              <w:t xml:space="preserve">Existing guidelines cover a wide range of modelling issues relevant to </w:t>
            </w:r>
            <w:r w:rsidR="00AD7D0B">
              <w:t>coal seam gas</w:t>
            </w:r>
            <w:r w:rsidRPr="004263CA">
              <w:t>.</w:t>
            </w:r>
          </w:p>
          <w:p w:rsidR="00E6767F" w:rsidRPr="004263CA" w:rsidRDefault="00E6767F" w:rsidP="00573315">
            <w:pPr>
              <w:pStyle w:val="TableDotPoint"/>
            </w:pPr>
            <w:r w:rsidRPr="004263CA">
              <w:t xml:space="preserve">It would be useful for new </w:t>
            </w:r>
            <w:r w:rsidR="00AD7D0B">
              <w:t>coal seam gas</w:t>
            </w:r>
            <w:r w:rsidR="00AD7D0B" w:rsidRPr="00E13ED7">
              <w:t xml:space="preserve"> </w:t>
            </w:r>
            <w:r w:rsidRPr="004263CA">
              <w:t xml:space="preserve">modelling guidelines to cover topics that existing guidelines do not address in relation to </w:t>
            </w:r>
            <w:r w:rsidR="00AD7D0B">
              <w:t>coal seam gas</w:t>
            </w:r>
            <w:r w:rsidR="00AD7D0B" w:rsidRPr="00E13ED7">
              <w:t xml:space="preserve"> </w:t>
            </w:r>
            <w:r w:rsidRPr="004263CA">
              <w:t>specific issues.</w:t>
            </w:r>
          </w:p>
          <w:p w:rsidR="00E6767F" w:rsidRPr="004263CA" w:rsidRDefault="00E6767F" w:rsidP="00573315">
            <w:pPr>
              <w:pStyle w:val="TableDotPoint"/>
              <w:rPr>
                <w:lang w:val="en-AU"/>
              </w:rPr>
            </w:pPr>
            <w:r w:rsidRPr="004263CA">
              <w:t>Workshop attendees would like the opportunity to review a draft of the modelling approaches guidelines.</w:t>
            </w:r>
          </w:p>
          <w:p w:rsidR="00E6767F" w:rsidRPr="004263CA" w:rsidRDefault="00E6767F" w:rsidP="00573315">
            <w:pPr>
              <w:pStyle w:val="TableDotPoint"/>
            </w:pPr>
            <w:r w:rsidRPr="004263CA">
              <w:t>Factors considered relevant include:</w:t>
            </w:r>
          </w:p>
          <w:p w:rsidR="00093D1C" w:rsidRDefault="005346F5">
            <w:pPr>
              <w:pStyle w:val="Tabledotpoint2ndlevel"/>
              <w:rPr>
                <w:rFonts w:eastAsia="Times New Roman"/>
                <w:lang w:eastAsia="en-US"/>
              </w:rPr>
            </w:pPr>
            <w:r>
              <w:t>d</w:t>
            </w:r>
            <w:r w:rsidR="00E6767F" w:rsidRPr="004263CA">
              <w:t xml:space="preserve">istinguishing between operating sites and </w:t>
            </w:r>
            <w:r>
              <w:t>‘</w:t>
            </w:r>
            <w:r w:rsidR="00E6767F" w:rsidRPr="004263CA">
              <w:t>greenfield</w:t>
            </w:r>
            <w:r>
              <w:t>’</w:t>
            </w:r>
            <w:r w:rsidR="00E6767F" w:rsidRPr="004263CA">
              <w:t xml:space="preserve"> sites</w:t>
            </w:r>
          </w:p>
          <w:p w:rsidR="00093D1C" w:rsidRDefault="005346F5">
            <w:pPr>
              <w:pStyle w:val="Tabledotpoint2ndlevel"/>
              <w:rPr>
                <w:rFonts w:eastAsia="Times New Roman"/>
                <w:lang w:eastAsia="en-US"/>
              </w:rPr>
            </w:pPr>
            <w:r>
              <w:t>d</w:t>
            </w:r>
            <w:r w:rsidR="00E6767F" w:rsidRPr="004263CA">
              <w:t>egree of model parameterisation</w:t>
            </w:r>
          </w:p>
          <w:p w:rsidR="00093D1C" w:rsidRDefault="005346F5">
            <w:pPr>
              <w:pStyle w:val="Tabledotpoint2ndlevel"/>
              <w:rPr>
                <w:rFonts w:eastAsia="Times New Roman"/>
                <w:lang w:eastAsia="en-US"/>
              </w:rPr>
            </w:pPr>
            <w:proofErr w:type="gramStart"/>
            <w:r>
              <w:t>c</w:t>
            </w:r>
            <w:r w:rsidR="00E6767F" w:rsidRPr="004263CA">
              <w:t>omplexity</w:t>
            </w:r>
            <w:proofErr w:type="gramEnd"/>
            <w:r w:rsidR="00E6767F" w:rsidRPr="004263CA">
              <w:t xml:space="preserve"> of model vs stage of project/complexity of task.</w:t>
            </w:r>
          </w:p>
          <w:p w:rsidR="00E6767F" w:rsidRPr="004263CA" w:rsidRDefault="00E6767F" w:rsidP="00573315">
            <w:pPr>
              <w:pStyle w:val="TableDotPoint"/>
            </w:pPr>
            <w:r w:rsidRPr="004263CA">
              <w:t>Different versions of the one model e.g. do different versions of MODFLOW impact the comparison of results</w:t>
            </w:r>
          </w:p>
        </w:tc>
      </w:tr>
      <w:tr w:rsidR="00E6767F" w:rsidRPr="004263CA" w:rsidTr="00E6767F">
        <w:tc>
          <w:tcPr>
            <w:tcW w:w="1800" w:type="dxa"/>
          </w:tcPr>
          <w:p w:rsidR="00E6767F" w:rsidRPr="004263CA" w:rsidRDefault="00E6767F" w:rsidP="00E6767F">
            <w:pPr>
              <w:pStyle w:val="Tabletext"/>
              <w:rPr>
                <w:lang w:val="en-GB"/>
              </w:rPr>
            </w:pPr>
            <w:r w:rsidRPr="004263CA">
              <w:rPr>
                <w:lang w:val="en-GB"/>
              </w:rPr>
              <w:t>Uncertainty in modelling</w:t>
            </w:r>
          </w:p>
        </w:tc>
        <w:tc>
          <w:tcPr>
            <w:tcW w:w="7131" w:type="dxa"/>
          </w:tcPr>
          <w:p w:rsidR="00E6767F" w:rsidRPr="004263CA" w:rsidRDefault="00E6767F" w:rsidP="00573315">
            <w:pPr>
              <w:pStyle w:val="TableDotPoint"/>
            </w:pPr>
            <w:r w:rsidRPr="004263CA">
              <w:t>Factors considered relevant include:</w:t>
            </w:r>
          </w:p>
          <w:p w:rsidR="00E6767F" w:rsidRPr="004263CA" w:rsidRDefault="005346F5" w:rsidP="00570387">
            <w:pPr>
              <w:pStyle w:val="Tabledotpoint2ndlevel"/>
            </w:pPr>
            <w:r>
              <w:t>d</w:t>
            </w:r>
            <w:r w:rsidR="00E6767F" w:rsidRPr="004263CA">
              <w:t>ata limitations and data availability</w:t>
            </w:r>
          </w:p>
          <w:p w:rsidR="00E6767F" w:rsidRPr="004263CA" w:rsidRDefault="005346F5" w:rsidP="00570387">
            <w:pPr>
              <w:pStyle w:val="Tabledotpoint2ndlevel"/>
            </w:pPr>
            <w:r>
              <w:t>c</w:t>
            </w:r>
            <w:r w:rsidR="00E6767F" w:rsidRPr="004263CA">
              <w:t>onceptual models</w:t>
            </w:r>
          </w:p>
          <w:p w:rsidR="00E6767F" w:rsidRPr="004263CA" w:rsidRDefault="005346F5" w:rsidP="00570387">
            <w:pPr>
              <w:pStyle w:val="Tabledotpoint2ndlevel"/>
            </w:pPr>
            <w:r>
              <w:t>p</w:t>
            </w:r>
            <w:r w:rsidR="00E6767F" w:rsidRPr="004263CA">
              <w:t>arameters for field validation</w:t>
            </w:r>
          </w:p>
          <w:p w:rsidR="00E6767F" w:rsidRPr="004263CA" w:rsidRDefault="005346F5" w:rsidP="00570387">
            <w:pPr>
              <w:pStyle w:val="Tabledotpoint2ndlevel"/>
            </w:pPr>
            <w:r>
              <w:t>p</w:t>
            </w:r>
            <w:r w:rsidR="00E6767F" w:rsidRPr="004263CA">
              <w:t>areto analysis in assessing uncertainty</w:t>
            </w:r>
          </w:p>
          <w:p w:rsidR="00E6767F" w:rsidRPr="004263CA" w:rsidRDefault="005346F5" w:rsidP="00570387">
            <w:pPr>
              <w:pStyle w:val="Tabledotpoint2ndlevel"/>
            </w:pPr>
            <w:r>
              <w:t>l</w:t>
            </w:r>
            <w:r w:rsidR="00E6767F" w:rsidRPr="004263CA">
              <w:t>ikelihood analysis</w:t>
            </w:r>
          </w:p>
          <w:p w:rsidR="00E6767F" w:rsidRPr="004263CA" w:rsidRDefault="005346F5" w:rsidP="00570387">
            <w:pPr>
              <w:pStyle w:val="Tabledotpoint2ndlevel"/>
            </w:pPr>
            <w:r>
              <w:t>c</w:t>
            </w:r>
            <w:r w:rsidR="00E6767F" w:rsidRPr="004263CA">
              <w:t>luster analysis</w:t>
            </w:r>
          </w:p>
          <w:p w:rsidR="00E6767F" w:rsidRPr="004263CA" w:rsidRDefault="00E6767F" w:rsidP="00570387">
            <w:pPr>
              <w:pStyle w:val="Tabledotpoint2ndlevel"/>
            </w:pPr>
            <w:r w:rsidRPr="004263CA">
              <w:t>Bayesian and Monte Carlo analysis</w:t>
            </w:r>
          </w:p>
          <w:p w:rsidR="00E6767F" w:rsidRPr="004263CA" w:rsidRDefault="005346F5" w:rsidP="00570387">
            <w:pPr>
              <w:pStyle w:val="Tabledotpoint2ndlevel"/>
            </w:pPr>
            <w:proofErr w:type="gramStart"/>
            <w:r>
              <w:t>v</w:t>
            </w:r>
            <w:r w:rsidR="00E6767F" w:rsidRPr="004263CA">
              <w:t>alidation</w:t>
            </w:r>
            <w:proofErr w:type="gramEnd"/>
            <w:r>
              <w:t>.</w:t>
            </w:r>
          </w:p>
        </w:tc>
      </w:tr>
    </w:tbl>
    <w:p w:rsidR="006670C7" w:rsidRPr="002410BB" w:rsidRDefault="006670C7" w:rsidP="006670C7">
      <w:pPr>
        <w:pStyle w:val="BRNormal11pt0"/>
      </w:pPr>
    </w:p>
    <w:sectPr w:rsidR="006670C7" w:rsidRPr="002410BB" w:rsidSect="00D70BB9">
      <w:headerReference w:type="even" r:id="rId148"/>
      <w:footerReference w:type="default" r:id="rId149"/>
      <w:footerReference w:type="first" r:id="rId150"/>
      <w:pgSz w:w="11900" w:h="16840" w:code="9"/>
      <w:pgMar w:top="1949" w:right="1418" w:bottom="1418" w:left="1418" w:header="142" w:footer="709" w:gutter="0"/>
      <w:cols w:space="284"/>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13B0" w:rsidRDefault="003D13B0" w:rsidP="00166D9B">
      <w:r>
        <w:separator/>
      </w:r>
    </w:p>
  </w:endnote>
  <w:endnote w:type="continuationSeparator" w:id="0">
    <w:p w:rsidR="003D13B0" w:rsidRDefault="003D13B0" w:rsidP="00166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Bold">
    <w:panose1 w:val="020B0704020202020204"/>
    <w:charset w:val="00"/>
    <w:family w:val="roman"/>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Arial (T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91456"/>
      <w:docPartObj>
        <w:docPartGallery w:val="Page Numbers (Bottom of Page)"/>
        <w:docPartUnique/>
      </w:docPartObj>
    </w:sdtPr>
    <w:sdtContent>
      <w:sdt>
        <w:sdtPr>
          <w:id w:val="960151685"/>
          <w:docPartObj>
            <w:docPartGallery w:val="Page Numbers (Top of Page)"/>
            <w:docPartUnique/>
          </w:docPartObj>
        </w:sdtPr>
        <w:sdtContent>
          <w:sdt>
            <w:sdtPr>
              <w:id w:val="396480437"/>
              <w:docPartObj>
                <w:docPartGallery w:val="Page Numbers (Top of Page)"/>
                <w:docPartUnique/>
              </w:docPartObj>
            </w:sdtPr>
            <w:sdtContent>
              <w:p w:rsidR="003D13B0" w:rsidRPr="00A1675B" w:rsidRDefault="003D13B0" w:rsidP="005A4936">
                <w:pPr>
                  <w:pStyle w:val="Footer"/>
                  <w:jc w:val="center"/>
                </w:pPr>
                <w:proofErr w:type="gramStart"/>
                <w:r w:rsidRPr="005A4936">
                  <w:rPr>
                    <w:sz w:val="18"/>
                    <w:szCs w:val="18"/>
                  </w:rPr>
                  <w:t>page</w:t>
                </w:r>
                <w:proofErr w:type="gramEnd"/>
                <w:r w:rsidRPr="005A4936">
                  <w:rPr>
                    <w:sz w:val="18"/>
                    <w:szCs w:val="18"/>
                  </w:rPr>
                  <w:t xml:space="preserve"> </w:t>
                </w:r>
                <w:r w:rsidR="00E252C4" w:rsidRPr="005A4936">
                  <w:rPr>
                    <w:sz w:val="18"/>
                    <w:szCs w:val="18"/>
                  </w:rPr>
                  <w:fldChar w:fldCharType="begin"/>
                </w:r>
                <w:r w:rsidRPr="005A4936">
                  <w:rPr>
                    <w:sz w:val="18"/>
                    <w:szCs w:val="18"/>
                  </w:rPr>
                  <w:instrText xml:space="preserve"> PAGE  \* Arabic </w:instrText>
                </w:r>
                <w:r w:rsidR="00E252C4" w:rsidRPr="005A4936">
                  <w:rPr>
                    <w:sz w:val="18"/>
                    <w:szCs w:val="18"/>
                  </w:rPr>
                  <w:fldChar w:fldCharType="separate"/>
                </w:r>
                <w:r>
                  <w:rPr>
                    <w:noProof/>
                    <w:sz w:val="18"/>
                    <w:szCs w:val="18"/>
                  </w:rPr>
                  <w:t>4</w:t>
                </w:r>
                <w:r w:rsidR="00E252C4" w:rsidRPr="005A4936">
                  <w:rPr>
                    <w:sz w:val="18"/>
                    <w:szCs w:val="18"/>
                  </w:rPr>
                  <w:fldChar w:fldCharType="end"/>
                </w:r>
                <w:r w:rsidRPr="005A4936">
                  <w:rPr>
                    <w:sz w:val="18"/>
                    <w:szCs w:val="18"/>
                  </w:rPr>
                  <w:t xml:space="preserve"> of </w:t>
                </w:r>
                <w:r w:rsidR="00E252C4" w:rsidRPr="005A4936">
                  <w:rPr>
                    <w:sz w:val="18"/>
                    <w:szCs w:val="18"/>
                  </w:rPr>
                  <w:fldChar w:fldCharType="begin"/>
                </w:r>
                <w:r w:rsidRPr="005A4936">
                  <w:rPr>
                    <w:sz w:val="18"/>
                    <w:szCs w:val="18"/>
                  </w:rPr>
                  <w:instrText xml:space="preserve"> NUMPAGES  </w:instrText>
                </w:r>
                <w:r w:rsidR="00E252C4" w:rsidRPr="005A4936">
                  <w:rPr>
                    <w:sz w:val="18"/>
                    <w:szCs w:val="18"/>
                  </w:rPr>
                  <w:fldChar w:fldCharType="separate"/>
                </w:r>
                <w:r w:rsidR="00906141">
                  <w:rPr>
                    <w:noProof/>
                    <w:sz w:val="18"/>
                    <w:szCs w:val="18"/>
                  </w:rPr>
                  <w:t>155</w:t>
                </w:r>
                <w:r w:rsidR="00E252C4" w:rsidRPr="005A4936">
                  <w:rPr>
                    <w:sz w:val="18"/>
                    <w:szCs w:val="18"/>
                  </w:rPr>
                  <w:fldChar w:fldCharType="end"/>
                </w:r>
              </w:p>
            </w:sdtContent>
          </w:sdt>
        </w:sdtContent>
      </w:sdt>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3D13B0"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65"/>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2558E">
          <w:rPr>
            <w:noProof/>
            <w:sz w:val="18"/>
            <w:szCs w:val="18"/>
          </w:rPr>
          <w:t>18</w:t>
        </w:r>
        <w:r w:rsidR="00E252C4" w:rsidRPr="00787AAA">
          <w:rPr>
            <w:noProof/>
            <w:sz w:val="18"/>
            <w:szCs w:val="18"/>
          </w:rPr>
          <w:fldChar w:fldCharType="end"/>
        </w:r>
      </w:sdtContent>
    </w:sdt>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81824"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8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80800"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8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79776"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8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70"/>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44</w:t>
        </w:r>
        <w:r w:rsidR="00E252C4" w:rsidRPr="00787AAA">
          <w:rPr>
            <w:noProof/>
            <w:sz w:val="18"/>
            <w:szCs w:val="18"/>
          </w:rPr>
          <w:fldChar w:fldCharType="end"/>
        </w:r>
      </w:sdtContent>
    </w:sdt>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71"/>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43</w:t>
        </w:r>
        <w:r w:rsidR="00E252C4" w:rsidRPr="00787AAA">
          <w:rPr>
            <w:noProof/>
            <w:sz w:val="18"/>
            <w:szCs w:val="18"/>
          </w:rPr>
          <w:fldChar w:fldCharType="end"/>
        </w:r>
      </w:sdtContent>
    </w:sdt>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2755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7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2550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8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2448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8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18"/>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58</w:t>
        </w:r>
        <w:r w:rsidR="00E252C4" w:rsidRPr="00787AAA">
          <w:rPr>
            <w:noProof/>
            <w:sz w:val="18"/>
            <w:szCs w:val="18"/>
          </w:rPr>
          <w:fldChar w:fldCharType="end"/>
        </w:r>
      </w:sdtContent>
    </w:sdt>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68"/>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45</w:t>
        </w:r>
        <w:r w:rsidR="00E252C4" w:rsidRPr="00787AAA">
          <w:rPr>
            <w:noProof/>
            <w:sz w:val="18"/>
            <w:szCs w:val="18"/>
          </w:rPr>
          <w:fldChar w:fldCharType="end"/>
        </w:r>
      </w:sdtContent>
    </w:sdt>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7"/>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63</w:t>
        </w:r>
        <w:r w:rsidR="00E252C4" w:rsidRPr="00787AAA">
          <w:rPr>
            <w:noProof/>
            <w:sz w:val="18"/>
            <w:szCs w:val="18"/>
          </w:rPr>
          <w:fldChar w:fldCharType="end"/>
        </w:r>
      </w:sdtContent>
    </w:sdt>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2243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7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2038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7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1936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7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15"/>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67</w:t>
        </w:r>
        <w:r w:rsidR="00E252C4" w:rsidRPr="00787AAA">
          <w:rPr>
            <w:noProof/>
            <w:sz w:val="18"/>
            <w:szCs w:val="18"/>
          </w:rPr>
          <w:fldChar w:fldCharType="end"/>
        </w:r>
      </w:sdtContent>
    </w:sdt>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6"/>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64</w:t>
        </w:r>
        <w:r w:rsidR="00E252C4" w:rsidRPr="00787AAA">
          <w:rPr>
            <w:noProof/>
            <w:sz w:val="18"/>
            <w:szCs w:val="18"/>
          </w:rPr>
          <w:fldChar w:fldCharType="end"/>
        </w:r>
      </w:sdtContent>
    </w:sdt>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4"/>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68</w:t>
        </w:r>
        <w:r w:rsidR="00E252C4" w:rsidRPr="00787AAA">
          <w:rPr>
            <w:noProof/>
            <w:sz w:val="18"/>
            <w:szCs w:val="18"/>
          </w:rPr>
          <w:fldChar w:fldCharType="end"/>
        </w:r>
      </w:sdtContent>
    </w:sdt>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892736"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22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890688"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23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889664"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4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02"/>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70</w:t>
        </w:r>
        <w:r w:rsidR="00E252C4" w:rsidRPr="00787AAA">
          <w:rPr>
            <w:noProof/>
            <w:sz w:val="18"/>
            <w:szCs w:val="18"/>
          </w:rPr>
          <w:fldChar w:fldCharType="end"/>
        </w:r>
      </w:sdtContent>
    </w:sdt>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884544"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6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881472" behindDoc="0" locked="0" layoutInCell="1" allowOverlap="1">
          <wp:simplePos x="0" y="0"/>
          <wp:positionH relativeFrom="column">
            <wp:posOffset>-2453005</wp:posOffset>
          </wp:positionH>
          <wp:positionV relativeFrom="paragraph">
            <wp:posOffset>30207585</wp:posOffset>
          </wp:positionV>
          <wp:extent cx="7705725" cy="876300"/>
          <wp:effectExtent l="19050" t="0" r="9525" b="0"/>
          <wp:wrapSquare wrapText="bothSides"/>
          <wp:docPr id="573"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705725" cy="876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87942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8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877376"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9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sdt>
      <w:sdtPr>
        <w:rPr>
          <w:sz w:val="18"/>
          <w:szCs w:val="18"/>
        </w:rPr>
        <w:id w:val="-839303800"/>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Pr>
            <w:noProof/>
            <w:sz w:val="18"/>
            <w:szCs w:val="18"/>
          </w:rPr>
          <w:t>ii</w:t>
        </w:r>
        <w:r w:rsidR="00E252C4" w:rsidRPr="00787AAA">
          <w:rPr>
            <w:noProof/>
            <w:sz w:val="18"/>
            <w:szCs w:val="18"/>
          </w:rPr>
          <w:fldChar w:fldCharType="end"/>
        </w:r>
      </w:sdtContent>
    </w:sdt>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3"/>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69</w:t>
        </w:r>
        <w:r w:rsidR="00E252C4" w:rsidRPr="00787AAA">
          <w:rPr>
            <w:noProof/>
            <w:sz w:val="18"/>
            <w:szCs w:val="18"/>
          </w:rPr>
          <w:fldChar w:fldCharType="end"/>
        </w:r>
      </w:sdtContent>
    </w:sdt>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1"/>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71</w:t>
        </w:r>
        <w:r w:rsidR="00E252C4" w:rsidRPr="00787AAA">
          <w:rPr>
            <w:noProof/>
            <w:sz w:val="18"/>
            <w:szCs w:val="18"/>
          </w:rPr>
          <w:fldChar w:fldCharType="end"/>
        </w:r>
      </w:sdtContent>
    </w:sdt>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1731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6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1526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1424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7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09"/>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2558E">
          <w:rPr>
            <w:noProof/>
            <w:sz w:val="18"/>
            <w:szCs w:val="18"/>
          </w:rPr>
          <w:t>73</w:t>
        </w:r>
        <w:r w:rsidR="00E252C4" w:rsidRPr="00787AAA">
          <w:rPr>
            <w:noProof/>
            <w:sz w:val="18"/>
            <w:szCs w:val="18"/>
          </w:rPr>
          <w:fldChar w:fldCharType="end"/>
        </w:r>
      </w:sdtContent>
    </w:sdt>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0"/>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72</w:t>
        </w:r>
        <w:r w:rsidR="00E252C4" w:rsidRPr="00787AAA">
          <w:rPr>
            <w:noProof/>
            <w:sz w:val="18"/>
            <w:szCs w:val="18"/>
          </w:rPr>
          <w:fldChar w:fldCharType="end"/>
        </w:r>
      </w:sdtContent>
    </w:sdt>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08"/>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74</w:t>
        </w:r>
        <w:r w:rsidR="00E252C4" w:rsidRPr="00787AAA">
          <w:rPr>
            <w:noProof/>
            <w:sz w:val="18"/>
            <w:szCs w:val="18"/>
          </w:rPr>
          <w:fldChar w:fldCharType="end"/>
        </w:r>
      </w:sdtContent>
    </w:sdt>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1219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1014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0912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06"/>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2558E">
          <w:rPr>
            <w:noProof/>
            <w:sz w:val="18"/>
            <w:szCs w:val="18"/>
          </w:rPr>
          <w:t>79</w:t>
        </w:r>
        <w:r w:rsidR="00E252C4" w:rsidRPr="00787AAA">
          <w:rPr>
            <w:noProof/>
            <w:sz w:val="18"/>
            <w:szCs w:val="18"/>
          </w:rPr>
          <w:fldChar w:fldCharType="end"/>
        </w:r>
      </w:sdtContent>
    </w:sdt>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07"/>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75</w:t>
        </w:r>
        <w:r w:rsidR="00E252C4" w:rsidRPr="00787AAA">
          <w:rPr>
            <w:noProof/>
            <w:sz w:val="18"/>
            <w:szCs w:val="18"/>
          </w:rPr>
          <w:fldChar w:fldCharType="end"/>
        </w:r>
      </w:sdtContent>
    </w:sdt>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05"/>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80</w:t>
        </w:r>
        <w:r w:rsidR="00E252C4" w:rsidRPr="00787AAA">
          <w:rPr>
            <w:noProof/>
            <w:sz w:val="18"/>
            <w:szCs w:val="18"/>
          </w:rPr>
          <w:fldChar w:fldCharType="end"/>
        </w:r>
      </w:sdtContent>
    </w:sdt>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0707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4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0502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0400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Pr>
        <w:sz w:val="18"/>
        <w:szCs w:val="18"/>
      </w:rPr>
      <w:t>page</w:t>
    </w:r>
    <w:proofErr w:type="gramEnd"/>
    <w:r>
      <w:rPr>
        <w:sz w:val="18"/>
        <w:szCs w:val="18"/>
      </w:rPr>
      <w:t xml:space="preserve"> </w:t>
    </w:r>
    <w:sdt>
      <w:sdtPr>
        <w:rPr>
          <w:sz w:val="18"/>
          <w:szCs w:val="18"/>
        </w:rPr>
        <w:id w:val="24738803"/>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88</w:t>
        </w:r>
        <w:r w:rsidR="00E252C4" w:rsidRPr="00787AAA">
          <w:rPr>
            <w:noProof/>
            <w:sz w:val="18"/>
            <w:szCs w:val="18"/>
          </w:rPr>
          <w:fldChar w:fldCharType="end"/>
        </w:r>
      </w:sdtContent>
    </w:sdt>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04"/>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81</w:t>
        </w:r>
        <w:r w:rsidR="00E252C4" w:rsidRPr="00787AAA">
          <w:rPr>
            <w:noProof/>
            <w:sz w:val="18"/>
            <w:szCs w:val="18"/>
          </w:rPr>
          <w:fldChar w:fldCharType="end"/>
        </w:r>
      </w:sdtContent>
    </w:sdt>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A1675B" w:rsidRDefault="003D13B0" w:rsidP="00166D9B">
    <w:pPr>
      <w:pStyle w:val="Footer"/>
    </w:pPr>
  </w:p>
  <w:p w:rsidR="003D13B0" w:rsidRDefault="003D13B0" w:rsidP="00166D9B">
    <w:pPr>
      <w:pStyle w:val="Foote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3D13B0"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19"/>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2558E">
          <w:rPr>
            <w:noProof/>
            <w:sz w:val="18"/>
            <w:szCs w:val="18"/>
          </w:rPr>
          <w:t>95</w:t>
        </w:r>
        <w:r w:rsidR="00E252C4" w:rsidRPr="00787AAA">
          <w:rPr>
            <w:noProof/>
            <w:sz w:val="18"/>
            <w:szCs w:val="18"/>
          </w:rPr>
          <w:fldChar w:fldCharType="end"/>
        </w:r>
      </w:sdtContent>
    </w:sdt>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3267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8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3062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8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2960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9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sdt>
      <w:sdtPr>
        <w:rPr>
          <w:sz w:val="18"/>
          <w:szCs w:val="18"/>
        </w:rPr>
        <w:id w:val="24738821"/>
        <w:docPartObj>
          <w:docPartGallery w:val="Page Numbers (Bottom of Page)"/>
          <w:docPartUnique/>
        </w:docPartObj>
      </w:sdtPr>
      <w:sdtEndPr>
        <w:rPr>
          <w:noProof/>
        </w:rPr>
      </w:sdtEndPr>
      <w:sdtContent>
        <w:proofErr w:type="gramStart"/>
        <w:r>
          <w:rPr>
            <w:sz w:val="18"/>
            <w:szCs w:val="18"/>
          </w:rPr>
          <w:t>page</w:t>
        </w:r>
        <w:proofErr w:type="gramEnd"/>
        <w:r>
          <w:rPr>
            <w:sz w:val="18"/>
            <w:szCs w:val="18"/>
          </w:rPr>
          <w:t xml:space="preserve"> </w:t>
        </w:r>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109</w:t>
        </w:r>
        <w:r w:rsidR="00E252C4" w:rsidRPr="00787AAA">
          <w:rPr>
            <w:noProof/>
            <w:sz w:val="18"/>
            <w:szCs w:val="18"/>
          </w:rPr>
          <w:fldChar w:fldCharType="end"/>
        </w:r>
      </w:sdtContent>
    </w:sdt>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3D13B0"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20"/>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2558E">
          <w:rPr>
            <w:noProof/>
            <w:sz w:val="18"/>
            <w:szCs w:val="18"/>
          </w:rPr>
          <w:t>96</w:t>
        </w:r>
        <w:r w:rsidR="00E252C4" w:rsidRPr="00787AAA">
          <w:rPr>
            <w:noProof/>
            <w:sz w:val="18"/>
            <w:szCs w:val="18"/>
          </w:rPr>
          <w:fldChar w:fldCharType="end"/>
        </w:r>
      </w:sdtContent>
    </w:sdt>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36768"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9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3574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9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3472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5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651B28">
      <w:rPr>
        <w:sz w:val="18"/>
        <w:szCs w:val="18"/>
      </w:rPr>
      <w:t>page</w:t>
    </w:r>
    <w:proofErr w:type="gramEnd"/>
    <w:r w:rsidR="00651B28">
      <w:rPr>
        <w:sz w:val="18"/>
        <w:szCs w:val="18"/>
      </w:rPr>
      <w:t xml:space="preserve"> </w:t>
    </w:r>
    <w:sdt>
      <w:sdtPr>
        <w:rPr>
          <w:sz w:val="18"/>
          <w:szCs w:val="18"/>
        </w:rPr>
        <w:id w:val="24738823"/>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114</w:t>
        </w:r>
        <w:r w:rsidR="00E252C4" w:rsidRPr="00787AAA">
          <w:rPr>
            <w:noProof/>
            <w:sz w:val="18"/>
            <w:szCs w:val="18"/>
          </w:rPr>
          <w:fldChar w:fldCharType="end"/>
        </w:r>
      </w:sdtContent>
    </w:sdt>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22"/>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113</w:t>
        </w:r>
        <w:r w:rsidR="00E252C4" w:rsidRPr="00787AAA">
          <w:rPr>
            <w:noProof/>
            <w:sz w:val="18"/>
            <w:szCs w:val="18"/>
          </w:rPr>
          <w:fldChar w:fldCharType="end"/>
        </w:r>
      </w:sdtContent>
    </w:sdt>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40864"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5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39840"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5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38816"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5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Pr>
        <w:sz w:val="18"/>
        <w:szCs w:val="18"/>
      </w:rPr>
      <w:t>page</w:t>
    </w:r>
    <w:proofErr w:type="gramEnd"/>
    <w:r>
      <w:rPr>
        <w:sz w:val="18"/>
        <w:szCs w:val="18"/>
      </w:rPr>
      <w:t xml:space="preserve"> </w:t>
    </w:r>
    <w:sdt>
      <w:sdtPr>
        <w:rPr>
          <w:sz w:val="18"/>
          <w:szCs w:val="18"/>
        </w:rPr>
        <w:id w:val="24738855"/>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121</w:t>
        </w:r>
        <w:r w:rsidR="00E252C4" w:rsidRPr="00787AAA">
          <w:rPr>
            <w:noProof/>
            <w:sz w:val="18"/>
            <w:szCs w:val="18"/>
          </w:rPr>
          <w:fldChar w:fldCharType="end"/>
        </w:r>
      </w:sdtContent>
    </w:sdt>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32"/>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115</w:t>
        </w:r>
        <w:r w:rsidR="00E252C4" w:rsidRPr="00787AAA">
          <w:rPr>
            <w:noProof/>
            <w:sz w:val="18"/>
            <w:szCs w:val="18"/>
          </w:rPr>
          <w:fldChar w:fldCharType="end"/>
        </w:r>
      </w:sdtContent>
    </w:sdt>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4803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6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47008"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6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45984"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6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Pr>
        <w:sz w:val="18"/>
        <w:szCs w:val="18"/>
      </w:rPr>
      <w:t>page</w:t>
    </w:r>
    <w:proofErr w:type="gramEnd"/>
    <w:r>
      <w:rPr>
        <w:sz w:val="18"/>
        <w:szCs w:val="18"/>
      </w:rPr>
      <w:t xml:space="preserve"> </w:t>
    </w:r>
    <w:sdt>
      <w:sdtPr>
        <w:rPr>
          <w:sz w:val="18"/>
          <w:szCs w:val="18"/>
        </w:rPr>
        <w:id w:val="24738858"/>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141</w:t>
        </w:r>
        <w:r w:rsidR="00E252C4" w:rsidRPr="00787AAA">
          <w:rPr>
            <w:noProof/>
            <w:sz w:val="18"/>
            <w:szCs w:val="18"/>
          </w:rPr>
          <w:fldChar w:fldCharType="end"/>
        </w:r>
      </w:sdtContent>
    </w:sdt>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56"/>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582FA6">
          <w:rPr>
            <w:noProof/>
            <w:sz w:val="18"/>
            <w:szCs w:val="18"/>
          </w:rPr>
          <w:t>137</w:t>
        </w:r>
        <w:r w:rsidR="00E252C4" w:rsidRPr="00787AAA">
          <w:rPr>
            <w:noProof/>
            <w:sz w:val="18"/>
            <w:szCs w:val="18"/>
          </w:rPr>
          <w:fldChar w:fldCharType="end"/>
        </w:r>
      </w:sdtContent>
    </w:sdt>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53152"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6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5110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6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5008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Pr>
        <w:sz w:val="18"/>
        <w:szCs w:val="18"/>
      </w:rPr>
      <w:t>page</w:t>
    </w:r>
    <w:proofErr w:type="gramEnd"/>
    <w:r>
      <w:rPr>
        <w:sz w:val="18"/>
        <w:szCs w:val="18"/>
      </w:rPr>
      <w:t xml:space="preserve"> </w:t>
    </w:r>
    <w:sdt>
      <w:sdtPr>
        <w:rPr>
          <w:sz w:val="18"/>
          <w:szCs w:val="18"/>
        </w:rPr>
        <w:id w:val="24738859"/>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C28AC">
          <w:rPr>
            <w:noProof/>
            <w:sz w:val="18"/>
            <w:szCs w:val="18"/>
          </w:rPr>
          <w:t>ii</w:t>
        </w:r>
        <w:r w:rsidR="00E252C4" w:rsidRPr="00787AAA">
          <w:rPr>
            <w:noProof/>
            <w:sz w:val="18"/>
            <w:szCs w:val="18"/>
          </w:rPr>
          <w:fldChar w:fldCharType="end"/>
        </w:r>
      </w:sdtContent>
    </w:sdt>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64416"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6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62368"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7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61344"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7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Pr>
        <w:sz w:val="18"/>
        <w:szCs w:val="18"/>
      </w:rPr>
      <w:t>page</w:t>
    </w:r>
    <w:proofErr w:type="gramEnd"/>
    <w:r>
      <w:rPr>
        <w:sz w:val="18"/>
        <w:szCs w:val="18"/>
      </w:rPr>
      <w:t xml:space="preserve"> </w:t>
    </w:r>
    <w:sdt>
      <w:sdtPr>
        <w:rPr>
          <w:sz w:val="18"/>
          <w:szCs w:val="18"/>
        </w:rPr>
        <w:id w:val="24738860"/>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C28AC">
          <w:rPr>
            <w:noProof/>
            <w:sz w:val="18"/>
            <w:szCs w:val="18"/>
          </w:rPr>
          <w:t>v</w:t>
        </w:r>
        <w:r w:rsidR="00E252C4" w:rsidRPr="00787AAA">
          <w:rPr>
            <w:noProof/>
            <w:sz w:val="18"/>
            <w:szCs w:val="18"/>
          </w:rPr>
          <w:fldChar w:fldCharType="end"/>
        </w:r>
      </w:sdtContent>
    </w:sdt>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72608"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7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7158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7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7056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7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sdt>
      <w:sdtPr>
        <w:rPr>
          <w:sz w:val="18"/>
          <w:szCs w:val="18"/>
        </w:rPr>
        <w:id w:val="24738863"/>
        <w:docPartObj>
          <w:docPartGallery w:val="Page Numbers (Bottom of Page)"/>
          <w:docPartUnique/>
        </w:docPartObj>
      </w:sdtPr>
      <w:sdtEndPr>
        <w:rPr>
          <w:noProof/>
        </w:rPr>
      </w:sdtEndPr>
      <w:sdtContent>
        <w:proofErr w:type="gramStart"/>
        <w:r>
          <w:rPr>
            <w:sz w:val="18"/>
            <w:szCs w:val="18"/>
          </w:rPr>
          <w:t>page</w:t>
        </w:r>
        <w:proofErr w:type="gramEnd"/>
        <w:r>
          <w:rPr>
            <w:sz w:val="18"/>
            <w:szCs w:val="18"/>
          </w:rPr>
          <w:t xml:space="preserve"> </w:t>
        </w:r>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C28AC">
          <w:rPr>
            <w:noProof/>
            <w:sz w:val="18"/>
            <w:szCs w:val="18"/>
          </w:rPr>
          <w:t>2</w:t>
        </w:r>
        <w:r w:rsidR="00E252C4" w:rsidRPr="00787AAA">
          <w:rPr>
            <w:noProof/>
            <w:sz w:val="18"/>
            <w:szCs w:val="18"/>
          </w:rPr>
          <w:fldChar w:fldCharType="end"/>
        </w:r>
      </w:sdtContent>
    </w:sdt>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3D13B0"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1023364391"/>
        <w:docPartObj>
          <w:docPartGallery w:val="Page Numbers (Bottom of Page)"/>
          <w:docPartUnique/>
        </w:docPartObj>
      </w:sdtPr>
      <w:sdtEndPr>
        <w:rPr>
          <w:noProof/>
        </w:rPr>
      </w:sdtEndPr>
      <w:sdtContent>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AC28AC">
          <w:rPr>
            <w:noProof/>
            <w:sz w:val="18"/>
            <w:szCs w:val="18"/>
          </w:rPr>
          <w:t>1</w:t>
        </w:r>
        <w:r w:rsidR="00E252C4" w:rsidRPr="00787AAA">
          <w:rPr>
            <w:noProof/>
            <w:sz w:val="18"/>
            <w:szCs w:val="18"/>
          </w:rPr>
          <w:fldChar w:fldCharType="end"/>
        </w:r>
      </w:sdtContent>
    </w:sdt>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970EFA" w:rsidRDefault="00651B28" w:rsidP="00970EFA">
    <w:pPr>
      <w:pStyle w:val="Footer"/>
      <w:jc w:val="center"/>
      <w:rPr>
        <w:sz w:val="18"/>
        <w:szCs w:val="18"/>
      </w:rPr>
    </w:pPr>
    <w:proofErr w:type="gramStart"/>
    <w:r>
      <w:rPr>
        <w:sz w:val="18"/>
        <w:szCs w:val="18"/>
      </w:rPr>
      <w:t>page</w:t>
    </w:r>
    <w:proofErr w:type="gramEnd"/>
    <w:r>
      <w:rPr>
        <w:sz w:val="18"/>
        <w:szCs w:val="18"/>
      </w:rPr>
      <w:t xml:space="preserve"> </w:t>
    </w:r>
    <w:sdt>
      <w:sdtPr>
        <w:rPr>
          <w:sz w:val="18"/>
          <w:szCs w:val="18"/>
        </w:rPr>
        <w:id w:val="24738864"/>
        <w:docPartObj>
          <w:docPartGallery w:val="Page Numbers (Bottom of Page)"/>
          <w:docPartUnique/>
        </w:docPartObj>
      </w:sdtPr>
      <w:sdtEndPr>
        <w:rPr>
          <w:noProof/>
        </w:rPr>
      </w:sdtEndPr>
      <w:sdtContent>
        <w:r w:rsidR="00E252C4" w:rsidRPr="00787AAA">
          <w:rPr>
            <w:sz w:val="18"/>
            <w:szCs w:val="18"/>
          </w:rPr>
          <w:fldChar w:fldCharType="begin"/>
        </w:r>
        <w:r w:rsidR="003D13B0" w:rsidRPr="00787AAA">
          <w:rPr>
            <w:sz w:val="18"/>
            <w:szCs w:val="18"/>
          </w:rPr>
          <w:instrText xml:space="preserve"> PAGE   \* MERGEFORMAT </w:instrText>
        </w:r>
        <w:r w:rsidR="00E252C4" w:rsidRPr="00787AAA">
          <w:rPr>
            <w:sz w:val="18"/>
            <w:szCs w:val="18"/>
          </w:rPr>
          <w:fldChar w:fldCharType="separate"/>
        </w:r>
        <w:r w:rsidR="00A2558E">
          <w:rPr>
            <w:noProof/>
            <w:sz w:val="18"/>
            <w:szCs w:val="18"/>
          </w:rPr>
          <w:t>17</w:t>
        </w:r>
        <w:r w:rsidR="00E252C4" w:rsidRPr="00787AAA">
          <w:rPr>
            <w:noProof/>
            <w:sz w:val="18"/>
            <w:szCs w:val="18"/>
          </w:rPr>
          <w:fldChar w:fldCharType="end"/>
        </w:r>
      </w:sdtContent>
    </w:sdt>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Pr="00D70BB9" w:rsidRDefault="003D13B0" w:rsidP="00D70BB9">
    <w:pPr>
      <w:pStyle w:val="Footer"/>
      <w:jc w:val="center"/>
      <w:rPr>
        <w:sz w:val="18"/>
        <w:szCs w:val="18"/>
      </w:rPr>
    </w:pPr>
    <w:r>
      <w:rPr>
        <w:noProof/>
        <w:sz w:val="18"/>
        <w:szCs w:val="18"/>
        <w:lang w:val="en-AU" w:eastAsia="en-AU"/>
      </w:rPr>
      <w:drawing>
        <wp:anchor distT="0" distB="0" distL="114300" distR="114300" simplePos="0" relativeHeight="251977728" behindDoc="0" locked="0" layoutInCell="1" allowOverlap="1">
          <wp:simplePos x="0" y="0"/>
          <wp:positionH relativeFrom="margin">
            <wp:posOffset>-2433955</wp:posOffset>
          </wp:positionH>
          <wp:positionV relativeFrom="margin">
            <wp:posOffset>9404350</wp:posOffset>
          </wp:positionV>
          <wp:extent cx="10820400" cy="1038225"/>
          <wp:effectExtent l="19050" t="0" r="0" b="0"/>
          <wp:wrapNone/>
          <wp:docPr id="57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76704" behindDoc="0" locked="0" layoutInCell="1" allowOverlap="1">
          <wp:simplePos x="0" y="0"/>
          <wp:positionH relativeFrom="margin">
            <wp:posOffset>-2548255</wp:posOffset>
          </wp:positionH>
          <wp:positionV relativeFrom="margin">
            <wp:posOffset>9251950</wp:posOffset>
          </wp:positionV>
          <wp:extent cx="10820400" cy="1038225"/>
          <wp:effectExtent l="19050" t="0" r="0" b="0"/>
          <wp:wrapNone/>
          <wp:docPr id="58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18"/>
        <w:szCs w:val="18"/>
        <w:lang w:val="en-AU" w:eastAsia="en-AU"/>
      </w:rPr>
      <w:drawing>
        <wp:anchor distT="0" distB="0" distL="114300" distR="114300" simplePos="0" relativeHeight="251975680" behindDoc="0" locked="0" layoutInCell="1" allowOverlap="1">
          <wp:simplePos x="0" y="0"/>
          <wp:positionH relativeFrom="margin">
            <wp:posOffset>-2414905</wp:posOffset>
          </wp:positionH>
          <wp:positionV relativeFrom="margin">
            <wp:posOffset>9404350</wp:posOffset>
          </wp:positionV>
          <wp:extent cx="10820400" cy="1038225"/>
          <wp:effectExtent l="19050" t="0" r="0" b="0"/>
          <wp:wrapNone/>
          <wp:docPr id="58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8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sdt>
      <w:sdtPr>
        <w:rPr>
          <w:sz w:val="18"/>
          <w:szCs w:val="18"/>
        </w:rPr>
        <w:id w:val="24738866"/>
        <w:docPartObj>
          <w:docPartGallery w:val="Page Numbers (Bottom of Page)"/>
          <w:docPartUnique/>
        </w:docPartObj>
      </w:sdtPr>
      <w:sdtEndPr>
        <w:rPr>
          <w:noProof/>
        </w:rPr>
      </w:sdtEndPr>
      <w:sdtContent>
        <w:proofErr w:type="gramStart"/>
        <w:r>
          <w:rPr>
            <w:sz w:val="18"/>
            <w:szCs w:val="18"/>
          </w:rPr>
          <w:t>page</w:t>
        </w:r>
        <w:proofErr w:type="gramEnd"/>
        <w:r>
          <w:rPr>
            <w:sz w:val="18"/>
            <w:szCs w:val="18"/>
          </w:rPr>
          <w:t xml:space="preserve"> </w:t>
        </w:r>
        <w:r w:rsidR="00E252C4" w:rsidRPr="00787AAA">
          <w:rPr>
            <w:sz w:val="18"/>
            <w:szCs w:val="18"/>
          </w:rPr>
          <w:fldChar w:fldCharType="begin"/>
        </w:r>
        <w:r w:rsidRPr="00787AAA">
          <w:rPr>
            <w:sz w:val="18"/>
            <w:szCs w:val="18"/>
          </w:rPr>
          <w:instrText xml:space="preserve"> PAGE   \* MERGEFORMAT </w:instrText>
        </w:r>
        <w:r w:rsidR="00E252C4" w:rsidRPr="00787AAA">
          <w:rPr>
            <w:sz w:val="18"/>
            <w:szCs w:val="18"/>
          </w:rPr>
          <w:fldChar w:fldCharType="separate"/>
        </w:r>
        <w:r w:rsidR="00582FA6">
          <w:rPr>
            <w:noProof/>
            <w:sz w:val="18"/>
            <w:szCs w:val="18"/>
          </w:rPr>
          <w:t>31</w:t>
        </w:r>
        <w:r w:rsidR="00E252C4" w:rsidRPr="00787AAA">
          <w:rPr>
            <w:noProof/>
            <w:sz w:val="18"/>
            <w:szCs w:val="18"/>
          </w:rPr>
          <w:fldChar w:fldCharType="end"/>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13B0" w:rsidRDefault="003D13B0" w:rsidP="00166D9B">
      <w:r>
        <w:separator/>
      </w:r>
    </w:p>
  </w:footnote>
  <w:footnote w:type="continuationSeparator" w:id="0">
    <w:p w:rsidR="003D13B0" w:rsidRDefault="003D13B0" w:rsidP="00166D9B">
      <w:r>
        <w:continuationSeparator/>
      </w:r>
    </w:p>
  </w:footnote>
  <w:footnote w:id="1">
    <w:p w:rsidR="003D13B0" w:rsidRPr="00744FF1" w:rsidRDefault="003D13B0" w:rsidP="00744FF1">
      <w:pPr>
        <w:pStyle w:val="FootnoteText"/>
        <w:rPr>
          <w:lang w:val="en-AU"/>
        </w:rPr>
      </w:pPr>
      <w:r>
        <w:rPr>
          <w:rStyle w:val="FootnoteReference"/>
        </w:rPr>
        <w:footnoteRef/>
      </w:r>
      <w:r>
        <w:t xml:space="preserve"> </w:t>
      </w:r>
      <w:r w:rsidRPr="00744FF1">
        <w:t>Crack width is only one factor in assessing category of damage and should not be used on its own as a direct measure of it.</w:t>
      </w:r>
    </w:p>
  </w:footnote>
  <w:footnote w:id="2">
    <w:p w:rsidR="003D13B0" w:rsidRPr="00744FF1" w:rsidRDefault="003D13B0" w:rsidP="00744FF1">
      <w:pPr>
        <w:pStyle w:val="FootnoteText"/>
        <w:rPr>
          <w:lang w:val="en-AU"/>
        </w:rPr>
      </w:pPr>
      <w:r>
        <w:rPr>
          <w:rStyle w:val="FootnoteReference"/>
        </w:rPr>
        <w:footnoteRef/>
      </w:r>
      <w:r>
        <w:t xml:space="preserve"> </w:t>
      </w:r>
      <w:r w:rsidRPr="00744FF1">
        <w:t>Local deviation of slope, from the horizontal or vertical, of more than 1/100 wil</w:t>
      </w:r>
      <w:r>
        <w:t xml:space="preserve">l normally be clearly visible. </w:t>
      </w:r>
      <w:r w:rsidRPr="00744FF1">
        <w:t>Overall deviations in excess of 1/150 are undesirable.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E252C4" w:rsidP="00166D9B">
    <w:pPr>
      <w:pStyle w:val="Header"/>
    </w:pPr>
    <w:r>
      <w:rPr>
        <w:noProof/>
        <w:lang w:val="en-AU" w:eastAsia="en-AU"/>
      </w:rPr>
      <w:pict>
        <v:shapetype id="_x0000_t202" coordsize="21600,21600" o:spt="202" path="m,l,21600r21600,l21600,xe">
          <v:stroke joinstyle="miter"/>
          <v:path gradientshapeok="t" o:connecttype="rect"/>
        </v:shapetype>
        <v:shape id="Text Box 3" o:spid="_x0000_s10278" type="#_x0000_t202" style="position:absolute;margin-left:177.85pt;margin-top:56.2pt;width:283.75pt;height:24.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" filled="f" stroked="f">
          <v:path arrowok="t"/>
          <v:textbox style="mso-next-textbox:#Text Box 3" inset="0,,0">
            <w:txbxContent>
              <w:p w:rsidR="003D13B0" w:rsidRPr="001D04F9" w:rsidRDefault="003D13B0"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3D13B0" w:rsidRPr="0040292A" w:rsidRDefault="003D13B0" w:rsidP="00166D9B"/>
            </w:txbxContent>
          </v:textbox>
        </v:shape>
      </w:pict>
    </w:r>
    <w:r w:rsidR="003D13B0">
      <w:rPr>
        <w:noProof/>
        <w:lang w:val="en-AU" w:eastAsia="en-AU"/>
      </w:rPr>
      <w:drawing>
        <wp:anchor distT="0" distB="0" distL="114300" distR="114300" simplePos="0" relativeHeight="251660288" behindDoc="0" locked="0" layoutInCell="1" allowOverlap="1">
          <wp:simplePos x="0" y="0"/>
          <wp:positionH relativeFrom="column">
            <wp:posOffset>-976630</wp:posOffset>
          </wp:positionH>
          <wp:positionV relativeFrom="paragraph">
            <wp:posOffset>5080</wp:posOffset>
          </wp:positionV>
          <wp:extent cx="7629525" cy="872490"/>
          <wp:effectExtent l="0" t="0" r="0" b="0"/>
          <wp:wrapSquare wrapText="bothSides"/>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F623A9">
    <w:pPr>
      <w:pStyle w:val="Header"/>
    </w:pPr>
  </w:p>
  <w:p w:rsidR="003D13B0" w:rsidRDefault="003D13B0" w:rsidP="00F623A9">
    <w:pPr>
      <w:pStyle w:val="Header"/>
    </w:pPr>
  </w:p>
  <w:p w:rsidR="003D13B0" w:rsidRDefault="003D13B0" w:rsidP="00F623A9">
    <w:pPr>
      <w:pStyle w:val="Header"/>
    </w:pPr>
  </w:p>
  <w:p w:rsidR="003D13B0" w:rsidRDefault="003D13B0" w:rsidP="00F623A9">
    <w:pPr>
      <w:pStyle w:val="Header"/>
    </w:pPr>
  </w:p>
  <w:p w:rsidR="003D13B0" w:rsidRDefault="003D13B0" w:rsidP="00F623A9">
    <w:pPr>
      <w:pStyle w:val="Header"/>
      <w:spacing w:after="60"/>
    </w:pPr>
  </w:p>
  <w:p w:rsidR="003D13B0" w:rsidRDefault="003D13B0" w:rsidP="00F623A9">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199820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F623A9">
    <w:pPr>
      <w:pStyle w:val="Header"/>
    </w:pPr>
  </w:p>
  <w:p w:rsidR="003D13B0" w:rsidRDefault="003D13B0" w:rsidP="00F623A9">
    <w:pPr>
      <w:pStyle w:val="Header"/>
    </w:pPr>
  </w:p>
  <w:p w:rsidR="003D13B0" w:rsidRDefault="003D13B0" w:rsidP="00F623A9">
    <w:pPr>
      <w:pStyle w:val="Header"/>
    </w:pPr>
  </w:p>
  <w:p w:rsidR="003D13B0" w:rsidRDefault="003D13B0" w:rsidP="00F623A9">
    <w:pPr>
      <w:pStyle w:val="Header"/>
    </w:pPr>
  </w:p>
  <w:p w:rsidR="003D13B0" w:rsidRDefault="003D13B0" w:rsidP="00F623A9">
    <w:pPr>
      <w:pStyle w:val="Header"/>
      <w:spacing w:after="60"/>
    </w:pPr>
  </w:p>
  <w:p w:rsidR="003D13B0" w:rsidRDefault="003D13B0" w:rsidP="00F623A9">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199616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E35E34">
    <w:pPr>
      <w:pStyle w:val="Header"/>
    </w:pPr>
    <w:r>
      <w:rPr>
        <w:noProof/>
        <w:lang w:val="en-AU" w:eastAsia="en-AU"/>
      </w:rPr>
      <w:drawing>
        <wp:anchor distT="0" distB="0" distL="114300" distR="114300" simplePos="0" relativeHeight="252002304" behindDoc="1" locked="0" layoutInCell="1" allowOverlap="1">
          <wp:simplePos x="0" y="0"/>
          <wp:positionH relativeFrom="page">
            <wp:posOffset>-71120</wp:posOffset>
          </wp:positionH>
          <wp:positionV relativeFrom="page">
            <wp:posOffset>106680</wp:posOffset>
          </wp:positionV>
          <wp:extent cx="10857600" cy="810000"/>
          <wp:effectExtent l="0" t="0" r="0" b="0"/>
          <wp:wrapSquare wrapText="bothSides"/>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576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E35E34">
    <w:pPr>
      <w:pStyle w:val="Header"/>
    </w:pPr>
  </w:p>
  <w:p w:rsidR="003D13B0" w:rsidRDefault="003D13B0" w:rsidP="00E35E34">
    <w:pPr>
      <w:pStyle w:val="Header"/>
    </w:pPr>
  </w:p>
  <w:p w:rsidR="003D13B0" w:rsidRDefault="003D13B0" w:rsidP="00E35E34">
    <w:pPr>
      <w:pStyle w:val="Header"/>
    </w:pPr>
  </w:p>
  <w:p w:rsidR="003D13B0" w:rsidRDefault="003D13B0" w:rsidP="00E35E34">
    <w:pPr>
      <w:pStyle w:val="Header"/>
      <w:spacing w:after="60"/>
    </w:pPr>
  </w:p>
  <w:p w:rsidR="003D13B0" w:rsidRDefault="003D13B0" w:rsidP="00E35E34">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E35E34">
    <w:pPr>
      <w:pStyle w:val="Header"/>
    </w:pPr>
    <w:r>
      <w:rPr>
        <w:noProof/>
        <w:lang w:val="en-AU" w:eastAsia="en-AU"/>
      </w:rPr>
      <w:drawing>
        <wp:anchor distT="0" distB="0" distL="114300" distR="114300" simplePos="0" relativeHeight="252000256" behindDoc="1" locked="0" layoutInCell="1" allowOverlap="1">
          <wp:simplePos x="0" y="0"/>
          <wp:positionH relativeFrom="page">
            <wp:posOffset>-71120</wp:posOffset>
          </wp:positionH>
          <wp:positionV relativeFrom="page">
            <wp:posOffset>106680</wp:posOffset>
          </wp:positionV>
          <wp:extent cx="10857600" cy="810000"/>
          <wp:effectExtent l="0" t="0" r="0" b="0"/>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576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E35E34">
    <w:pPr>
      <w:pStyle w:val="Header"/>
    </w:pPr>
  </w:p>
  <w:p w:rsidR="003D13B0" w:rsidRDefault="003D13B0" w:rsidP="00E35E34">
    <w:pPr>
      <w:pStyle w:val="Header"/>
    </w:pPr>
  </w:p>
  <w:p w:rsidR="003D13B0" w:rsidRDefault="003D13B0" w:rsidP="00E35E34">
    <w:pPr>
      <w:pStyle w:val="Header"/>
    </w:pPr>
  </w:p>
  <w:p w:rsidR="003D13B0" w:rsidRDefault="003D13B0" w:rsidP="00E35E34">
    <w:pPr>
      <w:pStyle w:val="Header"/>
      <w:spacing w:after="60"/>
    </w:pPr>
  </w:p>
  <w:p w:rsidR="003D13B0" w:rsidRDefault="003D13B0" w:rsidP="00E35E34">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147DC">
    <w:pPr>
      <w:pStyle w:val="Header"/>
    </w:pPr>
  </w:p>
  <w:p w:rsidR="003D13B0" w:rsidRDefault="003D13B0" w:rsidP="00D147DC">
    <w:pPr>
      <w:pStyle w:val="Header"/>
    </w:pPr>
  </w:p>
  <w:p w:rsidR="003D13B0" w:rsidRDefault="003D13B0" w:rsidP="00D147DC">
    <w:pPr>
      <w:pStyle w:val="Header"/>
    </w:pPr>
  </w:p>
  <w:p w:rsidR="003D13B0" w:rsidRDefault="003D13B0" w:rsidP="00D147DC">
    <w:pPr>
      <w:pStyle w:val="Header"/>
    </w:pPr>
  </w:p>
  <w:p w:rsidR="003D13B0" w:rsidRDefault="003D13B0" w:rsidP="00D147DC">
    <w:pPr>
      <w:pStyle w:val="Header"/>
      <w:spacing w:after="60"/>
    </w:pPr>
  </w:p>
  <w:p w:rsidR="003D13B0" w:rsidRDefault="003D13B0" w:rsidP="00D147DC">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0640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E35E34">
    <w:pPr>
      <w:pStyle w:val="Header"/>
    </w:pPr>
  </w:p>
  <w:p w:rsidR="003D13B0" w:rsidRDefault="003D13B0" w:rsidP="00E35E34">
    <w:pPr>
      <w:pStyle w:val="Header"/>
    </w:pPr>
  </w:p>
  <w:p w:rsidR="003D13B0" w:rsidRDefault="003D13B0" w:rsidP="00E35E34">
    <w:pPr>
      <w:pStyle w:val="Header"/>
    </w:pPr>
  </w:p>
  <w:p w:rsidR="003D13B0" w:rsidRDefault="003D13B0" w:rsidP="00E35E34">
    <w:pPr>
      <w:pStyle w:val="Header"/>
    </w:pPr>
  </w:p>
  <w:p w:rsidR="003D13B0" w:rsidRDefault="003D13B0" w:rsidP="00E35E34">
    <w:pPr>
      <w:pStyle w:val="Header"/>
      <w:spacing w:after="60"/>
    </w:pPr>
  </w:p>
  <w:p w:rsidR="003D13B0" w:rsidRDefault="003D13B0" w:rsidP="00E35E34">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0435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E252C4" w:rsidP="00166D9B">
    <w:pPr>
      <w:pStyle w:val="Header"/>
    </w:pPr>
    <w:r>
      <w:rPr>
        <w:noProof/>
        <w:lang w:val="en-AU" w:eastAsia="en-AU"/>
      </w:rPr>
      <w:pict>
        <v:shapetype id="_x0000_t202" coordsize="21600,21600" o:spt="202" path="m,l,21600r21600,l21600,xe">
          <v:stroke joinstyle="miter"/>
          <v:path gradientshapeok="t" o:connecttype="rect"/>
        </v:shapetype>
        <v:shape id="_x0000_s10265" type="#_x0000_t202" style="position:absolute;margin-left:196.35pt;margin-top:58.9pt;width:477pt;height:20.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" filled="f" stroked="f">
          <v:path arrowok="t"/>
          <v:textbox style="mso-next-textbox:#_x0000_s10265" inset="0,,0">
            <w:txbxContent>
              <w:p w:rsidR="003D13B0" w:rsidRPr="007B11B3" w:rsidRDefault="003D13B0" w:rsidP="00BD1D7C">
                <w:pPr>
                  <w:pStyle w:val="Header1"/>
                </w:pPr>
                <w:r>
                  <w:t xml:space="preserve">Knowledge project: monitoring and management of subsidence induced by coal seam gas extraction </w:t>
                </w:r>
              </w:p>
              <w:p w:rsidR="003D13B0" w:rsidRPr="0040292A" w:rsidRDefault="003D13B0" w:rsidP="00166D9B"/>
            </w:txbxContent>
          </v:textbox>
        </v:shape>
      </w:pict>
    </w:r>
    <w:r w:rsidR="003D13B0">
      <w:rPr>
        <w:noProof/>
        <w:lang w:val="en-AU" w:eastAsia="en-AU"/>
      </w:rPr>
      <w:drawing>
        <wp:anchor distT="0" distB="0" distL="114300" distR="114300" simplePos="0" relativeHeight="251742208" behindDoc="1" locked="0" layoutInCell="1" allowOverlap="1">
          <wp:simplePos x="0" y="0"/>
          <wp:positionH relativeFrom="column">
            <wp:posOffset>-1306830</wp:posOffset>
          </wp:positionH>
          <wp:positionV relativeFrom="paragraph">
            <wp:posOffset>-114935</wp:posOffset>
          </wp:positionV>
          <wp:extent cx="10820400" cy="1036320"/>
          <wp:effectExtent l="0" t="0" r="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6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2392A">
    <w:pPr>
      <w:pStyle w:val="Header"/>
    </w:pPr>
    <w:r>
      <w:rPr>
        <w:noProof/>
        <w:lang w:val="en-AU" w:eastAsia="en-AU"/>
      </w:rPr>
      <w:drawing>
        <wp:anchor distT="0" distB="0" distL="114300" distR="114300" simplePos="0" relativeHeight="252008448" behindDoc="1" locked="0" layoutInCell="1" allowOverlap="1">
          <wp:simplePos x="0" y="0"/>
          <wp:positionH relativeFrom="page">
            <wp:posOffset>-71120</wp:posOffset>
          </wp:positionH>
          <wp:positionV relativeFrom="page">
            <wp:posOffset>106680</wp:posOffset>
          </wp:positionV>
          <wp:extent cx="10807200" cy="806400"/>
          <wp:effectExtent l="0" t="0" r="0" b="0"/>
          <wp:wrapSquare wrapText="bothSides"/>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07200" cy="80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spacing w:after="60"/>
    </w:pPr>
  </w:p>
  <w:p w:rsidR="003D13B0" w:rsidRDefault="003D13B0" w:rsidP="0012392A">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spacing w:after="60"/>
    </w:pPr>
  </w:p>
  <w:p w:rsidR="003D13B0" w:rsidRDefault="003D13B0" w:rsidP="0012392A">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1254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spacing w:after="60"/>
    </w:pPr>
  </w:p>
  <w:p w:rsidR="003D13B0" w:rsidRDefault="003D13B0" w:rsidP="0012392A">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10496"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E252C4" w:rsidP="00166D9B">
    <w:pPr>
      <w:pStyle w:val="Header"/>
    </w:pPr>
    <w:r>
      <w:rPr>
        <w:noProof/>
        <w:lang w:val="en-AU" w:eastAsia="en-AU"/>
      </w:rPr>
      <w:pict>
        <v:shapetype id="_x0000_t202" coordsize="21600,21600" o:spt="202" path="m,l,21600r21600,l21600,xe">
          <v:stroke joinstyle="miter"/>
          <v:path gradientshapeok="t" o:connecttype="rect"/>
        </v:shapetype>
        <v:shape id="_x0000_s10277" type="#_x0000_t202" style="position:absolute;margin-left:-13.15pt;margin-top:56.65pt;width:477pt;height:24.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" filled="f" stroked="f">
          <v:path arrowok="t"/>
          <v:textbox style="mso-next-textbox:#_x0000_s10277" inset="0,,0">
            <w:txbxContent>
              <w:p w:rsidR="003D13B0" w:rsidRPr="007B11B3" w:rsidRDefault="003D13B0" w:rsidP="00BD1D7C">
                <w:pPr>
                  <w:pStyle w:val="Header1"/>
                </w:pPr>
                <w:r>
                  <w:t xml:space="preserve">Monitoring and management of subsidence induced by coal seam gas extraction </w:t>
                </w:r>
              </w:p>
            </w:txbxContent>
          </v:textbox>
        </v:shape>
      </w:pict>
    </w:r>
    <w:r w:rsidR="003D13B0">
      <w:rPr>
        <w:noProof/>
        <w:lang w:val="en-AU" w:eastAsia="en-AU"/>
      </w:rPr>
      <w:drawing>
        <wp:anchor distT="0" distB="0" distL="114300" distR="114300" simplePos="0" relativeHeight="251693056" behindDoc="0" locked="0" layoutInCell="1" allowOverlap="1">
          <wp:simplePos x="0" y="0"/>
          <wp:positionH relativeFrom="column">
            <wp:posOffset>-900430</wp:posOffset>
          </wp:positionH>
          <wp:positionV relativeFrom="paragraph">
            <wp:posOffset>-9525</wp:posOffset>
          </wp:positionV>
          <wp:extent cx="7629525" cy="872490"/>
          <wp:effectExtent l="0" t="0" r="0" b="0"/>
          <wp:wrapSquare wrapText="bothSides"/>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E252C4" w:rsidP="00166D9B">
    <w:pPr>
      <w:pStyle w:val="Header"/>
    </w:pPr>
    <w:r>
      <w:rPr>
        <w:noProof/>
        <w:lang w:val="en-AU" w:eastAsia="en-AU"/>
      </w:rPr>
      <w:pict>
        <v:shapetype id="_x0000_t202" coordsize="21600,21600" o:spt="202" path="m,l,21600r21600,l21600,xe">
          <v:stroke joinstyle="miter"/>
          <v:path gradientshapeok="t" o:connecttype="rect"/>
        </v:shapetype>
        <v:shape id="_x0000_s10261" type="#_x0000_t202" style="position:absolute;margin-left:207.35pt;margin-top:64.15pt;width:477pt;height:20.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" filled="f" stroked="f">
          <v:path arrowok="t"/>
          <v:textbox style="mso-next-textbox:#_x0000_s10261" inset="0,,0">
            <w:txbxContent>
              <w:p w:rsidR="003D13B0" w:rsidRPr="007B11B3" w:rsidRDefault="003D13B0" w:rsidP="00BD1D7C">
                <w:pPr>
                  <w:pStyle w:val="Header1"/>
                </w:pPr>
                <w:r>
                  <w:t xml:space="preserve">Knowledge project: monitoring and management of subsidence induced by coal seam gas extraction </w:t>
                </w:r>
              </w:p>
              <w:p w:rsidR="003D13B0" w:rsidRPr="0040292A" w:rsidRDefault="003D13B0" w:rsidP="00166D9B"/>
            </w:txbxContent>
          </v:textbox>
        </v:shape>
      </w:pict>
    </w:r>
    <w:r w:rsidR="003D13B0">
      <w:rPr>
        <w:noProof/>
        <w:lang w:val="en-AU" w:eastAsia="en-AU"/>
      </w:rPr>
      <w:drawing>
        <wp:anchor distT="0" distB="0" distL="114300" distR="114300" simplePos="0" relativeHeight="251764736" behindDoc="0" locked="0" layoutInCell="1" allowOverlap="1">
          <wp:simplePos x="0" y="0"/>
          <wp:positionH relativeFrom="margin">
            <wp:posOffset>-1303655</wp:posOffset>
          </wp:positionH>
          <wp:positionV relativeFrom="margin">
            <wp:posOffset>-1269365</wp:posOffset>
          </wp:positionV>
          <wp:extent cx="10820400" cy="103632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10820400" cy="1036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2392A">
    <w:pPr>
      <w:pStyle w:val="Header"/>
    </w:pPr>
    <w:r>
      <w:rPr>
        <w:noProof/>
        <w:lang w:val="en-AU" w:eastAsia="en-AU"/>
      </w:rPr>
      <w:drawing>
        <wp:anchor distT="0" distB="0" distL="114300" distR="114300" simplePos="0" relativeHeight="252014592" behindDoc="1" locked="0" layoutInCell="1" allowOverlap="1">
          <wp:simplePos x="0" y="0"/>
          <wp:positionH relativeFrom="page">
            <wp:posOffset>-71120</wp:posOffset>
          </wp:positionH>
          <wp:positionV relativeFrom="page">
            <wp:posOffset>106680</wp:posOffset>
          </wp:positionV>
          <wp:extent cx="10944000" cy="818273"/>
          <wp:effectExtent l="0" t="0" r="0" b="0"/>
          <wp:wrapSquare wrapText="bothSides"/>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944000" cy="8182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2392A">
    <w:pPr>
      <w:pStyle w:val="Header"/>
    </w:pPr>
  </w:p>
  <w:p w:rsidR="003D13B0" w:rsidRDefault="003D13B0" w:rsidP="0012392A">
    <w:pPr>
      <w:pStyle w:val="Header"/>
    </w:pPr>
  </w:p>
  <w:p w:rsidR="003D13B0" w:rsidRDefault="003D13B0" w:rsidP="0012392A">
    <w:pPr>
      <w:pStyle w:val="Header"/>
    </w:pPr>
  </w:p>
  <w:p w:rsidR="003D13B0" w:rsidRDefault="003D13B0" w:rsidP="0012392A">
    <w:pPr>
      <w:pStyle w:val="Header"/>
      <w:spacing w:after="60"/>
    </w:pPr>
  </w:p>
  <w:p w:rsidR="003D13B0" w:rsidRDefault="003D13B0" w:rsidP="0012392A">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spacing w:after="60"/>
    </w:pPr>
  </w:p>
  <w:p w:rsidR="003D13B0" w:rsidRDefault="003D13B0" w:rsidP="000A76A0">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1868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spacing w:after="60"/>
    </w:pPr>
  </w:p>
  <w:p w:rsidR="003D13B0" w:rsidRDefault="003D13B0" w:rsidP="000A76A0">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1664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0A76A0">
    <w:pPr>
      <w:pStyle w:val="Header"/>
    </w:pPr>
    <w:r>
      <w:rPr>
        <w:noProof/>
        <w:lang w:val="en-AU" w:eastAsia="en-AU"/>
      </w:rPr>
      <w:drawing>
        <wp:anchor distT="0" distB="0" distL="114300" distR="114300" simplePos="0" relativeHeight="252020736" behindDoc="1" locked="0" layoutInCell="1" allowOverlap="1">
          <wp:simplePos x="0" y="0"/>
          <wp:positionH relativeFrom="page">
            <wp:posOffset>-71120</wp:posOffset>
          </wp:positionH>
          <wp:positionV relativeFrom="page">
            <wp:posOffset>106680</wp:posOffset>
          </wp:positionV>
          <wp:extent cx="10817860" cy="807085"/>
          <wp:effectExtent l="0" t="0" r="0" b="0"/>
          <wp:wrapSquare wrapText="bothSides"/>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17860"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spacing w:after="60"/>
    </w:pPr>
  </w:p>
  <w:p w:rsidR="003D13B0" w:rsidRDefault="003D13B0" w:rsidP="000A76A0">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spacing w:after="60"/>
    </w:pPr>
  </w:p>
  <w:p w:rsidR="003D13B0" w:rsidRDefault="003D13B0" w:rsidP="000A76A0">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2483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pPr>
  </w:p>
  <w:p w:rsidR="003D13B0" w:rsidRDefault="003D13B0" w:rsidP="000A76A0">
    <w:pPr>
      <w:pStyle w:val="Header"/>
      <w:spacing w:after="60"/>
    </w:pPr>
  </w:p>
  <w:p w:rsidR="003D13B0" w:rsidRDefault="003D13B0" w:rsidP="000A76A0">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2278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E0564A">
    <w:pPr>
      <w:pStyle w:val="Header"/>
    </w:pPr>
    <w:r>
      <w:rPr>
        <w:noProof/>
        <w:lang w:val="en-AU" w:eastAsia="en-AU"/>
      </w:rPr>
      <w:drawing>
        <wp:anchor distT="0" distB="0" distL="114300" distR="114300" simplePos="0" relativeHeight="252026880" behindDoc="1" locked="0" layoutInCell="1" allowOverlap="1">
          <wp:simplePos x="0" y="0"/>
          <wp:positionH relativeFrom="page">
            <wp:posOffset>-71120</wp:posOffset>
          </wp:positionH>
          <wp:positionV relativeFrom="page">
            <wp:posOffset>106680</wp:posOffset>
          </wp:positionV>
          <wp:extent cx="10817860" cy="807085"/>
          <wp:effectExtent l="0" t="0" r="0" b="0"/>
          <wp:wrapSquare wrapText="bothSides"/>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17860"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E0564A">
    <w:pPr>
      <w:pStyle w:val="Header"/>
    </w:pPr>
  </w:p>
  <w:p w:rsidR="003D13B0" w:rsidRDefault="003D13B0" w:rsidP="00E0564A">
    <w:pPr>
      <w:pStyle w:val="Header"/>
    </w:pPr>
  </w:p>
  <w:p w:rsidR="003D13B0" w:rsidRDefault="003D13B0" w:rsidP="00E0564A">
    <w:pPr>
      <w:pStyle w:val="Header"/>
    </w:pPr>
  </w:p>
  <w:p w:rsidR="003D13B0" w:rsidRDefault="003D13B0" w:rsidP="00E0564A">
    <w:pPr>
      <w:pStyle w:val="Header"/>
      <w:spacing w:after="60"/>
    </w:pPr>
  </w:p>
  <w:p w:rsidR="003D13B0" w:rsidRDefault="003D13B0" w:rsidP="00E0564A">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846F8C">
    <w:pPr>
      <w:pStyle w:val="Header"/>
    </w:pPr>
  </w:p>
  <w:p w:rsidR="003D13B0" w:rsidRDefault="003D13B0" w:rsidP="00846F8C">
    <w:pPr>
      <w:pStyle w:val="Header"/>
    </w:pPr>
  </w:p>
  <w:p w:rsidR="003D13B0" w:rsidRDefault="003D13B0" w:rsidP="00846F8C">
    <w:pPr>
      <w:pStyle w:val="Header"/>
    </w:pPr>
  </w:p>
  <w:p w:rsidR="003D13B0" w:rsidRDefault="003D13B0" w:rsidP="00846F8C">
    <w:pPr>
      <w:pStyle w:val="Header"/>
    </w:pPr>
  </w:p>
  <w:p w:rsidR="003D13B0" w:rsidRDefault="003D13B0" w:rsidP="00846F8C">
    <w:pPr>
      <w:pStyle w:val="Header"/>
      <w:spacing w:after="60"/>
    </w:pPr>
  </w:p>
  <w:p w:rsidR="003D13B0" w:rsidRDefault="003D13B0" w:rsidP="00846F8C">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30976"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846F8C">
    <w:pPr>
      <w:pStyle w:val="Header"/>
    </w:pPr>
    <w:r>
      <w:ptab w:relativeTo="margin" w:alignment="center" w:leader="none"/>
    </w:r>
  </w:p>
  <w:p w:rsidR="003D13B0" w:rsidRDefault="003D13B0" w:rsidP="00846F8C">
    <w:pPr>
      <w:pStyle w:val="Header"/>
    </w:pPr>
  </w:p>
  <w:p w:rsidR="003D13B0" w:rsidRDefault="003D13B0" w:rsidP="00846F8C">
    <w:pPr>
      <w:pStyle w:val="Header"/>
    </w:pPr>
  </w:p>
  <w:p w:rsidR="003D13B0" w:rsidRDefault="003D13B0" w:rsidP="00846F8C">
    <w:pPr>
      <w:pStyle w:val="Header"/>
    </w:pPr>
  </w:p>
  <w:p w:rsidR="003D13B0" w:rsidRDefault="003D13B0" w:rsidP="00846F8C">
    <w:pPr>
      <w:pStyle w:val="Header"/>
      <w:spacing w:after="60"/>
    </w:pPr>
  </w:p>
  <w:p w:rsidR="003D13B0" w:rsidRDefault="003D13B0" w:rsidP="00846F8C">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2892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66D9B">
    <w:pPr>
      <w:pStyle w:val="Header"/>
    </w:pPr>
    <w:r>
      <w:rPr>
        <w:noProof/>
        <w:lang w:val="en-AU" w:eastAsia="en-AU"/>
      </w:rPr>
      <w:drawing>
        <wp:anchor distT="0" distB="0" distL="114300" distR="114300" simplePos="0" relativeHeight="251983872" behindDoc="0" locked="1" layoutInCell="1" allowOverlap="1">
          <wp:simplePos x="0" y="0"/>
          <wp:positionH relativeFrom="page">
            <wp:posOffset>-77470</wp:posOffset>
          </wp:positionH>
          <wp:positionV relativeFrom="page">
            <wp:posOffset>175260</wp:posOffset>
          </wp:positionV>
          <wp:extent cx="7693660" cy="1514475"/>
          <wp:effectExtent l="0" t="0" r="0" b="0"/>
          <wp:wrapTopAndBottom/>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693660" cy="1514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r>
      <w:rPr>
        <w:noProof/>
        <w:lang w:val="en-AU" w:eastAsia="en-AU"/>
      </w:rPr>
      <w:drawing>
        <wp:anchor distT="0" distB="0" distL="114300" distR="114300" simplePos="0" relativeHeight="252033024" behindDoc="1" locked="0" layoutInCell="1" allowOverlap="1">
          <wp:simplePos x="0" y="0"/>
          <wp:positionH relativeFrom="page">
            <wp:posOffset>-71253</wp:posOffset>
          </wp:positionH>
          <wp:positionV relativeFrom="page">
            <wp:posOffset>106878</wp:posOffset>
          </wp:positionV>
          <wp:extent cx="10854047" cy="807108"/>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53740"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3712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3507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r>
      <w:rPr>
        <w:noProof/>
        <w:lang w:val="en-AU" w:eastAsia="en-AU"/>
      </w:rPr>
      <w:drawing>
        <wp:anchor distT="0" distB="0" distL="114300" distR="114300" simplePos="0" relativeHeight="252039168" behindDoc="1" locked="0" layoutInCell="1" allowOverlap="1">
          <wp:simplePos x="0" y="0"/>
          <wp:positionH relativeFrom="page">
            <wp:posOffset>-71120</wp:posOffset>
          </wp:positionH>
          <wp:positionV relativeFrom="page">
            <wp:posOffset>106680</wp:posOffset>
          </wp:positionV>
          <wp:extent cx="10829925" cy="8070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29925"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4326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pPr>
  </w:p>
  <w:p w:rsidR="003D13B0" w:rsidRDefault="003D13B0" w:rsidP="00DD6833">
    <w:pPr>
      <w:pStyle w:val="Header"/>
      <w:spacing w:after="60"/>
    </w:pPr>
  </w:p>
  <w:p w:rsidR="003D13B0" w:rsidRDefault="003D13B0" w:rsidP="00DD6833">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41216"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DB7" w:rsidRDefault="00834DB7" w:rsidP="00834DB7">
    <w:pPr>
      <w:pStyle w:val="Header"/>
    </w:pPr>
    <w:r>
      <w:rPr>
        <w:noProof/>
        <w:lang w:val="en-AU" w:eastAsia="en-AU"/>
      </w:rPr>
      <w:drawing>
        <wp:anchor distT="0" distB="0" distL="114300" distR="114300" simplePos="0" relativeHeight="252051456" behindDoc="1" locked="0" layoutInCell="1" allowOverlap="1">
          <wp:simplePos x="0" y="0"/>
          <wp:positionH relativeFrom="page">
            <wp:posOffset>-71120</wp:posOffset>
          </wp:positionH>
          <wp:positionV relativeFrom="page">
            <wp:posOffset>106680</wp:posOffset>
          </wp:positionV>
          <wp:extent cx="10841990" cy="80708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41990"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34DB7" w:rsidRDefault="00834DB7" w:rsidP="00834DB7">
    <w:pPr>
      <w:pStyle w:val="Header"/>
    </w:pPr>
  </w:p>
  <w:p w:rsidR="00834DB7" w:rsidRDefault="00834DB7" w:rsidP="00834DB7">
    <w:pPr>
      <w:pStyle w:val="Header"/>
    </w:pPr>
  </w:p>
  <w:p w:rsidR="00834DB7" w:rsidRDefault="00834DB7" w:rsidP="00834DB7">
    <w:pPr>
      <w:pStyle w:val="Header"/>
    </w:pPr>
  </w:p>
  <w:p w:rsidR="00834DB7" w:rsidRDefault="00834DB7" w:rsidP="00834DB7">
    <w:pPr>
      <w:pStyle w:val="Header"/>
      <w:spacing w:after="60"/>
    </w:pPr>
  </w:p>
  <w:p w:rsidR="00834DB7" w:rsidRDefault="00834DB7" w:rsidP="00834DB7">
    <w:pPr>
      <w:pStyle w:val="Header1"/>
      <w:spacing w:line="240" w:lineRule="auto"/>
    </w:pPr>
    <w:r>
      <w:t xml:space="preserve">Monitoring and management of subsidence induced by coal seam gas extraction </w:t>
    </w:r>
  </w:p>
  <w:p w:rsidR="00834DB7" w:rsidRDefault="00834DB7" w:rsidP="00834DB7">
    <w:pPr>
      <w:pStyle w:val="Header"/>
    </w:pPr>
  </w:p>
  <w:p w:rsidR="003D13B0" w:rsidRDefault="003D13B0" w:rsidP="00166D9B">
    <w:pPr>
      <w:pStyle w:val="Head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781EF7">
    <w:pPr>
      <w:pStyle w:val="Header"/>
    </w:pPr>
    <w:r>
      <w:rPr>
        <w:noProof/>
        <w:lang w:val="en-AU" w:eastAsia="en-AU"/>
      </w:rPr>
      <w:drawing>
        <wp:anchor distT="0" distB="0" distL="114300" distR="114300" simplePos="0" relativeHeight="252045312" behindDoc="1" locked="0" layoutInCell="1" allowOverlap="1">
          <wp:simplePos x="0" y="0"/>
          <wp:positionH relativeFrom="page">
            <wp:posOffset>-71120</wp:posOffset>
          </wp:positionH>
          <wp:positionV relativeFrom="page">
            <wp:posOffset>106680</wp:posOffset>
          </wp:positionV>
          <wp:extent cx="10841990" cy="80708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41990" cy="807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781EF7">
    <w:pPr>
      <w:pStyle w:val="Header"/>
    </w:pPr>
  </w:p>
  <w:p w:rsidR="003D13B0" w:rsidRDefault="003D13B0" w:rsidP="00781EF7">
    <w:pPr>
      <w:pStyle w:val="Header"/>
    </w:pPr>
  </w:p>
  <w:p w:rsidR="003D13B0" w:rsidRDefault="003D13B0" w:rsidP="00781EF7">
    <w:pPr>
      <w:pStyle w:val="Header"/>
    </w:pPr>
  </w:p>
  <w:p w:rsidR="003D13B0" w:rsidRDefault="003D13B0" w:rsidP="00781EF7">
    <w:pPr>
      <w:pStyle w:val="Header"/>
      <w:spacing w:after="60"/>
    </w:pPr>
  </w:p>
  <w:p w:rsidR="003D13B0" w:rsidRDefault="003D13B0" w:rsidP="00781EF7">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781EF7">
    <w:pPr>
      <w:pStyle w:val="Header"/>
    </w:pPr>
  </w:p>
  <w:p w:rsidR="003D13B0" w:rsidRDefault="003D13B0" w:rsidP="00781EF7">
    <w:pPr>
      <w:pStyle w:val="Header"/>
    </w:pPr>
  </w:p>
  <w:p w:rsidR="003D13B0" w:rsidRDefault="003D13B0" w:rsidP="00781EF7">
    <w:pPr>
      <w:pStyle w:val="Header"/>
    </w:pPr>
  </w:p>
  <w:p w:rsidR="003D13B0" w:rsidRDefault="003D13B0" w:rsidP="00781EF7">
    <w:pPr>
      <w:pStyle w:val="Header"/>
    </w:pPr>
  </w:p>
  <w:p w:rsidR="003D13B0" w:rsidRDefault="003D13B0" w:rsidP="00781EF7">
    <w:pPr>
      <w:pStyle w:val="Header"/>
      <w:spacing w:after="60"/>
    </w:pPr>
  </w:p>
  <w:p w:rsidR="003D13B0" w:rsidRDefault="003D13B0" w:rsidP="00781EF7">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204940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834DB7" w:rsidP="00781EF7">
    <w:pPr>
      <w:pStyle w:val="Header"/>
    </w:pPr>
    <w:r>
      <w:rPr>
        <w:noProof/>
        <w:lang w:val="en-AU" w:eastAsia="en-AU"/>
      </w:rPr>
      <w:drawing>
        <wp:anchor distT="0" distB="0" distL="114300" distR="114300" simplePos="0" relativeHeight="252047360" behindDoc="1" locked="0" layoutInCell="1" allowOverlap="1">
          <wp:simplePos x="0" y="0"/>
          <wp:positionH relativeFrom="page">
            <wp:posOffset>-27305</wp:posOffset>
          </wp:positionH>
          <wp:positionV relativeFrom="page">
            <wp:posOffset>107950</wp:posOffset>
          </wp:positionV>
          <wp:extent cx="7739380" cy="809625"/>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39380" cy="809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781EF7">
    <w:pPr>
      <w:pStyle w:val="Header"/>
    </w:pPr>
  </w:p>
  <w:p w:rsidR="003D13B0" w:rsidRDefault="003D13B0" w:rsidP="00781EF7">
    <w:pPr>
      <w:pStyle w:val="Header"/>
    </w:pPr>
  </w:p>
  <w:p w:rsidR="003D13B0" w:rsidRDefault="003D13B0" w:rsidP="00781EF7">
    <w:pPr>
      <w:pStyle w:val="Header"/>
    </w:pPr>
  </w:p>
  <w:p w:rsidR="003D13B0" w:rsidRDefault="003D13B0" w:rsidP="00781EF7">
    <w:pPr>
      <w:pStyle w:val="Header"/>
      <w:spacing w:after="60"/>
    </w:pPr>
  </w:p>
  <w:p w:rsidR="003D13B0" w:rsidRDefault="003D13B0" w:rsidP="00781EF7">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66D9B">
    <w:pPr>
      <w:pStyle w:val="Header"/>
    </w:pPr>
  </w:p>
  <w:p w:rsidR="003D13B0" w:rsidRDefault="003D13B0" w:rsidP="00166D9B">
    <w:pPr>
      <w:pStyle w:val="Header"/>
    </w:pPr>
  </w:p>
  <w:p w:rsidR="003D13B0" w:rsidRDefault="003D13B0" w:rsidP="00166D9B">
    <w:pPr>
      <w:pStyle w:val="Header"/>
    </w:pPr>
  </w:p>
  <w:p w:rsidR="003D13B0" w:rsidRDefault="003D13B0" w:rsidP="00166D9B">
    <w:pPr>
      <w:pStyle w:val="Header"/>
    </w:pPr>
  </w:p>
  <w:p w:rsidR="003D13B0" w:rsidRDefault="003D13B0" w:rsidP="003A2F76">
    <w:pPr>
      <w:pStyle w:val="Header"/>
      <w:spacing w:after="60"/>
    </w:pPr>
  </w:p>
  <w:p w:rsidR="003D13B0" w:rsidRDefault="003D13B0" w:rsidP="003A2F76">
    <w:pPr>
      <w:pStyle w:val="Header1"/>
    </w:pPr>
    <w:r>
      <w:t xml:space="preserve">Monitoring and management of subsidence induced by coal seam gas extraction </w:t>
    </w:r>
    <w:r>
      <w:rPr>
        <w:noProof/>
        <w:lang w:val="en-AU" w:eastAsia="en-AU"/>
      </w:rPr>
      <w:drawing>
        <wp:anchor distT="0" distB="0" distL="114300" distR="114300" simplePos="0" relativeHeight="25198592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166D9B">
    <w:pPr>
      <w:pStyle w:val="Header"/>
    </w:pPr>
    <w:r>
      <w:rPr>
        <w:noProof/>
        <w:lang w:val="en-AU" w:eastAsia="en-AU"/>
      </w:rPr>
      <w:drawing>
        <wp:anchor distT="0" distB="0" distL="114300" distR="114300" simplePos="0" relativeHeight="251680768" behindDoc="0" locked="0" layoutInCell="1" allowOverlap="1">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591425" cy="904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52C4">
      <w:rPr>
        <w:noProof/>
        <w:lang w:val="en-AU" w:eastAsia="en-AU"/>
      </w:rPr>
      <w:pict>
        <v:shapetype id="_x0000_t202" coordsize="21600,21600" o:spt="202" path="m,l,21600r21600,l21600,xe">
          <v:stroke joinstyle="miter"/>
          <v:path gradientshapeok="t" o:connecttype="rect"/>
        </v:shapetype>
        <v:shape id="_x0000_s10242" type="#_x0000_t202" style="position:absolute;margin-left:19.1pt;margin-top:50.65pt;width:437.8pt;height:24.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" filled="f" stroked="f">
          <v:path arrowok="t"/>
          <v:textbox inset="0,,0">
            <w:txbxContent>
              <w:p w:rsidR="003D13B0" w:rsidRPr="001D04F9" w:rsidRDefault="003D13B0"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3D13B0" w:rsidRPr="0040292A" w:rsidRDefault="003D13B0" w:rsidP="00166D9B"/>
            </w:txbxContent>
          </v:textbox>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3A2F76">
    <w:pPr>
      <w:pStyle w:val="Header"/>
    </w:pPr>
  </w:p>
  <w:p w:rsidR="003D13B0" w:rsidRDefault="003D13B0" w:rsidP="003A2F76">
    <w:pPr>
      <w:pStyle w:val="Header"/>
    </w:pPr>
  </w:p>
  <w:p w:rsidR="003D13B0" w:rsidRDefault="003D13B0" w:rsidP="003A2F76">
    <w:pPr>
      <w:pStyle w:val="Header"/>
    </w:pPr>
  </w:p>
  <w:p w:rsidR="003D13B0" w:rsidRDefault="003D13B0" w:rsidP="003A2F76">
    <w:pPr>
      <w:pStyle w:val="Header"/>
    </w:pPr>
  </w:p>
  <w:p w:rsidR="003D13B0" w:rsidRDefault="003D13B0" w:rsidP="003A2F76">
    <w:pPr>
      <w:pStyle w:val="Header"/>
      <w:spacing w:after="60"/>
    </w:pPr>
  </w:p>
  <w:p w:rsidR="003D13B0" w:rsidRDefault="003D13B0" w:rsidP="003A2F76">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1987968" behindDoc="1" locked="0" layoutInCell="1" allowOverlap="1">
          <wp:simplePos x="0" y="0"/>
          <wp:positionH relativeFrom="page">
            <wp:posOffset>-71755</wp:posOffset>
          </wp:positionH>
          <wp:positionV relativeFrom="page">
            <wp:posOffset>107950</wp:posOffset>
          </wp:positionV>
          <wp:extent cx="7740000" cy="810000"/>
          <wp:effectExtent l="1905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7702DF">
    <w:pPr>
      <w:pStyle w:val="Header"/>
    </w:pPr>
  </w:p>
  <w:p w:rsidR="003D13B0" w:rsidRDefault="003D13B0" w:rsidP="007702DF">
    <w:pPr>
      <w:pStyle w:val="Header"/>
    </w:pPr>
  </w:p>
  <w:p w:rsidR="003D13B0" w:rsidRDefault="003D13B0" w:rsidP="007702DF">
    <w:pPr>
      <w:pStyle w:val="Header"/>
    </w:pPr>
  </w:p>
  <w:p w:rsidR="003D13B0" w:rsidRDefault="003D13B0" w:rsidP="007702DF">
    <w:pPr>
      <w:pStyle w:val="Header"/>
    </w:pPr>
  </w:p>
  <w:p w:rsidR="003D13B0" w:rsidRDefault="003D13B0" w:rsidP="007702DF">
    <w:pPr>
      <w:pStyle w:val="Header"/>
      <w:spacing w:after="60"/>
    </w:pPr>
  </w:p>
  <w:p w:rsidR="003D13B0" w:rsidRDefault="003D13B0" w:rsidP="007702DF">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199206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7702DF">
    <w:pPr>
      <w:pStyle w:val="Header"/>
    </w:pPr>
  </w:p>
  <w:p w:rsidR="003D13B0" w:rsidRDefault="003D13B0" w:rsidP="007702DF">
    <w:pPr>
      <w:pStyle w:val="Header"/>
    </w:pPr>
  </w:p>
  <w:p w:rsidR="003D13B0" w:rsidRDefault="003D13B0" w:rsidP="007702DF">
    <w:pPr>
      <w:pStyle w:val="Header"/>
    </w:pPr>
  </w:p>
  <w:p w:rsidR="003D13B0" w:rsidRDefault="003D13B0" w:rsidP="007702DF">
    <w:pPr>
      <w:pStyle w:val="Header"/>
    </w:pPr>
  </w:p>
  <w:p w:rsidR="003D13B0" w:rsidRDefault="003D13B0" w:rsidP="007702DF">
    <w:pPr>
      <w:pStyle w:val="Header"/>
      <w:spacing w:after="60"/>
    </w:pPr>
  </w:p>
  <w:p w:rsidR="003D13B0" w:rsidRDefault="003D13B0" w:rsidP="007702DF">
    <w:pPr>
      <w:pStyle w:val="Header1"/>
      <w:spacing w:line="240" w:lineRule="auto"/>
    </w:pPr>
    <w:r>
      <w:t xml:space="preserve">Monitoring and management of subsidence induced by coal seam gas extraction </w:t>
    </w:r>
    <w:r>
      <w:rPr>
        <w:noProof/>
        <w:lang w:val="en-AU" w:eastAsia="en-AU"/>
      </w:rPr>
      <w:drawing>
        <wp:anchor distT="0" distB="0" distL="114300" distR="114300" simplePos="0" relativeHeight="251990016"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7740000" cy="8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166D9B">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E252C4" w:rsidP="00166D9B">
    <w:pPr>
      <w:pStyle w:val="Header"/>
    </w:pPr>
    <w:r>
      <w:rPr>
        <w:noProof/>
        <w:lang w:val="en-AU" w:eastAsia="en-AU"/>
      </w:rPr>
      <w:pict>
        <v:shapetype id="_x0000_t202" coordsize="21600,21600" o:spt="202" path="m,l,21600r21600,l21600,xe">
          <v:stroke joinstyle="miter"/>
          <v:path gradientshapeok="t" o:connecttype="rect"/>
        </v:shapetype>
        <v:shape id="_x0000_s10275" type="#_x0000_t202" style="position:absolute;margin-left:13.1pt;margin-top:53.65pt;width:477pt;height:24.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" filled="f" stroked="f">
          <v:path arrowok="t"/>
          <v:textbox style="mso-next-textbox:#_x0000_s10275" inset="0,,0">
            <w:txbxContent>
              <w:p w:rsidR="003D13B0" w:rsidRPr="007B11B3" w:rsidRDefault="003D13B0" w:rsidP="00BD1D7C">
                <w:pPr>
                  <w:pStyle w:val="Header1"/>
                </w:pPr>
                <w:r>
                  <w:t xml:space="preserve">Knowledge project: monitoring and management of subsidence induced by coal seam gas extraction </w:t>
                </w:r>
              </w:p>
              <w:p w:rsidR="003D13B0" w:rsidRPr="0040292A" w:rsidRDefault="003D13B0" w:rsidP="00166D9B"/>
            </w:txbxContent>
          </v:textbox>
        </v:shape>
      </w:pict>
    </w:r>
    <w:r w:rsidR="003D13B0">
      <w:rPr>
        <w:noProof/>
        <w:lang w:val="en-AU" w:eastAsia="en-AU"/>
      </w:rPr>
      <w:drawing>
        <wp:anchor distT="0" distB="0" distL="114300" distR="114300" simplePos="0" relativeHeight="251831296" behindDoc="0" locked="0" layoutInCell="1" allowOverlap="1">
          <wp:simplePos x="0" y="0"/>
          <wp:positionH relativeFrom="column">
            <wp:posOffset>-967105</wp:posOffset>
          </wp:positionH>
          <wp:positionV relativeFrom="paragraph">
            <wp:posOffset>-95250</wp:posOffset>
          </wp:positionV>
          <wp:extent cx="7629525" cy="87249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3B0" w:rsidRDefault="003D13B0" w:rsidP="00F623A9">
    <w:pPr>
      <w:pStyle w:val="Header"/>
    </w:pPr>
    <w:r>
      <w:rPr>
        <w:noProof/>
        <w:lang w:val="en-AU" w:eastAsia="en-AU"/>
      </w:rPr>
      <w:drawing>
        <wp:anchor distT="0" distB="0" distL="114300" distR="114300" simplePos="0" relativeHeight="251994112" behindDoc="1" locked="0" layoutInCell="1" allowOverlap="1">
          <wp:simplePos x="0" y="0"/>
          <wp:positionH relativeFrom="page">
            <wp:posOffset>-71120</wp:posOffset>
          </wp:positionH>
          <wp:positionV relativeFrom="page">
            <wp:posOffset>106680</wp:posOffset>
          </wp:positionV>
          <wp:extent cx="10854000" cy="8064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b="3122"/>
                  <a:stretch/>
                </pic:blipFill>
                <pic:spPr bwMode="auto">
                  <a:xfrm>
                    <a:off x="0" y="0"/>
                    <a:ext cx="10854000" cy="80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13B0" w:rsidRDefault="003D13B0" w:rsidP="00F623A9">
    <w:pPr>
      <w:pStyle w:val="Header"/>
    </w:pPr>
  </w:p>
  <w:p w:rsidR="003D13B0" w:rsidRDefault="003D13B0" w:rsidP="00F623A9">
    <w:pPr>
      <w:pStyle w:val="Header"/>
    </w:pPr>
  </w:p>
  <w:p w:rsidR="003D13B0" w:rsidRDefault="003D13B0" w:rsidP="00F623A9">
    <w:pPr>
      <w:pStyle w:val="Header"/>
    </w:pPr>
  </w:p>
  <w:p w:rsidR="003D13B0" w:rsidRDefault="003D13B0" w:rsidP="00F623A9">
    <w:pPr>
      <w:pStyle w:val="Header"/>
      <w:spacing w:after="60"/>
    </w:pPr>
  </w:p>
  <w:p w:rsidR="003D13B0" w:rsidRDefault="003D13B0" w:rsidP="00F623A9">
    <w:pPr>
      <w:pStyle w:val="Header1"/>
      <w:spacing w:line="240" w:lineRule="auto"/>
    </w:pPr>
    <w:r>
      <w:t xml:space="preserve">Monitoring and management of subsidence induced by coal seam gas extraction </w:t>
    </w:r>
  </w:p>
  <w:p w:rsidR="003D13B0" w:rsidRDefault="003D13B0" w:rsidP="00166D9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nsid w:val="066462E7"/>
    <w:multiLevelType w:val="hybridMultilevel"/>
    <w:tmpl w:val="9B8A9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6C848B7"/>
    <w:multiLevelType w:val="hybridMultilevel"/>
    <w:tmpl w:val="9176EB9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nsid w:val="0752098F"/>
    <w:multiLevelType w:val="multilevel"/>
    <w:tmpl w:val="72DE3294"/>
    <w:lvl w:ilvl="0">
      <w:start w:val="1"/>
      <w:numFmt w:val="bullet"/>
      <w:lvlText w:val=""/>
      <w:lvlJc w:val="left"/>
      <w:pPr>
        <w:tabs>
          <w:tab w:val="num" w:pos="720"/>
        </w:tabs>
        <w:ind w:left="720" w:hanging="360"/>
      </w:pPr>
      <w:rPr>
        <w:rFonts w:ascii="Symbol" w:hAnsi="Symbol" w:hint="default"/>
        <w:sz w:val="20"/>
      </w:rPr>
    </w:lvl>
    <w:lvl w:ilvl="1">
      <w:numFmt w:val="bullet"/>
      <w:pStyle w:val="BR2ndbullet"/>
      <w:lvlText w:val="−"/>
      <w:lvlJc w:val="left"/>
      <w:pPr>
        <w:tabs>
          <w:tab w:val="num" w:pos="1440"/>
        </w:tabs>
        <w:ind w:left="1440" w:hanging="360"/>
      </w:pPr>
      <w:rPr>
        <w:rFonts w:ascii="Arial" w:eastAsia="Times New Roman" w:hAnsi="Arial" w:hint="default"/>
        <w:sz w:val="20"/>
      </w:rPr>
    </w:lvl>
    <w:lvl w:ilvl="2">
      <w:start w:val="1"/>
      <w:numFmt w:val="bullet"/>
      <w:pStyle w:val="3rd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246612"/>
    <w:multiLevelType w:val="hybridMultilevel"/>
    <w:tmpl w:val="1BACE69A"/>
    <w:lvl w:ilvl="0" w:tplc="1512B9AA">
      <w:start w:val="1"/>
      <w:numFmt w:val="decimal"/>
      <w:pStyle w:val="BRnumbering"/>
      <w:lvlText w:val="%1."/>
      <w:lvlJc w:val="left"/>
      <w:pPr>
        <w:ind w:left="720" w:hanging="360"/>
      </w:pPr>
      <w:rPr>
        <w:rFonts w:ascii="Arial" w:eastAsiaTheme="minorHAnsi" w:hAnsi="Arial" w:cs="Arial"/>
      </w:rPr>
    </w:lvl>
    <w:lvl w:ilvl="1" w:tplc="336AB7D2">
      <w:start w:val="1"/>
      <w:numFmt w:val="lowerLetter"/>
      <w:pStyle w:val="Number2ndleve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9">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0">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C010C85"/>
    <w:multiLevelType w:val="hybridMultilevel"/>
    <w:tmpl w:val="87CAC15E"/>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BDBEB8D0">
      <w:start w:val="1"/>
      <w:numFmt w:val="lowerRoman"/>
      <w:pStyle w:val="Number3rdlevel"/>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C453B59"/>
    <w:multiLevelType w:val="multilevel"/>
    <w:tmpl w:val="77546332"/>
    <w:lvl w:ilvl="0">
      <w:start w:val="1"/>
      <w:numFmt w:val="decimal"/>
      <w:pStyle w:val="Heading1"/>
      <w:lvlText w:val="%1"/>
      <w:lvlJc w:val="left"/>
      <w:pPr>
        <w:ind w:left="432" w:hanging="432"/>
      </w:pPr>
      <w:rPr>
        <w:rFonts w:hint="default"/>
        <w:b/>
        <w:i w:val="0"/>
        <w:color w:val="1F497D" w:themeColor="text2"/>
        <w:sz w:val="48"/>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5">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6">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7">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9">
    <w:nsid w:val="27440701"/>
    <w:multiLevelType w:val="hybridMultilevel"/>
    <w:tmpl w:val="E300F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2">
    <w:nsid w:val="357B5D32"/>
    <w:multiLevelType w:val="hybridMultilevel"/>
    <w:tmpl w:val="E9C82820"/>
    <w:lvl w:ilvl="0" w:tplc="454276D0">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6D53C6D"/>
    <w:multiLevelType w:val="hybridMultilevel"/>
    <w:tmpl w:val="C33674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94C60EE"/>
    <w:multiLevelType w:val="hybridMultilevel"/>
    <w:tmpl w:val="983A81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26">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nsid w:val="45C840F5"/>
    <w:multiLevelType w:val="hybridMultilevel"/>
    <w:tmpl w:val="AD02CD06"/>
    <w:lvl w:ilvl="0" w:tplc="B608D8BA">
      <w:start w:val="1"/>
      <w:numFmt w:val="bullet"/>
      <w:pStyle w:val="Bulletedlist1"/>
      <w:lvlText w:val=""/>
      <w:lvlJc w:val="left"/>
      <w:pPr>
        <w:ind w:left="720" w:hanging="360"/>
      </w:pPr>
      <w:rPr>
        <w:rFonts w:ascii="Wingdings" w:hAnsi="Wingdings" w:hint="default"/>
      </w:rPr>
    </w:lvl>
    <w:lvl w:ilvl="1" w:tplc="04E40FFE">
      <w:start w:val="1"/>
      <w:numFmt w:val="bullet"/>
      <w:pStyle w:val="Bulletedlist2"/>
      <w:lvlText w:val="o"/>
      <w:lvlJc w:val="left"/>
      <w:pPr>
        <w:ind w:left="1440" w:hanging="360"/>
      </w:pPr>
      <w:rPr>
        <w:rFonts w:ascii="Courier New" w:hAnsi="Courier New" w:hint="default"/>
      </w:rPr>
    </w:lvl>
    <w:lvl w:ilvl="2" w:tplc="03D6A4E6">
      <w:start w:val="1"/>
      <w:numFmt w:val="bullet"/>
      <w:pStyle w:val="Bulletedlist3"/>
      <w:lvlText w:val=""/>
      <w:lvlJc w:val="left"/>
      <w:pPr>
        <w:ind w:left="2160" w:hanging="360"/>
      </w:pPr>
      <w:rPr>
        <w:rFonts w:ascii="Symbol" w:hAnsi="Symbol" w:hint="default"/>
      </w:rPr>
    </w:lvl>
    <w:lvl w:ilvl="3" w:tplc="7E4A4DA2" w:tentative="1">
      <w:start w:val="1"/>
      <w:numFmt w:val="bullet"/>
      <w:lvlText w:val=""/>
      <w:lvlJc w:val="left"/>
      <w:pPr>
        <w:ind w:left="2880" w:hanging="360"/>
      </w:pPr>
      <w:rPr>
        <w:rFonts w:ascii="Symbol" w:hAnsi="Symbol" w:hint="default"/>
      </w:rPr>
    </w:lvl>
    <w:lvl w:ilvl="4" w:tplc="9D38F494" w:tentative="1">
      <w:start w:val="1"/>
      <w:numFmt w:val="bullet"/>
      <w:lvlText w:val="o"/>
      <w:lvlJc w:val="left"/>
      <w:pPr>
        <w:ind w:left="3600" w:hanging="360"/>
      </w:pPr>
      <w:rPr>
        <w:rFonts w:ascii="Courier New" w:hAnsi="Courier New" w:hint="default"/>
      </w:rPr>
    </w:lvl>
    <w:lvl w:ilvl="5" w:tplc="75F81E8A" w:tentative="1">
      <w:start w:val="1"/>
      <w:numFmt w:val="bullet"/>
      <w:lvlText w:val=""/>
      <w:lvlJc w:val="left"/>
      <w:pPr>
        <w:ind w:left="4320" w:hanging="360"/>
      </w:pPr>
      <w:rPr>
        <w:rFonts w:ascii="Wingdings" w:hAnsi="Wingdings" w:hint="default"/>
      </w:rPr>
    </w:lvl>
    <w:lvl w:ilvl="6" w:tplc="19568048" w:tentative="1">
      <w:start w:val="1"/>
      <w:numFmt w:val="bullet"/>
      <w:lvlText w:val=""/>
      <w:lvlJc w:val="left"/>
      <w:pPr>
        <w:ind w:left="5040" w:hanging="360"/>
      </w:pPr>
      <w:rPr>
        <w:rFonts w:ascii="Symbol" w:hAnsi="Symbol" w:hint="default"/>
      </w:rPr>
    </w:lvl>
    <w:lvl w:ilvl="7" w:tplc="EEE0A7C4" w:tentative="1">
      <w:start w:val="1"/>
      <w:numFmt w:val="bullet"/>
      <w:lvlText w:val="o"/>
      <w:lvlJc w:val="left"/>
      <w:pPr>
        <w:ind w:left="5760" w:hanging="360"/>
      </w:pPr>
      <w:rPr>
        <w:rFonts w:ascii="Courier New" w:hAnsi="Courier New" w:hint="default"/>
      </w:rPr>
    </w:lvl>
    <w:lvl w:ilvl="8" w:tplc="8B6AE4E0" w:tentative="1">
      <w:start w:val="1"/>
      <w:numFmt w:val="bullet"/>
      <w:lvlText w:val=""/>
      <w:lvlJc w:val="left"/>
      <w:pPr>
        <w:ind w:left="6480" w:hanging="360"/>
      </w:pPr>
      <w:rPr>
        <w:rFonts w:ascii="Wingdings" w:hAnsi="Wingdings" w:hint="default"/>
      </w:rPr>
    </w:lvl>
  </w:abstractNum>
  <w:abstractNum w:abstractNumId="28">
    <w:nsid w:val="46270CC2"/>
    <w:multiLevelType w:val="hybridMultilevel"/>
    <w:tmpl w:val="2B6067B0"/>
    <w:lvl w:ilvl="0" w:tplc="669600BE">
      <w:start w:val="1"/>
      <w:numFmt w:val="lowerRoman"/>
      <w:pStyle w:val="Para2Roman"/>
      <w:lvlText w:val="%1."/>
      <w:lvlJc w:val="left"/>
      <w:pPr>
        <w:tabs>
          <w:tab w:val="num" w:pos="1191"/>
        </w:tabs>
        <w:ind w:left="1191"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29">
    <w:nsid w:val="47BC2931"/>
    <w:multiLevelType w:val="hybridMultilevel"/>
    <w:tmpl w:val="13EC96AA"/>
    <w:lvl w:ilvl="0" w:tplc="48381A5C">
      <w:start w:val="1"/>
      <w:numFmt w:val="bullet"/>
      <w:pStyle w:val="BulletFirst"/>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start w:val="1"/>
      <w:numFmt w:val="bullet"/>
      <w:lvlText w:val=""/>
      <w:lvlJc w:val="left"/>
      <w:pPr>
        <w:tabs>
          <w:tab w:val="num" w:pos="2160"/>
        </w:tabs>
        <w:ind w:left="2160" w:hanging="360"/>
      </w:pPr>
      <w:rPr>
        <w:rFonts w:ascii="Wingdings" w:hAnsi="Wingdings" w:hint="default"/>
      </w:rPr>
    </w:lvl>
    <w:lvl w:ilvl="3" w:tplc="0C09000F">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30">
    <w:nsid w:val="49980CC6"/>
    <w:multiLevelType w:val="hybridMultilevel"/>
    <w:tmpl w:val="56A2045A"/>
    <w:lvl w:ilvl="0" w:tplc="04090001">
      <w:start w:val="1"/>
      <w:numFmt w:val="lowerRoman"/>
      <w:pStyle w:val="Para3Roman"/>
      <w:lvlText w:val="%1."/>
      <w:lvlJc w:val="left"/>
      <w:pPr>
        <w:tabs>
          <w:tab w:val="num" w:pos="1588"/>
        </w:tabs>
        <w:ind w:left="1588" w:hanging="39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32">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33">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4">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5">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6">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7">
    <w:nsid w:val="65456429"/>
    <w:multiLevelType w:val="multilevel"/>
    <w:tmpl w:val="E898CC72"/>
    <w:numStyleLink w:val="KeyPoints"/>
  </w:abstractNum>
  <w:abstractNum w:abstractNumId="38">
    <w:nsid w:val="662A18D8"/>
    <w:multiLevelType w:val="hybridMultilevel"/>
    <w:tmpl w:val="91C22B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9">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4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41">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2">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43">
    <w:nsid w:val="70B93332"/>
    <w:multiLevelType w:val="hybridMultilevel"/>
    <w:tmpl w:val="85080EDE"/>
    <w:lvl w:ilvl="0" w:tplc="A3C2BCE0">
      <w:start w:val="1"/>
      <w:numFmt w:val="bullet"/>
      <w:pStyle w:val="TableDotPoin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1B27C21"/>
    <w:multiLevelType w:val="multilevel"/>
    <w:tmpl w:val="A8BA69B4"/>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383306D"/>
    <w:multiLevelType w:val="hybridMultilevel"/>
    <w:tmpl w:val="8A6274EE"/>
    <w:lvl w:ilvl="0" w:tplc="88FCCAEA">
      <w:start w:val="1"/>
      <w:numFmt w:val="lowerRoman"/>
      <w:pStyle w:val="Para0Roman"/>
      <w:lvlText w:val="%1."/>
      <w:lvlJc w:val="left"/>
      <w:pPr>
        <w:tabs>
          <w:tab w:val="num" w:pos="397"/>
        </w:tabs>
        <w:ind w:left="397" w:hanging="397"/>
      </w:pPr>
      <w:rPr>
        <w:rFonts w:hint="default"/>
      </w:rPr>
    </w:lvl>
    <w:lvl w:ilvl="1" w:tplc="176E1C0A" w:tentative="1">
      <w:start w:val="1"/>
      <w:numFmt w:val="lowerLetter"/>
      <w:lvlText w:val="%2."/>
      <w:lvlJc w:val="left"/>
      <w:pPr>
        <w:tabs>
          <w:tab w:val="num" w:pos="1440"/>
        </w:tabs>
        <w:ind w:left="1440" w:hanging="360"/>
      </w:pPr>
    </w:lvl>
    <w:lvl w:ilvl="2" w:tplc="1AF8F60A" w:tentative="1">
      <w:start w:val="1"/>
      <w:numFmt w:val="lowerRoman"/>
      <w:lvlText w:val="%3."/>
      <w:lvlJc w:val="right"/>
      <w:pPr>
        <w:tabs>
          <w:tab w:val="num" w:pos="2160"/>
        </w:tabs>
        <w:ind w:left="2160" w:hanging="180"/>
      </w:pPr>
    </w:lvl>
    <w:lvl w:ilvl="3" w:tplc="6D168386" w:tentative="1">
      <w:start w:val="1"/>
      <w:numFmt w:val="decimal"/>
      <w:lvlText w:val="%4."/>
      <w:lvlJc w:val="left"/>
      <w:pPr>
        <w:tabs>
          <w:tab w:val="num" w:pos="2880"/>
        </w:tabs>
        <w:ind w:left="2880" w:hanging="360"/>
      </w:pPr>
    </w:lvl>
    <w:lvl w:ilvl="4" w:tplc="1F92AE06" w:tentative="1">
      <w:start w:val="1"/>
      <w:numFmt w:val="lowerLetter"/>
      <w:lvlText w:val="%5."/>
      <w:lvlJc w:val="left"/>
      <w:pPr>
        <w:tabs>
          <w:tab w:val="num" w:pos="3600"/>
        </w:tabs>
        <w:ind w:left="3600" w:hanging="360"/>
      </w:pPr>
    </w:lvl>
    <w:lvl w:ilvl="5" w:tplc="884685E4" w:tentative="1">
      <w:start w:val="1"/>
      <w:numFmt w:val="lowerRoman"/>
      <w:lvlText w:val="%6."/>
      <w:lvlJc w:val="right"/>
      <w:pPr>
        <w:tabs>
          <w:tab w:val="num" w:pos="4320"/>
        </w:tabs>
        <w:ind w:left="4320" w:hanging="180"/>
      </w:pPr>
    </w:lvl>
    <w:lvl w:ilvl="6" w:tplc="245A1A50" w:tentative="1">
      <w:start w:val="1"/>
      <w:numFmt w:val="decimal"/>
      <w:lvlText w:val="%7."/>
      <w:lvlJc w:val="left"/>
      <w:pPr>
        <w:tabs>
          <w:tab w:val="num" w:pos="5040"/>
        </w:tabs>
        <w:ind w:left="5040" w:hanging="360"/>
      </w:pPr>
    </w:lvl>
    <w:lvl w:ilvl="7" w:tplc="B31A684E" w:tentative="1">
      <w:start w:val="1"/>
      <w:numFmt w:val="lowerLetter"/>
      <w:lvlText w:val="%8."/>
      <w:lvlJc w:val="left"/>
      <w:pPr>
        <w:tabs>
          <w:tab w:val="num" w:pos="5760"/>
        </w:tabs>
        <w:ind w:left="5760" w:hanging="360"/>
      </w:pPr>
    </w:lvl>
    <w:lvl w:ilvl="8" w:tplc="FA9AA152" w:tentative="1">
      <w:start w:val="1"/>
      <w:numFmt w:val="lowerRoman"/>
      <w:lvlText w:val="%9."/>
      <w:lvlJc w:val="right"/>
      <w:pPr>
        <w:tabs>
          <w:tab w:val="num" w:pos="6480"/>
        </w:tabs>
        <w:ind w:left="6480" w:hanging="180"/>
      </w:pPr>
    </w:lvl>
  </w:abstractNum>
  <w:abstractNum w:abstractNumId="46">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47">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8">
    <w:nsid w:val="7B3D22BE"/>
    <w:multiLevelType w:val="hybridMultilevel"/>
    <w:tmpl w:val="1C66D0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36"/>
  </w:num>
  <w:num w:numId="3">
    <w:abstractNumId w:val="34"/>
  </w:num>
  <w:num w:numId="4">
    <w:abstractNumId w:val="46"/>
  </w:num>
  <w:num w:numId="5">
    <w:abstractNumId w:val="41"/>
  </w:num>
  <w:num w:numId="6">
    <w:abstractNumId w:val="31"/>
  </w:num>
  <w:num w:numId="7">
    <w:abstractNumId w:val="39"/>
  </w:num>
  <w:num w:numId="8">
    <w:abstractNumId w:val="35"/>
  </w:num>
  <w:num w:numId="9">
    <w:abstractNumId w:val="15"/>
  </w:num>
  <w:num w:numId="10">
    <w:abstractNumId w:val="32"/>
  </w:num>
  <w:num w:numId="11">
    <w:abstractNumId w:val="14"/>
  </w:num>
  <w:num w:numId="12">
    <w:abstractNumId w:val="9"/>
  </w:num>
  <w:num w:numId="13">
    <w:abstractNumId w:val="16"/>
  </w:num>
  <w:num w:numId="14">
    <w:abstractNumId w:val="33"/>
  </w:num>
  <w:num w:numId="15">
    <w:abstractNumId w:val="26"/>
  </w:num>
  <w:num w:numId="16">
    <w:abstractNumId w:val="21"/>
  </w:num>
  <w:num w:numId="17">
    <w:abstractNumId w:val="40"/>
  </w:num>
  <w:num w:numId="18">
    <w:abstractNumId w:val="13"/>
  </w:num>
  <w:num w:numId="19">
    <w:abstractNumId w:val="45"/>
  </w:num>
  <w:num w:numId="20">
    <w:abstractNumId w:val="4"/>
  </w:num>
  <w:num w:numId="21">
    <w:abstractNumId w:val="28"/>
  </w:num>
  <w:num w:numId="22">
    <w:abstractNumId w:val="30"/>
  </w:num>
  <w:num w:numId="23">
    <w:abstractNumId w:val="18"/>
  </w:num>
  <w:num w:numId="24">
    <w:abstractNumId w:val="42"/>
  </w:num>
  <w:num w:numId="25">
    <w:abstractNumId w:val="25"/>
  </w:num>
  <w:num w:numId="26">
    <w:abstractNumId w:val="20"/>
  </w:num>
  <w:num w:numId="27">
    <w:abstractNumId w:val="7"/>
  </w:num>
  <w:num w:numId="28">
    <w:abstractNumId w:val="29"/>
  </w:num>
  <w:num w:numId="29">
    <w:abstractNumId w:val="10"/>
  </w:num>
  <w:num w:numId="30">
    <w:abstractNumId w:val="17"/>
  </w:num>
  <w:num w:numId="31">
    <w:abstractNumId w:val="44"/>
  </w:num>
  <w:num w:numId="32">
    <w:abstractNumId w:val="47"/>
  </w:num>
  <w:num w:numId="33">
    <w:abstractNumId w:val="37"/>
  </w:num>
  <w:num w:numId="34">
    <w:abstractNumId w:val="1"/>
  </w:num>
  <w:num w:numId="35">
    <w:abstractNumId w:val="0"/>
  </w:num>
  <w:num w:numId="36">
    <w:abstractNumId w:val="12"/>
  </w:num>
  <w:num w:numId="37">
    <w:abstractNumId w:val="22"/>
  </w:num>
  <w:num w:numId="38">
    <w:abstractNumId w:val="5"/>
  </w:num>
  <w:num w:numId="39">
    <w:abstractNumId w:val="6"/>
  </w:num>
  <w:num w:numId="40">
    <w:abstractNumId w:val="27"/>
  </w:num>
  <w:num w:numId="41">
    <w:abstractNumId w:val="43"/>
  </w:num>
  <w:num w:numId="42">
    <w:abstractNumId w:val="11"/>
  </w:num>
  <w:num w:numId="43">
    <w:abstractNumId w:val="6"/>
    <w:lvlOverride w:ilvl="0">
      <w:startOverride w:val="1"/>
    </w:lvlOverride>
  </w:num>
  <w:num w:numId="44">
    <w:abstractNumId w:val="48"/>
  </w:num>
  <w:num w:numId="45">
    <w:abstractNumId w:val="24"/>
  </w:num>
  <w:num w:numId="46">
    <w:abstractNumId w:val="2"/>
  </w:num>
  <w:num w:numId="47">
    <w:abstractNumId w:val="3"/>
  </w:num>
  <w:num w:numId="48">
    <w:abstractNumId w:val="3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
  </w:num>
  <w:num w:numId="50">
    <w:abstractNumId w:val="12"/>
  </w:num>
  <w:num w:numId="51">
    <w:abstractNumId w:val="12"/>
  </w:num>
  <w:num w:numId="52">
    <w:abstractNumId w:val="12"/>
  </w:num>
  <w:num w:numId="53">
    <w:abstractNumId w:val="12"/>
  </w:num>
  <w:num w:numId="54">
    <w:abstractNumId w:val="12"/>
  </w:num>
  <w:num w:numId="55">
    <w:abstractNumId w:val="12"/>
  </w:num>
  <w:num w:numId="56">
    <w:abstractNumId w:val="12"/>
  </w:num>
  <w:num w:numId="57">
    <w:abstractNumId w:val="12"/>
  </w:num>
  <w:num w:numId="58">
    <w:abstractNumId w:val="12"/>
  </w:num>
  <w:num w:numId="59">
    <w:abstractNumId w:val="12"/>
  </w:num>
  <w:num w:numId="60">
    <w:abstractNumId w:val="44"/>
  </w:num>
  <w:num w:numId="61">
    <w:abstractNumId w:val="19"/>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removePersonalInformation/>
  <w:removeDateAndTime/>
  <w:embedSystemFonts/>
  <w:hideSpellingErrors/>
  <w:hideGrammaticalErrors/>
  <w:proofState w:grammar="clean"/>
  <w:stylePaneFormatFilter w:val="1021"/>
  <w:mailMerge>
    <w:mainDocumentType w:val="formLetters"/>
    <w:dataType w:val="textFile"/>
    <w:activeRecord w:val="-1"/>
    <w:odso/>
  </w:mailMerge>
  <w:defaultTabStop w:val="720"/>
  <w:drawingGridHorizontalSpacing w:val="110"/>
  <w:drawingGridVerticalSpacing w:val="360"/>
  <w:displayHorizontalDrawingGridEvery w:val="0"/>
  <w:displayVerticalDrawingGridEvery w:val="0"/>
  <w:characterSpacingControl w:val="doNotCompress"/>
  <w:hdrShapeDefaults>
    <o:shapedefaults v:ext="edit" spidmax="10285"/>
    <o:shapelayout v:ext="edit">
      <o:idmap v:ext="edit" data="10"/>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E05192"/>
    <w:rsid w:val="00000DAE"/>
    <w:rsid w:val="000010E7"/>
    <w:rsid w:val="00001291"/>
    <w:rsid w:val="000012AD"/>
    <w:rsid w:val="00001329"/>
    <w:rsid w:val="000026E0"/>
    <w:rsid w:val="00002770"/>
    <w:rsid w:val="00003302"/>
    <w:rsid w:val="00004113"/>
    <w:rsid w:val="000042E3"/>
    <w:rsid w:val="00004DF3"/>
    <w:rsid w:val="00005A69"/>
    <w:rsid w:val="000063D5"/>
    <w:rsid w:val="0000653D"/>
    <w:rsid w:val="00006CFF"/>
    <w:rsid w:val="00006EB6"/>
    <w:rsid w:val="000119EB"/>
    <w:rsid w:val="00011B8A"/>
    <w:rsid w:val="00012C4F"/>
    <w:rsid w:val="0001382D"/>
    <w:rsid w:val="000151D0"/>
    <w:rsid w:val="0001640F"/>
    <w:rsid w:val="00016656"/>
    <w:rsid w:val="00016E4D"/>
    <w:rsid w:val="00016ED8"/>
    <w:rsid w:val="000170F4"/>
    <w:rsid w:val="000173B9"/>
    <w:rsid w:val="00017BCD"/>
    <w:rsid w:val="000200FC"/>
    <w:rsid w:val="000213D2"/>
    <w:rsid w:val="00023EA6"/>
    <w:rsid w:val="0002545C"/>
    <w:rsid w:val="00025EC2"/>
    <w:rsid w:val="000265F2"/>
    <w:rsid w:val="0002701D"/>
    <w:rsid w:val="00027158"/>
    <w:rsid w:val="000274BB"/>
    <w:rsid w:val="0002763C"/>
    <w:rsid w:val="00030462"/>
    <w:rsid w:val="000318D9"/>
    <w:rsid w:val="00032314"/>
    <w:rsid w:val="0003396F"/>
    <w:rsid w:val="00035320"/>
    <w:rsid w:val="000361B3"/>
    <w:rsid w:val="00037A74"/>
    <w:rsid w:val="00040ABB"/>
    <w:rsid w:val="00040BC0"/>
    <w:rsid w:val="00042189"/>
    <w:rsid w:val="00042309"/>
    <w:rsid w:val="00042ADF"/>
    <w:rsid w:val="00042B1F"/>
    <w:rsid w:val="0004340D"/>
    <w:rsid w:val="00045789"/>
    <w:rsid w:val="00045E04"/>
    <w:rsid w:val="00046605"/>
    <w:rsid w:val="00047003"/>
    <w:rsid w:val="0005078A"/>
    <w:rsid w:val="00050912"/>
    <w:rsid w:val="000517B2"/>
    <w:rsid w:val="000532D0"/>
    <w:rsid w:val="00055729"/>
    <w:rsid w:val="00055732"/>
    <w:rsid w:val="0005591A"/>
    <w:rsid w:val="000560BF"/>
    <w:rsid w:val="000577C0"/>
    <w:rsid w:val="000625B5"/>
    <w:rsid w:val="00062A0E"/>
    <w:rsid w:val="0006344A"/>
    <w:rsid w:val="000636B3"/>
    <w:rsid w:val="00064128"/>
    <w:rsid w:val="00066553"/>
    <w:rsid w:val="000674C2"/>
    <w:rsid w:val="00067D79"/>
    <w:rsid w:val="00070437"/>
    <w:rsid w:val="00070CD3"/>
    <w:rsid w:val="00070D97"/>
    <w:rsid w:val="00071602"/>
    <w:rsid w:val="000722FA"/>
    <w:rsid w:val="00074611"/>
    <w:rsid w:val="00074FC5"/>
    <w:rsid w:val="000764A6"/>
    <w:rsid w:val="0007663D"/>
    <w:rsid w:val="000775CF"/>
    <w:rsid w:val="000810D3"/>
    <w:rsid w:val="000811A6"/>
    <w:rsid w:val="00081550"/>
    <w:rsid w:val="00083786"/>
    <w:rsid w:val="0008619E"/>
    <w:rsid w:val="000864D1"/>
    <w:rsid w:val="00086B2C"/>
    <w:rsid w:val="00086CB5"/>
    <w:rsid w:val="000902C2"/>
    <w:rsid w:val="00090E21"/>
    <w:rsid w:val="0009299F"/>
    <w:rsid w:val="00092E93"/>
    <w:rsid w:val="00093D1C"/>
    <w:rsid w:val="000940B7"/>
    <w:rsid w:val="000940EA"/>
    <w:rsid w:val="00095D51"/>
    <w:rsid w:val="00097ECF"/>
    <w:rsid w:val="000A1684"/>
    <w:rsid w:val="000A2778"/>
    <w:rsid w:val="000A2C82"/>
    <w:rsid w:val="000A36ED"/>
    <w:rsid w:val="000A3C3E"/>
    <w:rsid w:val="000A4257"/>
    <w:rsid w:val="000A46B9"/>
    <w:rsid w:val="000A5949"/>
    <w:rsid w:val="000A6F0D"/>
    <w:rsid w:val="000A72A5"/>
    <w:rsid w:val="000A76A0"/>
    <w:rsid w:val="000A76B1"/>
    <w:rsid w:val="000B1206"/>
    <w:rsid w:val="000B2479"/>
    <w:rsid w:val="000B33E5"/>
    <w:rsid w:val="000B46A5"/>
    <w:rsid w:val="000B4B46"/>
    <w:rsid w:val="000B5057"/>
    <w:rsid w:val="000B556C"/>
    <w:rsid w:val="000B6156"/>
    <w:rsid w:val="000B6470"/>
    <w:rsid w:val="000B65DF"/>
    <w:rsid w:val="000B65F0"/>
    <w:rsid w:val="000B65F3"/>
    <w:rsid w:val="000B6739"/>
    <w:rsid w:val="000B7D6F"/>
    <w:rsid w:val="000C0852"/>
    <w:rsid w:val="000C0871"/>
    <w:rsid w:val="000C0A31"/>
    <w:rsid w:val="000C0CDD"/>
    <w:rsid w:val="000C1D81"/>
    <w:rsid w:val="000C2121"/>
    <w:rsid w:val="000C2582"/>
    <w:rsid w:val="000C2F76"/>
    <w:rsid w:val="000C41FB"/>
    <w:rsid w:val="000C57B2"/>
    <w:rsid w:val="000C5ED6"/>
    <w:rsid w:val="000C6021"/>
    <w:rsid w:val="000C70AD"/>
    <w:rsid w:val="000C76C1"/>
    <w:rsid w:val="000C7DC4"/>
    <w:rsid w:val="000D074C"/>
    <w:rsid w:val="000D0AFC"/>
    <w:rsid w:val="000D12EE"/>
    <w:rsid w:val="000D39C3"/>
    <w:rsid w:val="000D57DC"/>
    <w:rsid w:val="000D64D4"/>
    <w:rsid w:val="000D6E98"/>
    <w:rsid w:val="000E0D44"/>
    <w:rsid w:val="000E1639"/>
    <w:rsid w:val="000E23CF"/>
    <w:rsid w:val="000E2A22"/>
    <w:rsid w:val="000E352E"/>
    <w:rsid w:val="000E3E4A"/>
    <w:rsid w:val="000E4592"/>
    <w:rsid w:val="000E4EDB"/>
    <w:rsid w:val="000E4F14"/>
    <w:rsid w:val="000E5A89"/>
    <w:rsid w:val="000E5B58"/>
    <w:rsid w:val="000E623B"/>
    <w:rsid w:val="000F0BC2"/>
    <w:rsid w:val="000F10CB"/>
    <w:rsid w:val="000F125E"/>
    <w:rsid w:val="000F2722"/>
    <w:rsid w:val="000F2AAA"/>
    <w:rsid w:val="000F2E4B"/>
    <w:rsid w:val="000F3655"/>
    <w:rsid w:val="000F39E7"/>
    <w:rsid w:val="000F4950"/>
    <w:rsid w:val="000F49CC"/>
    <w:rsid w:val="000F4F67"/>
    <w:rsid w:val="000F5204"/>
    <w:rsid w:val="000F5940"/>
    <w:rsid w:val="000F5AFD"/>
    <w:rsid w:val="000F7006"/>
    <w:rsid w:val="000F7A1D"/>
    <w:rsid w:val="00100B5F"/>
    <w:rsid w:val="00101060"/>
    <w:rsid w:val="001010FB"/>
    <w:rsid w:val="0010123B"/>
    <w:rsid w:val="0010334B"/>
    <w:rsid w:val="00105B48"/>
    <w:rsid w:val="00105C3C"/>
    <w:rsid w:val="00105CC6"/>
    <w:rsid w:val="001062F6"/>
    <w:rsid w:val="00106707"/>
    <w:rsid w:val="00106EE3"/>
    <w:rsid w:val="001073EC"/>
    <w:rsid w:val="00110984"/>
    <w:rsid w:val="00111421"/>
    <w:rsid w:val="001116FC"/>
    <w:rsid w:val="00113B44"/>
    <w:rsid w:val="00114128"/>
    <w:rsid w:val="0011719E"/>
    <w:rsid w:val="00117BEE"/>
    <w:rsid w:val="001223F2"/>
    <w:rsid w:val="00122770"/>
    <w:rsid w:val="00122CA4"/>
    <w:rsid w:val="0012392A"/>
    <w:rsid w:val="0012392D"/>
    <w:rsid w:val="00123EF5"/>
    <w:rsid w:val="00123F90"/>
    <w:rsid w:val="00124547"/>
    <w:rsid w:val="001255F7"/>
    <w:rsid w:val="001269A4"/>
    <w:rsid w:val="00126A66"/>
    <w:rsid w:val="00127115"/>
    <w:rsid w:val="00127973"/>
    <w:rsid w:val="00130344"/>
    <w:rsid w:val="00130BA2"/>
    <w:rsid w:val="00132537"/>
    <w:rsid w:val="001326B6"/>
    <w:rsid w:val="00132C33"/>
    <w:rsid w:val="00132CD4"/>
    <w:rsid w:val="00133030"/>
    <w:rsid w:val="00133B65"/>
    <w:rsid w:val="00133C86"/>
    <w:rsid w:val="00133EE6"/>
    <w:rsid w:val="00134A1B"/>
    <w:rsid w:val="001354ED"/>
    <w:rsid w:val="00135A75"/>
    <w:rsid w:val="00135E0B"/>
    <w:rsid w:val="00136967"/>
    <w:rsid w:val="00136D5A"/>
    <w:rsid w:val="00137A5E"/>
    <w:rsid w:val="00137D5C"/>
    <w:rsid w:val="00137EB6"/>
    <w:rsid w:val="00141481"/>
    <w:rsid w:val="0014227D"/>
    <w:rsid w:val="00142943"/>
    <w:rsid w:val="001431BF"/>
    <w:rsid w:val="00143992"/>
    <w:rsid w:val="00143AB4"/>
    <w:rsid w:val="001442CA"/>
    <w:rsid w:val="00144E48"/>
    <w:rsid w:val="00145090"/>
    <w:rsid w:val="0014548C"/>
    <w:rsid w:val="00145661"/>
    <w:rsid w:val="00145830"/>
    <w:rsid w:val="00147154"/>
    <w:rsid w:val="001474BF"/>
    <w:rsid w:val="001477AF"/>
    <w:rsid w:val="00147A64"/>
    <w:rsid w:val="00147DF6"/>
    <w:rsid w:val="001506A8"/>
    <w:rsid w:val="001510C2"/>
    <w:rsid w:val="001511D2"/>
    <w:rsid w:val="00151750"/>
    <w:rsid w:val="00151C21"/>
    <w:rsid w:val="001544F4"/>
    <w:rsid w:val="00154A6A"/>
    <w:rsid w:val="00154F4E"/>
    <w:rsid w:val="001551B2"/>
    <w:rsid w:val="00155EB3"/>
    <w:rsid w:val="00156A43"/>
    <w:rsid w:val="00157C28"/>
    <w:rsid w:val="0016084C"/>
    <w:rsid w:val="0016102B"/>
    <w:rsid w:val="00161BA4"/>
    <w:rsid w:val="00161D42"/>
    <w:rsid w:val="001625F8"/>
    <w:rsid w:val="00162B38"/>
    <w:rsid w:val="00164134"/>
    <w:rsid w:val="001646D7"/>
    <w:rsid w:val="00164C04"/>
    <w:rsid w:val="001658F2"/>
    <w:rsid w:val="00166D9B"/>
    <w:rsid w:val="001675F5"/>
    <w:rsid w:val="00167A04"/>
    <w:rsid w:val="00167A67"/>
    <w:rsid w:val="00171349"/>
    <w:rsid w:val="001719F0"/>
    <w:rsid w:val="00172876"/>
    <w:rsid w:val="00174F9B"/>
    <w:rsid w:val="001750FA"/>
    <w:rsid w:val="001754AA"/>
    <w:rsid w:val="001756E0"/>
    <w:rsid w:val="00175EBD"/>
    <w:rsid w:val="001766E1"/>
    <w:rsid w:val="00177276"/>
    <w:rsid w:val="001776E4"/>
    <w:rsid w:val="00180554"/>
    <w:rsid w:val="00180E50"/>
    <w:rsid w:val="001813A1"/>
    <w:rsid w:val="00182574"/>
    <w:rsid w:val="00183CBC"/>
    <w:rsid w:val="0018478E"/>
    <w:rsid w:val="001848BB"/>
    <w:rsid w:val="001848CA"/>
    <w:rsid w:val="001855E0"/>
    <w:rsid w:val="0018573B"/>
    <w:rsid w:val="0018778B"/>
    <w:rsid w:val="00190016"/>
    <w:rsid w:val="001906A9"/>
    <w:rsid w:val="001910BB"/>
    <w:rsid w:val="00191480"/>
    <w:rsid w:val="00191989"/>
    <w:rsid w:val="00192008"/>
    <w:rsid w:val="00192BD8"/>
    <w:rsid w:val="001945AF"/>
    <w:rsid w:val="00194620"/>
    <w:rsid w:val="00194A39"/>
    <w:rsid w:val="00194E67"/>
    <w:rsid w:val="00195A28"/>
    <w:rsid w:val="00195F0A"/>
    <w:rsid w:val="00197483"/>
    <w:rsid w:val="001A0218"/>
    <w:rsid w:val="001A02BE"/>
    <w:rsid w:val="001A17D9"/>
    <w:rsid w:val="001A1D40"/>
    <w:rsid w:val="001A26DE"/>
    <w:rsid w:val="001A2E7C"/>
    <w:rsid w:val="001A4476"/>
    <w:rsid w:val="001A4A5F"/>
    <w:rsid w:val="001A5031"/>
    <w:rsid w:val="001A51DB"/>
    <w:rsid w:val="001B14CE"/>
    <w:rsid w:val="001B15BC"/>
    <w:rsid w:val="001B1F89"/>
    <w:rsid w:val="001B2BEE"/>
    <w:rsid w:val="001B2D49"/>
    <w:rsid w:val="001B47E6"/>
    <w:rsid w:val="001B58B6"/>
    <w:rsid w:val="001B60F1"/>
    <w:rsid w:val="001B713A"/>
    <w:rsid w:val="001B7B29"/>
    <w:rsid w:val="001C03EE"/>
    <w:rsid w:val="001C0703"/>
    <w:rsid w:val="001C0A42"/>
    <w:rsid w:val="001C10F1"/>
    <w:rsid w:val="001C5251"/>
    <w:rsid w:val="001C5D6E"/>
    <w:rsid w:val="001C5FA3"/>
    <w:rsid w:val="001C6F3C"/>
    <w:rsid w:val="001C768B"/>
    <w:rsid w:val="001D04F9"/>
    <w:rsid w:val="001D15B5"/>
    <w:rsid w:val="001D229F"/>
    <w:rsid w:val="001D320D"/>
    <w:rsid w:val="001D3586"/>
    <w:rsid w:val="001D5E9E"/>
    <w:rsid w:val="001D6731"/>
    <w:rsid w:val="001D70F1"/>
    <w:rsid w:val="001D7455"/>
    <w:rsid w:val="001E0B03"/>
    <w:rsid w:val="001E0EC5"/>
    <w:rsid w:val="001E0FA8"/>
    <w:rsid w:val="001E28EC"/>
    <w:rsid w:val="001E3EBE"/>
    <w:rsid w:val="001E40D4"/>
    <w:rsid w:val="001E5014"/>
    <w:rsid w:val="001E510D"/>
    <w:rsid w:val="001E6DBD"/>
    <w:rsid w:val="001E75F3"/>
    <w:rsid w:val="001F0511"/>
    <w:rsid w:val="001F0FE5"/>
    <w:rsid w:val="001F15E2"/>
    <w:rsid w:val="001F1935"/>
    <w:rsid w:val="001F1AA9"/>
    <w:rsid w:val="001F27A3"/>
    <w:rsid w:val="001F3EB8"/>
    <w:rsid w:val="001F4261"/>
    <w:rsid w:val="001F55F9"/>
    <w:rsid w:val="001F5762"/>
    <w:rsid w:val="001F582A"/>
    <w:rsid w:val="001F5FDC"/>
    <w:rsid w:val="001F6ECA"/>
    <w:rsid w:val="001F73BB"/>
    <w:rsid w:val="00200CF6"/>
    <w:rsid w:val="00200FE0"/>
    <w:rsid w:val="0020107B"/>
    <w:rsid w:val="002018EA"/>
    <w:rsid w:val="0020215A"/>
    <w:rsid w:val="0020283C"/>
    <w:rsid w:val="002033FE"/>
    <w:rsid w:val="0020357F"/>
    <w:rsid w:val="00203615"/>
    <w:rsid w:val="00203DE8"/>
    <w:rsid w:val="00204970"/>
    <w:rsid w:val="00204E99"/>
    <w:rsid w:val="00205D23"/>
    <w:rsid w:val="00206BB7"/>
    <w:rsid w:val="00207776"/>
    <w:rsid w:val="00207E33"/>
    <w:rsid w:val="00211400"/>
    <w:rsid w:val="002116B4"/>
    <w:rsid w:val="00212A98"/>
    <w:rsid w:val="00212FC4"/>
    <w:rsid w:val="002134A8"/>
    <w:rsid w:val="00215C84"/>
    <w:rsid w:val="00217E25"/>
    <w:rsid w:val="00220346"/>
    <w:rsid w:val="00221236"/>
    <w:rsid w:val="00221643"/>
    <w:rsid w:val="0022352F"/>
    <w:rsid w:val="00223994"/>
    <w:rsid w:val="0022619D"/>
    <w:rsid w:val="00226DC1"/>
    <w:rsid w:val="0022741C"/>
    <w:rsid w:val="00231D50"/>
    <w:rsid w:val="0023261D"/>
    <w:rsid w:val="00232CB6"/>
    <w:rsid w:val="002342ED"/>
    <w:rsid w:val="0023489E"/>
    <w:rsid w:val="00235306"/>
    <w:rsid w:val="00237205"/>
    <w:rsid w:val="00240F56"/>
    <w:rsid w:val="00240F57"/>
    <w:rsid w:val="002410BB"/>
    <w:rsid w:val="00241D48"/>
    <w:rsid w:val="0024298A"/>
    <w:rsid w:val="00242A86"/>
    <w:rsid w:val="00242B3D"/>
    <w:rsid w:val="00243473"/>
    <w:rsid w:val="0024392D"/>
    <w:rsid w:val="00244253"/>
    <w:rsid w:val="00245F7E"/>
    <w:rsid w:val="002468DE"/>
    <w:rsid w:val="00246A72"/>
    <w:rsid w:val="00246C8B"/>
    <w:rsid w:val="00246DF6"/>
    <w:rsid w:val="00247BAC"/>
    <w:rsid w:val="0025029B"/>
    <w:rsid w:val="00250C81"/>
    <w:rsid w:val="0025120F"/>
    <w:rsid w:val="00251CAA"/>
    <w:rsid w:val="002534E1"/>
    <w:rsid w:val="00253818"/>
    <w:rsid w:val="00253CDF"/>
    <w:rsid w:val="00253DBB"/>
    <w:rsid w:val="00254469"/>
    <w:rsid w:val="00255A14"/>
    <w:rsid w:val="00255FFD"/>
    <w:rsid w:val="0025715D"/>
    <w:rsid w:val="00257D42"/>
    <w:rsid w:val="002607DF"/>
    <w:rsid w:val="00260F06"/>
    <w:rsid w:val="00260F1E"/>
    <w:rsid w:val="002613B9"/>
    <w:rsid w:val="002613BC"/>
    <w:rsid w:val="002618A5"/>
    <w:rsid w:val="00261C86"/>
    <w:rsid w:val="00262276"/>
    <w:rsid w:val="002637C6"/>
    <w:rsid w:val="00263F82"/>
    <w:rsid w:val="00264C5B"/>
    <w:rsid w:val="00264D58"/>
    <w:rsid w:val="0026503C"/>
    <w:rsid w:val="00266C2F"/>
    <w:rsid w:val="00266E5F"/>
    <w:rsid w:val="00270D65"/>
    <w:rsid w:val="002714A8"/>
    <w:rsid w:val="00271C20"/>
    <w:rsid w:val="00272677"/>
    <w:rsid w:val="00272CC1"/>
    <w:rsid w:val="00272FF6"/>
    <w:rsid w:val="00274BC6"/>
    <w:rsid w:val="002756BF"/>
    <w:rsid w:val="002773E8"/>
    <w:rsid w:val="00277718"/>
    <w:rsid w:val="00280608"/>
    <w:rsid w:val="0028170D"/>
    <w:rsid w:val="00282C13"/>
    <w:rsid w:val="0028374F"/>
    <w:rsid w:val="0028429C"/>
    <w:rsid w:val="00284304"/>
    <w:rsid w:val="002854A2"/>
    <w:rsid w:val="00285707"/>
    <w:rsid w:val="00286009"/>
    <w:rsid w:val="002868A2"/>
    <w:rsid w:val="00286EB1"/>
    <w:rsid w:val="002879F6"/>
    <w:rsid w:val="0029044C"/>
    <w:rsid w:val="00290E73"/>
    <w:rsid w:val="00292975"/>
    <w:rsid w:val="00293A69"/>
    <w:rsid w:val="00293E9E"/>
    <w:rsid w:val="00293FC5"/>
    <w:rsid w:val="00296371"/>
    <w:rsid w:val="0029724E"/>
    <w:rsid w:val="00297737"/>
    <w:rsid w:val="00297759"/>
    <w:rsid w:val="002979EC"/>
    <w:rsid w:val="002A049A"/>
    <w:rsid w:val="002A08C8"/>
    <w:rsid w:val="002A644D"/>
    <w:rsid w:val="002A7A74"/>
    <w:rsid w:val="002B080A"/>
    <w:rsid w:val="002B0883"/>
    <w:rsid w:val="002B0C42"/>
    <w:rsid w:val="002B4DB1"/>
    <w:rsid w:val="002B6211"/>
    <w:rsid w:val="002B641B"/>
    <w:rsid w:val="002B6C92"/>
    <w:rsid w:val="002B6CF4"/>
    <w:rsid w:val="002B7386"/>
    <w:rsid w:val="002C143F"/>
    <w:rsid w:val="002C23B2"/>
    <w:rsid w:val="002C29EB"/>
    <w:rsid w:val="002C3CCB"/>
    <w:rsid w:val="002C43B4"/>
    <w:rsid w:val="002C4B69"/>
    <w:rsid w:val="002C5B5B"/>
    <w:rsid w:val="002C60B8"/>
    <w:rsid w:val="002C6D07"/>
    <w:rsid w:val="002C7A93"/>
    <w:rsid w:val="002D0150"/>
    <w:rsid w:val="002D0FE1"/>
    <w:rsid w:val="002D10C5"/>
    <w:rsid w:val="002D1382"/>
    <w:rsid w:val="002D1FB6"/>
    <w:rsid w:val="002D26D6"/>
    <w:rsid w:val="002D439F"/>
    <w:rsid w:val="002D6822"/>
    <w:rsid w:val="002E058E"/>
    <w:rsid w:val="002E0D82"/>
    <w:rsid w:val="002E2510"/>
    <w:rsid w:val="002E33FA"/>
    <w:rsid w:val="002E4050"/>
    <w:rsid w:val="002E40D9"/>
    <w:rsid w:val="002E4D91"/>
    <w:rsid w:val="002E6677"/>
    <w:rsid w:val="002E79E0"/>
    <w:rsid w:val="002F0A59"/>
    <w:rsid w:val="002F0D22"/>
    <w:rsid w:val="002F12CE"/>
    <w:rsid w:val="002F176F"/>
    <w:rsid w:val="002F3282"/>
    <w:rsid w:val="002F36A9"/>
    <w:rsid w:val="002F46B4"/>
    <w:rsid w:val="002F546E"/>
    <w:rsid w:val="002F5472"/>
    <w:rsid w:val="002F6265"/>
    <w:rsid w:val="002F7EF8"/>
    <w:rsid w:val="00300264"/>
    <w:rsid w:val="00300394"/>
    <w:rsid w:val="00300A0B"/>
    <w:rsid w:val="00300F86"/>
    <w:rsid w:val="00302CBB"/>
    <w:rsid w:val="00310048"/>
    <w:rsid w:val="00310809"/>
    <w:rsid w:val="00311206"/>
    <w:rsid w:val="00311541"/>
    <w:rsid w:val="00311A5D"/>
    <w:rsid w:val="0031205D"/>
    <w:rsid w:val="00313F34"/>
    <w:rsid w:val="003154D1"/>
    <w:rsid w:val="00315832"/>
    <w:rsid w:val="003164F0"/>
    <w:rsid w:val="00316D95"/>
    <w:rsid w:val="00317C43"/>
    <w:rsid w:val="00324332"/>
    <w:rsid w:val="00324454"/>
    <w:rsid w:val="0032495E"/>
    <w:rsid w:val="0032535F"/>
    <w:rsid w:val="00325CFE"/>
    <w:rsid w:val="003268DD"/>
    <w:rsid w:val="00326BD8"/>
    <w:rsid w:val="00326CCA"/>
    <w:rsid w:val="003277C4"/>
    <w:rsid w:val="00327B9A"/>
    <w:rsid w:val="00327E5F"/>
    <w:rsid w:val="00327EC9"/>
    <w:rsid w:val="003308BA"/>
    <w:rsid w:val="00330B32"/>
    <w:rsid w:val="0033264A"/>
    <w:rsid w:val="0033305D"/>
    <w:rsid w:val="003332DE"/>
    <w:rsid w:val="0033334C"/>
    <w:rsid w:val="00333374"/>
    <w:rsid w:val="00333E80"/>
    <w:rsid w:val="00333F02"/>
    <w:rsid w:val="00334678"/>
    <w:rsid w:val="0033493F"/>
    <w:rsid w:val="00335790"/>
    <w:rsid w:val="003358B0"/>
    <w:rsid w:val="003359F9"/>
    <w:rsid w:val="0033793D"/>
    <w:rsid w:val="00337944"/>
    <w:rsid w:val="00343675"/>
    <w:rsid w:val="00343807"/>
    <w:rsid w:val="003439DA"/>
    <w:rsid w:val="003446EF"/>
    <w:rsid w:val="0034479C"/>
    <w:rsid w:val="00345013"/>
    <w:rsid w:val="003454CE"/>
    <w:rsid w:val="0034749E"/>
    <w:rsid w:val="003475AC"/>
    <w:rsid w:val="003477E7"/>
    <w:rsid w:val="00350931"/>
    <w:rsid w:val="00352DAA"/>
    <w:rsid w:val="00352E4D"/>
    <w:rsid w:val="003532F3"/>
    <w:rsid w:val="0035416F"/>
    <w:rsid w:val="0035489C"/>
    <w:rsid w:val="00354CC2"/>
    <w:rsid w:val="00354E88"/>
    <w:rsid w:val="00357E4C"/>
    <w:rsid w:val="00360CBF"/>
    <w:rsid w:val="003610E0"/>
    <w:rsid w:val="00362879"/>
    <w:rsid w:val="00364952"/>
    <w:rsid w:val="003649F5"/>
    <w:rsid w:val="0036524B"/>
    <w:rsid w:val="00366122"/>
    <w:rsid w:val="003662C9"/>
    <w:rsid w:val="00366621"/>
    <w:rsid w:val="00366E16"/>
    <w:rsid w:val="003672C6"/>
    <w:rsid w:val="00367BB8"/>
    <w:rsid w:val="003708B6"/>
    <w:rsid w:val="00371849"/>
    <w:rsid w:val="003718DA"/>
    <w:rsid w:val="003721DE"/>
    <w:rsid w:val="00373837"/>
    <w:rsid w:val="003748B4"/>
    <w:rsid w:val="00374E26"/>
    <w:rsid w:val="00375714"/>
    <w:rsid w:val="00375988"/>
    <w:rsid w:val="00377167"/>
    <w:rsid w:val="003810EA"/>
    <w:rsid w:val="00381E16"/>
    <w:rsid w:val="0038230E"/>
    <w:rsid w:val="00382411"/>
    <w:rsid w:val="00382BF9"/>
    <w:rsid w:val="00383F26"/>
    <w:rsid w:val="00384839"/>
    <w:rsid w:val="0038543F"/>
    <w:rsid w:val="00385714"/>
    <w:rsid w:val="0038699D"/>
    <w:rsid w:val="00387B00"/>
    <w:rsid w:val="00390461"/>
    <w:rsid w:val="003906F5"/>
    <w:rsid w:val="0039086C"/>
    <w:rsid w:val="00390E0B"/>
    <w:rsid w:val="00394701"/>
    <w:rsid w:val="00394F2D"/>
    <w:rsid w:val="00395096"/>
    <w:rsid w:val="00396456"/>
    <w:rsid w:val="00397185"/>
    <w:rsid w:val="003A1338"/>
    <w:rsid w:val="003A29F2"/>
    <w:rsid w:val="003A2D27"/>
    <w:rsid w:val="003A2F76"/>
    <w:rsid w:val="003A60A3"/>
    <w:rsid w:val="003A6853"/>
    <w:rsid w:val="003A69D4"/>
    <w:rsid w:val="003B1277"/>
    <w:rsid w:val="003B2826"/>
    <w:rsid w:val="003B38AB"/>
    <w:rsid w:val="003B3CE2"/>
    <w:rsid w:val="003B5601"/>
    <w:rsid w:val="003B56B7"/>
    <w:rsid w:val="003B6EF0"/>
    <w:rsid w:val="003C057E"/>
    <w:rsid w:val="003C09BF"/>
    <w:rsid w:val="003C171F"/>
    <w:rsid w:val="003C1D2F"/>
    <w:rsid w:val="003C220A"/>
    <w:rsid w:val="003C2FE2"/>
    <w:rsid w:val="003C3711"/>
    <w:rsid w:val="003C50E8"/>
    <w:rsid w:val="003C7863"/>
    <w:rsid w:val="003C7A89"/>
    <w:rsid w:val="003C7C71"/>
    <w:rsid w:val="003D0290"/>
    <w:rsid w:val="003D0E72"/>
    <w:rsid w:val="003D13B0"/>
    <w:rsid w:val="003D2CAA"/>
    <w:rsid w:val="003D3AEC"/>
    <w:rsid w:val="003D4205"/>
    <w:rsid w:val="003D55D9"/>
    <w:rsid w:val="003D5CCB"/>
    <w:rsid w:val="003E43E8"/>
    <w:rsid w:val="003F0155"/>
    <w:rsid w:val="003F01A0"/>
    <w:rsid w:val="003F01F6"/>
    <w:rsid w:val="003F06F3"/>
    <w:rsid w:val="003F13EA"/>
    <w:rsid w:val="003F2256"/>
    <w:rsid w:val="003F3B05"/>
    <w:rsid w:val="003F3BFA"/>
    <w:rsid w:val="003F4A90"/>
    <w:rsid w:val="003F5269"/>
    <w:rsid w:val="003F581B"/>
    <w:rsid w:val="003F624E"/>
    <w:rsid w:val="003F662D"/>
    <w:rsid w:val="003F7FB4"/>
    <w:rsid w:val="0040013F"/>
    <w:rsid w:val="00400E3F"/>
    <w:rsid w:val="0040213B"/>
    <w:rsid w:val="0040292A"/>
    <w:rsid w:val="00402BD6"/>
    <w:rsid w:val="00403CA8"/>
    <w:rsid w:val="00404068"/>
    <w:rsid w:val="004045AC"/>
    <w:rsid w:val="0040460F"/>
    <w:rsid w:val="00407459"/>
    <w:rsid w:val="004074F1"/>
    <w:rsid w:val="004076ED"/>
    <w:rsid w:val="00411266"/>
    <w:rsid w:val="00411496"/>
    <w:rsid w:val="0041164D"/>
    <w:rsid w:val="004132CB"/>
    <w:rsid w:val="00413458"/>
    <w:rsid w:val="00413B7F"/>
    <w:rsid w:val="00414096"/>
    <w:rsid w:val="004144EC"/>
    <w:rsid w:val="0041595C"/>
    <w:rsid w:val="00415A09"/>
    <w:rsid w:val="00415F03"/>
    <w:rsid w:val="004160D0"/>
    <w:rsid w:val="0042106C"/>
    <w:rsid w:val="0042187C"/>
    <w:rsid w:val="0042240C"/>
    <w:rsid w:val="00422E37"/>
    <w:rsid w:val="00424EC5"/>
    <w:rsid w:val="004259BF"/>
    <w:rsid w:val="004263CA"/>
    <w:rsid w:val="004277AC"/>
    <w:rsid w:val="004277FC"/>
    <w:rsid w:val="00430022"/>
    <w:rsid w:val="004303C8"/>
    <w:rsid w:val="004332AE"/>
    <w:rsid w:val="00433391"/>
    <w:rsid w:val="0043366D"/>
    <w:rsid w:val="00435C0F"/>
    <w:rsid w:val="00436F77"/>
    <w:rsid w:val="00437971"/>
    <w:rsid w:val="00437982"/>
    <w:rsid w:val="0044026A"/>
    <w:rsid w:val="00440891"/>
    <w:rsid w:val="0044342E"/>
    <w:rsid w:val="00443449"/>
    <w:rsid w:val="004437DE"/>
    <w:rsid w:val="00444EF6"/>
    <w:rsid w:val="00444F4A"/>
    <w:rsid w:val="00446732"/>
    <w:rsid w:val="0044700D"/>
    <w:rsid w:val="004470CB"/>
    <w:rsid w:val="00447344"/>
    <w:rsid w:val="00447AA5"/>
    <w:rsid w:val="00447D3D"/>
    <w:rsid w:val="0045087E"/>
    <w:rsid w:val="0045140F"/>
    <w:rsid w:val="00454A26"/>
    <w:rsid w:val="00455AA9"/>
    <w:rsid w:val="00455BBE"/>
    <w:rsid w:val="00456CA9"/>
    <w:rsid w:val="00457D55"/>
    <w:rsid w:val="004604CF"/>
    <w:rsid w:val="004605F8"/>
    <w:rsid w:val="0046132A"/>
    <w:rsid w:val="00461557"/>
    <w:rsid w:val="0046184B"/>
    <w:rsid w:val="004623E8"/>
    <w:rsid w:val="00462C8B"/>
    <w:rsid w:val="004634FA"/>
    <w:rsid w:val="0046424D"/>
    <w:rsid w:val="0046611C"/>
    <w:rsid w:val="00470436"/>
    <w:rsid w:val="00471154"/>
    <w:rsid w:val="00471AEE"/>
    <w:rsid w:val="00472846"/>
    <w:rsid w:val="00473294"/>
    <w:rsid w:val="00474619"/>
    <w:rsid w:val="00474A16"/>
    <w:rsid w:val="00474B77"/>
    <w:rsid w:val="00475837"/>
    <w:rsid w:val="0047601F"/>
    <w:rsid w:val="0047620D"/>
    <w:rsid w:val="004776AB"/>
    <w:rsid w:val="00477D12"/>
    <w:rsid w:val="00480796"/>
    <w:rsid w:val="0048145C"/>
    <w:rsid w:val="004833F3"/>
    <w:rsid w:val="0048341B"/>
    <w:rsid w:val="00483C44"/>
    <w:rsid w:val="004849F7"/>
    <w:rsid w:val="00484FBC"/>
    <w:rsid w:val="004852AD"/>
    <w:rsid w:val="00487D8D"/>
    <w:rsid w:val="00487FEC"/>
    <w:rsid w:val="00490D5F"/>
    <w:rsid w:val="004923D3"/>
    <w:rsid w:val="004930FF"/>
    <w:rsid w:val="00493965"/>
    <w:rsid w:val="004942AF"/>
    <w:rsid w:val="004943DF"/>
    <w:rsid w:val="00496B1F"/>
    <w:rsid w:val="0049700F"/>
    <w:rsid w:val="004975B3"/>
    <w:rsid w:val="004A035B"/>
    <w:rsid w:val="004A258B"/>
    <w:rsid w:val="004A25BE"/>
    <w:rsid w:val="004A28C0"/>
    <w:rsid w:val="004A3FD4"/>
    <w:rsid w:val="004A40AA"/>
    <w:rsid w:val="004A49E1"/>
    <w:rsid w:val="004A4CA4"/>
    <w:rsid w:val="004A55C2"/>
    <w:rsid w:val="004A697F"/>
    <w:rsid w:val="004A6D2F"/>
    <w:rsid w:val="004A761E"/>
    <w:rsid w:val="004B0074"/>
    <w:rsid w:val="004B1D0C"/>
    <w:rsid w:val="004B1E33"/>
    <w:rsid w:val="004B2FF7"/>
    <w:rsid w:val="004B4FEF"/>
    <w:rsid w:val="004B61A1"/>
    <w:rsid w:val="004B7BD8"/>
    <w:rsid w:val="004B7C13"/>
    <w:rsid w:val="004C0B6D"/>
    <w:rsid w:val="004C1054"/>
    <w:rsid w:val="004C1426"/>
    <w:rsid w:val="004C3F7F"/>
    <w:rsid w:val="004C42CA"/>
    <w:rsid w:val="004C4FDD"/>
    <w:rsid w:val="004C52F4"/>
    <w:rsid w:val="004D0191"/>
    <w:rsid w:val="004D2FC8"/>
    <w:rsid w:val="004D3996"/>
    <w:rsid w:val="004D39D4"/>
    <w:rsid w:val="004D3BD2"/>
    <w:rsid w:val="004D42DE"/>
    <w:rsid w:val="004D4A4F"/>
    <w:rsid w:val="004D5892"/>
    <w:rsid w:val="004D6581"/>
    <w:rsid w:val="004D6906"/>
    <w:rsid w:val="004D7832"/>
    <w:rsid w:val="004E3458"/>
    <w:rsid w:val="004E3D87"/>
    <w:rsid w:val="004E474F"/>
    <w:rsid w:val="004E6A6E"/>
    <w:rsid w:val="004E713E"/>
    <w:rsid w:val="004F0C2A"/>
    <w:rsid w:val="004F105F"/>
    <w:rsid w:val="004F2294"/>
    <w:rsid w:val="004F2509"/>
    <w:rsid w:val="004F300D"/>
    <w:rsid w:val="004F3373"/>
    <w:rsid w:val="004F33A7"/>
    <w:rsid w:val="004F4851"/>
    <w:rsid w:val="004F4F9A"/>
    <w:rsid w:val="004F5D30"/>
    <w:rsid w:val="004F7CFE"/>
    <w:rsid w:val="005000D2"/>
    <w:rsid w:val="00500287"/>
    <w:rsid w:val="00501753"/>
    <w:rsid w:val="00503E77"/>
    <w:rsid w:val="005043D6"/>
    <w:rsid w:val="00504FD5"/>
    <w:rsid w:val="00506AEA"/>
    <w:rsid w:val="00506E65"/>
    <w:rsid w:val="005070C9"/>
    <w:rsid w:val="00507E01"/>
    <w:rsid w:val="00510B11"/>
    <w:rsid w:val="00512C03"/>
    <w:rsid w:val="00512DE1"/>
    <w:rsid w:val="0051487E"/>
    <w:rsid w:val="00514BE0"/>
    <w:rsid w:val="00514D16"/>
    <w:rsid w:val="00515553"/>
    <w:rsid w:val="0051642E"/>
    <w:rsid w:val="0051645E"/>
    <w:rsid w:val="00523385"/>
    <w:rsid w:val="00523CB7"/>
    <w:rsid w:val="00523EAA"/>
    <w:rsid w:val="0052449B"/>
    <w:rsid w:val="00524957"/>
    <w:rsid w:val="0052579B"/>
    <w:rsid w:val="005269C3"/>
    <w:rsid w:val="00526AA5"/>
    <w:rsid w:val="00526B57"/>
    <w:rsid w:val="00530170"/>
    <w:rsid w:val="0053022B"/>
    <w:rsid w:val="00530C72"/>
    <w:rsid w:val="00531494"/>
    <w:rsid w:val="00532A1B"/>
    <w:rsid w:val="005333BE"/>
    <w:rsid w:val="00534598"/>
    <w:rsid w:val="005346F5"/>
    <w:rsid w:val="005368F7"/>
    <w:rsid w:val="00536A71"/>
    <w:rsid w:val="00536FEE"/>
    <w:rsid w:val="0054068A"/>
    <w:rsid w:val="005409CF"/>
    <w:rsid w:val="00540E99"/>
    <w:rsid w:val="00543DF9"/>
    <w:rsid w:val="0054415E"/>
    <w:rsid w:val="00544653"/>
    <w:rsid w:val="005449D2"/>
    <w:rsid w:val="00545E79"/>
    <w:rsid w:val="00546570"/>
    <w:rsid w:val="00546CF9"/>
    <w:rsid w:val="005532A3"/>
    <w:rsid w:val="005537F4"/>
    <w:rsid w:val="00553C9E"/>
    <w:rsid w:val="00553EBC"/>
    <w:rsid w:val="00555552"/>
    <w:rsid w:val="00555B19"/>
    <w:rsid w:val="00556E07"/>
    <w:rsid w:val="005573FF"/>
    <w:rsid w:val="005576AF"/>
    <w:rsid w:val="00557A0D"/>
    <w:rsid w:val="0056062C"/>
    <w:rsid w:val="00561FAF"/>
    <w:rsid w:val="0056230B"/>
    <w:rsid w:val="00563E7B"/>
    <w:rsid w:val="005649EE"/>
    <w:rsid w:val="00564CC7"/>
    <w:rsid w:val="00565387"/>
    <w:rsid w:val="005655A5"/>
    <w:rsid w:val="005664E2"/>
    <w:rsid w:val="0056703B"/>
    <w:rsid w:val="0057001B"/>
    <w:rsid w:val="00570387"/>
    <w:rsid w:val="005704F0"/>
    <w:rsid w:val="005712D5"/>
    <w:rsid w:val="00572CDD"/>
    <w:rsid w:val="00573315"/>
    <w:rsid w:val="0057458D"/>
    <w:rsid w:val="00574FA2"/>
    <w:rsid w:val="0057527B"/>
    <w:rsid w:val="00575B20"/>
    <w:rsid w:val="00576645"/>
    <w:rsid w:val="00576C51"/>
    <w:rsid w:val="005778FC"/>
    <w:rsid w:val="00580CA5"/>
    <w:rsid w:val="00581119"/>
    <w:rsid w:val="005828AE"/>
    <w:rsid w:val="00582FA6"/>
    <w:rsid w:val="005841C0"/>
    <w:rsid w:val="00584561"/>
    <w:rsid w:val="0058555B"/>
    <w:rsid w:val="00585BF2"/>
    <w:rsid w:val="00585CFD"/>
    <w:rsid w:val="00585E2C"/>
    <w:rsid w:val="00587EC4"/>
    <w:rsid w:val="0059024B"/>
    <w:rsid w:val="005903EB"/>
    <w:rsid w:val="00591074"/>
    <w:rsid w:val="00591564"/>
    <w:rsid w:val="00591F80"/>
    <w:rsid w:val="005924E8"/>
    <w:rsid w:val="00592BFF"/>
    <w:rsid w:val="00592FCE"/>
    <w:rsid w:val="00593777"/>
    <w:rsid w:val="005943EE"/>
    <w:rsid w:val="00594850"/>
    <w:rsid w:val="0059521E"/>
    <w:rsid w:val="00595453"/>
    <w:rsid w:val="00595C29"/>
    <w:rsid w:val="005966CC"/>
    <w:rsid w:val="005969D8"/>
    <w:rsid w:val="00596A66"/>
    <w:rsid w:val="00597C55"/>
    <w:rsid w:val="005A09A9"/>
    <w:rsid w:val="005A0FA0"/>
    <w:rsid w:val="005A16BB"/>
    <w:rsid w:val="005A1907"/>
    <w:rsid w:val="005A279E"/>
    <w:rsid w:val="005A305F"/>
    <w:rsid w:val="005A4936"/>
    <w:rsid w:val="005A5152"/>
    <w:rsid w:val="005A6E95"/>
    <w:rsid w:val="005B04D3"/>
    <w:rsid w:val="005B27A6"/>
    <w:rsid w:val="005B2927"/>
    <w:rsid w:val="005B3394"/>
    <w:rsid w:val="005B3E97"/>
    <w:rsid w:val="005B46BC"/>
    <w:rsid w:val="005B4A7F"/>
    <w:rsid w:val="005B4F94"/>
    <w:rsid w:val="005B5692"/>
    <w:rsid w:val="005B5954"/>
    <w:rsid w:val="005B628F"/>
    <w:rsid w:val="005B6788"/>
    <w:rsid w:val="005B715C"/>
    <w:rsid w:val="005B7EC1"/>
    <w:rsid w:val="005C137E"/>
    <w:rsid w:val="005C1C6F"/>
    <w:rsid w:val="005C2021"/>
    <w:rsid w:val="005C2164"/>
    <w:rsid w:val="005C357D"/>
    <w:rsid w:val="005C44AC"/>
    <w:rsid w:val="005C67F0"/>
    <w:rsid w:val="005C7505"/>
    <w:rsid w:val="005D1B12"/>
    <w:rsid w:val="005D1CF9"/>
    <w:rsid w:val="005D1F41"/>
    <w:rsid w:val="005D239A"/>
    <w:rsid w:val="005D2DAD"/>
    <w:rsid w:val="005D2F91"/>
    <w:rsid w:val="005D37B0"/>
    <w:rsid w:val="005D4662"/>
    <w:rsid w:val="005D4BF7"/>
    <w:rsid w:val="005D5A1D"/>
    <w:rsid w:val="005D6485"/>
    <w:rsid w:val="005D6E66"/>
    <w:rsid w:val="005D7806"/>
    <w:rsid w:val="005D783E"/>
    <w:rsid w:val="005D787B"/>
    <w:rsid w:val="005E00C7"/>
    <w:rsid w:val="005E08E9"/>
    <w:rsid w:val="005E0A94"/>
    <w:rsid w:val="005E0FC5"/>
    <w:rsid w:val="005E1687"/>
    <w:rsid w:val="005E1DE0"/>
    <w:rsid w:val="005E1FFC"/>
    <w:rsid w:val="005E4608"/>
    <w:rsid w:val="005E53AA"/>
    <w:rsid w:val="005E56B4"/>
    <w:rsid w:val="005E5F70"/>
    <w:rsid w:val="005E61BB"/>
    <w:rsid w:val="005E6935"/>
    <w:rsid w:val="005F0275"/>
    <w:rsid w:val="005F07B2"/>
    <w:rsid w:val="005F1698"/>
    <w:rsid w:val="005F26C6"/>
    <w:rsid w:val="005F2DD7"/>
    <w:rsid w:val="005F31A9"/>
    <w:rsid w:val="005F3E39"/>
    <w:rsid w:val="005F47FD"/>
    <w:rsid w:val="005F5091"/>
    <w:rsid w:val="005F5EC0"/>
    <w:rsid w:val="005F6200"/>
    <w:rsid w:val="005F74DA"/>
    <w:rsid w:val="005F7FC5"/>
    <w:rsid w:val="006008B2"/>
    <w:rsid w:val="00600CC4"/>
    <w:rsid w:val="00600E84"/>
    <w:rsid w:val="00601E1D"/>
    <w:rsid w:val="00602726"/>
    <w:rsid w:val="00603AA7"/>
    <w:rsid w:val="006048BE"/>
    <w:rsid w:val="00604A64"/>
    <w:rsid w:val="0060530D"/>
    <w:rsid w:val="00605440"/>
    <w:rsid w:val="006054C0"/>
    <w:rsid w:val="006058BD"/>
    <w:rsid w:val="00605BEC"/>
    <w:rsid w:val="00605F86"/>
    <w:rsid w:val="006064BD"/>
    <w:rsid w:val="00607702"/>
    <w:rsid w:val="00610007"/>
    <w:rsid w:val="00610422"/>
    <w:rsid w:val="006104C6"/>
    <w:rsid w:val="00610D73"/>
    <w:rsid w:val="006110E3"/>
    <w:rsid w:val="0061130C"/>
    <w:rsid w:val="00611B2A"/>
    <w:rsid w:val="00611BFD"/>
    <w:rsid w:val="00614D26"/>
    <w:rsid w:val="006165C7"/>
    <w:rsid w:val="0061715A"/>
    <w:rsid w:val="006171E7"/>
    <w:rsid w:val="00617B7C"/>
    <w:rsid w:val="00617BD1"/>
    <w:rsid w:val="00620E0C"/>
    <w:rsid w:val="00621352"/>
    <w:rsid w:val="00623BEB"/>
    <w:rsid w:val="00623C1C"/>
    <w:rsid w:val="00625528"/>
    <w:rsid w:val="006257FF"/>
    <w:rsid w:val="00625D37"/>
    <w:rsid w:val="0062771B"/>
    <w:rsid w:val="00627FFE"/>
    <w:rsid w:val="006304A1"/>
    <w:rsid w:val="00630B20"/>
    <w:rsid w:val="00631C1A"/>
    <w:rsid w:val="0063320B"/>
    <w:rsid w:val="0063379F"/>
    <w:rsid w:val="00633D63"/>
    <w:rsid w:val="006342BF"/>
    <w:rsid w:val="00636A00"/>
    <w:rsid w:val="00636A8B"/>
    <w:rsid w:val="00637E8E"/>
    <w:rsid w:val="00641EA4"/>
    <w:rsid w:val="00641FF3"/>
    <w:rsid w:val="006421C3"/>
    <w:rsid w:val="006422A9"/>
    <w:rsid w:val="00642549"/>
    <w:rsid w:val="00642C37"/>
    <w:rsid w:val="00643369"/>
    <w:rsid w:val="00644DDF"/>
    <w:rsid w:val="00650081"/>
    <w:rsid w:val="00651412"/>
    <w:rsid w:val="00651B28"/>
    <w:rsid w:val="00651D55"/>
    <w:rsid w:val="00652ABF"/>
    <w:rsid w:val="00652C25"/>
    <w:rsid w:val="00652C64"/>
    <w:rsid w:val="00652DA6"/>
    <w:rsid w:val="00653A27"/>
    <w:rsid w:val="006549CD"/>
    <w:rsid w:val="00655298"/>
    <w:rsid w:val="00655D87"/>
    <w:rsid w:val="006570A6"/>
    <w:rsid w:val="00657393"/>
    <w:rsid w:val="00660686"/>
    <w:rsid w:val="00663EA1"/>
    <w:rsid w:val="006648C0"/>
    <w:rsid w:val="00665F95"/>
    <w:rsid w:val="00666793"/>
    <w:rsid w:val="006670C7"/>
    <w:rsid w:val="006674E5"/>
    <w:rsid w:val="006677F1"/>
    <w:rsid w:val="006679BB"/>
    <w:rsid w:val="00670740"/>
    <w:rsid w:val="00671801"/>
    <w:rsid w:val="00671C35"/>
    <w:rsid w:val="00671D9D"/>
    <w:rsid w:val="006724D4"/>
    <w:rsid w:val="00673C78"/>
    <w:rsid w:val="0067587D"/>
    <w:rsid w:val="00676C89"/>
    <w:rsid w:val="00682A84"/>
    <w:rsid w:val="00683208"/>
    <w:rsid w:val="00683DC6"/>
    <w:rsid w:val="00684C52"/>
    <w:rsid w:val="006850A4"/>
    <w:rsid w:val="006851EE"/>
    <w:rsid w:val="00686444"/>
    <w:rsid w:val="0068664C"/>
    <w:rsid w:val="00687381"/>
    <w:rsid w:val="00687BD0"/>
    <w:rsid w:val="00691559"/>
    <w:rsid w:val="0069334E"/>
    <w:rsid w:val="00693EB1"/>
    <w:rsid w:val="00694C76"/>
    <w:rsid w:val="00695B5F"/>
    <w:rsid w:val="00696FBD"/>
    <w:rsid w:val="00697739"/>
    <w:rsid w:val="006A0B54"/>
    <w:rsid w:val="006A35EA"/>
    <w:rsid w:val="006A3791"/>
    <w:rsid w:val="006A3C41"/>
    <w:rsid w:val="006A40B5"/>
    <w:rsid w:val="006A4499"/>
    <w:rsid w:val="006A5C03"/>
    <w:rsid w:val="006A5F96"/>
    <w:rsid w:val="006A65E6"/>
    <w:rsid w:val="006A6E8C"/>
    <w:rsid w:val="006A6F60"/>
    <w:rsid w:val="006A7B97"/>
    <w:rsid w:val="006B1D6C"/>
    <w:rsid w:val="006B252F"/>
    <w:rsid w:val="006B287D"/>
    <w:rsid w:val="006B2956"/>
    <w:rsid w:val="006B2C18"/>
    <w:rsid w:val="006B3285"/>
    <w:rsid w:val="006B439E"/>
    <w:rsid w:val="006B4757"/>
    <w:rsid w:val="006B57DE"/>
    <w:rsid w:val="006B5C6A"/>
    <w:rsid w:val="006B63BA"/>
    <w:rsid w:val="006B63BF"/>
    <w:rsid w:val="006B6405"/>
    <w:rsid w:val="006C1F3D"/>
    <w:rsid w:val="006C3069"/>
    <w:rsid w:val="006C372F"/>
    <w:rsid w:val="006C43DF"/>
    <w:rsid w:val="006C4865"/>
    <w:rsid w:val="006C53ED"/>
    <w:rsid w:val="006C61BE"/>
    <w:rsid w:val="006C658E"/>
    <w:rsid w:val="006C7C28"/>
    <w:rsid w:val="006D1382"/>
    <w:rsid w:val="006D192D"/>
    <w:rsid w:val="006D215E"/>
    <w:rsid w:val="006D3488"/>
    <w:rsid w:val="006D38EE"/>
    <w:rsid w:val="006D4876"/>
    <w:rsid w:val="006D4E4D"/>
    <w:rsid w:val="006D540A"/>
    <w:rsid w:val="006D59C3"/>
    <w:rsid w:val="006D5D09"/>
    <w:rsid w:val="006D5FC6"/>
    <w:rsid w:val="006D64EA"/>
    <w:rsid w:val="006D6661"/>
    <w:rsid w:val="006D666E"/>
    <w:rsid w:val="006E04B9"/>
    <w:rsid w:val="006E124E"/>
    <w:rsid w:val="006E438A"/>
    <w:rsid w:val="006E5430"/>
    <w:rsid w:val="006E550C"/>
    <w:rsid w:val="006E5D9A"/>
    <w:rsid w:val="006E60E3"/>
    <w:rsid w:val="006E7714"/>
    <w:rsid w:val="006F1931"/>
    <w:rsid w:val="006F2073"/>
    <w:rsid w:val="006F2E79"/>
    <w:rsid w:val="006F44F6"/>
    <w:rsid w:val="006F4E9F"/>
    <w:rsid w:val="006F520E"/>
    <w:rsid w:val="006F5BC9"/>
    <w:rsid w:val="006F7E05"/>
    <w:rsid w:val="007003D8"/>
    <w:rsid w:val="00700D3A"/>
    <w:rsid w:val="00701BCE"/>
    <w:rsid w:val="0070211E"/>
    <w:rsid w:val="00702EE9"/>
    <w:rsid w:val="007035F4"/>
    <w:rsid w:val="00705302"/>
    <w:rsid w:val="007064B5"/>
    <w:rsid w:val="00707850"/>
    <w:rsid w:val="00707A45"/>
    <w:rsid w:val="00710828"/>
    <w:rsid w:val="00711BFB"/>
    <w:rsid w:val="007124E5"/>
    <w:rsid w:val="00712E61"/>
    <w:rsid w:val="00714E19"/>
    <w:rsid w:val="00714EA1"/>
    <w:rsid w:val="00715FD2"/>
    <w:rsid w:val="00716B59"/>
    <w:rsid w:val="00720918"/>
    <w:rsid w:val="00722D11"/>
    <w:rsid w:val="00724B9E"/>
    <w:rsid w:val="00726AE2"/>
    <w:rsid w:val="00726D2E"/>
    <w:rsid w:val="00727505"/>
    <w:rsid w:val="00730889"/>
    <w:rsid w:val="007310C0"/>
    <w:rsid w:val="00731121"/>
    <w:rsid w:val="0073236A"/>
    <w:rsid w:val="00733D26"/>
    <w:rsid w:val="00734CEB"/>
    <w:rsid w:val="007350CC"/>
    <w:rsid w:val="00736A86"/>
    <w:rsid w:val="007373B7"/>
    <w:rsid w:val="00737A25"/>
    <w:rsid w:val="00740945"/>
    <w:rsid w:val="00740FA2"/>
    <w:rsid w:val="00741146"/>
    <w:rsid w:val="00741F07"/>
    <w:rsid w:val="0074230B"/>
    <w:rsid w:val="00742DCF"/>
    <w:rsid w:val="00742F44"/>
    <w:rsid w:val="0074418A"/>
    <w:rsid w:val="00744FF1"/>
    <w:rsid w:val="00745338"/>
    <w:rsid w:val="00745458"/>
    <w:rsid w:val="0074598A"/>
    <w:rsid w:val="007470B1"/>
    <w:rsid w:val="00750C32"/>
    <w:rsid w:val="007511A8"/>
    <w:rsid w:val="00751AAF"/>
    <w:rsid w:val="00752672"/>
    <w:rsid w:val="00752A2F"/>
    <w:rsid w:val="007530A2"/>
    <w:rsid w:val="007533F7"/>
    <w:rsid w:val="0075357A"/>
    <w:rsid w:val="00753A1D"/>
    <w:rsid w:val="00753B39"/>
    <w:rsid w:val="00754075"/>
    <w:rsid w:val="00754B96"/>
    <w:rsid w:val="00755136"/>
    <w:rsid w:val="00756167"/>
    <w:rsid w:val="00756AEE"/>
    <w:rsid w:val="00760983"/>
    <w:rsid w:val="00760F0B"/>
    <w:rsid w:val="00761645"/>
    <w:rsid w:val="00762D7B"/>
    <w:rsid w:val="00763880"/>
    <w:rsid w:val="00764525"/>
    <w:rsid w:val="007647A5"/>
    <w:rsid w:val="00766A82"/>
    <w:rsid w:val="007702D6"/>
    <w:rsid w:val="007702DF"/>
    <w:rsid w:val="007704B6"/>
    <w:rsid w:val="00770E63"/>
    <w:rsid w:val="00771BAD"/>
    <w:rsid w:val="00772E32"/>
    <w:rsid w:val="0077323C"/>
    <w:rsid w:val="00773DBF"/>
    <w:rsid w:val="007746C8"/>
    <w:rsid w:val="007754FD"/>
    <w:rsid w:val="0077632E"/>
    <w:rsid w:val="007771BD"/>
    <w:rsid w:val="00777DE2"/>
    <w:rsid w:val="00777E75"/>
    <w:rsid w:val="00780872"/>
    <w:rsid w:val="00781EF7"/>
    <w:rsid w:val="00781F0F"/>
    <w:rsid w:val="007829A5"/>
    <w:rsid w:val="007849D0"/>
    <w:rsid w:val="00785798"/>
    <w:rsid w:val="007861EB"/>
    <w:rsid w:val="0078677D"/>
    <w:rsid w:val="0078761D"/>
    <w:rsid w:val="00787AAA"/>
    <w:rsid w:val="0079069E"/>
    <w:rsid w:val="00792D56"/>
    <w:rsid w:val="00793C9F"/>
    <w:rsid w:val="0079491E"/>
    <w:rsid w:val="00794CAB"/>
    <w:rsid w:val="007960C8"/>
    <w:rsid w:val="00796281"/>
    <w:rsid w:val="00797CFA"/>
    <w:rsid w:val="007A1069"/>
    <w:rsid w:val="007A1880"/>
    <w:rsid w:val="007A1E78"/>
    <w:rsid w:val="007A1FB8"/>
    <w:rsid w:val="007A2C82"/>
    <w:rsid w:val="007A3404"/>
    <w:rsid w:val="007A44F3"/>
    <w:rsid w:val="007A4A56"/>
    <w:rsid w:val="007A61EE"/>
    <w:rsid w:val="007A629F"/>
    <w:rsid w:val="007B0CF2"/>
    <w:rsid w:val="007B0FCA"/>
    <w:rsid w:val="007B107C"/>
    <w:rsid w:val="007B11B3"/>
    <w:rsid w:val="007B24D6"/>
    <w:rsid w:val="007B29ED"/>
    <w:rsid w:val="007B2D48"/>
    <w:rsid w:val="007B3227"/>
    <w:rsid w:val="007B3374"/>
    <w:rsid w:val="007B3D8C"/>
    <w:rsid w:val="007B41A7"/>
    <w:rsid w:val="007B4D2A"/>
    <w:rsid w:val="007B4D97"/>
    <w:rsid w:val="007B5E1E"/>
    <w:rsid w:val="007B71C3"/>
    <w:rsid w:val="007B7E88"/>
    <w:rsid w:val="007C080E"/>
    <w:rsid w:val="007C0A49"/>
    <w:rsid w:val="007C116C"/>
    <w:rsid w:val="007C1AD2"/>
    <w:rsid w:val="007C2188"/>
    <w:rsid w:val="007C340A"/>
    <w:rsid w:val="007C3A6D"/>
    <w:rsid w:val="007C4861"/>
    <w:rsid w:val="007C4E04"/>
    <w:rsid w:val="007C542F"/>
    <w:rsid w:val="007C6F9D"/>
    <w:rsid w:val="007D0A0B"/>
    <w:rsid w:val="007D0DD5"/>
    <w:rsid w:val="007D2AC6"/>
    <w:rsid w:val="007D4862"/>
    <w:rsid w:val="007D495B"/>
    <w:rsid w:val="007D5F4F"/>
    <w:rsid w:val="007D6798"/>
    <w:rsid w:val="007D6B83"/>
    <w:rsid w:val="007D72FA"/>
    <w:rsid w:val="007D7FD5"/>
    <w:rsid w:val="007E24C6"/>
    <w:rsid w:val="007E3437"/>
    <w:rsid w:val="007E38F7"/>
    <w:rsid w:val="007E3FC7"/>
    <w:rsid w:val="007E411C"/>
    <w:rsid w:val="007E5132"/>
    <w:rsid w:val="007E5895"/>
    <w:rsid w:val="007E6CF8"/>
    <w:rsid w:val="007E6F0D"/>
    <w:rsid w:val="007E71B9"/>
    <w:rsid w:val="007F13CF"/>
    <w:rsid w:val="007F1A53"/>
    <w:rsid w:val="007F1FFD"/>
    <w:rsid w:val="007F2B73"/>
    <w:rsid w:val="007F30DC"/>
    <w:rsid w:val="007F30FD"/>
    <w:rsid w:val="007F3F93"/>
    <w:rsid w:val="007F5B46"/>
    <w:rsid w:val="007F5E04"/>
    <w:rsid w:val="007F686B"/>
    <w:rsid w:val="007F689F"/>
    <w:rsid w:val="007F7847"/>
    <w:rsid w:val="007F7979"/>
    <w:rsid w:val="007F7F83"/>
    <w:rsid w:val="00801DB2"/>
    <w:rsid w:val="00802082"/>
    <w:rsid w:val="00802A8C"/>
    <w:rsid w:val="008031B5"/>
    <w:rsid w:val="008034B0"/>
    <w:rsid w:val="0080426B"/>
    <w:rsid w:val="0080487A"/>
    <w:rsid w:val="008057EC"/>
    <w:rsid w:val="00807547"/>
    <w:rsid w:val="0080778C"/>
    <w:rsid w:val="008108BE"/>
    <w:rsid w:val="00810EE2"/>
    <w:rsid w:val="00811294"/>
    <w:rsid w:val="00812382"/>
    <w:rsid w:val="0081320A"/>
    <w:rsid w:val="00813B0A"/>
    <w:rsid w:val="008151F5"/>
    <w:rsid w:val="008155CE"/>
    <w:rsid w:val="00816B04"/>
    <w:rsid w:val="00821DED"/>
    <w:rsid w:val="00822A63"/>
    <w:rsid w:val="00824B9F"/>
    <w:rsid w:val="00826C6A"/>
    <w:rsid w:val="008278F1"/>
    <w:rsid w:val="0083025D"/>
    <w:rsid w:val="0083087C"/>
    <w:rsid w:val="00830D17"/>
    <w:rsid w:val="0083153F"/>
    <w:rsid w:val="00831937"/>
    <w:rsid w:val="00831A36"/>
    <w:rsid w:val="00832997"/>
    <w:rsid w:val="00832DED"/>
    <w:rsid w:val="008332E2"/>
    <w:rsid w:val="0083384A"/>
    <w:rsid w:val="00833976"/>
    <w:rsid w:val="00834785"/>
    <w:rsid w:val="00834DB7"/>
    <w:rsid w:val="00834F40"/>
    <w:rsid w:val="00835FE7"/>
    <w:rsid w:val="0083718F"/>
    <w:rsid w:val="00837E40"/>
    <w:rsid w:val="0084078D"/>
    <w:rsid w:val="00840B55"/>
    <w:rsid w:val="00844661"/>
    <w:rsid w:val="00844D6D"/>
    <w:rsid w:val="008450FA"/>
    <w:rsid w:val="00845320"/>
    <w:rsid w:val="008462E8"/>
    <w:rsid w:val="0084683C"/>
    <w:rsid w:val="00846F8C"/>
    <w:rsid w:val="0084727C"/>
    <w:rsid w:val="008473A9"/>
    <w:rsid w:val="00850312"/>
    <w:rsid w:val="00850895"/>
    <w:rsid w:val="00850BB2"/>
    <w:rsid w:val="00850F9C"/>
    <w:rsid w:val="008515DD"/>
    <w:rsid w:val="00851FB4"/>
    <w:rsid w:val="008529EF"/>
    <w:rsid w:val="00853719"/>
    <w:rsid w:val="00853816"/>
    <w:rsid w:val="00853F9D"/>
    <w:rsid w:val="008543BD"/>
    <w:rsid w:val="00854746"/>
    <w:rsid w:val="00854E59"/>
    <w:rsid w:val="00855EEF"/>
    <w:rsid w:val="00856ADA"/>
    <w:rsid w:val="00857550"/>
    <w:rsid w:val="008610BD"/>
    <w:rsid w:val="00861B98"/>
    <w:rsid w:val="00862549"/>
    <w:rsid w:val="00862FFA"/>
    <w:rsid w:val="0086327C"/>
    <w:rsid w:val="008644C3"/>
    <w:rsid w:val="0086493C"/>
    <w:rsid w:val="00864A06"/>
    <w:rsid w:val="00864AD1"/>
    <w:rsid w:val="00864F38"/>
    <w:rsid w:val="00866F23"/>
    <w:rsid w:val="00867439"/>
    <w:rsid w:val="008679B4"/>
    <w:rsid w:val="008719F6"/>
    <w:rsid w:val="00873E11"/>
    <w:rsid w:val="0087404E"/>
    <w:rsid w:val="00874836"/>
    <w:rsid w:val="00875253"/>
    <w:rsid w:val="008760F6"/>
    <w:rsid w:val="008769A4"/>
    <w:rsid w:val="0087739E"/>
    <w:rsid w:val="00877D31"/>
    <w:rsid w:val="00880231"/>
    <w:rsid w:val="00880C83"/>
    <w:rsid w:val="008812B5"/>
    <w:rsid w:val="0088137C"/>
    <w:rsid w:val="00881609"/>
    <w:rsid w:val="0088184D"/>
    <w:rsid w:val="00881C72"/>
    <w:rsid w:val="0088203B"/>
    <w:rsid w:val="00882D17"/>
    <w:rsid w:val="00885DF5"/>
    <w:rsid w:val="00886271"/>
    <w:rsid w:val="008864DB"/>
    <w:rsid w:val="00886F83"/>
    <w:rsid w:val="00890420"/>
    <w:rsid w:val="00890BA1"/>
    <w:rsid w:val="00892DB6"/>
    <w:rsid w:val="008931C1"/>
    <w:rsid w:val="00893F42"/>
    <w:rsid w:val="00894184"/>
    <w:rsid w:val="00894A04"/>
    <w:rsid w:val="00894C0B"/>
    <w:rsid w:val="00895C9D"/>
    <w:rsid w:val="00896790"/>
    <w:rsid w:val="00896875"/>
    <w:rsid w:val="00896DCE"/>
    <w:rsid w:val="00897195"/>
    <w:rsid w:val="00897473"/>
    <w:rsid w:val="00897524"/>
    <w:rsid w:val="008975A3"/>
    <w:rsid w:val="008A0B55"/>
    <w:rsid w:val="008A1CBD"/>
    <w:rsid w:val="008A2D80"/>
    <w:rsid w:val="008A30FF"/>
    <w:rsid w:val="008A316D"/>
    <w:rsid w:val="008A35F5"/>
    <w:rsid w:val="008A420D"/>
    <w:rsid w:val="008A452F"/>
    <w:rsid w:val="008A4AC0"/>
    <w:rsid w:val="008A5279"/>
    <w:rsid w:val="008A54DF"/>
    <w:rsid w:val="008A5586"/>
    <w:rsid w:val="008A6438"/>
    <w:rsid w:val="008A658A"/>
    <w:rsid w:val="008A72A8"/>
    <w:rsid w:val="008B2E66"/>
    <w:rsid w:val="008B4799"/>
    <w:rsid w:val="008B5758"/>
    <w:rsid w:val="008B6180"/>
    <w:rsid w:val="008B71D0"/>
    <w:rsid w:val="008B7EE8"/>
    <w:rsid w:val="008C17F9"/>
    <w:rsid w:val="008C2BFB"/>
    <w:rsid w:val="008C2E11"/>
    <w:rsid w:val="008C5665"/>
    <w:rsid w:val="008C5A29"/>
    <w:rsid w:val="008C663A"/>
    <w:rsid w:val="008C70D9"/>
    <w:rsid w:val="008C7428"/>
    <w:rsid w:val="008D1812"/>
    <w:rsid w:val="008D1A60"/>
    <w:rsid w:val="008D2547"/>
    <w:rsid w:val="008D260D"/>
    <w:rsid w:val="008D2BA6"/>
    <w:rsid w:val="008D316A"/>
    <w:rsid w:val="008D3C5B"/>
    <w:rsid w:val="008D54C1"/>
    <w:rsid w:val="008D5978"/>
    <w:rsid w:val="008D6BB2"/>
    <w:rsid w:val="008D7043"/>
    <w:rsid w:val="008D7944"/>
    <w:rsid w:val="008E116B"/>
    <w:rsid w:val="008E136A"/>
    <w:rsid w:val="008E1764"/>
    <w:rsid w:val="008E36F2"/>
    <w:rsid w:val="008E36FA"/>
    <w:rsid w:val="008E3E24"/>
    <w:rsid w:val="008E4159"/>
    <w:rsid w:val="008E5474"/>
    <w:rsid w:val="008E588E"/>
    <w:rsid w:val="008E5B38"/>
    <w:rsid w:val="008E6B3E"/>
    <w:rsid w:val="008E6DF5"/>
    <w:rsid w:val="008F089D"/>
    <w:rsid w:val="008F12E9"/>
    <w:rsid w:val="008F18DF"/>
    <w:rsid w:val="008F25CA"/>
    <w:rsid w:val="008F3142"/>
    <w:rsid w:val="008F3150"/>
    <w:rsid w:val="008F3D91"/>
    <w:rsid w:val="008F4CB2"/>
    <w:rsid w:val="008F4DFB"/>
    <w:rsid w:val="00901112"/>
    <w:rsid w:val="0090158E"/>
    <w:rsid w:val="00902EA1"/>
    <w:rsid w:val="00902F55"/>
    <w:rsid w:val="0090494E"/>
    <w:rsid w:val="00904AC2"/>
    <w:rsid w:val="00905955"/>
    <w:rsid w:val="00906141"/>
    <w:rsid w:val="00906FAC"/>
    <w:rsid w:val="00910011"/>
    <w:rsid w:val="00910FC9"/>
    <w:rsid w:val="009114A0"/>
    <w:rsid w:val="00911AB4"/>
    <w:rsid w:val="00912320"/>
    <w:rsid w:val="00912501"/>
    <w:rsid w:val="0091309C"/>
    <w:rsid w:val="009142FC"/>
    <w:rsid w:val="00914AAD"/>
    <w:rsid w:val="00914C50"/>
    <w:rsid w:val="00915D96"/>
    <w:rsid w:val="00915F13"/>
    <w:rsid w:val="00916624"/>
    <w:rsid w:val="00916C5C"/>
    <w:rsid w:val="00917D33"/>
    <w:rsid w:val="00917E49"/>
    <w:rsid w:val="00920C31"/>
    <w:rsid w:val="00920FBB"/>
    <w:rsid w:val="00921A98"/>
    <w:rsid w:val="00921F8B"/>
    <w:rsid w:val="009315CF"/>
    <w:rsid w:val="009319DA"/>
    <w:rsid w:val="0093202E"/>
    <w:rsid w:val="00932BAB"/>
    <w:rsid w:val="0093358F"/>
    <w:rsid w:val="00933D1C"/>
    <w:rsid w:val="0093560F"/>
    <w:rsid w:val="0093641E"/>
    <w:rsid w:val="00936AE0"/>
    <w:rsid w:val="00937875"/>
    <w:rsid w:val="0094045C"/>
    <w:rsid w:val="009407D9"/>
    <w:rsid w:val="00940A0E"/>
    <w:rsid w:val="009420B7"/>
    <w:rsid w:val="009424A0"/>
    <w:rsid w:val="00942F69"/>
    <w:rsid w:val="009430B5"/>
    <w:rsid w:val="009435F2"/>
    <w:rsid w:val="00943835"/>
    <w:rsid w:val="00944890"/>
    <w:rsid w:val="0094505A"/>
    <w:rsid w:val="00946877"/>
    <w:rsid w:val="009504CE"/>
    <w:rsid w:val="00951E7C"/>
    <w:rsid w:val="00952110"/>
    <w:rsid w:val="009531E0"/>
    <w:rsid w:val="009544A6"/>
    <w:rsid w:val="00954BC3"/>
    <w:rsid w:val="009550B1"/>
    <w:rsid w:val="00955783"/>
    <w:rsid w:val="00955B8D"/>
    <w:rsid w:val="0095795E"/>
    <w:rsid w:val="0096025B"/>
    <w:rsid w:val="0096123C"/>
    <w:rsid w:val="009617E9"/>
    <w:rsid w:val="00961F59"/>
    <w:rsid w:val="00962547"/>
    <w:rsid w:val="00963DBB"/>
    <w:rsid w:val="00963F2F"/>
    <w:rsid w:val="00965272"/>
    <w:rsid w:val="00965E38"/>
    <w:rsid w:val="00966AE6"/>
    <w:rsid w:val="00966D9B"/>
    <w:rsid w:val="00967196"/>
    <w:rsid w:val="00967461"/>
    <w:rsid w:val="00967815"/>
    <w:rsid w:val="00970E0B"/>
    <w:rsid w:val="00970EFA"/>
    <w:rsid w:val="00971540"/>
    <w:rsid w:val="00971B7F"/>
    <w:rsid w:val="0097284D"/>
    <w:rsid w:val="00972E43"/>
    <w:rsid w:val="00972F58"/>
    <w:rsid w:val="00973351"/>
    <w:rsid w:val="00973D19"/>
    <w:rsid w:val="00974584"/>
    <w:rsid w:val="00974C5D"/>
    <w:rsid w:val="009752EC"/>
    <w:rsid w:val="0097556E"/>
    <w:rsid w:val="0097611F"/>
    <w:rsid w:val="00976643"/>
    <w:rsid w:val="0098017F"/>
    <w:rsid w:val="00981E2F"/>
    <w:rsid w:val="00981E46"/>
    <w:rsid w:val="009848F5"/>
    <w:rsid w:val="00987036"/>
    <w:rsid w:val="00990713"/>
    <w:rsid w:val="0099122F"/>
    <w:rsid w:val="0099153A"/>
    <w:rsid w:val="00991CE6"/>
    <w:rsid w:val="009951F8"/>
    <w:rsid w:val="00995918"/>
    <w:rsid w:val="0099660B"/>
    <w:rsid w:val="00996CB4"/>
    <w:rsid w:val="009A03FC"/>
    <w:rsid w:val="009A06FF"/>
    <w:rsid w:val="009A0E2D"/>
    <w:rsid w:val="009A1188"/>
    <w:rsid w:val="009A21CB"/>
    <w:rsid w:val="009A252E"/>
    <w:rsid w:val="009A27C1"/>
    <w:rsid w:val="009A308D"/>
    <w:rsid w:val="009A30CB"/>
    <w:rsid w:val="009A49FB"/>
    <w:rsid w:val="009A4ADA"/>
    <w:rsid w:val="009A603D"/>
    <w:rsid w:val="009A63FD"/>
    <w:rsid w:val="009A673E"/>
    <w:rsid w:val="009A689B"/>
    <w:rsid w:val="009B01B1"/>
    <w:rsid w:val="009B041D"/>
    <w:rsid w:val="009B2A13"/>
    <w:rsid w:val="009B333F"/>
    <w:rsid w:val="009B3AD4"/>
    <w:rsid w:val="009B4ECD"/>
    <w:rsid w:val="009B5C4B"/>
    <w:rsid w:val="009B6FA3"/>
    <w:rsid w:val="009B7787"/>
    <w:rsid w:val="009C0190"/>
    <w:rsid w:val="009C0C02"/>
    <w:rsid w:val="009C0EB7"/>
    <w:rsid w:val="009C1C37"/>
    <w:rsid w:val="009C1FBA"/>
    <w:rsid w:val="009C224A"/>
    <w:rsid w:val="009C3E88"/>
    <w:rsid w:val="009C559F"/>
    <w:rsid w:val="009C6E9F"/>
    <w:rsid w:val="009D02EC"/>
    <w:rsid w:val="009D20FE"/>
    <w:rsid w:val="009D251C"/>
    <w:rsid w:val="009D4526"/>
    <w:rsid w:val="009D4560"/>
    <w:rsid w:val="009D4D02"/>
    <w:rsid w:val="009D51C1"/>
    <w:rsid w:val="009D550C"/>
    <w:rsid w:val="009D56B5"/>
    <w:rsid w:val="009D596D"/>
    <w:rsid w:val="009D7AA8"/>
    <w:rsid w:val="009D7F48"/>
    <w:rsid w:val="009E0693"/>
    <w:rsid w:val="009E08B3"/>
    <w:rsid w:val="009E17D9"/>
    <w:rsid w:val="009E22D5"/>
    <w:rsid w:val="009E3C14"/>
    <w:rsid w:val="009E50F0"/>
    <w:rsid w:val="009E61FC"/>
    <w:rsid w:val="009E63AF"/>
    <w:rsid w:val="009E67A2"/>
    <w:rsid w:val="009E6E4E"/>
    <w:rsid w:val="009E7608"/>
    <w:rsid w:val="009E7665"/>
    <w:rsid w:val="009E7BCB"/>
    <w:rsid w:val="009F01F9"/>
    <w:rsid w:val="009F1B6D"/>
    <w:rsid w:val="009F255C"/>
    <w:rsid w:val="009F39AD"/>
    <w:rsid w:val="009F3F2B"/>
    <w:rsid w:val="009F492A"/>
    <w:rsid w:val="009F513E"/>
    <w:rsid w:val="009F5B8B"/>
    <w:rsid w:val="009F710B"/>
    <w:rsid w:val="009F7818"/>
    <w:rsid w:val="00A007E0"/>
    <w:rsid w:val="00A011C3"/>
    <w:rsid w:val="00A026A7"/>
    <w:rsid w:val="00A0303C"/>
    <w:rsid w:val="00A032F5"/>
    <w:rsid w:val="00A044D9"/>
    <w:rsid w:val="00A05E46"/>
    <w:rsid w:val="00A063A3"/>
    <w:rsid w:val="00A063C5"/>
    <w:rsid w:val="00A06407"/>
    <w:rsid w:val="00A06BC0"/>
    <w:rsid w:val="00A07376"/>
    <w:rsid w:val="00A077E6"/>
    <w:rsid w:val="00A103EC"/>
    <w:rsid w:val="00A10770"/>
    <w:rsid w:val="00A109E4"/>
    <w:rsid w:val="00A10EF4"/>
    <w:rsid w:val="00A10F17"/>
    <w:rsid w:val="00A112B4"/>
    <w:rsid w:val="00A1422E"/>
    <w:rsid w:val="00A154A3"/>
    <w:rsid w:val="00A156A3"/>
    <w:rsid w:val="00A157B1"/>
    <w:rsid w:val="00A1675B"/>
    <w:rsid w:val="00A1774C"/>
    <w:rsid w:val="00A1793C"/>
    <w:rsid w:val="00A17ED5"/>
    <w:rsid w:val="00A20193"/>
    <w:rsid w:val="00A201D6"/>
    <w:rsid w:val="00A215C5"/>
    <w:rsid w:val="00A22242"/>
    <w:rsid w:val="00A23289"/>
    <w:rsid w:val="00A23E72"/>
    <w:rsid w:val="00A24086"/>
    <w:rsid w:val="00A245DB"/>
    <w:rsid w:val="00A2558E"/>
    <w:rsid w:val="00A265F8"/>
    <w:rsid w:val="00A30362"/>
    <w:rsid w:val="00A3056A"/>
    <w:rsid w:val="00A30AB0"/>
    <w:rsid w:val="00A3205C"/>
    <w:rsid w:val="00A3224B"/>
    <w:rsid w:val="00A32FAF"/>
    <w:rsid w:val="00A34363"/>
    <w:rsid w:val="00A348AC"/>
    <w:rsid w:val="00A352CC"/>
    <w:rsid w:val="00A35E97"/>
    <w:rsid w:val="00A36592"/>
    <w:rsid w:val="00A379E9"/>
    <w:rsid w:val="00A37C95"/>
    <w:rsid w:val="00A400AA"/>
    <w:rsid w:val="00A40997"/>
    <w:rsid w:val="00A40A3E"/>
    <w:rsid w:val="00A40AFB"/>
    <w:rsid w:val="00A40F38"/>
    <w:rsid w:val="00A419A1"/>
    <w:rsid w:val="00A41BC2"/>
    <w:rsid w:val="00A41F55"/>
    <w:rsid w:val="00A43CA6"/>
    <w:rsid w:val="00A43EC5"/>
    <w:rsid w:val="00A43F63"/>
    <w:rsid w:val="00A46400"/>
    <w:rsid w:val="00A46578"/>
    <w:rsid w:val="00A5107B"/>
    <w:rsid w:val="00A51844"/>
    <w:rsid w:val="00A524F6"/>
    <w:rsid w:val="00A526B2"/>
    <w:rsid w:val="00A529E3"/>
    <w:rsid w:val="00A52BDE"/>
    <w:rsid w:val="00A54069"/>
    <w:rsid w:val="00A54350"/>
    <w:rsid w:val="00A5437D"/>
    <w:rsid w:val="00A54383"/>
    <w:rsid w:val="00A5593A"/>
    <w:rsid w:val="00A55CD0"/>
    <w:rsid w:val="00A5633A"/>
    <w:rsid w:val="00A564B5"/>
    <w:rsid w:val="00A56EEB"/>
    <w:rsid w:val="00A57CD1"/>
    <w:rsid w:val="00A60C35"/>
    <w:rsid w:val="00A61C60"/>
    <w:rsid w:val="00A623D4"/>
    <w:rsid w:val="00A626C0"/>
    <w:rsid w:val="00A62807"/>
    <w:rsid w:val="00A6347B"/>
    <w:rsid w:val="00A63912"/>
    <w:rsid w:val="00A64337"/>
    <w:rsid w:val="00A65806"/>
    <w:rsid w:val="00A65A9B"/>
    <w:rsid w:val="00A66024"/>
    <w:rsid w:val="00A67750"/>
    <w:rsid w:val="00A67873"/>
    <w:rsid w:val="00A67E4E"/>
    <w:rsid w:val="00A7097F"/>
    <w:rsid w:val="00A70D35"/>
    <w:rsid w:val="00A722C9"/>
    <w:rsid w:val="00A72A16"/>
    <w:rsid w:val="00A7346E"/>
    <w:rsid w:val="00A7347D"/>
    <w:rsid w:val="00A742F1"/>
    <w:rsid w:val="00A75635"/>
    <w:rsid w:val="00A769DE"/>
    <w:rsid w:val="00A77621"/>
    <w:rsid w:val="00A77C60"/>
    <w:rsid w:val="00A811AB"/>
    <w:rsid w:val="00A811B4"/>
    <w:rsid w:val="00A830B9"/>
    <w:rsid w:val="00A832CC"/>
    <w:rsid w:val="00A83B0D"/>
    <w:rsid w:val="00A84112"/>
    <w:rsid w:val="00A86C63"/>
    <w:rsid w:val="00A8744A"/>
    <w:rsid w:val="00A87CA8"/>
    <w:rsid w:val="00A909A3"/>
    <w:rsid w:val="00A90ABA"/>
    <w:rsid w:val="00A90F48"/>
    <w:rsid w:val="00A916F2"/>
    <w:rsid w:val="00A91AE7"/>
    <w:rsid w:val="00A91D41"/>
    <w:rsid w:val="00A92F57"/>
    <w:rsid w:val="00A9314B"/>
    <w:rsid w:val="00A94FE3"/>
    <w:rsid w:val="00A9612B"/>
    <w:rsid w:val="00A966A7"/>
    <w:rsid w:val="00AA068B"/>
    <w:rsid w:val="00AA183C"/>
    <w:rsid w:val="00AA21EE"/>
    <w:rsid w:val="00AA2D0B"/>
    <w:rsid w:val="00AA30C5"/>
    <w:rsid w:val="00AA4020"/>
    <w:rsid w:val="00AA4178"/>
    <w:rsid w:val="00AA4727"/>
    <w:rsid w:val="00AA532F"/>
    <w:rsid w:val="00AA5D8C"/>
    <w:rsid w:val="00AA6A9D"/>
    <w:rsid w:val="00AA6C59"/>
    <w:rsid w:val="00AA7808"/>
    <w:rsid w:val="00AB0F8D"/>
    <w:rsid w:val="00AB2D47"/>
    <w:rsid w:val="00AB2F60"/>
    <w:rsid w:val="00AB42D5"/>
    <w:rsid w:val="00AB56F0"/>
    <w:rsid w:val="00AB607C"/>
    <w:rsid w:val="00AB7EF3"/>
    <w:rsid w:val="00AC01F5"/>
    <w:rsid w:val="00AC2370"/>
    <w:rsid w:val="00AC28AC"/>
    <w:rsid w:val="00AC2D0C"/>
    <w:rsid w:val="00AC44EC"/>
    <w:rsid w:val="00AC48DF"/>
    <w:rsid w:val="00AC49F3"/>
    <w:rsid w:val="00AC5162"/>
    <w:rsid w:val="00AC5764"/>
    <w:rsid w:val="00AC5E9C"/>
    <w:rsid w:val="00AC6230"/>
    <w:rsid w:val="00AC7951"/>
    <w:rsid w:val="00AC7D91"/>
    <w:rsid w:val="00AD04F9"/>
    <w:rsid w:val="00AD34DB"/>
    <w:rsid w:val="00AD4913"/>
    <w:rsid w:val="00AD4BFE"/>
    <w:rsid w:val="00AD6B21"/>
    <w:rsid w:val="00AD7C05"/>
    <w:rsid w:val="00AD7D0B"/>
    <w:rsid w:val="00AE0C44"/>
    <w:rsid w:val="00AE0DBC"/>
    <w:rsid w:val="00AE0DE7"/>
    <w:rsid w:val="00AE286D"/>
    <w:rsid w:val="00AE2B3D"/>
    <w:rsid w:val="00AE3D16"/>
    <w:rsid w:val="00AE4045"/>
    <w:rsid w:val="00AE5BE6"/>
    <w:rsid w:val="00AE6C3C"/>
    <w:rsid w:val="00AE71BB"/>
    <w:rsid w:val="00AF1CAD"/>
    <w:rsid w:val="00AF238D"/>
    <w:rsid w:val="00AF357C"/>
    <w:rsid w:val="00AF3B28"/>
    <w:rsid w:val="00AF4193"/>
    <w:rsid w:val="00AF49FE"/>
    <w:rsid w:val="00AF5FDC"/>
    <w:rsid w:val="00AF6120"/>
    <w:rsid w:val="00AF6689"/>
    <w:rsid w:val="00AF7F6C"/>
    <w:rsid w:val="00B0047C"/>
    <w:rsid w:val="00B007C0"/>
    <w:rsid w:val="00B044C3"/>
    <w:rsid w:val="00B04C17"/>
    <w:rsid w:val="00B054F0"/>
    <w:rsid w:val="00B05801"/>
    <w:rsid w:val="00B0598D"/>
    <w:rsid w:val="00B05B0A"/>
    <w:rsid w:val="00B0639A"/>
    <w:rsid w:val="00B06BF4"/>
    <w:rsid w:val="00B06C3C"/>
    <w:rsid w:val="00B10395"/>
    <w:rsid w:val="00B109B6"/>
    <w:rsid w:val="00B12150"/>
    <w:rsid w:val="00B123DA"/>
    <w:rsid w:val="00B1241D"/>
    <w:rsid w:val="00B13EB3"/>
    <w:rsid w:val="00B14BCF"/>
    <w:rsid w:val="00B14D08"/>
    <w:rsid w:val="00B151E5"/>
    <w:rsid w:val="00B156B3"/>
    <w:rsid w:val="00B2251C"/>
    <w:rsid w:val="00B23E92"/>
    <w:rsid w:val="00B2443A"/>
    <w:rsid w:val="00B24DD8"/>
    <w:rsid w:val="00B251EC"/>
    <w:rsid w:val="00B255AD"/>
    <w:rsid w:val="00B25E35"/>
    <w:rsid w:val="00B26875"/>
    <w:rsid w:val="00B268BA"/>
    <w:rsid w:val="00B268F5"/>
    <w:rsid w:val="00B26B0C"/>
    <w:rsid w:val="00B302C4"/>
    <w:rsid w:val="00B30FC7"/>
    <w:rsid w:val="00B3153B"/>
    <w:rsid w:val="00B317C2"/>
    <w:rsid w:val="00B339AB"/>
    <w:rsid w:val="00B3565D"/>
    <w:rsid w:val="00B369C1"/>
    <w:rsid w:val="00B4091E"/>
    <w:rsid w:val="00B42745"/>
    <w:rsid w:val="00B431EA"/>
    <w:rsid w:val="00B44714"/>
    <w:rsid w:val="00B448B0"/>
    <w:rsid w:val="00B4513D"/>
    <w:rsid w:val="00B4513E"/>
    <w:rsid w:val="00B451D8"/>
    <w:rsid w:val="00B4540D"/>
    <w:rsid w:val="00B4560C"/>
    <w:rsid w:val="00B468C3"/>
    <w:rsid w:val="00B47ED5"/>
    <w:rsid w:val="00B509C9"/>
    <w:rsid w:val="00B50A10"/>
    <w:rsid w:val="00B50A8E"/>
    <w:rsid w:val="00B50C18"/>
    <w:rsid w:val="00B5100D"/>
    <w:rsid w:val="00B517A4"/>
    <w:rsid w:val="00B51906"/>
    <w:rsid w:val="00B5249A"/>
    <w:rsid w:val="00B5272B"/>
    <w:rsid w:val="00B52D3E"/>
    <w:rsid w:val="00B544F5"/>
    <w:rsid w:val="00B5592A"/>
    <w:rsid w:val="00B55A70"/>
    <w:rsid w:val="00B56F26"/>
    <w:rsid w:val="00B56FDF"/>
    <w:rsid w:val="00B570C9"/>
    <w:rsid w:val="00B60229"/>
    <w:rsid w:val="00B6029B"/>
    <w:rsid w:val="00B621E1"/>
    <w:rsid w:val="00B63053"/>
    <w:rsid w:val="00B63E87"/>
    <w:rsid w:val="00B65106"/>
    <w:rsid w:val="00B6527F"/>
    <w:rsid w:val="00B65881"/>
    <w:rsid w:val="00B65F42"/>
    <w:rsid w:val="00B71688"/>
    <w:rsid w:val="00B72374"/>
    <w:rsid w:val="00B72986"/>
    <w:rsid w:val="00B72A54"/>
    <w:rsid w:val="00B72AD8"/>
    <w:rsid w:val="00B73940"/>
    <w:rsid w:val="00B739FB"/>
    <w:rsid w:val="00B74107"/>
    <w:rsid w:val="00B74623"/>
    <w:rsid w:val="00B76C2E"/>
    <w:rsid w:val="00B76CDE"/>
    <w:rsid w:val="00B77DC9"/>
    <w:rsid w:val="00B80295"/>
    <w:rsid w:val="00B80338"/>
    <w:rsid w:val="00B81033"/>
    <w:rsid w:val="00B81EEA"/>
    <w:rsid w:val="00B824FE"/>
    <w:rsid w:val="00B83277"/>
    <w:rsid w:val="00B84225"/>
    <w:rsid w:val="00B84468"/>
    <w:rsid w:val="00B847EB"/>
    <w:rsid w:val="00B8780A"/>
    <w:rsid w:val="00B90805"/>
    <w:rsid w:val="00B90926"/>
    <w:rsid w:val="00B90E30"/>
    <w:rsid w:val="00B91EC8"/>
    <w:rsid w:val="00B92D40"/>
    <w:rsid w:val="00B936B1"/>
    <w:rsid w:val="00B9529F"/>
    <w:rsid w:val="00B956F5"/>
    <w:rsid w:val="00B9580C"/>
    <w:rsid w:val="00B96149"/>
    <w:rsid w:val="00B96290"/>
    <w:rsid w:val="00B96AAB"/>
    <w:rsid w:val="00B97033"/>
    <w:rsid w:val="00B97193"/>
    <w:rsid w:val="00B97C2D"/>
    <w:rsid w:val="00BA0903"/>
    <w:rsid w:val="00BA10CE"/>
    <w:rsid w:val="00BA11D8"/>
    <w:rsid w:val="00BA1FBC"/>
    <w:rsid w:val="00BA2120"/>
    <w:rsid w:val="00BA2C2D"/>
    <w:rsid w:val="00BA2E41"/>
    <w:rsid w:val="00BA44D2"/>
    <w:rsid w:val="00BA494E"/>
    <w:rsid w:val="00BA51C8"/>
    <w:rsid w:val="00BA630C"/>
    <w:rsid w:val="00BA6704"/>
    <w:rsid w:val="00BA6C84"/>
    <w:rsid w:val="00BA7FF2"/>
    <w:rsid w:val="00BB0840"/>
    <w:rsid w:val="00BB1812"/>
    <w:rsid w:val="00BB227D"/>
    <w:rsid w:val="00BB2996"/>
    <w:rsid w:val="00BB2E86"/>
    <w:rsid w:val="00BB36E4"/>
    <w:rsid w:val="00BB5890"/>
    <w:rsid w:val="00BB5B35"/>
    <w:rsid w:val="00BB617F"/>
    <w:rsid w:val="00BB6761"/>
    <w:rsid w:val="00BB6869"/>
    <w:rsid w:val="00BB6B81"/>
    <w:rsid w:val="00BB732D"/>
    <w:rsid w:val="00BB7C10"/>
    <w:rsid w:val="00BC0185"/>
    <w:rsid w:val="00BC04A4"/>
    <w:rsid w:val="00BC0858"/>
    <w:rsid w:val="00BC1752"/>
    <w:rsid w:val="00BC3673"/>
    <w:rsid w:val="00BC36DD"/>
    <w:rsid w:val="00BC4229"/>
    <w:rsid w:val="00BC5283"/>
    <w:rsid w:val="00BC639C"/>
    <w:rsid w:val="00BC6593"/>
    <w:rsid w:val="00BC6BDB"/>
    <w:rsid w:val="00BC7AD6"/>
    <w:rsid w:val="00BC7DE6"/>
    <w:rsid w:val="00BD01F0"/>
    <w:rsid w:val="00BD1D7C"/>
    <w:rsid w:val="00BD3176"/>
    <w:rsid w:val="00BD3AFA"/>
    <w:rsid w:val="00BD5366"/>
    <w:rsid w:val="00BD53B9"/>
    <w:rsid w:val="00BD7A69"/>
    <w:rsid w:val="00BE0706"/>
    <w:rsid w:val="00BE08E5"/>
    <w:rsid w:val="00BE0C67"/>
    <w:rsid w:val="00BE383E"/>
    <w:rsid w:val="00BE517B"/>
    <w:rsid w:val="00BF0071"/>
    <w:rsid w:val="00BF04EE"/>
    <w:rsid w:val="00BF1CBB"/>
    <w:rsid w:val="00BF45E7"/>
    <w:rsid w:val="00BF75B9"/>
    <w:rsid w:val="00C00C64"/>
    <w:rsid w:val="00C00DF3"/>
    <w:rsid w:val="00C012DD"/>
    <w:rsid w:val="00C01F10"/>
    <w:rsid w:val="00C0494A"/>
    <w:rsid w:val="00C04C3B"/>
    <w:rsid w:val="00C04D8B"/>
    <w:rsid w:val="00C05136"/>
    <w:rsid w:val="00C0548C"/>
    <w:rsid w:val="00C1039F"/>
    <w:rsid w:val="00C10D7E"/>
    <w:rsid w:val="00C11647"/>
    <w:rsid w:val="00C12008"/>
    <w:rsid w:val="00C134D6"/>
    <w:rsid w:val="00C152A2"/>
    <w:rsid w:val="00C1545C"/>
    <w:rsid w:val="00C1546D"/>
    <w:rsid w:val="00C15491"/>
    <w:rsid w:val="00C15DD5"/>
    <w:rsid w:val="00C1635A"/>
    <w:rsid w:val="00C16567"/>
    <w:rsid w:val="00C16AF0"/>
    <w:rsid w:val="00C17156"/>
    <w:rsid w:val="00C175C0"/>
    <w:rsid w:val="00C1785F"/>
    <w:rsid w:val="00C2126C"/>
    <w:rsid w:val="00C21458"/>
    <w:rsid w:val="00C21EC9"/>
    <w:rsid w:val="00C2303D"/>
    <w:rsid w:val="00C2526F"/>
    <w:rsid w:val="00C26532"/>
    <w:rsid w:val="00C26883"/>
    <w:rsid w:val="00C2751C"/>
    <w:rsid w:val="00C3013C"/>
    <w:rsid w:val="00C305ED"/>
    <w:rsid w:val="00C321F7"/>
    <w:rsid w:val="00C33906"/>
    <w:rsid w:val="00C33E96"/>
    <w:rsid w:val="00C34F36"/>
    <w:rsid w:val="00C355E1"/>
    <w:rsid w:val="00C35EF6"/>
    <w:rsid w:val="00C42FA9"/>
    <w:rsid w:val="00C44BA5"/>
    <w:rsid w:val="00C45224"/>
    <w:rsid w:val="00C47374"/>
    <w:rsid w:val="00C50C21"/>
    <w:rsid w:val="00C5112F"/>
    <w:rsid w:val="00C514B6"/>
    <w:rsid w:val="00C5448D"/>
    <w:rsid w:val="00C545A4"/>
    <w:rsid w:val="00C55C28"/>
    <w:rsid w:val="00C568E1"/>
    <w:rsid w:val="00C57A62"/>
    <w:rsid w:val="00C57B36"/>
    <w:rsid w:val="00C603C5"/>
    <w:rsid w:val="00C60400"/>
    <w:rsid w:val="00C61F29"/>
    <w:rsid w:val="00C62409"/>
    <w:rsid w:val="00C62C42"/>
    <w:rsid w:val="00C63123"/>
    <w:rsid w:val="00C65345"/>
    <w:rsid w:val="00C65FA4"/>
    <w:rsid w:val="00C7020B"/>
    <w:rsid w:val="00C71682"/>
    <w:rsid w:val="00C723CB"/>
    <w:rsid w:val="00C74B2B"/>
    <w:rsid w:val="00C74EC2"/>
    <w:rsid w:val="00C7559C"/>
    <w:rsid w:val="00C7661F"/>
    <w:rsid w:val="00C766E9"/>
    <w:rsid w:val="00C766F4"/>
    <w:rsid w:val="00C767EB"/>
    <w:rsid w:val="00C82AAB"/>
    <w:rsid w:val="00C82CF9"/>
    <w:rsid w:val="00C83406"/>
    <w:rsid w:val="00C85E01"/>
    <w:rsid w:val="00C85E6F"/>
    <w:rsid w:val="00C86AEC"/>
    <w:rsid w:val="00C87953"/>
    <w:rsid w:val="00C9096B"/>
    <w:rsid w:val="00C9138D"/>
    <w:rsid w:val="00C9167A"/>
    <w:rsid w:val="00C92D5A"/>
    <w:rsid w:val="00C94AF5"/>
    <w:rsid w:val="00C9516E"/>
    <w:rsid w:val="00C96054"/>
    <w:rsid w:val="00C9705E"/>
    <w:rsid w:val="00C9719D"/>
    <w:rsid w:val="00C976D0"/>
    <w:rsid w:val="00C977CD"/>
    <w:rsid w:val="00C97B1C"/>
    <w:rsid w:val="00CA09D0"/>
    <w:rsid w:val="00CA27DC"/>
    <w:rsid w:val="00CA2B05"/>
    <w:rsid w:val="00CA2F85"/>
    <w:rsid w:val="00CA33A1"/>
    <w:rsid w:val="00CA3B72"/>
    <w:rsid w:val="00CA409C"/>
    <w:rsid w:val="00CA4372"/>
    <w:rsid w:val="00CA541F"/>
    <w:rsid w:val="00CA626F"/>
    <w:rsid w:val="00CA6363"/>
    <w:rsid w:val="00CA66D1"/>
    <w:rsid w:val="00CA7208"/>
    <w:rsid w:val="00CA7D71"/>
    <w:rsid w:val="00CB0060"/>
    <w:rsid w:val="00CB0783"/>
    <w:rsid w:val="00CB0E8F"/>
    <w:rsid w:val="00CB1063"/>
    <w:rsid w:val="00CB1F06"/>
    <w:rsid w:val="00CB4530"/>
    <w:rsid w:val="00CB4C10"/>
    <w:rsid w:val="00CB5093"/>
    <w:rsid w:val="00CB6B47"/>
    <w:rsid w:val="00CB78E7"/>
    <w:rsid w:val="00CB7ED8"/>
    <w:rsid w:val="00CC026C"/>
    <w:rsid w:val="00CC0D2E"/>
    <w:rsid w:val="00CC0D3C"/>
    <w:rsid w:val="00CC0EA8"/>
    <w:rsid w:val="00CC22E4"/>
    <w:rsid w:val="00CC2724"/>
    <w:rsid w:val="00CC2B72"/>
    <w:rsid w:val="00CC2E9D"/>
    <w:rsid w:val="00CC5059"/>
    <w:rsid w:val="00CC5432"/>
    <w:rsid w:val="00CC6694"/>
    <w:rsid w:val="00CC6B2C"/>
    <w:rsid w:val="00CC6C30"/>
    <w:rsid w:val="00CC7938"/>
    <w:rsid w:val="00CC7F1C"/>
    <w:rsid w:val="00CD3469"/>
    <w:rsid w:val="00CD65E4"/>
    <w:rsid w:val="00CD7098"/>
    <w:rsid w:val="00CE0473"/>
    <w:rsid w:val="00CE0A0E"/>
    <w:rsid w:val="00CE105C"/>
    <w:rsid w:val="00CE11AF"/>
    <w:rsid w:val="00CE1693"/>
    <w:rsid w:val="00CE188F"/>
    <w:rsid w:val="00CE2142"/>
    <w:rsid w:val="00CE244F"/>
    <w:rsid w:val="00CE27E9"/>
    <w:rsid w:val="00CE349F"/>
    <w:rsid w:val="00CE3E83"/>
    <w:rsid w:val="00CE4EEB"/>
    <w:rsid w:val="00CE5996"/>
    <w:rsid w:val="00CE5F63"/>
    <w:rsid w:val="00CE6C4F"/>
    <w:rsid w:val="00CF0E37"/>
    <w:rsid w:val="00CF135C"/>
    <w:rsid w:val="00CF1C31"/>
    <w:rsid w:val="00CF283E"/>
    <w:rsid w:val="00CF375D"/>
    <w:rsid w:val="00CF47BE"/>
    <w:rsid w:val="00CF4944"/>
    <w:rsid w:val="00CF4E6C"/>
    <w:rsid w:val="00CF55FF"/>
    <w:rsid w:val="00CF5DF1"/>
    <w:rsid w:val="00CF5F1A"/>
    <w:rsid w:val="00CF682F"/>
    <w:rsid w:val="00CF72F2"/>
    <w:rsid w:val="00CF7871"/>
    <w:rsid w:val="00CF7D12"/>
    <w:rsid w:val="00D024D9"/>
    <w:rsid w:val="00D02B6A"/>
    <w:rsid w:val="00D03C19"/>
    <w:rsid w:val="00D04571"/>
    <w:rsid w:val="00D06517"/>
    <w:rsid w:val="00D070BC"/>
    <w:rsid w:val="00D0712C"/>
    <w:rsid w:val="00D076D6"/>
    <w:rsid w:val="00D10E8A"/>
    <w:rsid w:val="00D132AF"/>
    <w:rsid w:val="00D13554"/>
    <w:rsid w:val="00D1361B"/>
    <w:rsid w:val="00D136F4"/>
    <w:rsid w:val="00D147DC"/>
    <w:rsid w:val="00D1588F"/>
    <w:rsid w:val="00D1623B"/>
    <w:rsid w:val="00D177EB"/>
    <w:rsid w:val="00D20019"/>
    <w:rsid w:val="00D20F68"/>
    <w:rsid w:val="00D2183F"/>
    <w:rsid w:val="00D21942"/>
    <w:rsid w:val="00D21D73"/>
    <w:rsid w:val="00D227A9"/>
    <w:rsid w:val="00D227B9"/>
    <w:rsid w:val="00D234CD"/>
    <w:rsid w:val="00D23C06"/>
    <w:rsid w:val="00D26092"/>
    <w:rsid w:val="00D26876"/>
    <w:rsid w:val="00D26C35"/>
    <w:rsid w:val="00D26D07"/>
    <w:rsid w:val="00D277A0"/>
    <w:rsid w:val="00D30093"/>
    <w:rsid w:val="00D3025D"/>
    <w:rsid w:val="00D32EFD"/>
    <w:rsid w:val="00D33155"/>
    <w:rsid w:val="00D334D9"/>
    <w:rsid w:val="00D334E0"/>
    <w:rsid w:val="00D35B43"/>
    <w:rsid w:val="00D35D3E"/>
    <w:rsid w:val="00D35F45"/>
    <w:rsid w:val="00D36C8D"/>
    <w:rsid w:val="00D37A18"/>
    <w:rsid w:val="00D40D97"/>
    <w:rsid w:val="00D41731"/>
    <w:rsid w:val="00D42061"/>
    <w:rsid w:val="00D42BFF"/>
    <w:rsid w:val="00D43E0C"/>
    <w:rsid w:val="00D45032"/>
    <w:rsid w:val="00D45144"/>
    <w:rsid w:val="00D4664D"/>
    <w:rsid w:val="00D46977"/>
    <w:rsid w:val="00D46CD7"/>
    <w:rsid w:val="00D47691"/>
    <w:rsid w:val="00D5056E"/>
    <w:rsid w:val="00D50E21"/>
    <w:rsid w:val="00D52468"/>
    <w:rsid w:val="00D52C51"/>
    <w:rsid w:val="00D5310A"/>
    <w:rsid w:val="00D53AE5"/>
    <w:rsid w:val="00D55F77"/>
    <w:rsid w:val="00D561F0"/>
    <w:rsid w:val="00D568DC"/>
    <w:rsid w:val="00D574E9"/>
    <w:rsid w:val="00D577B0"/>
    <w:rsid w:val="00D60929"/>
    <w:rsid w:val="00D60CC2"/>
    <w:rsid w:val="00D60CCB"/>
    <w:rsid w:val="00D60D72"/>
    <w:rsid w:val="00D60F9C"/>
    <w:rsid w:val="00D61691"/>
    <w:rsid w:val="00D62845"/>
    <w:rsid w:val="00D639DD"/>
    <w:rsid w:val="00D643E1"/>
    <w:rsid w:val="00D6530B"/>
    <w:rsid w:val="00D65D73"/>
    <w:rsid w:val="00D66DE2"/>
    <w:rsid w:val="00D70BB9"/>
    <w:rsid w:val="00D72A60"/>
    <w:rsid w:val="00D74600"/>
    <w:rsid w:val="00D75537"/>
    <w:rsid w:val="00D758B9"/>
    <w:rsid w:val="00D76554"/>
    <w:rsid w:val="00D766B1"/>
    <w:rsid w:val="00D775C1"/>
    <w:rsid w:val="00D81396"/>
    <w:rsid w:val="00D81BB8"/>
    <w:rsid w:val="00D850A9"/>
    <w:rsid w:val="00D8530B"/>
    <w:rsid w:val="00D87099"/>
    <w:rsid w:val="00D87286"/>
    <w:rsid w:val="00D87850"/>
    <w:rsid w:val="00D87BDF"/>
    <w:rsid w:val="00D90037"/>
    <w:rsid w:val="00D90926"/>
    <w:rsid w:val="00D90EFF"/>
    <w:rsid w:val="00D9143A"/>
    <w:rsid w:val="00D917BB"/>
    <w:rsid w:val="00D91C48"/>
    <w:rsid w:val="00D9262B"/>
    <w:rsid w:val="00D93278"/>
    <w:rsid w:val="00D9599F"/>
    <w:rsid w:val="00D9697E"/>
    <w:rsid w:val="00DA2020"/>
    <w:rsid w:val="00DA2697"/>
    <w:rsid w:val="00DA276A"/>
    <w:rsid w:val="00DA27F5"/>
    <w:rsid w:val="00DA3E18"/>
    <w:rsid w:val="00DA3E1D"/>
    <w:rsid w:val="00DA4153"/>
    <w:rsid w:val="00DA4A8C"/>
    <w:rsid w:val="00DA5590"/>
    <w:rsid w:val="00DA5833"/>
    <w:rsid w:val="00DA5B20"/>
    <w:rsid w:val="00DA5EEA"/>
    <w:rsid w:val="00DA6BB9"/>
    <w:rsid w:val="00DA7B76"/>
    <w:rsid w:val="00DA7F05"/>
    <w:rsid w:val="00DB03FA"/>
    <w:rsid w:val="00DB0C4A"/>
    <w:rsid w:val="00DB178E"/>
    <w:rsid w:val="00DB350C"/>
    <w:rsid w:val="00DB36BF"/>
    <w:rsid w:val="00DB3FFC"/>
    <w:rsid w:val="00DB425F"/>
    <w:rsid w:val="00DB51CF"/>
    <w:rsid w:val="00DB5993"/>
    <w:rsid w:val="00DB7A02"/>
    <w:rsid w:val="00DB7D72"/>
    <w:rsid w:val="00DB7EB1"/>
    <w:rsid w:val="00DB7F86"/>
    <w:rsid w:val="00DC02CD"/>
    <w:rsid w:val="00DC076F"/>
    <w:rsid w:val="00DC0B34"/>
    <w:rsid w:val="00DC1965"/>
    <w:rsid w:val="00DC2408"/>
    <w:rsid w:val="00DC518E"/>
    <w:rsid w:val="00DC6553"/>
    <w:rsid w:val="00DC6583"/>
    <w:rsid w:val="00DC7BB3"/>
    <w:rsid w:val="00DD1390"/>
    <w:rsid w:val="00DD20BC"/>
    <w:rsid w:val="00DD2381"/>
    <w:rsid w:val="00DD288B"/>
    <w:rsid w:val="00DD328B"/>
    <w:rsid w:val="00DD3336"/>
    <w:rsid w:val="00DD3A10"/>
    <w:rsid w:val="00DD4C05"/>
    <w:rsid w:val="00DD525A"/>
    <w:rsid w:val="00DD52EC"/>
    <w:rsid w:val="00DD5D9B"/>
    <w:rsid w:val="00DD65A9"/>
    <w:rsid w:val="00DD662E"/>
    <w:rsid w:val="00DD6833"/>
    <w:rsid w:val="00DD7148"/>
    <w:rsid w:val="00DD7BDD"/>
    <w:rsid w:val="00DD7D45"/>
    <w:rsid w:val="00DE0C64"/>
    <w:rsid w:val="00DE201A"/>
    <w:rsid w:val="00DE27A7"/>
    <w:rsid w:val="00DE2AAA"/>
    <w:rsid w:val="00DE3808"/>
    <w:rsid w:val="00DE40EA"/>
    <w:rsid w:val="00DE5E18"/>
    <w:rsid w:val="00DE6340"/>
    <w:rsid w:val="00DE6AD2"/>
    <w:rsid w:val="00DE7808"/>
    <w:rsid w:val="00DE785D"/>
    <w:rsid w:val="00DF08A4"/>
    <w:rsid w:val="00DF0DFF"/>
    <w:rsid w:val="00DF149F"/>
    <w:rsid w:val="00DF3E0B"/>
    <w:rsid w:val="00DF4472"/>
    <w:rsid w:val="00DF511F"/>
    <w:rsid w:val="00DF6548"/>
    <w:rsid w:val="00E000C7"/>
    <w:rsid w:val="00E01027"/>
    <w:rsid w:val="00E025A3"/>
    <w:rsid w:val="00E02BF1"/>
    <w:rsid w:val="00E033F0"/>
    <w:rsid w:val="00E03D46"/>
    <w:rsid w:val="00E04317"/>
    <w:rsid w:val="00E04DD2"/>
    <w:rsid w:val="00E05192"/>
    <w:rsid w:val="00E0564A"/>
    <w:rsid w:val="00E05B40"/>
    <w:rsid w:val="00E05FC8"/>
    <w:rsid w:val="00E06E46"/>
    <w:rsid w:val="00E07A16"/>
    <w:rsid w:val="00E10B9B"/>
    <w:rsid w:val="00E13ED7"/>
    <w:rsid w:val="00E13F31"/>
    <w:rsid w:val="00E14017"/>
    <w:rsid w:val="00E15C9D"/>
    <w:rsid w:val="00E15FF6"/>
    <w:rsid w:val="00E16630"/>
    <w:rsid w:val="00E17880"/>
    <w:rsid w:val="00E17C06"/>
    <w:rsid w:val="00E17F9A"/>
    <w:rsid w:val="00E20885"/>
    <w:rsid w:val="00E20A6B"/>
    <w:rsid w:val="00E22504"/>
    <w:rsid w:val="00E248BA"/>
    <w:rsid w:val="00E252C4"/>
    <w:rsid w:val="00E25B4B"/>
    <w:rsid w:val="00E26978"/>
    <w:rsid w:val="00E26B31"/>
    <w:rsid w:val="00E26E0E"/>
    <w:rsid w:val="00E27A48"/>
    <w:rsid w:val="00E27E52"/>
    <w:rsid w:val="00E311FA"/>
    <w:rsid w:val="00E31522"/>
    <w:rsid w:val="00E316EA"/>
    <w:rsid w:val="00E31DDB"/>
    <w:rsid w:val="00E34D53"/>
    <w:rsid w:val="00E34D59"/>
    <w:rsid w:val="00E35E34"/>
    <w:rsid w:val="00E3620E"/>
    <w:rsid w:val="00E36E49"/>
    <w:rsid w:val="00E37441"/>
    <w:rsid w:val="00E37C27"/>
    <w:rsid w:val="00E40279"/>
    <w:rsid w:val="00E41354"/>
    <w:rsid w:val="00E421A4"/>
    <w:rsid w:val="00E42F92"/>
    <w:rsid w:val="00E4316E"/>
    <w:rsid w:val="00E438F1"/>
    <w:rsid w:val="00E44E75"/>
    <w:rsid w:val="00E45C2C"/>
    <w:rsid w:val="00E475A5"/>
    <w:rsid w:val="00E503B0"/>
    <w:rsid w:val="00E50C55"/>
    <w:rsid w:val="00E52968"/>
    <w:rsid w:val="00E5413E"/>
    <w:rsid w:val="00E553C4"/>
    <w:rsid w:val="00E5655C"/>
    <w:rsid w:val="00E579C5"/>
    <w:rsid w:val="00E57E0A"/>
    <w:rsid w:val="00E61533"/>
    <w:rsid w:val="00E625A9"/>
    <w:rsid w:val="00E62DA3"/>
    <w:rsid w:val="00E6350F"/>
    <w:rsid w:val="00E6477D"/>
    <w:rsid w:val="00E647C4"/>
    <w:rsid w:val="00E64BA6"/>
    <w:rsid w:val="00E65562"/>
    <w:rsid w:val="00E65F98"/>
    <w:rsid w:val="00E66206"/>
    <w:rsid w:val="00E6724E"/>
    <w:rsid w:val="00E6767F"/>
    <w:rsid w:val="00E67897"/>
    <w:rsid w:val="00E70087"/>
    <w:rsid w:val="00E70599"/>
    <w:rsid w:val="00E70DA8"/>
    <w:rsid w:val="00E71472"/>
    <w:rsid w:val="00E731BF"/>
    <w:rsid w:val="00E73462"/>
    <w:rsid w:val="00E73BD5"/>
    <w:rsid w:val="00E74409"/>
    <w:rsid w:val="00E7490C"/>
    <w:rsid w:val="00E74A07"/>
    <w:rsid w:val="00E76100"/>
    <w:rsid w:val="00E768A6"/>
    <w:rsid w:val="00E773FF"/>
    <w:rsid w:val="00E7791C"/>
    <w:rsid w:val="00E800AE"/>
    <w:rsid w:val="00E800BD"/>
    <w:rsid w:val="00E800CF"/>
    <w:rsid w:val="00E805F7"/>
    <w:rsid w:val="00E813BC"/>
    <w:rsid w:val="00E81722"/>
    <w:rsid w:val="00E81935"/>
    <w:rsid w:val="00E8225F"/>
    <w:rsid w:val="00E829A9"/>
    <w:rsid w:val="00E839C1"/>
    <w:rsid w:val="00E83CF9"/>
    <w:rsid w:val="00E8440D"/>
    <w:rsid w:val="00E85CEA"/>
    <w:rsid w:val="00E86045"/>
    <w:rsid w:val="00E86978"/>
    <w:rsid w:val="00E903BE"/>
    <w:rsid w:val="00E9277A"/>
    <w:rsid w:val="00E92E82"/>
    <w:rsid w:val="00E92F26"/>
    <w:rsid w:val="00E935CD"/>
    <w:rsid w:val="00E9365E"/>
    <w:rsid w:val="00E93E0F"/>
    <w:rsid w:val="00E93EF8"/>
    <w:rsid w:val="00E95312"/>
    <w:rsid w:val="00E95DB4"/>
    <w:rsid w:val="00E96B4F"/>
    <w:rsid w:val="00E971F2"/>
    <w:rsid w:val="00EA0ECB"/>
    <w:rsid w:val="00EA169B"/>
    <w:rsid w:val="00EA38D9"/>
    <w:rsid w:val="00EA3E58"/>
    <w:rsid w:val="00EA421C"/>
    <w:rsid w:val="00EA4538"/>
    <w:rsid w:val="00EA4816"/>
    <w:rsid w:val="00EA4FE4"/>
    <w:rsid w:val="00EA5664"/>
    <w:rsid w:val="00EA5A48"/>
    <w:rsid w:val="00EA5CD1"/>
    <w:rsid w:val="00EB04D3"/>
    <w:rsid w:val="00EB0BBA"/>
    <w:rsid w:val="00EB2964"/>
    <w:rsid w:val="00EB29F2"/>
    <w:rsid w:val="00EB362F"/>
    <w:rsid w:val="00EB36C7"/>
    <w:rsid w:val="00EB47F3"/>
    <w:rsid w:val="00EB4E2D"/>
    <w:rsid w:val="00EB62BA"/>
    <w:rsid w:val="00EB6474"/>
    <w:rsid w:val="00EB6812"/>
    <w:rsid w:val="00EB7287"/>
    <w:rsid w:val="00EB7484"/>
    <w:rsid w:val="00EC12A3"/>
    <w:rsid w:val="00EC2CA4"/>
    <w:rsid w:val="00EC2EF9"/>
    <w:rsid w:val="00EC319F"/>
    <w:rsid w:val="00EC433B"/>
    <w:rsid w:val="00EC4806"/>
    <w:rsid w:val="00EC4A44"/>
    <w:rsid w:val="00EC4F07"/>
    <w:rsid w:val="00EC584D"/>
    <w:rsid w:val="00EC6195"/>
    <w:rsid w:val="00EC61DD"/>
    <w:rsid w:val="00EC6491"/>
    <w:rsid w:val="00EC64E2"/>
    <w:rsid w:val="00ED040D"/>
    <w:rsid w:val="00ED0969"/>
    <w:rsid w:val="00ED1099"/>
    <w:rsid w:val="00ED1198"/>
    <w:rsid w:val="00ED15AA"/>
    <w:rsid w:val="00ED1C79"/>
    <w:rsid w:val="00ED295F"/>
    <w:rsid w:val="00ED2B3C"/>
    <w:rsid w:val="00ED38C4"/>
    <w:rsid w:val="00ED4070"/>
    <w:rsid w:val="00ED57BC"/>
    <w:rsid w:val="00ED7703"/>
    <w:rsid w:val="00ED7DC9"/>
    <w:rsid w:val="00EE0587"/>
    <w:rsid w:val="00EE1026"/>
    <w:rsid w:val="00EE1098"/>
    <w:rsid w:val="00EE1C44"/>
    <w:rsid w:val="00EE1EC1"/>
    <w:rsid w:val="00EE21F1"/>
    <w:rsid w:val="00EE274E"/>
    <w:rsid w:val="00EE2FD9"/>
    <w:rsid w:val="00EE303F"/>
    <w:rsid w:val="00EE3AE4"/>
    <w:rsid w:val="00EE3E3B"/>
    <w:rsid w:val="00EE412F"/>
    <w:rsid w:val="00EE48E5"/>
    <w:rsid w:val="00EE562B"/>
    <w:rsid w:val="00EE573C"/>
    <w:rsid w:val="00EE5849"/>
    <w:rsid w:val="00EE5D5E"/>
    <w:rsid w:val="00EE7F34"/>
    <w:rsid w:val="00EF09E7"/>
    <w:rsid w:val="00EF0FA2"/>
    <w:rsid w:val="00EF15C9"/>
    <w:rsid w:val="00EF3241"/>
    <w:rsid w:val="00EF50EA"/>
    <w:rsid w:val="00EF58BD"/>
    <w:rsid w:val="00EF59C8"/>
    <w:rsid w:val="00EF5C4D"/>
    <w:rsid w:val="00EF5FB4"/>
    <w:rsid w:val="00EF6848"/>
    <w:rsid w:val="00EF7F25"/>
    <w:rsid w:val="00EF7F76"/>
    <w:rsid w:val="00F0097F"/>
    <w:rsid w:val="00F009A9"/>
    <w:rsid w:val="00F00A26"/>
    <w:rsid w:val="00F01018"/>
    <w:rsid w:val="00F01BC1"/>
    <w:rsid w:val="00F0233A"/>
    <w:rsid w:val="00F040A5"/>
    <w:rsid w:val="00F04996"/>
    <w:rsid w:val="00F0528D"/>
    <w:rsid w:val="00F0533A"/>
    <w:rsid w:val="00F0587C"/>
    <w:rsid w:val="00F05A5B"/>
    <w:rsid w:val="00F06960"/>
    <w:rsid w:val="00F10375"/>
    <w:rsid w:val="00F10435"/>
    <w:rsid w:val="00F10529"/>
    <w:rsid w:val="00F10C7A"/>
    <w:rsid w:val="00F11FCD"/>
    <w:rsid w:val="00F12084"/>
    <w:rsid w:val="00F12200"/>
    <w:rsid w:val="00F12A19"/>
    <w:rsid w:val="00F12EA3"/>
    <w:rsid w:val="00F13D80"/>
    <w:rsid w:val="00F143AC"/>
    <w:rsid w:val="00F143CA"/>
    <w:rsid w:val="00F149C3"/>
    <w:rsid w:val="00F15485"/>
    <w:rsid w:val="00F15818"/>
    <w:rsid w:val="00F159E3"/>
    <w:rsid w:val="00F17871"/>
    <w:rsid w:val="00F2168D"/>
    <w:rsid w:val="00F219F4"/>
    <w:rsid w:val="00F21C4B"/>
    <w:rsid w:val="00F21E5C"/>
    <w:rsid w:val="00F21FF5"/>
    <w:rsid w:val="00F25987"/>
    <w:rsid w:val="00F25C2F"/>
    <w:rsid w:val="00F26413"/>
    <w:rsid w:val="00F2678B"/>
    <w:rsid w:val="00F26821"/>
    <w:rsid w:val="00F30715"/>
    <w:rsid w:val="00F314EC"/>
    <w:rsid w:val="00F316D6"/>
    <w:rsid w:val="00F331FF"/>
    <w:rsid w:val="00F33E66"/>
    <w:rsid w:val="00F34777"/>
    <w:rsid w:val="00F35749"/>
    <w:rsid w:val="00F357A6"/>
    <w:rsid w:val="00F35DC6"/>
    <w:rsid w:val="00F3643B"/>
    <w:rsid w:val="00F3767F"/>
    <w:rsid w:val="00F377EF"/>
    <w:rsid w:val="00F3789F"/>
    <w:rsid w:val="00F37D07"/>
    <w:rsid w:val="00F37D74"/>
    <w:rsid w:val="00F41293"/>
    <w:rsid w:val="00F41592"/>
    <w:rsid w:val="00F4219C"/>
    <w:rsid w:val="00F443F1"/>
    <w:rsid w:val="00F45F8A"/>
    <w:rsid w:val="00F4622C"/>
    <w:rsid w:val="00F46540"/>
    <w:rsid w:val="00F46BCA"/>
    <w:rsid w:val="00F46D7D"/>
    <w:rsid w:val="00F506C9"/>
    <w:rsid w:val="00F508D2"/>
    <w:rsid w:val="00F51760"/>
    <w:rsid w:val="00F52B42"/>
    <w:rsid w:val="00F538DB"/>
    <w:rsid w:val="00F5585A"/>
    <w:rsid w:val="00F566DD"/>
    <w:rsid w:val="00F56C0D"/>
    <w:rsid w:val="00F57BF5"/>
    <w:rsid w:val="00F6023D"/>
    <w:rsid w:val="00F603AA"/>
    <w:rsid w:val="00F608DA"/>
    <w:rsid w:val="00F60A59"/>
    <w:rsid w:val="00F623A9"/>
    <w:rsid w:val="00F62790"/>
    <w:rsid w:val="00F63410"/>
    <w:rsid w:val="00F65E92"/>
    <w:rsid w:val="00F66D00"/>
    <w:rsid w:val="00F67808"/>
    <w:rsid w:val="00F70286"/>
    <w:rsid w:val="00F73E87"/>
    <w:rsid w:val="00F741BA"/>
    <w:rsid w:val="00F742CD"/>
    <w:rsid w:val="00F767FE"/>
    <w:rsid w:val="00F76D98"/>
    <w:rsid w:val="00F7720A"/>
    <w:rsid w:val="00F81C40"/>
    <w:rsid w:val="00F81C74"/>
    <w:rsid w:val="00F82348"/>
    <w:rsid w:val="00F82FBB"/>
    <w:rsid w:val="00F856A5"/>
    <w:rsid w:val="00F86E58"/>
    <w:rsid w:val="00F872DA"/>
    <w:rsid w:val="00F87AB6"/>
    <w:rsid w:val="00F87E44"/>
    <w:rsid w:val="00F87FE9"/>
    <w:rsid w:val="00F90F3B"/>
    <w:rsid w:val="00F91345"/>
    <w:rsid w:val="00F9199D"/>
    <w:rsid w:val="00F91F98"/>
    <w:rsid w:val="00F927E9"/>
    <w:rsid w:val="00F933CA"/>
    <w:rsid w:val="00F9438B"/>
    <w:rsid w:val="00F94C1D"/>
    <w:rsid w:val="00F94EEB"/>
    <w:rsid w:val="00F95B2F"/>
    <w:rsid w:val="00F97797"/>
    <w:rsid w:val="00FA0E3C"/>
    <w:rsid w:val="00FA132A"/>
    <w:rsid w:val="00FA1B22"/>
    <w:rsid w:val="00FA1C5B"/>
    <w:rsid w:val="00FA1FA5"/>
    <w:rsid w:val="00FA228B"/>
    <w:rsid w:val="00FA40DE"/>
    <w:rsid w:val="00FA479E"/>
    <w:rsid w:val="00FA5066"/>
    <w:rsid w:val="00FA5AD3"/>
    <w:rsid w:val="00FA5BB4"/>
    <w:rsid w:val="00FA6D34"/>
    <w:rsid w:val="00FB0200"/>
    <w:rsid w:val="00FB05BF"/>
    <w:rsid w:val="00FB1580"/>
    <w:rsid w:val="00FB1E4C"/>
    <w:rsid w:val="00FB29DB"/>
    <w:rsid w:val="00FB2C5F"/>
    <w:rsid w:val="00FB2DC7"/>
    <w:rsid w:val="00FB3AF8"/>
    <w:rsid w:val="00FB4BD6"/>
    <w:rsid w:val="00FB5390"/>
    <w:rsid w:val="00FB5B82"/>
    <w:rsid w:val="00FB6EDC"/>
    <w:rsid w:val="00FB741A"/>
    <w:rsid w:val="00FB7659"/>
    <w:rsid w:val="00FC12E2"/>
    <w:rsid w:val="00FC1C26"/>
    <w:rsid w:val="00FC338D"/>
    <w:rsid w:val="00FC35EF"/>
    <w:rsid w:val="00FC3891"/>
    <w:rsid w:val="00FC3A9A"/>
    <w:rsid w:val="00FC6FC5"/>
    <w:rsid w:val="00FC741E"/>
    <w:rsid w:val="00FD0961"/>
    <w:rsid w:val="00FD1702"/>
    <w:rsid w:val="00FD23B8"/>
    <w:rsid w:val="00FD27EF"/>
    <w:rsid w:val="00FD39F9"/>
    <w:rsid w:val="00FD3A5C"/>
    <w:rsid w:val="00FD4036"/>
    <w:rsid w:val="00FD4410"/>
    <w:rsid w:val="00FD459A"/>
    <w:rsid w:val="00FD4D82"/>
    <w:rsid w:val="00FD6096"/>
    <w:rsid w:val="00FD60F5"/>
    <w:rsid w:val="00FD6ACD"/>
    <w:rsid w:val="00FD7663"/>
    <w:rsid w:val="00FD7C8D"/>
    <w:rsid w:val="00FE02D5"/>
    <w:rsid w:val="00FE050A"/>
    <w:rsid w:val="00FE0940"/>
    <w:rsid w:val="00FE1C99"/>
    <w:rsid w:val="00FE1F80"/>
    <w:rsid w:val="00FE272C"/>
    <w:rsid w:val="00FE2CBB"/>
    <w:rsid w:val="00FE39B3"/>
    <w:rsid w:val="00FE4E14"/>
    <w:rsid w:val="00FE58B0"/>
    <w:rsid w:val="00FE5DB8"/>
    <w:rsid w:val="00FE6A2A"/>
    <w:rsid w:val="00FE6FFB"/>
    <w:rsid w:val="00FE767A"/>
    <w:rsid w:val="00FE7A41"/>
    <w:rsid w:val="00FE7B02"/>
    <w:rsid w:val="00FF2874"/>
    <w:rsid w:val="00FF2F7F"/>
    <w:rsid w:val="00FF3262"/>
    <w:rsid w:val="00FF4599"/>
    <w:rsid w:val="00FF4F85"/>
    <w:rsid w:val="00FF5DBA"/>
    <w:rsid w:val="00FF61F3"/>
    <w:rsid w:val="00FF716E"/>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uiPriority="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nhideWhenUsed="0"/>
    <w:lsdException w:name="Subtle Reference" w:semiHidden="0" w:unhideWhenUsed="0"/>
    <w:lsdException w:name="Intense Reference" w:semiHidden="0" w:unhideWhenUsed="0"/>
    <w:lsdException w:name="Book Title" w:semiHidden="0" w:uiPriority="33" w:unhideWhenUsed="0"/>
    <w:lsdException w:name="Bibliography" w:uiPriority="37"/>
    <w:lsdException w:name="TOC Heading" w:uiPriority="39"/>
  </w:latentStyles>
  <w:style w:type="paragraph" w:default="1" w:styleId="Normal">
    <w:name w:val="Normal"/>
    <w:uiPriority w:val="99"/>
    <w:rsid w:val="00483C44"/>
    <w:pPr>
      <w:autoSpaceDE w:val="0"/>
      <w:autoSpaceDN w:val="0"/>
    </w:pPr>
  </w:style>
  <w:style w:type="paragraph" w:styleId="Heading1">
    <w:name w:val="heading 1"/>
    <w:basedOn w:val="H1"/>
    <w:next w:val="Normal"/>
    <w:link w:val="Heading1Char"/>
    <w:qFormat/>
    <w:rsid w:val="003B56B7"/>
    <w:pPr>
      <w:numPr>
        <w:numId w:val="36"/>
      </w:numPr>
      <w:ind w:left="709" w:hanging="709"/>
      <w:outlineLvl w:val="0"/>
    </w:pPr>
    <w:rPr>
      <w:rFonts w:ascii="Arial Bold" w:eastAsia="Times New Roman" w:hAnsi="Arial Bold" w:cs="Arial"/>
      <w:color w:val="1F497D" w:themeColor="text2"/>
    </w:rPr>
  </w:style>
  <w:style w:type="paragraph" w:styleId="Heading2">
    <w:name w:val="heading 2"/>
    <w:basedOn w:val="H2"/>
    <w:next w:val="Normal"/>
    <w:link w:val="Heading2Char"/>
    <w:qFormat/>
    <w:rsid w:val="0023261D"/>
    <w:pPr>
      <w:numPr>
        <w:ilvl w:val="1"/>
        <w:numId w:val="36"/>
      </w:numPr>
      <w:spacing w:line="240" w:lineRule="auto"/>
      <w:outlineLvl w:val="1"/>
    </w:pPr>
    <w:rPr>
      <w:rFonts w:ascii="Arial" w:hAnsi="Arial" w:cs="Arial"/>
      <w:color w:val="1F497D" w:themeColor="text2"/>
    </w:rPr>
  </w:style>
  <w:style w:type="paragraph" w:styleId="Heading3">
    <w:name w:val="heading 3"/>
    <w:basedOn w:val="H3"/>
    <w:next w:val="Normal"/>
    <w:link w:val="Heading3Char"/>
    <w:qFormat/>
    <w:rsid w:val="000C70AD"/>
    <w:pPr>
      <w:numPr>
        <w:ilvl w:val="2"/>
        <w:numId w:val="36"/>
      </w:numPr>
      <w:tabs>
        <w:tab w:val="left" w:pos="993"/>
      </w:tabs>
      <w:outlineLvl w:val="2"/>
    </w:pPr>
    <w:rPr>
      <w:rFonts w:ascii="Arial" w:hAnsi="Arial"/>
      <w:i/>
      <w:color w:val="1F497D" w:themeColor="text2"/>
      <w:sz w:val="26"/>
      <w:szCs w:val="26"/>
    </w:rPr>
  </w:style>
  <w:style w:type="paragraph" w:styleId="Heading4">
    <w:name w:val="heading 4"/>
    <w:basedOn w:val="Heading3"/>
    <w:next w:val="Para0"/>
    <w:link w:val="Heading4Char"/>
    <w:qFormat/>
    <w:rsid w:val="00781EF7"/>
    <w:pPr>
      <w:keepNext/>
      <w:keepLines/>
      <w:numPr>
        <w:ilvl w:val="3"/>
      </w:numPr>
      <w:spacing w:before="200" w:after="200" w:line="240" w:lineRule="auto"/>
      <w:ind w:left="862" w:hanging="862"/>
      <w:outlineLvl w:val="3"/>
    </w:pPr>
    <w:rPr>
      <w:rFonts w:eastAsia="Times New Roman" w:cs="Times New Roman"/>
      <w:bCs w:val="0"/>
      <w:i w:val="0"/>
      <w:sz w:val="24"/>
      <w:szCs w:val="22"/>
      <w:lang w:eastAsia="en-US"/>
    </w:rPr>
  </w:style>
  <w:style w:type="paragraph" w:styleId="Heading5">
    <w:name w:val="heading 5"/>
    <w:basedOn w:val="Heading4"/>
    <w:next w:val="Para0"/>
    <w:link w:val="Heading5Char"/>
    <w:qFormat/>
    <w:rsid w:val="00ED7703"/>
    <w:pPr>
      <w:numPr>
        <w:ilvl w:val="0"/>
        <w:numId w:val="0"/>
      </w:numPr>
      <w:spacing w:after="120"/>
      <w:outlineLvl w:val="4"/>
    </w:pPr>
    <w:rPr>
      <w:sz w:val="22"/>
      <w:u w:val="single"/>
    </w:rPr>
  </w:style>
  <w:style w:type="paragraph" w:styleId="Heading6">
    <w:name w:val="heading 6"/>
    <w:basedOn w:val="Heading5"/>
    <w:next w:val="Para0"/>
    <w:link w:val="Heading6Char"/>
    <w:uiPriority w:val="9"/>
    <w:rsid w:val="004A55C2"/>
    <w:pPr>
      <w:numPr>
        <w:ilvl w:val="5"/>
      </w:numPr>
      <w:tabs>
        <w:tab w:val="left" w:pos="1276"/>
      </w:tabs>
      <w:ind w:left="1008" w:hanging="1008"/>
      <w:outlineLvl w:val="5"/>
    </w:pPr>
  </w:style>
  <w:style w:type="paragraph" w:styleId="Heading7">
    <w:name w:val="heading 7"/>
    <w:basedOn w:val="Heading6"/>
    <w:next w:val="Para0"/>
    <w:link w:val="Heading7Char"/>
    <w:uiPriority w:val="9"/>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
    <w:rsid w:val="004A55C2"/>
    <w:pPr>
      <w:keepNext/>
      <w:widowControl/>
      <w:numPr>
        <w:ilvl w:val="8"/>
      </w:numPr>
      <w:suppressAutoHyphens w:val="0"/>
      <w:autoSpaceDE/>
      <w:autoSpaceDN/>
      <w:adjustRightInd/>
      <w:spacing w:before="120" w:after="40"/>
      <w:textAlignment w:val="auto"/>
      <w:outlineLvl w:val="8"/>
    </w:pPr>
    <w:rPr>
      <w:rFonts w:ascii="Arial"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B56B7"/>
    <w:rPr>
      <w:rFonts w:ascii="Arial Bold" w:eastAsia="Times New Roman"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1"/>
    <w:rsid w:val="00BB2E86"/>
    <w:pPr>
      <w:tabs>
        <w:tab w:val="center" w:pos="4320"/>
        <w:tab w:val="right" w:pos="8640"/>
      </w:tabs>
      <w:spacing w:after="0"/>
    </w:pPr>
  </w:style>
  <w:style w:type="paragraph" w:customStyle="1" w:styleId="H1">
    <w:name w:val="H1"/>
    <w:basedOn w:val="Head1Headingstyles"/>
    <w:uiPriority w:val="99"/>
    <w:rsid w:val="004C42CA"/>
    <w:pPr>
      <w:pageBreakBefore/>
      <w:spacing w:line="240" w:lineRule="auto"/>
    </w:pPr>
    <w:rPr>
      <w:color w:val="00AEEF"/>
    </w:rPr>
  </w:style>
  <w:style w:type="paragraph" w:customStyle="1" w:styleId="H2">
    <w:name w:val="H2"/>
    <w:basedOn w:val="Head2Headingstyles"/>
    <w:uiPriority w:val="99"/>
    <w:rsid w:val="007E5895"/>
    <w:rPr>
      <w:color w:val="00AEEF"/>
    </w:rPr>
  </w:style>
  <w:style w:type="paragraph" w:customStyle="1" w:styleId="H3">
    <w:name w:val="H3"/>
    <w:basedOn w:val="Head3Headingstyles"/>
    <w:uiPriority w:val="99"/>
    <w:rsid w:val="00751AAF"/>
    <w:rPr>
      <w:color w:val="00B0F0"/>
    </w:rPr>
  </w:style>
  <w:style w:type="paragraph" w:customStyle="1" w:styleId="Body">
    <w:name w:val="Body"/>
    <w:basedOn w:val="Head2Headings"/>
    <w:link w:val="BodyChar"/>
    <w:qFormat/>
    <w:rsid w:val="00E31522"/>
    <w:pPr>
      <w:spacing w:after="200" w:line="240" w:lineRule="auto"/>
    </w:pPr>
    <w:rPr>
      <w:rFonts w:cs="Arial"/>
      <w:caps w:val="0"/>
      <w:color w:val="auto"/>
    </w:rPr>
  </w:style>
  <w:style w:type="paragraph" w:customStyle="1" w:styleId="Bullet">
    <w:name w:val="Bullet"/>
    <w:basedOn w:val="Normal"/>
    <w:link w:val="BulletChar"/>
    <w:uiPriority w:val="99"/>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1"/>
    <w:rsid w:val="00BD1D7C"/>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Caption-figure"/>
    <w:uiPriority w:val="99"/>
    <w:rsid w:val="005A4936"/>
    <w:rPr>
      <w:b/>
    </w:rPr>
  </w:style>
  <w:style w:type="paragraph" w:styleId="TOCHeading">
    <w:name w:val="TOC Heading"/>
    <w:basedOn w:val="Heading1"/>
    <w:next w:val="Normal"/>
    <w:uiPriority w:val="99"/>
    <w:unhideWhenUsed/>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rsid w:val="00902F55"/>
    <w:rPr>
      <w:rFonts w:cs="Arial"/>
      <w:b/>
      <w:bCs/>
      <w:color w:val="1F497D" w:themeColor="text2"/>
      <w:sz w:val="30"/>
      <w:szCs w:val="30"/>
      <w:lang w:val="en-GB"/>
    </w:rPr>
  </w:style>
  <w:style w:type="character" w:customStyle="1" w:styleId="Heading3Char">
    <w:name w:val="Heading 3 Char"/>
    <w:basedOn w:val="DefaultParagraphFont"/>
    <w:link w:val="Heading3"/>
    <w:rsid w:val="000C70AD"/>
    <w:rPr>
      <w:rFonts w:cs="Calibri-Bold"/>
      <w:b/>
      <w:bCs/>
      <w:i/>
      <w:color w:val="1F497D" w:themeColor="text2"/>
      <w:sz w:val="26"/>
      <w:szCs w:val="26"/>
      <w:lang w:val="en-GB"/>
    </w:rPr>
  </w:style>
  <w:style w:type="paragraph" w:styleId="TOC1">
    <w:name w:val="toc 1"/>
    <w:basedOn w:val="Normal"/>
    <w:next w:val="Normal"/>
    <w:link w:val="TOC1Char"/>
    <w:autoRedefine/>
    <w:uiPriority w:val="39"/>
    <w:unhideWhenUsed/>
    <w:rsid w:val="00810EE2"/>
    <w:pPr>
      <w:tabs>
        <w:tab w:val="right" w:leader="dot" w:pos="9054"/>
      </w:tabs>
      <w:spacing w:after="100"/>
      <w:ind w:left="284" w:hanging="284"/>
    </w:pPr>
    <w:rPr>
      <w:sz w:val="20"/>
    </w:rPr>
  </w:style>
  <w:style w:type="paragraph" w:styleId="TOC2">
    <w:name w:val="toc 2"/>
    <w:basedOn w:val="Normal"/>
    <w:next w:val="Normal"/>
    <w:autoRedefine/>
    <w:uiPriority w:val="39"/>
    <w:unhideWhenUsed/>
    <w:rsid w:val="00810EE2"/>
    <w:pPr>
      <w:spacing w:after="100"/>
      <w:ind w:left="240"/>
    </w:pPr>
    <w:rPr>
      <w:sz w:val="20"/>
    </w:rPr>
  </w:style>
  <w:style w:type="paragraph" w:styleId="TOC3">
    <w:name w:val="toc 3"/>
    <w:basedOn w:val="Normal"/>
    <w:next w:val="Normal"/>
    <w:autoRedefine/>
    <w:uiPriority w:val="99"/>
    <w:unhideWhenUsed/>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basedOn w:val="DefaultParagraphFont"/>
    <w:link w:val="Heading4"/>
    <w:rsid w:val="00781EF7"/>
    <w:rPr>
      <w:rFonts w:eastAsia="Times New Roman" w:cs="Times New Roman"/>
      <w:b/>
      <w:color w:val="1F497D" w:themeColor="text2"/>
      <w:sz w:val="24"/>
      <w:lang w:val="en-GB" w:eastAsia="en-US"/>
    </w:rPr>
  </w:style>
  <w:style w:type="character" w:customStyle="1" w:styleId="Heading5Char">
    <w:name w:val="Heading 5 Char"/>
    <w:basedOn w:val="DefaultParagraphFont"/>
    <w:link w:val="Heading5"/>
    <w:rsid w:val="00ED7703"/>
    <w:rPr>
      <w:rFonts w:eastAsia="Times New Roman" w:cs="Times New Roman"/>
      <w:b/>
      <w:color w:val="1F497D" w:themeColor="text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w:basedOn w:val="Para0"/>
    <w:next w:val="Para0"/>
    <w:link w:val="CaptionChar"/>
    <w:uiPriority w:val="1"/>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rsid w:val="00623C1C"/>
    <w:pPr>
      <w:keepNext/>
      <w:widowControl/>
      <w:suppressAutoHyphens w:val="0"/>
      <w:autoSpaceDE/>
      <w:autoSpaceDN/>
      <w:adjustRightInd/>
      <w:spacing w:after="240"/>
      <w:textAlignment w:val="auto"/>
      <w:outlineLvl w:val="9"/>
    </w:pPr>
    <w:rPr>
      <w:rFonts w:ascii="Arial"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pageBreakBefore w:val="0"/>
      <w:spacing w:before="120" w:after="40"/>
    </w:pPr>
    <w:rPr>
      <w:sz w:val="22"/>
    </w:rPr>
  </w:style>
  <w:style w:type="paragraph" w:customStyle="1" w:styleId="Head3manual">
    <w:name w:val="Head 3 manual"/>
    <w:basedOn w:val="Head1manual"/>
    <w:next w:val="Para0"/>
    <w:uiPriority w:val="99"/>
    <w:rsid w:val="00623C1C"/>
    <w:pPr>
      <w:pageBreakBefore w:val="0"/>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uiPriority w:val="99"/>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9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9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9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9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9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9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rsid w:val="00623C1C"/>
    <w:pPr>
      <w:keepNext/>
      <w:widowControl/>
      <w:tabs>
        <w:tab w:val="left" w:pos="851"/>
      </w:tabs>
      <w:suppressAutoHyphens w:val="0"/>
      <w:autoSpaceDE/>
      <w:autoSpaceDN/>
      <w:adjustRightInd/>
      <w:spacing w:after="240"/>
      <w:textAlignment w:val="auto"/>
      <w:outlineLvl w:val="9"/>
    </w:pPr>
    <w:rPr>
      <w:rFonts w:ascii="Arial"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pageBreakBefore w:val="0"/>
      <w:spacing w:before="120" w:after="40"/>
    </w:pPr>
    <w:rPr>
      <w:sz w:val="22"/>
    </w:rPr>
  </w:style>
  <w:style w:type="paragraph" w:customStyle="1" w:styleId="Summaryheading">
    <w:name w:val="Summary heading"/>
    <w:basedOn w:val="Heading1"/>
    <w:next w:val="Para0"/>
    <w:uiPriority w:val="1"/>
    <w:rsid w:val="00623C1C"/>
    <w:pPr>
      <w:keepNext/>
      <w:widowControl/>
      <w:tabs>
        <w:tab w:val="left" w:pos="851"/>
      </w:tabs>
      <w:suppressAutoHyphens w:val="0"/>
      <w:autoSpaceDE/>
      <w:autoSpaceDN/>
      <w:adjustRightInd/>
      <w:spacing w:after="240"/>
      <w:textAlignment w:val="auto"/>
    </w:pPr>
    <w:rPr>
      <w:rFonts w:ascii="Arial"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keepNext/>
      <w:widowControl/>
      <w:numPr>
        <w:numId w:val="15"/>
      </w:numPr>
      <w:tabs>
        <w:tab w:val="clear" w:pos="2268"/>
      </w:tabs>
      <w:suppressAutoHyphens w:val="0"/>
      <w:autoSpaceDE/>
      <w:autoSpaceDN/>
      <w:adjustRightInd/>
      <w:spacing w:after="240"/>
      <w:ind w:left="720" w:hanging="360"/>
      <w:textAlignment w:val="auto"/>
    </w:pPr>
    <w:rPr>
      <w:rFonts w:ascii="Arial" w:hAnsi="Arial" w:cs="Times New Roman"/>
      <w:bCs w:val="0"/>
      <w:color w:val="000000"/>
      <w:sz w:val="36"/>
      <w:szCs w:val="20"/>
      <w:lang w:eastAsia="en-US"/>
    </w:rPr>
  </w:style>
  <w:style w:type="paragraph" w:customStyle="1" w:styleId="Appendix2">
    <w:name w:val="Appendix 2"/>
    <w:basedOn w:val="Appendix1"/>
    <w:next w:val="Para0"/>
    <w:uiPriority w:val="99"/>
    <w:rsid w:val="00623C1C"/>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623C1C"/>
    <w:pPr>
      <w:pageBreakBefore w:val="0"/>
      <w:numPr>
        <w:ilvl w:val="2"/>
      </w:numPr>
      <w:spacing w:before="120" w:after="40"/>
      <w:outlineLvl w:val="2"/>
    </w:pPr>
    <w:rPr>
      <w:sz w:val="22"/>
    </w:rPr>
  </w:style>
  <w:style w:type="paragraph" w:customStyle="1" w:styleId="CoverHeading">
    <w:name w:val="CoverHeading"/>
    <w:basedOn w:val="Coverpage-normal"/>
    <w:next w:val="Para0"/>
    <w:uiPriority w:val="99"/>
    <w:rsid w:val="00166D9B"/>
  </w:style>
  <w:style w:type="paragraph" w:customStyle="1" w:styleId="CoverTitle">
    <w:name w:val="CoverTitle"/>
    <w:basedOn w:val="BRCoverPageH2"/>
    <w:next w:val="Para0"/>
    <w:uiPriority w:val="99"/>
    <w:rsid w:val="00166D9B"/>
    <w:rPr>
      <w:rFonts w:eastAsia="Times New Roman"/>
    </w:rPr>
  </w:style>
  <w:style w:type="paragraph" w:customStyle="1" w:styleId="CoverSubject">
    <w:name w:val="CoverSubject"/>
    <w:basedOn w:val="BRCoverpagenormal"/>
    <w:next w:val="Para0"/>
    <w:link w:val="CoverSubjectChar"/>
    <w:uiPriority w:val="99"/>
    <w:rsid w:val="00166D9B"/>
    <w:rPr>
      <w:sz w:val="20"/>
      <w:szCs w:val="20"/>
    </w:rPr>
  </w:style>
  <w:style w:type="paragraph" w:customStyle="1" w:styleId="CoverVersion">
    <w:name w:val="CoverVersion"/>
    <w:basedOn w:val="CoverSubject"/>
    <w:next w:val="Para0"/>
    <w:uiPriority w:val="99"/>
    <w:rsid w:val="00623C1C"/>
  </w:style>
  <w:style w:type="paragraph" w:customStyle="1" w:styleId="CoverDate">
    <w:name w:val="CoverDate"/>
    <w:basedOn w:val="BodyText"/>
    <w:next w:val="Para0"/>
    <w:link w:val="CoverDateChar"/>
    <w:uiPriority w:val="99"/>
    <w:rsid w:val="00166D9B"/>
    <w:rPr>
      <w:rFonts w:ascii="Arial" w:hAnsi="Arial" w:cs="Arial"/>
      <w:color w:val="1F497D" w:themeColor="text2"/>
      <w:sz w:val="20"/>
    </w:rPr>
  </w:style>
  <w:style w:type="paragraph" w:customStyle="1" w:styleId="FlysheetHeading">
    <w:name w:val="FlysheetHeading"/>
    <w:basedOn w:val="CoverHeading"/>
    <w:next w:val="Para0"/>
    <w:uiPriority w:val="99"/>
    <w:rsid w:val="00623C1C"/>
  </w:style>
  <w:style w:type="paragraph" w:customStyle="1" w:styleId="FlysheetTitle">
    <w:name w:val="FlysheetTitle"/>
    <w:basedOn w:val="CoverTitle"/>
    <w:next w:val="Para0"/>
    <w:uiPriority w:val="99"/>
    <w:rsid w:val="00623C1C"/>
  </w:style>
  <w:style w:type="paragraph" w:customStyle="1" w:styleId="FlysheetVersion">
    <w:name w:val="FlysheetVersion"/>
    <w:basedOn w:val="CoverVersion"/>
    <w:next w:val="Para0"/>
    <w:uiPriority w:val="99"/>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623C1C"/>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623C1C"/>
    <w:pPr>
      <w:tabs>
        <w:tab w:val="left" w:pos="567"/>
        <w:tab w:val="right" w:pos="8505"/>
      </w:tabs>
      <w:spacing w:before="120" w:after="120"/>
    </w:pPr>
    <w:rPr>
      <w:rFonts w:eastAsia="Times New Roman" w:cs="Times New Roman"/>
      <w:noProof/>
      <w:color w:val="000000"/>
      <w:szCs w:val="20"/>
      <w:lang w:val="en-GB" w:eastAsia="en-US"/>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iPriority w:val="99"/>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w:link w:val="Caption"/>
    <w:uiPriority w:val="1"/>
    <w:rsid w:val="00BD1D7C"/>
    <w:rPr>
      <w:rFonts w:eastAsia="Times New Roman" w:cs="Times New Roman"/>
      <w:sz w:val="20"/>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99"/>
    <w:unhideWhenUsed/>
    <w:rsid w:val="00623C1C"/>
    <w:rPr>
      <w:i/>
      <w:iCs/>
    </w:rPr>
  </w:style>
  <w:style w:type="paragraph" w:customStyle="1" w:styleId="Default">
    <w:name w:val="Default"/>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uiPriority w:val="99"/>
    <w:rsid w:val="006B63BA"/>
    <w:rPr>
      <w:rFonts w:ascii="Calibri" w:eastAsiaTheme="minorHAnsi" w:hAnsi="Calibri" w:cs="Arial"/>
      <w:sz w:val="22"/>
      <w:szCs w:val="22"/>
      <w:lang w:val="en-AU" w:eastAsia="en-AU"/>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uiPriority w:val="99"/>
    <w:rsid w:val="006B63BA"/>
    <w:rPr>
      <w:rFonts w:ascii="Calibri" w:eastAsia="Times New Roman" w:hAnsi="Calibri" w:cs="Times New Roman"/>
      <w:color w:val="000000"/>
      <w:sz w:val="22"/>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unhideWhenUsed/>
    <w:rsid w:val="00FD3A5C"/>
    <w:rPr>
      <w:sz w:val="20"/>
      <w:szCs w:val="20"/>
    </w:rPr>
  </w:style>
  <w:style w:type="character" w:customStyle="1" w:styleId="CommentTextChar">
    <w:name w:val="Comment Text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qFormat/>
    <w:rsid w:val="00744FF1"/>
    <w:pPr>
      <w:spacing w:after="0"/>
    </w:pPr>
    <w:rPr>
      <w:sz w:val="18"/>
      <w:szCs w:val="18"/>
    </w:rPr>
  </w:style>
  <w:style w:type="character" w:customStyle="1" w:styleId="FootnoteTextChar">
    <w:name w:val="Footnote Text Char"/>
    <w:basedOn w:val="DefaultParagraphFont"/>
    <w:link w:val="FootnoteText"/>
    <w:rsid w:val="00744FF1"/>
    <w:rPr>
      <w:sz w:val="18"/>
      <w:szCs w:val="18"/>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eastAsia="Times New Roman" w:hAnsi="Calibri-Bold" w:cs="Arial"/>
      <w:b/>
      <w:bCs w:val="0"/>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99"/>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99"/>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99"/>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6B63BA"/>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iPriority w:val="99"/>
    <w:unhideWhenUsed/>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3C171F"/>
  </w:style>
  <w:style w:type="character" w:customStyle="1" w:styleId="external">
    <w:name w:val="external"/>
    <w:basedOn w:val="DefaultParagraphFont"/>
    <w:uiPriority w:val="99"/>
    <w:unhideWhenUsed/>
    <w:rsid w:val="005449D2"/>
  </w:style>
  <w:style w:type="character" w:styleId="Strong">
    <w:name w:val="Strong"/>
    <w:basedOn w:val="DefaultParagraphFont"/>
    <w:uiPriority w:val="99"/>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uiPriority w:val="99"/>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BRnormal10pt-CopyrightPage"/>
    <w:qFormat/>
    <w:rsid w:val="00BA1FBC"/>
    <w:pPr>
      <w:spacing w:before="0" w:after="120"/>
      <w:ind w:left="720" w:hanging="720"/>
    </w:pPr>
    <w:rPr>
      <w:lang w:val="en-GB"/>
    </w:rPr>
  </w:style>
  <w:style w:type="paragraph" w:customStyle="1" w:styleId="BRnormal10pt-CopyrightPage">
    <w:name w:val="BR normal 10pt - Copyright Page"/>
    <w:basedOn w:val="Body"/>
    <w:link w:val="BRnormal10pt-CopyrightPageChar"/>
    <w:qFormat/>
    <w:rsid w:val="00E17C06"/>
    <w:pPr>
      <w:spacing w:before="200"/>
    </w:pPr>
    <w:rPr>
      <w:rFonts w:ascii="Arial" w:hAnsi="Arial"/>
      <w:sz w:val="20"/>
      <w:szCs w:val="20"/>
    </w:rPr>
  </w:style>
  <w:style w:type="paragraph" w:customStyle="1" w:styleId="BRHeading1">
    <w:name w:val="BR Heading 1"/>
    <w:basedOn w:val="Heading1"/>
    <w:link w:val="BRHeading1Char"/>
    <w:uiPriority w:val="1"/>
    <w:rsid w:val="00DD20BC"/>
    <w:rPr>
      <w:rFonts w:ascii="Arial" w:hAnsi="Arial"/>
    </w:rPr>
  </w:style>
  <w:style w:type="character" w:customStyle="1" w:styleId="BRnormal10pt-CopyrightPageChar">
    <w:name w:val="BR normal 10pt - Copyright Page Char"/>
    <w:basedOn w:val="BodyChar"/>
    <w:link w:val="BRnormal10pt-CopyrightPage"/>
    <w:rsid w:val="00E17C06"/>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eastAsia="Times New Roman" w:hAnsi="Arial Bold" w:cs="Arial"/>
      <w:b/>
      <w:bCs/>
      <w:color w:val="1F497D" w:themeColor="text2"/>
      <w:sz w:val="48"/>
      <w:szCs w:val="48"/>
      <w:lang w:val="en-GB"/>
    </w:rPr>
  </w:style>
  <w:style w:type="paragraph" w:customStyle="1" w:styleId="BRHeading2">
    <w:name w:val="BR Heading 2"/>
    <w:basedOn w:val="Heading3"/>
    <w:link w:val="BRHeading2Char"/>
    <w:uiPriority w:val="1"/>
    <w:rsid w:val="00B90805"/>
    <w:rPr>
      <w:rFonts w:cs="Arial"/>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BRdotpoints">
    <w:name w:val="BR dot points"/>
    <w:basedOn w:val="Bullet"/>
    <w:link w:val="BRdotpointsChar"/>
    <w:qFormat/>
    <w:rsid w:val="007702DF"/>
    <w:pPr>
      <w:tabs>
        <w:tab w:val="num" w:pos="567"/>
      </w:tabs>
      <w:spacing w:before="0" w:beforeAutospacing="0" w:after="113" w:afterAutospacing="0" w:line="280" w:lineRule="atLeast"/>
      <w:ind w:hanging="567"/>
    </w:pPr>
    <w:rPr>
      <w:rFonts w:ascii="Arial" w:hAnsi="Arial"/>
    </w:rPr>
  </w:style>
  <w:style w:type="character" w:customStyle="1" w:styleId="BRdotpointChar">
    <w:name w:val="BR dot point Char"/>
    <w:basedOn w:val="BodyChar"/>
    <w:link w:val="BRdotpoint"/>
    <w:uiPriority w:val="2"/>
    <w:rsid w:val="006B63BA"/>
    <w:rPr>
      <w:rFonts w:ascii="Calibri" w:eastAsiaTheme="minorHAnsi" w:hAnsi="Calibri" w:cs="Arial"/>
      <w:sz w:val="22"/>
      <w:szCs w:val="22"/>
      <w:lang w:val="en-AU" w:eastAsia="en-AU"/>
    </w:rPr>
  </w:style>
  <w:style w:type="character" w:customStyle="1" w:styleId="BRdotpointsChar">
    <w:name w:val="BR dot points Char"/>
    <w:basedOn w:val="BulletChar"/>
    <w:link w:val="BRdotpoints"/>
    <w:rsid w:val="007702DF"/>
    <w:rPr>
      <w:rFonts w:ascii="Calibri" w:eastAsia="Times New Roman" w:hAnsi="Calibri" w:cs="Times New Roman"/>
      <w:color w:val="000000"/>
      <w:sz w:val="22"/>
      <w:szCs w:val="20"/>
      <w:lang w:val="en-GB" w:eastAsia="en-US"/>
    </w:rPr>
  </w:style>
  <w:style w:type="paragraph" w:customStyle="1" w:styleId="BRTOCStyle">
    <w:name w:val="BR TOC Style"/>
    <w:basedOn w:val="TOC1"/>
    <w:link w:val="BRTOCStyleChar"/>
    <w:uiPriority w:val="1"/>
    <w:rsid w:val="007F3F93"/>
    <w:rPr>
      <w:noProof/>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99"/>
    <w:rsid w:val="006B63BA"/>
    <w:rPr>
      <w:rFonts w:ascii="Arial" w:eastAsiaTheme="minorHAnsi" w:hAnsi="Arial" w:cs="Arial"/>
      <w:sz w:val="20"/>
      <w:szCs w:val="22"/>
      <w:lang w:val="en-AU" w:eastAsia="en-AU"/>
    </w:rPr>
  </w:style>
  <w:style w:type="character" w:customStyle="1" w:styleId="BRTOCStyleChar">
    <w:name w:val="BR TOC Style Char"/>
    <w:basedOn w:val="TOC1Char"/>
    <w:link w:val="BRTOCStyle"/>
    <w:uiPriority w:val="1"/>
    <w:rsid w:val="00BD1D7C"/>
    <w:rPr>
      <w:rFonts w:ascii="Arial" w:eastAsiaTheme="minorHAnsi" w:hAnsi="Arial" w:cs="Arial"/>
      <w:noProof/>
      <w:sz w:val="20"/>
      <w:szCs w:val="22"/>
      <w:lang w:val="en-AU" w:eastAsia="en-AU"/>
    </w:rPr>
  </w:style>
  <w:style w:type="character" w:styleId="SubtleEmphasis">
    <w:name w:val="Subtle Emphasis"/>
    <w:basedOn w:val="DefaultParagraphFont"/>
    <w:uiPriority w:val="9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BRCoverPageH1"/>
    <w:link w:val="Coverpage-normalChar"/>
    <w:uiPriority w:val="99"/>
    <w:rsid w:val="00166D9B"/>
  </w:style>
  <w:style w:type="paragraph" w:customStyle="1" w:styleId="BRCoverPageH2">
    <w:name w:val="BR Cover Page H2"/>
    <w:basedOn w:val="SummaryH2"/>
    <w:link w:val="BRCoverPageH2Char"/>
    <w:qFormat/>
    <w:rsid w:val="00651B28"/>
    <w:pPr>
      <w:spacing w:before="480" w:after="600"/>
      <w:ind w:left="1843" w:right="275"/>
    </w:pPr>
    <w:rPr>
      <w:sz w:val="52"/>
      <w:szCs w:val="52"/>
    </w:rPr>
  </w:style>
  <w:style w:type="character" w:customStyle="1" w:styleId="Coverpage-normalChar">
    <w:name w:val="Cover page - normal Char"/>
    <w:basedOn w:val="BodyTextChar"/>
    <w:link w:val="Coverpage-normal"/>
    <w:uiPriority w:val="99"/>
    <w:rsid w:val="006B63BA"/>
    <w:rPr>
      <w:rFonts w:ascii="Arial" w:eastAsia="Times New Roman" w:hAnsi="Arial" w:cs="Calibri-Bold"/>
      <w:bCs/>
      <w:i/>
      <w:color w:val="1F497D" w:themeColor="text2"/>
      <w:szCs w:val="48"/>
      <w:lang w:val="en-GB" w:eastAsia="en-AU"/>
    </w:rPr>
  </w:style>
  <w:style w:type="paragraph" w:customStyle="1" w:styleId="BRCoverPageH1">
    <w:name w:val="BR Cover Page H1"/>
    <w:basedOn w:val="H1"/>
    <w:link w:val="BRCoverPageH1Char"/>
    <w:qFormat/>
    <w:rsid w:val="00651B28"/>
    <w:pPr>
      <w:pageBreakBefore w:val="0"/>
      <w:spacing w:before="1920"/>
      <w:ind w:left="1843"/>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651B28"/>
    <w:rPr>
      <w:rFonts w:ascii="Calibri-Bold" w:eastAsia="Times New Roman" w:hAnsi="Calibri-Bold" w:cs="Arial"/>
      <w:b/>
      <w:bCs w:val="0"/>
      <w:color w:val="1F497D" w:themeColor="text2"/>
      <w:sz w:val="52"/>
      <w:szCs w:val="52"/>
      <w:lang w:val="en-GB" w:eastAsia="en-AU"/>
    </w:rPr>
  </w:style>
  <w:style w:type="paragraph" w:customStyle="1" w:styleId="BRCoverpagenormal">
    <w:name w:val="BR Cover page normal"/>
    <w:basedOn w:val="Coverpage-normal"/>
    <w:link w:val="BRCoverpagenormalChar"/>
    <w:uiPriority w:val="1"/>
    <w:rsid w:val="00415F03"/>
  </w:style>
  <w:style w:type="character" w:customStyle="1" w:styleId="BRCoverPageH1Char">
    <w:name w:val="BR Cover Page H1 Char"/>
    <w:basedOn w:val="BodyChar"/>
    <w:link w:val="BRCoverPageH1"/>
    <w:rsid w:val="00651B28"/>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uiPriority w:val="1"/>
    <w:rsid w:val="00BD1D7C"/>
    <w:rPr>
      <w:rFonts w:ascii="Arial" w:eastAsia="Times New Roman" w:hAnsi="Arial" w:cs="Calibri-Bold"/>
      <w:bCs/>
      <w:i/>
      <w:color w:val="1F497D" w:themeColor="text2"/>
      <w:sz w:val="24"/>
      <w:szCs w:val="48"/>
      <w:lang w:val="en-GB" w:eastAsia="en-AU"/>
    </w:rPr>
  </w:style>
  <w:style w:type="paragraph" w:customStyle="1" w:styleId="ExecSumm">
    <w:name w:val="Exec Summ"/>
    <w:basedOn w:val="BRHeading1"/>
    <w:link w:val="ExecSummChar"/>
    <w:uiPriority w:val="99"/>
    <w:rsid w:val="00FE58B0"/>
    <w:pPr>
      <w:numPr>
        <w:numId w:val="0"/>
      </w:numPr>
    </w:pPr>
  </w:style>
  <w:style w:type="paragraph" w:customStyle="1" w:styleId="Page2Heading">
    <w:name w:val="Page 2 Heading"/>
    <w:basedOn w:val="Heading2"/>
    <w:link w:val="Page2HeadingChar"/>
    <w:qFormat/>
    <w:rsid w:val="00FA5AD3"/>
    <w:pPr>
      <w:numPr>
        <w:ilvl w:val="0"/>
        <w:numId w:val="0"/>
      </w:numPr>
      <w:ind w:left="576" w:hanging="576"/>
    </w:pPr>
  </w:style>
  <w:style w:type="character" w:customStyle="1" w:styleId="ExecSummChar">
    <w:name w:val="Exec Summ Char"/>
    <w:basedOn w:val="BRHeading1Char"/>
    <w:link w:val="ExecSumm"/>
    <w:uiPriority w:val="99"/>
    <w:rsid w:val="006B63BA"/>
    <w:rPr>
      <w:rFonts w:ascii="Arial Bold" w:eastAsia="Times New Roman" w:hAnsi="Arial Bold" w:cs="Arial"/>
      <w:b/>
      <w:bCs/>
      <w:color w:val="1F497D" w:themeColor="text2"/>
      <w:sz w:val="48"/>
      <w:szCs w:val="48"/>
      <w:lang w:val="en-GB"/>
    </w:rPr>
  </w:style>
  <w:style w:type="paragraph" w:customStyle="1" w:styleId="BRQuote">
    <w:name w:val="BR Quote"/>
    <w:basedOn w:val="Normal"/>
    <w:link w:val="BRQuoteChar"/>
    <w:qFormat/>
    <w:rsid w:val="00F767FE"/>
    <w:pPr>
      <w:ind w:left="567"/>
    </w:pPr>
    <w:rPr>
      <w:i/>
      <w:color w:val="000000"/>
    </w:rPr>
  </w:style>
  <w:style w:type="character" w:customStyle="1" w:styleId="Page2HeadingChar">
    <w:name w:val="Page 2 Heading Char"/>
    <w:basedOn w:val="Heading2Char"/>
    <w:link w:val="Page2Heading"/>
    <w:rsid w:val="00902F55"/>
    <w:rPr>
      <w:rFonts w:cs="Arial"/>
      <w:b/>
      <w:bCs/>
      <w:color w:val="1F497D" w:themeColor="text2"/>
      <w:sz w:val="30"/>
      <w:szCs w:val="30"/>
      <w:lang w:val="en-GB"/>
    </w:rPr>
  </w:style>
  <w:style w:type="character" w:customStyle="1" w:styleId="BRQuoteChar">
    <w:name w:val="BR Quote Char"/>
    <w:basedOn w:val="DefaultParagraphFont"/>
    <w:link w:val="BRQuote"/>
    <w:rsid w:val="000C41FB"/>
    <w:rPr>
      <w:i/>
      <w:color w:val="000000"/>
    </w:rPr>
  </w:style>
  <w:style w:type="paragraph" w:customStyle="1" w:styleId="Bulletpoint">
    <w:name w:val="Bullet point"/>
    <w:basedOn w:val="Body"/>
    <w:link w:val="BulletpointChar"/>
    <w:uiPriority w:val="99"/>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eastAsiaTheme="minorHAnsi" w:hAnsi="Calibri" w:cs="Arial"/>
      <w:color w:val="000000"/>
      <w:sz w:val="22"/>
      <w:szCs w:val="22"/>
      <w:lang w:val="en-AU" w:eastAsia="en-AU"/>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eastAsiaTheme="minorHAnsi" w:hAnsi="Calibri" w:cs="Arial"/>
      <w:color w:val="000000"/>
      <w:sz w:val="22"/>
      <w:szCs w:val="22"/>
      <w:lang w:val="en-AU" w:eastAsia="en-AU"/>
    </w:rPr>
  </w:style>
  <w:style w:type="paragraph" w:customStyle="1" w:styleId="BR2ndbullet">
    <w:name w:val="BR 2nd bullet"/>
    <w:basedOn w:val="2ndbulletpoint"/>
    <w:link w:val="BR2ndbulletChar"/>
    <w:qFormat/>
    <w:rsid w:val="008E6B3E"/>
    <w:pPr>
      <w:numPr>
        <w:numId w:val="38"/>
      </w:numPr>
      <w:tabs>
        <w:tab w:val="clear" w:pos="1440"/>
        <w:tab w:val="num" w:pos="993"/>
      </w:tabs>
      <w:ind w:left="993" w:hanging="426"/>
    </w:pPr>
  </w:style>
  <w:style w:type="paragraph" w:customStyle="1" w:styleId="BRNormal11pt0">
    <w:name w:val="BR Normal 11pt"/>
    <w:basedOn w:val="BRnormal10pt-CopyrightPage"/>
    <w:link w:val="BRNormal11ptChar0"/>
    <w:qFormat/>
    <w:rsid w:val="00761645"/>
    <w:rPr>
      <w:color w:val="000000"/>
      <w:sz w:val="22"/>
      <w:szCs w:val="22"/>
    </w:rPr>
  </w:style>
  <w:style w:type="character" w:customStyle="1" w:styleId="BR2ndbulletChar">
    <w:name w:val="BR 2nd bullet Char"/>
    <w:basedOn w:val="2ndbulletpointChar"/>
    <w:link w:val="BR2ndbullet"/>
    <w:rsid w:val="00483C44"/>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rsid w:val="00902F55"/>
    <w:rPr>
      <w:rFonts w:ascii="Calibri" w:eastAsiaTheme="minorHAnsi" w:hAnsi="Calibri" w:cs="Arial"/>
      <w:color w:val="000000"/>
      <w:sz w:val="20"/>
      <w:szCs w:val="20"/>
      <w:lang w:val="en-AU" w:eastAsia="en-AU"/>
    </w:rPr>
  </w:style>
  <w:style w:type="paragraph" w:customStyle="1" w:styleId="Caption-figure">
    <w:name w:val="Caption - figure"/>
    <w:basedOn w:val="Tablecaption"/>
    <w:link w:val="Caption-figureChar"/>
    <w:qFormat/>
    <w:rsid w:val="00D90926"/>
    <w:pPr>
      <w:keepNext w:val="0"/>
      <w:spacing w:after="360"/>
    </w:pPr>
  </w:style>
  <w:style w:type="character" w:customStyle="1" w:styleId="Caption-figureChar">
    <w:name w:val="Caption - figure Char"/>
    <w:basedOn w:val="CaptionChar"/>
    <w:link w:val="Caption-figure"/>
    <w:rsid w:val="00D90926"/>
    <w:rPr>
      <w:rFonts w:eastAsia="Times New Roman" w:cs="Times New Roman"/>
      <w:sz w:val="20"/>
      <w:szCs w:val="20"/>
      <w:lang w:val="en-GB" w:eastAsia="en-US"/>
    </w:rPr>
  </w:style>
  <w:style w:type="paragraph" w:customStyle="1" w:styleId="SummaryH2">
    <w:name w:val="Summary H2"/>
    <w:basedOn w:val="BRnormal11pt"/>
    <w:link w:val="SummaryH2Char"/>
    <w:qFormat/>
    <w:rsid w:val="0023261D"/>
    <w:rPr>
      <w:b/>
      <w:color w:val="1F497D" w:themeColor="text2"/>
      <w:sz w:val="30"/>
      <w:szCs w:val="30"/>
    </w:rPr>
  </w:style>
  <w:style w:type="paragraph" w:customStyle="1" w:styleId="SummaryH1">
    <w:name w:val="Summary H1"/>
    <w:basedOn w:val="ExecSumm"/>
    <w:link w:val="SummaryH1Char"/>
    <w:qFormat/>
    <w:rsid w:val="0023261D"/>
  </w:style>
  <w:style w:type="character" w:customStyle="1" w:styleId="SummaryH2Char">
    <w:name w:val="Summary H2 Char"/>
    <w:basedOn w:val="BRnormal11ptChar"/>
    <w:link w:val="SummaryH2"/>
    <w:rsid w:val="00902F55"/>
    <w:rPr>
      <w:rFonts w:ascii="Arial" w:eastAsiaTheme="minorHAnsi" w:hAnsi="Arial" w:cs="Arial"/>
      <w:b/>
      <w:color w:val="1F497D" w:themeColor="text2"/>
      <w:sz w:val="30"/>
      <w:szCs w:val="30"/>
      <w:lang w:val="en-AU" w:eastAsia="en-AU"/>
    </w:rPr>
  </w:style>
  <w:style w:type="character" w:customStyle="1" w:styleId="SummaryH1Char">
    <w:name w:val="Summary H1 Char"/>
    <w:basedOn w:val="ExecSummChar"/>
    <w:link w:val="SummaryH1"/>
    <w:rsid w:val="00902F55"/>
    <w:rPr>
      <w:rFonts w:ascii="Arial Bold" w:eastAsia="Times New Roman" w:hAnsi="Arial Bold" w:cs="Arial"/>
      <w:b/>
      <w:bCs/>
      <w:color w:val="1F497D" w:themeColor="text2"/>
      <w:sz w:val="48"/>
      <w:szCs w:val="48"/>
      <w:lang w:val="en-GB"/>
    </w:rPr>
  </w:style>
  <w:style w:type="paragraph" w:customStyle="1" w:styleId="BRCoverPageH3">
    <w:name w:val="BR Cover Page H3"/>
    <w:basedOn w:val="H3"/>
    <w:link w:val="BRCoverPageH3Char"/>
    <w:qFormat/>
    <w:rsid w:val="00651B28"/>
    <w:pPr>
      <w:spacing w:before="840"/>
      <w:ind w:left="1843" w:right="275"/>
    </w:pPr>
    <w:rPr>
      <w:rFonts w:ascii="Arial" w:hAnsi="Arial"/>
      <w:b w:val="0"/>
      <w:color w:val="1F497D" w:themeColor="text2"/>
      <w:sz w:val="20"/>
    </w:rPr>
  </w:style>
  <w:style w:type="paragraph" w:customStyle="1" w:styleId="BRCoverDate">
    <w:name w:val="BR Cover Date"/>
    <w:basedOn w:val="CoverDate"/>
    <w:link w:val="BRCoverDateChar"/>
    <w:uiPriority w:val="99"/>
    <w:rsid w:val="001F5FDC"/>
  </w:style>
  <w:style w:type="character" w:customStyle="1" w:styleId="CoverSubjectChar">
    <w:name w:val="CoverSubject Char"/>
    <w:basedOn w:val="BRCoverpagenormalChar"/>
    <w:link w:val="CoverSubject"/>
    <w:uiPriority w:val="99"/>
    <w:rsid w:val="006B63BA"/>
    <w:rPr>
      <w:rFonts w:ascii="Arial" w:eastAsia="Times New Roman" w:hAnsi="Arial" w:cs="Calibri-Bold"/>
      <w:bCs/>
      <w:i/>
      <w:color w:val="1F497D" w:themeColor="text2"/>
      <w:sz w:val="24"/>
      <w:szCs w:val="48"/>
      <w:lang w:val="en-GB" w:eastAsia="en-AU"/>
    </w:rPr>
  </w:style>
  <w:style w:type="character" w:customStyle="1" w:styleId="BRCoverPageH3Char">
    <w:name w:val="BR Cover Page H3 Char"/>
    <w:basedOn w:val="CoverSubjectChar"/>
    <w:link w:val="BRCoverPageH3"/>
    <w:rsid w:val="00651B28"/>
    <w:rPr>
      <w:rFonts w:ascii="Arial" w:eastAsia="Times New Roman" w:hAnsi="Arial" w:cs="Calibri-Bold"/>
      <w:bCs/>
      <w:i w:val="0"/>
      <w:color w:val="1F497D" w:themeColor="text2"/>
      <w:sz w:val="20"/>
      <w:szCs w:val="48"/>
      <w:lang w:val="en-GB" w:eastAsia="en-AU"/>
    </w:rPr>
  </w:style>
  <w:style w:type="paragraph" w:customStyle="1" w:styleId="BelowTableFigureText9pt">
    <w:name w:val="Below TableFigure Text 9pt"/>
    <w:basedOn w:val="Body"/>
    <w:link w:val="BelowTableFigureText9ptChar"/>
    <w:qFormat/>
    <w:rsid w:val="000C41FB"/>
    <w:pPr>
      <w:spacing w:before="120"/>
    </w:pPr>
    <w:rPr>
      <w:rFonts w:ascii="Arial" w:hAnsi="Arial"/>
      <w:sz w:val="18"/>
      <w:szCs w:val="18"/>
    </w:rPr>
  </w:style>
  <w:style w:type="character" w:customStyle="1" w:styleId="CoverDateChar">
    <w:name w:val="CoverDate Char"/>
    <w:basedOn w:val="BodyTextChar"/>
    <w:link w:val="CoverDate"/>
    <w:uiPriority w:val="99"/>
    <w:rsid w:val="006B63BA"/>
    <w:rPr>
      <w:rFonts w:ascii="Arial" w:eastAsia="Times New Roman" w:hAnsi="Arial" w:cs="Arial"/>
      <w:color w:val="1F497D" w:themeColor="text2"/>
      <w:sz w:val="20"/>
      <w:szCs w:val="20"/>
      <w:lang w:val="en-AU" w:eastAsia="en-AU"/>
    </w:rPr>
  </w:style>
  <w:style w:type="character" w:customStyle="1" w:styleId="BRCoverDateChar">
    <w:name w:val="BR Cover Date Char"/>
    <w:basedOn w:val="CoverDateChar"/>
    <w:link w:val="BRCoverDate"/>
    <w:uiPriority w:val="99"/>
    <w:rsid w:val="00BD1D7C"/>
    <w:rPr>
      <w:rFonts w:ascii="Arial" w:eastAsia="Times New Roman" w:hAnsi="Arial" w:cs="Arial"/>
      <w:color w:val="1F497D" w:themeColor="text2"/>
      <w:sz w:val="20"/>
      <w:szCs w:val="20"/>
      <w:lang w:val="en-AU" w:eastAsia="en-AU"/>
    </w:rPr>
  </w:style>
  <w:style w:type="paragraph" w:customStyle="1" w:styleId="BRnumbering">
    <w:name w:val="BR numbering"/>
    <w:basedOn w:val="BRnormal11pt"/>
    <w:link w:val="BRnumberingChar"/>
    <w:qFormat/>
    <w:rsid w:val="005649EE"/>
    <w:pPr>
      <w:numPr>
        <w:numId w:val="39"/>
      </w:numPr>
      <w:spacing w:after="113" w:line="280" w:lineRule="atLeast"/>
      <w:ind w:left="426" w:hanging="426"/>
    </w:pPr>
    <w:rPr>
      <w:lang w:val="en-GB"/>
    </w:rPr>
  </w:style>
  <w:style w:type="character" w:customStyle="1" w:styleId="BelowTableFigureText9ptChar">
    <w:name w:val="Below TableFigure Text 9pt Char"/>
    <w:basedOn w:val="BodyChar"/>
    <w:link w:val="BelowTableFigureText9pt"/>
    <w:rsid w:val="000C41FB"/>
    <w:rPr>
      <w:rFonts w:ascii="Calibri" w:eastAsiaTheme="minorHAnsi" w:hAnsi="Calibri" w:cs="Arial"/>
      <w:sz w:val="18"/>
      <w:szCs w:val="18"/>
      <w:lang w:val="en-AU" w:eastAsia="en-AU"/>
    </w:rPr>
  </w:style>
  <w:style w:type="character" w:customStyle="1" w:styleId="BRnumberingChar">
    <w:name w:val="BR numbering Char"/>
    <w:basedOn w:val="BRnormal11ptChar"/>
    <w:link w:val="BRnumbering"/>
    <w:rsid w:val="005649EE"/>
    <w:rPr>
      <w:rFonts w:ascii="Arial" w:eastAsiaTheme="minorHAnsi" w:hAnsi="Arial" w:cs="Arial"/>
      <w:sz w:val="22"/>
      <w:szCs w:val="22"/>
      <w:lang w:val="en-GB" w:eastAsia="en-AU"/>
    </w:rPr>
  </w:style>
  <w:style w:type="paragraph" w:customStyle="1" w:styleId="BRNormal">
    <w:name w:val="BR Normal"/>
    <w:basedOn w:val="Normal"/>
    <w:link w:val="BRNormalChar"/>
    <w:uiPriority w:val="99"/>
    <w:qFormat/>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BR-normal-CopyrightPage">
    <w:name w:val="BR - normal - Copyright Page"/>
    <w:basedOn w:val="Body"/>
    <w:link w:val="BR-normal-CopyrightPageChar"/>
    <w:uiPriority w:val="99"/>
    <w:rsid w:val="00967815"/>
    <w:rPr>
      <w:rFonts w:ascii="Arial" w:hAnsi="Arial"/>
      <w:color w:val="000000"/>
      <w:sz w:val="20"/>
      <w:szCs w:val="20"/>
    </w:rPr>
  </w:style>
  <w:style w:type="character" w:customStyle="1" w:styleId="BR-normal-CopyrightPageChar">
    <w:name w:val="BR - normal - Copyright Page Char"/>
    <w:basedOn w:val="BodyChar"/>
    <w:link w:val="BR-normal-CopyrightPage"/>
    <w:uiPriority w:val="99"/>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cs="Arial"/>
      <w:b/>
      <w:bCs/>
      <w:color w:val="1F497D" w:themeColor="text2"/>
      <w:sz w:val="30"/>
      <w:szCs w:val="26"/>
      <w:lang w:val="en-GB"/>
    </w:rPr>
  </w:style>
  <w:style w:type="paragraph" w:customStyle="1" w:styleId="Tableheading">
    <w:name w:val="Table heading"/>
    <w:basedOn w:val="Body"/>
    <w:link w:val="TableheadingChar"/>
    <w:qFormat/>
    <w:rsid w:val="00F87E44"/>
    <w:pPr>
      <w:widowControl w:val="0"/>
      <w:suppressAutoHyphens/>
      <w:adjustRightInd w:val="0"/>
      <w:spacing w:before="60" w:after="60"/>
      <w:textAlignment w:val="center"/>
    </w:pPr>
    <w:rPr>
      <w:rFonts w:ascii="Arial" w:hAnsi="Arial"/>
      <w:b/>
      <w:sz w:val="20"/>
      <w:szCs w:val="20"/>
      <w:lang w:eastAsia="en-US"/>
    </w:rPr>
  </w:style>
  <w:style w:type="paragraph" w:customStyle="1" w:styleId="Tabletext">
    <w:name w:val="Table text"/>
    <w:basedOn w:val="Body"/>
    <w:link w:val="TabletextChar"/>
    <w:qFormat/>
    <w:rsid w:val="00F87E44"/>
    <w:pPr>
      <w:widowControl w:val="0"/>
      <w:suppressAutoHyphens/>
      <w:adjustRightInd w:val="0"/>
      <w:spacing w:before="60" w:after="60"/>
      <w:textAlignment w:val="center"/>
    </w:pPr>
    <w:rPr>
      <w:rFonts w:ascii="Arial" w:hAnsi="Arial"/>
      <w:color w:val="000000"/>
      <w:sz w:val="20"/>
      <w:szCs w:val="20"/>
    </w:rPr>
  </w:style>
  <w:style w:type="character" w:customStyle="1" w:styleId="TableheadingChar">
    <w:name w:val="Table heading Char"/>
    <w:basedOn w:val="BodyChar"/>
    <w:link w:val="Tableheading"/>
    <w:rsid w:val="00902F55"/>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902F55"/>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uiPriority w:val="1"/>
    <w:rsid w:val="008057EC"/>
    <w:pPr>
      <w:numPr>
        <w:ilvl w:val="0"/>
        <w:numId w:val="0"/>
      </w:numPr>
    </w:pPr>
    <w:rPr>
      <w:sz w:val="26"/>
    </w:rPr>
  </w:style>
  <w:style w:type="character" w:customStyle="1" w:styleId="BRheading3Char">
    <w:name w:val="BR heading 3 Char"/>
    <w:basedOn w:val="BRHeading2Char"/>
    <w:link w:val="BRheading3"/>
    <w:uiPriority w:val="1"/>
    <w:rsid w:val="00BD1D7C"/>
    <w:rPr>
      <w:rFonts w:cs="Arial"/>
      <w:b/>
      <w:bCs/>
      <w:i/>
      <w:color w:val="1F497D" w:themeColor="text2"/>
      <w:sz w:val="26"/>
      <w:szCs w:val="26"/>
      <w:lang w:val="en-GB"/>
    </w:rPr>
  </w:style>
  <w:style w:type="paragraph" w:customStyle="1" w:styleId="SummaryH3">
    <w:name w:val="Summary H3"/>
    <w:basedOn w:val="BRNormal"/>
    <w:link w:val="SummaryH3Char"/>
    <w:qFormat/>
    <w:rsid w:val="0023261D"/>
    <w:rPr>
      <w:b/>
      <w:i/>
      <w:color w:val="1F497D" w:themeColor="text2"/>
      <w:sz w:val="26"/>
      <w:szCs w:val="26"/>
    </w:rPr>
  </w:style>
  <w:style w:type="character" w:customStyle="1" w:styleId="SummaryH3Char">
    <w:name w:val="Summary H3 Char"/>
    <w:basedOn w:val="BRheading3Char"/>
    <w:link w:val="SummaryH3"/>
    <w:rsid w:val="00902F55"/>
    <w:rPr>
      <w:rFonts w:cs="Arial"/>
      <w:b/>
      <w:bCs w:val="0"/>
      <w:i/>
      <w:color w:val="1F497D" w:themeColor="text2"/>
      <w:sz w:val="26"/>
      <w:szCs w:val="26"/>
      <w:lang w:val="en-GB"/>
    </w:rPr>
  </w:style>
  <w:style w:type="paragraph" w:customStyle="1" w:styleId="BRQuote-listlevel1">
    <w:name w:val="BR Quote - list level 1"/>
    <w:basedOn w:val="BRdotpoints"/>
    <w:link w:val="BRQuote-listlevel1Char"/>
    <w:qFormat/>
    <w:rsid w:val="008B71D0"/>
    <w:pPr>
      <w:numPr>
        <w:numId w:val="30"/>
      </w:numPr>
      <w:autoSpaceDE/>
      <w:autoSpaceDN/>
      <w:ind w:left="993" w:hanging="426"/>
    </w:pPr>
    <w:rPr>
      <w:i/>
      <w:color w:val="000000"/>
    </w:rPr>
  </w:style>
  <w:style w:type="character" w:customStyle="1" w:styleId="BRQuote-listlevel1Char">
    <w:name w:val="BR Quote - list level 1 Char"/>
    <w:basedOn w:val="BRdotpointsChar"/>
    <w:link w:val="BRQuote-listlevel1"/>
    <w:rsid w:val="000C41FB"/>
    <w:rPr>
      <w:rFonts w:ascii="Calibri" w:eastAsia="Times New Roman" w:hAnsi="Calibri" w:cs="Times New Roman"/>
      <w:i/>
      <w:color w:val="000000"/>
      <w:sz w:val="22"/>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6B63BA"/>
    <w:rPr>
      <w:rFonts w:ascii="Arial" w:eastAsiaTheme="minorHAnsi" w:hAnsi="Arial" w:cs="Arial"/>
      <w:b/>
      <w:bCs/>
      <w:i/>
      <w:iCs/>
      <w:color w:val="4F81BD" w:themeColor="accent1"/>
      <w:sz w:val="22"/>
      <w:szCs w:val="22"/>
      <w:lang w:val="en-AU" w:eastAsia="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uiPriority w:val="99"/>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1"/>
    <w:rsid w:val="007533F7"/>
    <w:rPr>
      <w:i/>
      <w:iCs/>
      <w:color w:val="000000" w:themeColor="text1"/>
    </w:rPr>
  </w:style>
  <w:style w:type="character" w:customStyle="1" w:styleId="QuoteChar">
    <w:name w:val="Quote Char"/>
    <w:basedOn w:val="DefaultParagraphFont"/>
    <w:link w:val="Quote"/>
    <w:uiPriority w:val="1"/>
    <w:rsid w:val="00BD1D7C"/>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Summaryheading4">
    <w:name w:val="Summary heading 4"/>
    <w:basedOn w:val="Heading4"/>
    <w:link w:val="Summaryheading4Char"/>
    <w:qFormat/>
    <w:rsid w:val="000C41FB"/>
    <w:pPr>
      <w:numPr>
        <w:ilvl w:val="0"/>
        <w:numId w:val="0"/>
      </w:numPr>
      <w:ind w:left="864" w:hanging="864"/>
    </w:pPr>
  </w:style>
  <w:style w:type="character" w:customStyle="1" w:styleId="Summaryheading4Char">
    <w:name w:val="Summary heading 4 Char"/>
    <w:basedOn w:val="Heading4Char"/>
    <w:link w:val="Summaryheading4"/>
    <w:rsid w:val="000C41FB"/>
    <w:rPr>
      <w:rFonts w:eastAsia="Times New Roman" w:cs="Times New Roman"/>
      <w:b/>
      <w:color w:val="1F497D" w:themeColor="text2"/>
      <w:sz w:val="24"/>
      <w:lang w:val="en-GB" w:eastAsia="en-US"/>
    </w:rPr>
  </w:style>
  <w:style w:type="paragraph" w:customStyle="1" w:styleId="Listintrotext">
    <w:name w:val="List intro text"/>
    <w:basedOn w:val="Body"/>
    <w:link w:val="ListintrotextChar"/>
    <w:qFormat/>
    <w:rsid w:val="00A90F48"/>
    <w:pPr>
      <w:spacing w:before="200" w:after="120"/>
    </w:pPr>
    <w:rPr>
      <w:rFonts w:ascii="Arial" w:hAnsi="Arial"/>
    </w:rPr>
  </w:style>
  <w:style w:type="paragraph" w:customStyle="1" w:styleId="Post-listtext">
    <w:name w:val="Post-list text"/>
    <w:basedOn w:val="BRnormal11pt"/>
    <w:link w:val="Post-listtextChar"/>
    <w:qFormat/>
    <w:rsid w:val="00CB1F06"/>
    <w:pPr>
      <w:spacing w:before="200"/>
    </w:pPr>
  </w:style>
  <w:style w:type="character" w:customStyle="1" w:styleId="ListintrotextChar">
    <w:name w:val="List intro text Char"/>
    <w:basedOn w:val="BodyChar"/>
    <w:link w:val="Listintrotext"/>
    <w:rsid w:val="00A90F48"/>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qFormat/>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qFormat/>
    <w:rsid w:val="00BD1D7C"/>
    <w:pPr>
      <w:jc w:val="center"/>
    </w:pPr>
    <w:rPr>
      <w:sz w:val="18"/>
      <w:szCs w:val="18"/>
    </w:rPr>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BRQuote"/>
    <w:link w:val="QuotecitationChar"/>
    <w:qFormat/>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AppendixH1">
    <w:name w:val="Appendix H1"/>
    <w:basedOn w:val="SummaryH1"/>
    <w:link w:val="AppendixH1Char"/>
    <w:qFormat/>
    <w:rsid w:val="000C41FB"/>
  </w:style>
  <w:style w:type="character" w:customStyle="1" w:styleId="QuotecitationChar">
    <w:name w:val="Quote citation Char"/>
    <w:basedOn w:val="BRQuoteChar"/>
    <w:link w:val="Quotecitation"/>
    <w:rsid w:val="000C41FB"/>
    <w:rPr>
      <w:i w:val="0"/>
      <w:color w:val="000000"/>
    </w:rPr>
  </w:style>
  <w:style w:type="paragraph" w:customStyle="1" w:styleId="AppendixH2">
    <w:name w:val="Appendix H2"/>
    <w:basedOn w:val="SummaryH2"/>
    <w:link w:val="AppendixH2Char"/>
    <w:qFormat/>
    <w:rsid w:val="000C41FB"/>
  </w:style>
  <w:style w:type="character" w:customStyle="1" w:styleId="AppendixH1Char">
    <w:name w:val="Appendix H1 Char"/>
    <w:basedOn w:val="SummaryH1Char"/>
    <w:link w:val="AppendixH1"/>
    <w:rsid w:val="000C41FB"/>
    <w:rPr>
      <w:rFonts w:ascii="Arial Bold" w:eastAsia="Times New Roman" w:hAnsi="Arial Bold" w:cs="Arial"/>
      <w:b/>
      <w:bCs/>
      <w:color w:val="1F497D" w:themeColor="text2"/>
      <w:sz w:val="48"/>
      <w:szCs w:val="48"/>
      <w:lang w:val="en-GB"/>
    </w:rPr>
  </w:style>
  <w:style w:type="paragraph" w:customStyle="1" w:styleId="AppendixH3">
    <w:name w:val="Appendix H3"/>
    <w:basedOn w:val="SummaryH3"/>
    <w:link w:val="AppendixH3Char"/>
    <w:qFormat/>
    <w:rsid w:val="000C41FB"/>
  </w:style>
  <w:style w:type="character" w:customStyle="1" w:styleId="AppendixH2Char">
    <w:name w:val="Appendix H2 Char"/>
    <w:basedOn w:val="SummaryH2Char"/>
    <w:link w:val="AppendixH2"/>
    <w:rsid w:val="000C41FB"/>
    <w:rPr>
      <w:rFonts w:ascii="Arial" w:eastAsiaTheme="minorHAnsi" w:hAnsi="Arial" w:cs="Arial"/>
      <w:b/>
      <w:color w:val="1F497D" w:themeColor="text2"/>
      <w:sz w:val="30"/>
      <w:szCs w:val="30"/>
      <w:lang w:val="en-AU" w:eastAsia="en-AU"/>
    </w:rPr>
  </w:style>
  <w:style w:type="paragraph" w:customStyle="1" w:styleId="AppendixH4">
    <w:name w:val="Appendix H4"/>
    <w:basedOn w:val="Summaryheading4"/>
    <w:link w:val="AppendixH4Char"/>
    <w:qFormat/>
    <w:rsid w:val="000C41FB"/>
  </w:style>
  <w:style w:type="character" w:customStyle="1" w:styleId="AppendixH3Char">
    <w:name w:val="Appendix H3 Char"/>
    <w:basedOn w:val="SummaryH3Char"/>
    <w:link w:val="AppendixH3"/>
    <w:rsid w:val="00066553"/>
    <w:rPr>
      <w:rFonts w:cs="Arial"/>
      <w:b/>
      <w:bCs w:val="0"/>
      <w:i/>
      <w:color w:val="1F497D" w:themeColor="text2"/>
      <w:sz w:val="26"/>
      <w:szCs w:val="26"/>
      <w:lang w:val="en-GB"/>
    </w:rPr>
  </w:style>
  <w:style w:type="paragraph" w:customStyle="1" w:styleId="3rdbullet">
    <w:name w:val="3rd bullet"/>
    <w:basedOn w:val="BR2ndbullet"/>
    <w:link w:val="3rdbulletChar"/>
    <w:qFormat/>
    <w:rsid w:val="00483C44"/>
    <w:pPr>
      <w:numPr>
        <w:ilvl w:val="2"/>
      </w:numPr>
      <w:tabs>
        <w:tab w:val="clear" w:pos="2160"/>
        <w:tab w:val="num" w:pos="1560"/>
      </w:tabs>
      <w:ind w:left="1560" w:hanging="426"/>
    </w:pPr>
  </w:style>
  <w:style w:type="character" w:customStyle="1" w:styleId="AppendixH4Char">
    <w:name w:val="Appendix H4 Char"/>
    <w:basedOn w:val="Summaryheading4Char"/>
    <w:link w:val="AppendixH4"/>
    <w:rsid w:val="00066553"/>
    <w:rPr>
      <w:rFonts w:eastAsia="Times New Roman" w:cs="Times New Roman"/>
      <w:b/>
      <w:color w:val="1F497D" w:themeColor="text2"/>
      <w:sz w:val="24"/>
      <w:lang w:val="en-GB" w:eastAsia="en-US"/>
    </w:rPr>
  </w:style>
  <w:style w:type="character" w:customStyle="1" w:styleId="3rdbulletChar">
    <w:name w:val="3rd bullet Char"/>
    <w:basedOn w:val="BR2ndbulletChar"/>
    <w:link w:val="3rdbullet"/>
    <w:rsid w:val="00483C44"/>
    <w:rPr>
      <w:rFonts w:ascii="Calibri" w:eastAsiaTheme="minorHAnsi" w:hAnsi="Calibri" w:cs="Arial"/>
      <w:color w:val="000000"/>
      <w:sz w:val="22"/>
      <w:szCs w:val="22"/>
      <w:lang w:val="en-AU" w:eastAsia="en-AU"/>
    </w:rPr>
  </w:style>
  <w:style w:type="paragraph" w:customStyle="1" w:styleId="TableDotPoint">
    <w:name w:val="Table Dot Point"/>
    <w:basedOn w:val="Tabletext"/>
    <w:link w:val="TableDotPointChar"/>
    <w:uiPriority w:val="99"/>
    <w:qFormat/>
    <w:rsid w:val="00573315"/>
    <w:pPr>
      <w:numPr>
        <w:numId w:val="41"/>
      </w:numPr>
      <w:ind w:left="327" w:hanging="327"/>
    </w:pPr>
    <w:rPr>
      <w:lang w:val="en-GB"/>
    </w:rPr>
  </w:style>
  <w:style w:type="paragraph" w:customStyle="1" w:styleId="Page2address">
    <w:name w:val="Page 2 address"/>
    <w:basedOn w:val="BRnormal10pt-CopyrightPage"/>
    <w:link w:val="Page2addressChar"/>
    <w:uiPriority w:val="99"/>
    <w:qFormat/>
    <w:rsid w:val="00E17C06"/>
    <w:pPr>
      <w:spacing w:before="0" w:after="0"/>
    </w:pPr>
    <w:rPr>
      <w:rFonts w:eastAsiaTheme="minorHAnsi"/>
      <w:lang w:val="en-AU" w:eastAsia="en-AU"/>
    </w:rPr>
  </w:style>
  <w:style w:type="character" w:customStyle="1" w:styleId="TableDotPointChar">
    <w:name w:val="Table Dot Point Char"/>
    <w:basedOn w:val="TabletextChar"/>
    <w:link w:val="TableDotPoint"/>
    <w:uiPriority w:val="99"/>
    <w:rsid w:val="00573315"/>
    <w:rPr>
      <w:rFonts w:ascii="Calibri" w:eastAsiaTheme="minorHAnsi" w:hAnsi="Calibri" w:cs="Arial"/>
      <w:color w:val="000000"/>
      <w:sz w:val="20"/>
      <w:szCs w:val="20"/>
      <w:lang w:val="en-GB" w:eastAsia="en-AU"/>
    </w:rPr>
  </w:style>
  <w:style w:type="character" w:customStyle="1" w:styleId="Page2addressChar">
    <w:name w:val="Page 2 address Char"/>
    <w:basedOn w:val="BRnormal10pt-CopyrightPageChar"/>
    <w:link w:val="Page2address"/>
    <w:uiPriority w:val="99"/>
    <w:rsid w:val="00E17C06"/>
    <w:rPr>
      <w:rFonts w:ascii="Calibri" w:eastAsiaTheme="minorHAnsi" w:hAnsi="Calibri" w:cs="Arial"/>
      <w:sz w:val="20"/>
      <w:szCs w:val="20"/>
      <w:lang w:val="en-AU" w:eastAsia="en-AU"/>
    </w:rPr>
  </w:style>
  <w:style w:type="paragraph" w:customStyle="1" w:styleId="Dotpoints10pt">
    <w:name w:val="Dot points 10pt"/>
    <w:basedOn w:val="BRdotpoints"/>
    <w:link w:val="Dotpoints10ptChar"/>
    <w:uiPriority w:val="99"/>
    <w:qFormat/>
    <w:rsid w:val="00EE5849"/>
    <w:rPr>
      <w:sz w:val="20"/>
      <w:szCs w:val="20"/>
    </w:rPr>
  </w:style>
  <w:style w:type="table" w:customStyle="1" w:styleId="TableGrid2">
    <w:name w:val="Table Grid2"/>
    <w:basedOn w:val="TableNormal"/>
    <w:next w:val="TableGrid"/>
    <w:rsid w:val="00DA5833"/>
    <w:pPr>
      <w:spacing w:before="77" w:after="113" w:line="250" w:lineRule="exact"/>
    </w:pPr>
    <w:rPr>
      <w:rFonts w:ascii="Times New Roman" w:eastAsia="Times New Roman" w:hAnsi="Times New Roman"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otpoints10ptChar">
    <w:name w:val="Dot points 10pt Char"/>
    <w:basedOn w:val="BRdotpointsChar"/>
    <w:link w:val="Dotpoints10pt"/>
    <w:uiPriority w:val="99"/>
    <w:rsid w:val="00EE5849"/>
    <w:rPr>
      <w:rFonts w:ascii="Calibri" w:eastAsia="Times New Roman" w:hAnsi="Calibri" w:cs="Times New Roman"/>
      <w:color w:val="000000"/>
      <w:sz w:val="20"/>
      <w:szCs w:val="20"/>
      <w:lang w:val="en-GB" w:eastAsia="en-US"/>
    </w:rPr>
  </w:style>
  <w:style w:type="table" w:customStyle="1" w:styleId="TableGrid3">
    <w:name w:val="Table Grid3"/>
    <w:basedOn w:val="TableNormal"/>
    <w:next w:val="TableGrid"/>
    <w:rsid w:val="0093202E"/>
    <w:pPr>
      <w:spacing w:before="77" w:after="113" w:line="250" w:lineRule="exact"/>
    </w:pPr>
    <w:rPr>
      <w:rFonts w:ascii="Times New Roman" w:eastAsia="Times New Roman" w:hAnsi="Times New Roman"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nalDotPoint">
    <w:name w:val="Final Dot Point"/>
    <w:basedOn w:val="BRdotpoints"/>
    <w:link w:val="FinalDotPointChar"/>
    <w:uiPriority w:val="99"/>
    <w:qFormat/>
    <w:rsid w:val="00973D19"/>
    <w:pPr>
      <w:spacing w:after="200"/>
    </w:pPr>
  </w:style>
  <w:style w:type="paragraph" w:customStyle="1" w:styleId="BodyCopy">
    <w:name w:val="Body Copy"/>
    <w:link w:val="BodyCopyChar"/>
    <w:qFormat/>
    <w:rsid w:val="001E6DBD"/>
    <w:pPr>
      <w:suppressAutoHyphens/>
      <w:autoSpaceDE w:val="0"/>
      <w:autoSpaceDN w:val="0"/>
      <w:adjustRightInd w:val="0"/>
      <w:spacing w:before="117" w:after="153" w:line="270" w:lineRule="atLeast"/>
      <w:jc w:val="both"/>
      <w:textAlignment w:val="center"/>
    </w:pPr>
    <w:rPr>
      <w:rFonts w:eastAsia="Times New Roman" w:cs="Arial (TT)"/>
      <w:color w:val="000000"/>
      <w:sz w:val="20"/>
      <w:szCs w:val="20"/>
      <w:lang w:val="en-GB" w:eastAsia="en-US"/>
    </w:rPr>
  </w:style>
  <w:style w:type="character" w:customStyle="1" w:styleId="FinalDotPointChar">
    <w:name w:val="Final Dot Point Char"/>
    <w:basedOn w:val="BRdotpointsChar"/>
    <w:link w:val="FinalDotPoint"/>
    <w:uiPriority w:val="99"/>
    <w:rsid w:val="00973D19"/>
    <w:rPr>
      <w:rFonts w:ascii="Calibri" w:eastAsia="Times New Roman" w:hAnsi="Calibri" w:cs="Times New Roman"/>
      <w:color w:val="000000"/>
      <w:sz w:val="22"/>
      <w:szCs w:val="20"/>
      <w:lang w:val="en-GB" w:eastAsia="en-US"/>
    </w:rPr>
  </w:style>
  <w:style w:type="character" w:customStyle="1" w:styleId="BodyCopyChar">
    <w:name w:val="Body Copy Char"/>
    <w:basedOn w:val="DefaultParagraphFont"/>
    <w:link w:val="BodyCopy"/>
    <w:rsid w:val="001E6DBD"/>
    <w:rPr>
      <w:rFonts w:eastAsia="Times New Roman" w:cs="Arial (TT)"/>
      <w:color w:val="000000"/>
      <w:sz w:val="20"/>
      <w:szCs w:val="20"/>
      <w:lang w:val="en-GB" w:eastAsia="en-US"/>
    </w:rPr>
  </w:style>
  <w:style w:type="paragraph" w:customStyle="1" w:styleId="BRTableheading">
    <w:name w:val="BR Table heading"/>
    <w:basedOn w:val="Body"/>
    <w:link w:val="BRTableheadingChar"/>
    <w:qFormat/>
    <w:rsid w:val="00A9314B"/>
    <w:pPr>
      <w:widowControl w:val="0"/>
      <w:suppressAutoHyphens/>
      <w:adjustRightInd w:val="0"/>
      <w:spacing w:before="60" w:after="60"/>
      <w:textAlignment w:val="center"/>
    </w:pPr>
    <w:rPr>
      <w:rFonts w:eastAsiaTheme="minorHAnsi"/>
      <w:b/>
      <w:sz w:val="20"/>
      <w:szCs w:val="20"/>
      <w:lang w:val="en-AU" w:eastAsia="en-US"/>
    </w:rPr>
  </w:style>
  <w:style w:type="character" w:customStyle="1" w:styleId="BRTableheadingChar">
    <w:name w:val="BR Table heading Char"/>
    <w:basedOn w:val="BodyChar"/>
    <w:link w:val="BRTableheading"/>
    <w:rsid w:val="00A9314B"/>
    <w:rPr>
      <w:rFonts w:ascii="Calibri" w:eastAsiaTheme="minorHAnsi" w:hAnsi="Calibri" w:cs="Arial"/>
      <w:b/>
      <w:sz w:val="20"/>
      <w:szCs w:val="20"/>
      <w:lang w:val="en-AU" w:eastAsia="en-US"/>
    </w:rPr>
  </w:style>
  <w:style w:type="paragraph" w:customStyle="1" w:styleId="BRTabletext">
    <w:name w:val="BR Table text"/>
    <w:basedOn w:val="Body"/>
    <w:link w:val="BRTabletextChar"/>
    <w:qFormat/>
    <w:rsid w:val="00A9314B"/>
    <w:pPr>
      <w:widowControl w:val="0"/>
      <w:suppressAutoHyphens/>
      <w:adjustRightInd w:val="0"/>
      <w:spacing w:before="60" w:after="60"/>
      <w:textAlignment w:val="center"/>
    </w:pPr>
    <w:rPr>
      <w:rFonts w:eastAsiaTheme="minorHAnsi"/>
      <w:color w:val="000000"/>
      <w:sz w:val="20"/>
      <w:szCs w:val="20"/>
      <w:lang w:val="en-AU" w:eastAsia="en-AU"/>
    </w:rPr>
  </w:style>
  <w:style w:type="character" w:customStyle="1" w:styleId="BRTabletextChar">
    <w:name w:val="BR Table text Char"/>
    <w:basedOn w:val="BodyChar"/>
    <w:link w:val="BRTabletext"/>
    <w:rsid w:val="00A9314B"/>
    <w:rPr>
      <w:rFonts w:ascii="Calibri" w:eastAsiaTheme="minorHAnsi" w:hAnsi="Calibri" w:cs="Arial"/>
      <w:color w:val="000000"/>
      <w:sz w:val="20"/>
      <w:szCs w:val="20"/>
      <w:lang w:val="en-AU" w:eastAsia="en-AU"/>
    </w:rPr>
  </w:style>
  <w:style w:type="paragraph" w:customStyle="1" w:styleId="Number2ndlevel">
    <w:name w:val="Number 2nd level"/>
    <w:basedOn w:val="BRnumbering"/>
    <w:link w:val="Number2ndlevelChar"/>
    <w:uiPriority w:val="99"/>
    <w:qFormat/>
    <w:rsid w:val="005649EE"/>
    <w:pPr>
      <w:numPr>
        <w:ilvl w:val="1"/>
      </w:numPr>
      <w:ind w:left="851" w:hanging="425"/>
    </w:pPr>
  </w:style>
  <w:style w:type="paragraph" w:customStyle="1" w:styleId="Number3rdlevel">
    <w:name w:val="Number 3rd level"/>
    <w:basedOn w:val="Listintrotext"/>
    <w:link w:val="Number3rdlevelChar"/>
    <w:uiPriority w:val="99"/>
    <w:qFormat/>
    <w:rsid w:val="005649EE"/>
    <w:pPr>
      <w:numPr>
        <w:ilvl w:val="2"/>
        <w:numId w:val="42"/>
      </w:numPr>
      <w:ind w:left="1418" w:hanging="425"/>
    </w:pPr>
    <w:rPr>
      <w:lang w:val="en-GB"/>
    </w:rPr>
  </w:style>
  <w:style w:type="character" w:customStyle="1" w:styleId="Number2ndlevelChar">
    <w:name w:val="Number 2nd level Char"/>
    <w:basedOn w:val="BRnumberingChar"/>
    <w:link w:val="Number2ndlevel"/>
    <w:uiPriority w:val="99"/>
    <w:rsid w:val="005649EE"/>
    <w:rPr>
      <w:rFonts w:ascii="Arial" w:eastAsiaTheme="minorHAnsi" w:hAnsi="Arial" w:cs="Arial"/>
      <w:sz w:val="22"/>
      <w:szCs w:val="22"/>
      <w:lang w:val="en-GB" w:eastAsia="en-AU"/>
    </w:rPr>
  </w:style>
  <w:style w:type="paragraph" w:customStyle="1" w:styleId="Tabledotpoint0">
    <w:name w:val="Table dot point"/>
    <w:basedOn w:val="BRdotpoints"/>
    <w:link w:val="TabledotpointChar0"/>
    <w:uiPriority w:val="99"/>
    <w:rsid w:val="00E6767F"/>
    <w:rPr>
      <w:sz w:val="20"/>
      <w:szCs w:val="20"/>
      <w:lang w:val="en-GB"/>
    </w:rPr>
  </w:style>
  <w:style w:type="character" w:customStyle="1" w:styleId="Number3rdlevelChar">
    <w:name w:val="Number 3rd level Char"/>
    <w:basedOn w:val="ListintrotextChar"/>
    <w:link w:val="Number3rdlevel"/>
    <w:uiPriority w:val="99"/>
    <w:rsid w:val="005649EE"/>
    <w:rPr>
      <w:rFonts w:ascii="Calibri" w:eastAsiaTheme="minorHAnsi" w:hAnsi="Calibri" w:cs="Arial"/>
      <w:sz w:val="22"/>
      <w:szCs w:val="22"/>
      <w:lang w:val="en-GB" w:eastAsia="en-AU"/>
    </w:rPr>
  </w:style>
  <w:style w:type="paragraph" w:customStyle="1" w:styleId="Tabledotpoint2ndlevel">
    <w:name w:val="Table dot point 2nd level"/>
    <w:basedOn w:val="BR2ndbullet"/>
    <w:link w:val="Tabledotpoint2ndlevelChar"/>
    <w:uiPriority w:val="99"/>
    <w:qFormat/>
    <w:rsid w:val="00570387"/>
    <w:pPr>
      <w:spacing w:before="60" w:after="60" w:line="240" w:lineRule="auto"/>
      <w:ind w:left="992" w:hanging="425"/>
    </w:pPr>
    <w:rPr>
      <w:sz w:val="20"/>
      <w:szCs w:val="20"/>
      <w:lang w:val="en-AU"/>
    </w:rPr>
  </w:style>
  <w:style w:type="character" w:customStyle="1" w:styleId="TabledotpointChar0">
    <w:name w:val="Table dot point Char"/>
    <w:basedOn w:val="BRdotpointsChar"/>
    <w:link w:val="Tabledotpoint0"/>
    <w:uiPriority w:val="99"/>
    <w:rsid w:val="00E6767F"/>
    <w:rPr>
      <w:rFonts w:ascii="Calibri" w:eastAsia="Times New Roman" w:hAnsi="Calibri" w:cs="Times New Roman"/>
      <w:color w:val="000000"/>
      <w:sz w:val="20"/>
      <w:szCs w:val="20"/>
      <w:lang w:val="en-GB" w:eastAsia="en-US"/>
    </w:rPr>
  </w:style>
  <w:style w:type="character" w:customStyle="1" w:styleId="Tabledotpoint2ndlevelChar">
    <w:name w:val="Table dot point 2nd level Char"/>
    <w:basedOn w:val="BR2ndbulletChar"/>
    <w:link w:val="Tabledotpoint2ndlevel"/>
    <w:uiPriority w:val="99"/>
    <w:rsid w:val="00570387"/>
    <w:rPr>
      <w:rFonts w:ascii="Calibri" w:eastAsiaTheme="minorHAnsi" w:hAnsi="Calibri" w:cs="Arial"/>
      <w:color w:val="000000"/>
      <w:sz w:val="20"/>
      <w:szCs w:val="20"/>
      <w:lang w:val="en-AU" w:eastAsia="en-AU"/>
    </w:rPr>
  </w:style>
  <w:style w:type="paragraph" w:customStyle="1" w:styleId="Caption-table">
    <w:name w:val="Caption - table"/>
    <w:basedOn w:val="Caption-figure"/>
    <w:link w:val="Caption-tableChar"/>
    <w:uiPriority w:val="99"/>
    <w:qFormat/>
    <w:rsid w:val="00154A6A"/>
    <w:pPr>
      <w:spacing w:before="360" w:after="120"/>
    </w:pPr>
  </w:style>
  <w:style w:type="character" w:customStyle="1" w:styleId="Caption-tableChar">
    <w:name w:val="Caption - table Char"/>
    <w:basedOn w:val="Caption-figureChar"/>
    <w:link w:val="Caption-table"/>
    <w:uiPriority w:val="99"/>
    <w:rsid w:val="00154A6A"/>
    <w:rPr>
      <w:rFonts w:eastAsia="Times New Roman" w:cs="Times New Roman"/>
      <w:sz w:val="20"/>
      <w:szCs w:val="20"/>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uiPriority="35"/>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nhideWhenUsed="0"/>
    <w:lsdException w:name="Subtle Reference" w:semiHidden="0" w:unhideWhenUsed="0"/>
    <w:lsdException w:name="Intense Reference" w:semiHidden="0" w:unhideWhenUsed="0"/>
    <w:lsdException w:name="Book Title" w:semiHidden="0" w:uiPriority="33" w:unhideWhenUsed="0"/>
    <w:lsdException w:name="Bibliography" w:uiPriority="37"/>
    <w:lsdException w:name="TOC Heading" w:uiPriority="39"/>
  </w:latentStyles>
  <w:style w:type="paragraph" w:default="1" w:styleId="Normal">
    <w:name w:val="Normal"/>
    <w:uiPriority w:val="99"/>
    <w:rsid w:val="00483C44"/>
    <w:pPr>
      <w:autoSpaceDE w:val="0"/>
      <w:autoSpaceDN w:val="0"/>
    </w:pPr>
  </w:style>
  <w:style w:type="paragraph" w:styleId="Heading1">
    <w:name w:val="heading 1"/>
    <w:basedOn w:val="H1"/>
    <w:next w:val="Normal"/>
    <w:link w:val="Heading1Char"/>
    <w:qFormat/>
    <w:rsid w:val="003B56B7"/>
    <w:pPr>
      <w:numPr>
        <w:numId w:val="36"/>
      </w:numPr>
      <w:ind w:left="709" w:hanging="709"/>
      <w:outlineLvl w:val="0"/>
    </w:pPr>
    <w:rPr>
      <w:rFonts w:ascii="Arial Bold" w:eastAsia="Times New Roman" w:hAnsi="Arial Bold" w:cs="Arial"/>
      <w:color w:val="1F497D" w:themeColor="text2"/>
    </w:rPr>
  </w:style>
  <w:style w:type="paragraph" w:styleId="Heading2">
    <w:name w:val="heading 2"/>
    <w:basedOn w:val="H2"/>
    <w:next w:val="Normal"/>
    <w:link w:val="Heading2Char"/>
    <w:qFormat/>
    <w:rsid w:val="0023261D"/>
    <w:pPr>
      <w:numPr>
        <w:ilvl w:val="1"/>
        <w:numId w:val="36"/>
      </w:numPr>
      <w:spacing w:line="240" w:lineRule="auto"/>
      <w:outlineLvl w:val="1"/>
    </w:pPr>
    <w:rPr>
      <w:rFonts w:ascii="Arial" w:hAnsi="Arial" w:cs="Arial"/>
      <w:color w:val="1F497D" w:themeColor="text2"/>
    </w:rPr>
  </w:style>
  <w:style w:type="paragraph" w:styleId="Heading3">
    <w:name w:val="heading 3"/>
    <w:basedOn w:val="H3"/>
    <w:next w:val="Normal"/>
    <w:link w:val="Heading3Char"/>
    <w:qFormat/>
    <w:rsid w:val="000C70AD"/>
    <w:pPr>
      <w:numPr>
        <w:ilvl w:val="2"/>
        <w:numId w:val="36"/>
      </w:numPr>
      <w:tabs>
        <w:tab w:val="left" w:pos="993"/>
      </w:tabs>
      <w:outlineLvl w:val="2"/>
    </w:pPr>
    <w:rPr>
      <w:rFonts w:ascii="Arial" w:hAnsi="Arial"/>
      <w:i/>
      <w:color w:val="1F497D" w:themeColor="text2"/>
      <w:sz w:val="26"/>
      <w:szCs w:val="26"/>
    </w:rPr>
  </w:style>
  <w:style w:type="paragraph" w:styleId="Heading4">
    <w:name w:val="heading 4"/>
    <w:basedOn w:val="Heading3"/>
    <w:next w:val="Para0"/>
    <w:link w:val="Heading4Char"/>
    <w:qFormat/>
    <w:rsid w:val="0023261D"/>
    <w:pPr>
      <w:keepNext/>
      <w:keepLines/>
      <w:numPr>
        <w:ilvl w:val="3"/>
      </w:numPr>
      <w:spacing w:before="200" w:after="0" w:line="280" w:lineRule="atLeast"/>
      <w:outlineLvl w:val="3"/>
    </w:pPr>
    <w:rPr>
      <w:rFonts w:eastAsia="Times New Roman" w:cs="Times New Roman"/>
      <w:bCs w:val="0"/>
      <w:i w:val="0"/>
      <w:sz w:val="22"/>
      <w:szCs w:val="22"/>
      <w:lang w:eastAsia="en-US"/>
    </w:rPr>
  </w:style>
  <w:style w:type="paragraph" w:styleId="Heading5">
    <w:name w:val="heading 5"/>
    <w:basedOn w:val="Heading4"/>
    <w:next w:val="Para0"/>
    <w:link w:val="Heading5Char"/>
    <w:qFormat/>
    <w:rsid w:val="00B268BA"/>
    <w:pPr>
      <w:numPr>
        <w:ilvl w:val="0"/>
        <w:numId w:val="0"/>
      </w:numPr>
      <w:spacing w:after="120"/>
      <w:ind w:left="1009" w:hanging="1009"/>
      <w:outlineLvl w:val="4"/>
    </w:pPr>
    <w:rPr>
      <w:u w:val="single"/>
    </w:rPr>
  </w:style>
  <w:style w:type="paragraph" w:styleId="Heading6">
    <w:name w:val="heading 6"/>
    <w:basedOn w:val="Heading5"/>
    <w:next w:val="Para0"/>
    <w:link w:val="Heading6Char"/>
    <w:uiPriority w:val="9"/>
    <w:rsid w:val="004A55C2"/>
    <w:pPr>
      <w:numPr>
        <w:ilvl w:val="5"/>
      </w:numPr>
      <w:tabs>
        <w:tab w:val="left" w:pos="1276"/>
      </w:tabs>
      <w:ind w:left="1008" w:hanging="1008"/>
      <w:outlineLvl w:val="5"/>
    </w:pPr>
  </w:style>
  <w:style w:type="paragraph" w:styleId="Heading7">
    <w:name w:val="heading 7"/>
    <w:basedOn w:val="Heading6"/>
    <w:next w:val="Para0"/>
    <w:link w:val="Heading7Char"/>
    <w:uiPriority w:val="9"/>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
    <w:rsid w:val="004A55C2"/>
    <w:pPr>
      <w:keepNext/>
      <w:widowControl/>
      <w:numPr>
        <w:ilvl w:val="8"/>
      </w:numPr>
      <w:suppressAutoHyphens w:val="0"/>
      <w:autoSpaceDE/>
      <w:autoSpaceDN/>
      <w:adjustRightInd/>
      <w:spacing w:before="120" w:after="40"/>
      <w:textAlignment w:val="auto"/>
      <w:outlineLvl w:val="8"/>
    </w:pPr>
    <w:rPr>
      <w:rFonts w:ascii="Arial"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B56B7"/>
    <w:rPr>
      <w:rFonts w:ascii="Arial Bold" w:eastAsia="Times New Roman"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1"/>
    <w:rsid w:val="00BB2E86"/>
    <w:pPr>
      <w:tabs>
        <w:tab w:val="center" w:pos="4320"/>
        <w:tab w:val="right" w:pos="8640"/>
      </w:tabs>
      <w:spacing w:after="0"/>
    </w:pPr>
  </w:style>
  <w:style w:type="paragraph" w:customStyle="1" w:styleId="H1">
    <w:name w:val="H1"/>
    <w:basedOn w:val="Head1Headingstyles"/>
    <w:uiPriority w:val="99"/>
    <w:rsid w:val="004C42CA"/>
    <w:pPr>
      <w:pageBreakBefore/>
      <w:spacing w:line="240" w:lineRule="auto"/>
    </w:pPr>
    <w:rPr>
      <w:color w:val="00AEEF"/>
    </w:rPr>
  </w:style>
  <w:style w:type="paragraph" w:customStyle="1" w:styleId="H2">
    <w:name w:val="H2"/>
    <w:basedOn w:val="Head2Headingstyles"/>
    <w:uiPriority w:val="99"/>
    <w:rsid w:val="007E5895"/>
    <w:rPr>
      <w:color w:val="00AEEF"/>
    </w:rPr>
  </w:style>
  <w:style w:type="paragraph" w:customStyle="1" w:styleId="H3">
    <w:name w:val="H3"/>
    <w:basedOn w:val="Head3Headingstyles"/>
    <w:uiPriority w:val="99"/>
    <w:rsid w:val="00751AAF"/>
    <w:rPr>
      <w:color w:val="00B0F0"/>
    </w:rPr>
  </w:style>
  <w:style w:type="paragraph" w:customStyle="1" w:styleId="Body">
    <w:name w:val="Body"/>
    <w:basedOn w:val="Head2Headings"/>
    <w:link w:val="BodyChar"/>
    <w:qFormat/>
    <w:rsid w:val="00E31522"/>
    <w:pPr>
      <w:spacing w:after="200" w:line="240" w:lineRule="auto"/>
    </w:pPr>
    <w:rPr>
      <w:rFonts w:cs="Arial"/>
      <w:caps w:val="0"/>
      <w:color w:val="auto"/>
    </w:rPr>
  </w:style>
  <w:style w:type="paragraph" w:customStyle="1" w:styleId="Bullet">
    <w:name w:val="Bullet"/>
    <w:basedOn w:val="Normal"/>
    <w:link w:val="BulletChar"/>
    <w:uiPriority w:val="99"/>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1"/>
    <w:rsid w:val="00BD1D7C"/>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Caption-figure"/>
    <w:uiPriority w:val="99"/>
    <w:rsid w:val="005A4936"/>
    <w:rPr>
      <w:b/>
    </w:rPr>
  </w:style>
  <w:style w:type="paragraph" w:styleId="TOCHeading">
    <w:name w:val="TOC Heading"/>
    <w:basedOn w:val="Heading1"/>
    <w:next w:val="Normal"/>
    <w:uiPriority w:val="99"/>
    <w:unhideWhenUsed/>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rsid w:val="00902F55"/>
    <w:rPr>
      <w:rFonts w:cs="Arial"/>
      <w:b/>
      <w:bCs/>
      <w:color w:val="1F497D" w:themeColor="text2"/>
      <w:sz w:val="30"/>
      <w:szCs w:val="30"/>
      <w:lang w:val="en-GB"/>
    </w:rPr>
  </w:style>
  <w:style w:type="character" w:customStyle="1" w:styleId="Heading3Char">
    <w:name w:val="Heading 3 Char"/>
    <w:basedOn w:val="DefaultParagraphFont"/>
    <w:link w:val="Heading3"/>
    <w:rsid w:val="000C70AD"/>
    <w:rPr>
      <w:rFonts w:cs="Calibri-Bold"/>
      <w:b/>
      <w:bCs/>
      <w:i/>
      <w:color w:val="1F497D" w:themeColor="text2"/>
      <w:sz w:val="26"/>
      <w:szCs w:val="26"/>
      <w:lang w:val="en-GB"/>
    </w:rPr>
  </w:style>
  <w:style w:type="paragraph" w:styleId="TOC1">
    <w:name w:val="toc 1"/>
    <w:basedOn w:val="Normal"/>
    <w:next w:val="Normal"/>
    <w:link w:val="TOC1Char"/>
    <w:autoRedefine/>
    <w:uiPriority w:val="39"/>
    <w:unhideWhenUsed/>
    <w:rsid w:val="00810EE2"/>
    <w:pPr>
      <w:tabs>
        <w:tab w:val="right" w:leader="dot" w:pos="9054"/>
      </w:tabs>
      <w:spacing w:after="100"/>
      <w:ind w:left="284" w:hanging="284"/>
    </w:pPr>
    <w:rPr>
      <w:sz w:val="20"/>
    </w:rPr>
  </w:style>
  <w:style w:type="paragraph" w:styleId="TOC2">
    <w:name w:val="toc 2"/>
    <w:basedOn w:val="Normal"/>
    <w:next w:val="Normal"/>
    <w:autoRedefine/>
    <w:uiPriority w:val="39"/>
    <w:unhideWhenUsed/>
    <w:rsid w:val="00810EE2"/>
    <w:pPr>
      <w:spacing w:after="100"/>
      <w:ind w:left="240"/>
    </w:pPr>
    <w:rPr>
      <w:sz w:val="20"/>
    </w:rPr>
  </w:style>
  <w:style w:type="paragraph" w:styleId="TOC3">
    <w:name w:val="toc 3"/>
    <w:basedOn w:val="Normal"/>
    <w:next w:val="Normal"/>
    <w:autoRedefine/>
    <w:uiPriority w:val="99"/>
    <w:unhideWhenUsed/>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basedOn w:val="DefaultParagraphFont"/>
    <w:link w:val="Heading4"/>
    <w:rsid w:val="00902F55"/>
    <w:rPr>
      <w:rFonts w:eastAsia="Times New Roman" w:cs="Times New Roman"/>
      <w:b/>
      <w:color w:val="1F497D" w:themeColor="text2"/>
      <w:lang w:val="en-GB" w:eastAsia="en-US"/>
    </w:rPr>
  </w:style>
  <w:style w:type="character" w:customStyle="1" w:styleId="Heading5Char">
    <w:name w:val="Heading 5 Char"/>
    <w:basedOn w:val="DefaultParagraphFont"/>
    <w:link w:val="Heading5"/>
    <w:rsid w:val="00B268BA"/>
    <w:rPr>
      <w:rFonts w:eastAsia="Times New Roman" w:cs="Times New Roman"/>
      <w:b/>
      <w:color w:val="1F497D" w:themeColor="text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w:basedOn w:val="Para0"/>
    <w:next w:val="Para0"/>
    <w:link w:val="CaptionChar"/>
    <w:uiPriority w:val="1"/>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rsid w:val="00623C1C"/>
    <w:pPr>
      <w:keepNext/>
      <w:widowControl/>
      <w:suppressAutoHyphens w:val="0"/>
      <w:autoSpaceDE/>
      <w:autoSpaceDN/>
      <w:adjustRightInd/>
      <w:spacing w:after="240"/>
      <w:textAlignment w:val="auto"/>
      <w:outlineLvl w:val="9"/>
    </w:pPr>
    <w:rPr>
      <w:rFonts w:ascii="Arial"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pageBreakBefore w:val="0"/>
      <w:spacing w:before="120" w:after="40"/>
    </w:pPr>
    <w:rPr>
      <w:sz w:val="22"/>
    </w:rPr>
  </w:style>
  <w:style w:type="paragraph" w:customStyle="1" w:styleId="Head3manual">
    <w:name w:val="Head 3 manual"/>
    <w:basedOn w:val="Head1manual"/>
    <w:next w:val="Para0"/>
    <w:uiPriority w:val="99"/>
    <w:rsid w:val="00623C1C"/>
    <w:pPr>
      <w:pageBreakBefore w:val="0"/>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uiPriority w:val="99"/>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9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9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9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9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9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9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rsid w:val="00623C1C"/>
    <w:pPr>
      <w:keepNext/>
      <w:widowControl/>
      <w:tabs>
        <w:tab w:val="left" w:pos="851"/>
      </w:tabs>
      <w:suppressAutoHyphens w:val="0"/>
      <w:autoSpaceDE/>
      <w:autoSpaceDN/>
      <w:adjustRightInd/>
      <w:spacing w:after="240"/>
      <w:textAlignment w:val="auto"/>
      <w:outlineLvl w:val="9"/>
    </w:pPr>
    <w:rPr>
      <w:rFonts w:ascii="Arial"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pageBreakBefore w:val="0"/>
      <w:spacing w:before="120" w:after="40"/>
    </w:pPr>
    <w:rPr>
      <w:sz w:val="22"/>
    </w:rPr>
  </w:style>
  <w:style w:type="paragraph" w:customStyle="1" w:styleId="Summaryheading">
    <w:name w:val="Summary heading"/>
    <w:basedOn w:val="Heading1"/>
    <w:next w:val="Para0"/>
    <w:uiPriority w:val="1"/>
    <w:rsid w:val="00623C1C"/>
    <w:pPr>
      <w:keepNext/>
      <w:widowControl/>
      <w:tabs>
        <w:tab w:val="left" w:pos="851"/>
      </w:tabs>
      <w:suppressAutoHyphens w:val="0"/>
      <w:autoSpaceDE/>
      <w:autoSpaceDN/>
      <w:adjustRightInd/>
      <w:spacing w:after="240"/>
      <w:textAlignment w:val="auto"/>
    </w:pPr>
    <w:rPr>
      <w:rFonts w:ascii="Arial"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keepNext/>
      <w:widowControl/>
      <w:numPr>
        <w:numId w:val="15"/>
      </w:numPr>
      <w:tabs>
        <w:tab w:val="clear" w:pos="2268"/>
      </w:tabs>
      <w:suppressAutoHyphens w:val="0"/>
      <w:autoSpaceDE/>
      <w:autoSpaceDN/>
      <w:adjustRightInd/>
      <w:spacing w:after="240"/>
      <w:ind w:left="720" w:hanging="360"/>
      <w:textAlignment w:val="auto"/>
    </w:pPr>
    <w:rPr>
      <w:rFonts w:ascii="Arial" w:hAnsi="Arial" w:cs="Times New Roman"/>
      <w:bCs w:val="0"/>
      <w:color w:val="000000"/>
      <w:sz w:val="36"/>
      <w:szCs w:val="20"/>
      <w:lang w:eastAsia="en-US"/>
    </w:rPr>
  </w:style>
  <w:style w:type="paragraph" w:customStyle="1" w:styleId="Appendix2">
    <w:name w:val="Appendix 2"/>
    <w:basedOn w:val="Appendix1"/>
    <w:next w:val="Para0"/>
    <w:uiPriority w:val="99"/>
    <w:rsid w:val="00623C1C"/>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623C1C"/>
    <w:pPr>
      <w:pageBreakBefore w:val="0"/>
      <w:numPr>
        <w:ilvl w:val="2"/>
      </w:numPr>
      <w:spacing w:before="120" w:after="40"/>
      <w:outlineLvl w:val="2"/>
    </w:pPr>
    <w:rPr>
      <w:sz w:val="22"/>
    </w:rPr>
  </w:style>
  <w:style w:type="paragraph" w:customStyle="1" w:styleId="CoverHeading">
    <w:name w:val="CoverHeading"/>
    <w:basedOn w:val="Coverpage-normal"/>
    <w:next w:val="Para0"/>
    <w:uiPriority w:val="99"/>
    <w:rsid w:val="00166D9B"/>
  </w:style>
  <w:style w:type="paragraph" w:customStyle="1" w:styleId="CoverTitle">
    <w:name w:val="CoverTitle"/>
    <w:basedOn w:val="BRCoverPageH2"/>
    <w:next w:val="Para0"/>
    <w:uiPriority w:val="99"/>
    <w:rsid w:val="00166D9B"/>
    <w:rPr>
      <w:rFonts w:eastAsia="Times New Roman"/>
    </w:rPr>
  </w:style>
  <w:style w:type="paragraph" w:customStyle="1" w:styleId="CoverSubject">
    <w:name w:val="CoverSubject"/>
    <w:basedOn w:val="BRCoverpagenormal"/>
    <w:next w:val="Para0"/>
    <w:link w:val="CoverSubjectChar"/>
    <w:uiPriority w:val="99"/>
    <w:rsid w:val="00166D9B"/>
    <w:rPr>
      <w:sz w:val="20"/>
      <w:szCs w:val="20"/>
    </w:rPr>
  </w:style>
  <w:style w:type="paragraph" w:customStyle="1" w:styleId="CoverVersion">
    <w:name w:val="CoverVersion"/>
    <w:basedOn w:val="CoverSubject"/>
    <w:next w:val="Para0"/>
    <w:uiPriority w:val="99"/>
    <w:rsid w:val="00623C1C"/>
  </w:style>
  <w:style w:type="paragraph" w:customStyle="1" w:styleId="CoverDate">
    <w:name w:val="CoverDate"/>
    <w:basedOn w:val="BodyText"/>
    <w:next w:val="Para0"/>
    <w:link w:val="CoverDateChar"/>
    <w:uiPriority w:val="99"/>
    <w:rsid w:val="00166D9B"/>
    <w:rPr>
      <w:rFonts w:ascii="Arial" w:hAnsi="Arial" w:cs="Arial"/>
      <w:color w:val="1F497D" w:themeColor="text2"/>
      <w:sz w:val="20"/>
    </w:rPr>
  </w:style>
  <w:style w:type="paragraph" w:customStyle="1" w:styleId="FlysheetHeading">
    <w:name w:val="FlysheetHeading"/>
    <w:basedOn w:val="CoverHeading"/>
    <w:next w:val="Para0"/>
    <w:uiPriority w:val="99"/>
    <w:rsid w:val="00623C1C"/>
  </w:style>
  <w:style w:type="paragraph" w:customStyle="1" w:styleId="FlysheetTitle">
    <w:name w:val="FlysheetTitle"/>
    <w:basedOn w:val="CoverTitle"/>
    <w:next w:val="Para0"/>
    <w:uiPriority w:val="99"/>
    <w:rsid w:val="00623C1C"/>
  </w:style>
  <w:style w:type="paragraph" w:customStyle="1" w:styleId="FlysheetVersion">
    <w:name w:val="FlysheetVersion"/>
    <w:basedOn w:val="CoverVersion"/>
    <w:next w:val="Para0"/>
    <w:uiPriority w:val="99"/>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623C1C"/>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623C1C"/>
    <w:pPr>
      <w:tabs>
        <w:tab w:val="left" w:pos="567"/>
        <w:tab w:val="right" w:pos="8505"/>
      </w:tabs>
      <w:spacing w:before="120" w:after="120"/>
    </w:pPr>
    <w:rPr>
      <w:rFonts w:eastAsia="Times New Roman" w:cs="Times New Roman"/>
      <w:noProof/>
      <w:color w:val="000000"/>
      <w:szCs w:val="20"/>
      <w:lang w:val="en-GB" w:eastAsia="en-US"/>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iPriority w:val="99"/>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w:link w:val="Caption"/>
    <w:uiPriority w:val="1"/>
    <w:rsid w:val="00BD1D7C"/>
    <w:rPr>
      <w:rFonts w:eastAsia="Times New Roman" w:cs="Times New Roman"/>
      <w:sz w:val="20"/>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99"/>
    <w:unhideWhenUsed/>
    <w:rsid w:val="00623C1C"/>
    <w:rPr>
      <w:i/>
      <w:iCs/>
    </w:rPr>
  </w:style>
  <w:style w:type="paragraph" w:customStyle="1" w:styleId="Default">
    <w:name w:val="Default"/>
    <w:uiPriority w:val="99"/>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uiPriority w:val="99"/>
    <w:rsid w:val="006B63BA"/>
    <w:rPr>
      <w:rFonts w:ascii="Calibri" w:eastAsiaTheme="minorHAnsi" w:hAnsi="Calibri" w:cs="Arial"/>
      <w:sz w:val="22"/>
      <w:szCs w:val="22"/>
      <w:lang w:val="en-AU" w:eastAsia="en-AU"/>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uiPriority w:val="99"/>
    <w:rsid w:val="006B63BA"/>
    <w:rPr>
      <w:rFonts w:ascii="Calibri" w:eastAsia="Times New Roman" w:hAnsi="Calibri" w:cs="Times New Roman"/>
      <w:color w:val="000000"/>
      <w:sz w:val="22"/>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unhideWhenUsed/>
    <w:rsid w:val="00FD3A5C"/>
    <w:rPr>
      <w:sz w:val="20"/>
      <w:szCs w:val="20"/>
    </w:rPr>
  </w:style>
  <w:style w:type="character" w:customStyle="1" w:styleId="CommentTextChar">
    <w:name w:val="Comment Text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qFormat/>
    <w:rsid w:val="00744FF1"/>
    <w:pPr>
      <w:spacing w:after="0"/>
    </w:pPr>
    <w:rPr>
      <w:sz w:val="18"/>
      <w:szCs w:val="18"/>
    </w:rPr>
  </w:style>
  <w:style w:type="character" w:customStyle="1" w:styleId="FootnoteTextChar">
    <w:name w:val="Footnote Text Char"/>
    <w:basedOn w:val="DefaultParagraphFont"/>
    <w:link w:val="FootnoteText"/>
    <w:rsid w:val="00744FF1"/>
    <w:rPr>
      <w:sz w:val="18"/>
      <w:szCs w:val="18"/>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eastAsia="Times New Roman" w:hAnsi="Calibri-Bold" w:cs="Arial"/>
      <w:b/>
      <w:bCs w:val="0"/>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99"/>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99"/>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99"/>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6B63BA"/>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iPriority w:val="99"/>
    <w:unhideWhenUsed/>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3C171F"/>
  </w:style>
  <w:style w:type="character" w:customStyle="1" w:styleId="external">
    <w:name w:val="external"/>
    <w:basedOn w:val="DefaultParagraphFont"/>
    <w:uiPriority w:val="99"/>
    <w:unhideWhenUsed/>
    <w:rsid w:val="005449D2"/>
  </w:style>
  <w:style w:type="character" w:styleId="Strong">
    <w:name w:val="Strong"/>
    <w:basedOn w:val="DefaultParagraphFont"/>
    <w:uiPriority w:val="99"/>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uiPriority w:val="99"/>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BRnormal10pt-CopyrightPage"/>
    <w:qFormat/>
    <w:rsid w:val="00BA1FBC"/>
    <w:pPr>
      <w:spacing w:before="0" w:after="120"/>
      <w:ind w:left="720" w:hanging="720"/>
    </w:pPr>
    <w:rPr>
      <w:lang w:val="en-GB"/>
    </w:rPr>
  </w:style>
  <w:style w:type="paragraph" w:customStyle="1" w:styleId="BRnormal10pt-CopyrightPage">
    <w:name w:val="BR normal 10pt - Copyright Page"/>
    <w:basedOn w:val="Body"/>
    <w:link w:val="BRnormal10pt-CopyrightPageChar"/>
    <w:qFormat/>
    <w:rsid w:val="00E17C06"/>
    <w:pPr>
      <w:spacing w:before="200"/>
    </w:pPr>
    <w:rPr>
      <w:rFonts w:ascii="Arial" w:hAnsi="Arial"/>
      <w:sz w:val="20"/>
      <w:szCs w:val="20"/>
    </w:rPr>
  </w:style>
  <w:style w:type="paragraph" w:customStyle="1" w:styleId="BRHeading1">
    <w:name w:val="BR Heading 1"/>
    <w:basedOn w:val="Heading1"/>
    <w:link w:val="BRHeading1Char"/>
    <w:uiPriority w:val="1"/>
    <w:rsid w:val="00DD20BC"/>
    <w:rPr>
      <w:rFonts w:ascii="Arial" w:hAnsi="Arial"/>
    </w:rPr>
  </w:style>
  <w:style w:type="character" w:customStyle="1" w:styleId="BRnormal10pt-CopyrightPageChar">
    <w:name w:val="BR normal 10pt - Copyright Page Char"/>
    <w:basedOn w:val="BodyChar"/>
    <w:link w:val="BRnormal10pt-CopyrightPage"/>
    <w:rsid w:val="00E17C06"/>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eastAsia="Times New Roman" w:hAnsi="Arial Bold" w:cs="Arial"/>
      <w:b/>
      <w:bCs/>
      <w:color w:val="1F497D" w:themeColor="text2"/>
      <w:sz w:val="48"/>
      <w:szCs w:val="48"/>
      <w:lang w:val="en-GB"/>
    </w:rPr>
  </w:style>
  <w:style w:type="paragraph" w:customStyle="1" w:styleId="BRHeading2">
    <w:name w:val="BR Heading 2"/>
    <w:basedOn w:val="Heading3"/>
    <w:link w:val="BRHeading2Char"/>
    <w:uiPriority w:val="1"/>
    <w:rsid w:val="00B90805"/>
    <w:rPr>
      <w:rFonts w:cs="Arial"/>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BRdotpoints">
    <w:name w:val="BR dot points"/>
    <w:basedOn w:val="Bullet"/>
    <w:link w:val="BRdotpointsChar"/>
    <w:qFormat/>
    <w:rsid w:val="00142943"/>
    <w:pPr>
      <w:spacing w:before="0" w:beforeAutospacing="0" w:after="113" w:afterAutospacing="0" w:line="280" w:lineRule="atLeast"/>
      <w:ind w:left="425"/>
    </w:pPr>
    <w:rPr>
      <w:rFonts w:ascii="Arial" w:hAnsi="Arial"/>
    </w:rPr>
  </w:style>
  <w:style w:type="character" w:customStyle="1" w:styleId="BRdotpointChar">
    <w:name w:val="BR dot point Char"/>
    <w:basedOn w:val="BodyChar"/>
    <w:link w:val="BRdotpoint"/>
    <w:uiPriority w:val="2"/>
    <w:rsid w:val="006B63BA"/>
    <w:rPr>
      <w:rFonts w:ascii="Calibri" w:eastAsiaTheme="minorHAnsi" w:hAnsi="Calibri" w:cs="Arial"/>
      <w:sz w:val="22"/>
      <w:szCs w:val="22"/>
      <w:lang w:val="en-AU" w:eastAsia="en-AU"/>
    </w:rPr>
  </w:style>
  <w:style w:type="character" w:customStyle="1" w:styleId="BRdotpointsChar">
    <w:name w:val="BR dot points Char"/>
    <w:basedOn w:val="BulletChar"/>
    <w:link w:val="BRdotpoints"/>
    <w:rsid w:val="00902F55"/>
    <w:rPr>
      <w:rFonts w:ascii="Calibri" w:eastAsia="Times New Roman" w:hAnsi="Calibri" w:cs="Times New Roman"/>
      <w:color w:val="000000"/>
      <w:sz w:val="22"/>
      <w:szCs w:val="20"/>
      <w:lang w:val="en-GB" w:eastAsia="en-US"/>
    </w:rPr>
  </w:style>
  <w:style w:type="paragraph" w:customStyle="1" w:styleId="BRTOCStyle">
    <w:name w:val="BR TOC Style"/>
    <w:basedOn w:val="TOC1"/>
    <w:link w:val="BRTOCStyleChar"/>
    <w:uiPriority w:val="1"/>
    <w:rsid w:val="007F3F93"/>
    <w:rPr>
      <w:noProof/>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99"/>
    <w:rsid w:val="006B63BA"/>
    <w:rPr>
      <w:rFonts w:ascii="Arial" w:eastAsiaTheme="minorHAnsi" w:hAnsi="Arial" w:cs="Arial"/>
      <w:sz w:val="20"/>
      <w:szCs w:val="22"/>
      <w:lang w:val="en-AU" w:eastAsia="en-AU"/>
    </w:rPr>
  </w:style>
  <w:style w:type="character" w:customStyle="1" w:styleId="BRTOCStyleChar">
    <w:name w:val="BR TOC Style Char"/>
    <w:basedOn w:val="TOC1Char"/>
    <w:link w:val="BRTOCStyle"/>
    <w:uiPriority w:val="1"/>
    <w:rsid w:val="00BD1D7C"/>
    <w:rPr>
      <w:rFonts w:ascii="Arial" w:eastAsiaTheme="minorHAnsi" w:hAnsi="Arial" w:cs="Arial"/>
      <w:noProof/>
      <w:sz w:val="20"/>
      <w:szCs w:val="22"/>
      <w:lang w:val="en-AU" w:eastAsia="en-AU"/>
    </w:rPr>
  </w:style>
  <w:style w:type="character" w:styleId="SubtleEmphasis">
    <w:name w:val="Subtle Emphasis"/>
    <w:basedOn w:val="DefaultParagraphFont"/>
    <w:uiPriority w:val="9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BRCoverPageH1"/>
    <w:link w:val="Coverpage-normalChar"/>
    <w:uiPriority w:val="99"/>
    <w:rsid w:val="00166D9B"/>
  </w:style>
  <w:style w:type="paragraph" w:customStyle="1" w:styleId="BRCoverPageH2">
    <w:name w:val="BR Cover Page H2"/>
    <w:basedOn w:val="SummaryH2"/>
    <w:link w:val="BRCoverPageH2Char"/>
    <w:qFormat/>
    <w:rsid w:val="004923D3"/>
    <w:pPr>
      <w:spacing w:before="480" w:after="600"/>
      <w:ind w:left="2410"/>
    </w:pPr>
    <w:rPr>
      <w:sz w:val="52"/>
      <w:szCs w:val="52"/>
    </w:rPr>
  </w:style>
  <w:style w:type="character" w:customStyle="1" w:styleId="Coverpage-normalChar">
    <w:name w:val="Cover page - normal Char"/>
    <w:basedOn w:val="BodyTextChar"/>
    <w:link w:val="Coverpage-normal"/>
    <w:uiPriority w:val="99"/>
    <w:rsid w:val="006B63BA"/>
    <w:rPr>
      <w:rFonts w:ascii="Arial" w:eastAsia="Times New Roman" w:hAnsi="Arial" w:cs="Calibri-Bold"/>
      <w:bCs/>
      <w:i/>
      <w:color w:val="1F497D" w:themeColor="text2"/>
      <w:szCs w:val="48"/>
      <w:lang w:val="en-GB" w:eastAsia="en-AU"/>
    </w:rPr>
  </w:style>
  <w:style w:type="paragraph" w:customStyle="1" w:styleId="BRCoverPageH1">
    <w:name w:val="BR Cover Page H1"/>
    <w:basedOn w:val="H1"/>
    <w:link w:val="BRCoverPageH1Char"/>
    <w:qFormat/>
    <w:rsid w:val="004923D3"/>
    <w:pPr>
      <w:pageBreakBefore w:val="0"/>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902F55"/>
    <w:rPr>
      <w:rFonts w:ascii="Calibri-Bold" w:eastAsia="Times New Roman" w:hAnsi="Calibri-Bold" w:cs="Arial"/>
      <w:b/>
      <w:bCs w:val="0"/>
      <w:color w:val="1F497D" w:themeColor="text2"/>
      <w:sz w:val="52"/>
      <w:szCs w:val="52"/>
      <w:lang w:val="en-GB" w:eastAsia="en-AU"/>
    </w:rPr>
  </w:style>
  <w:style w:type="paragraph" w:customStyle="1" w:styleId="BRCoverpagenormal">
    <w:name w:val="BR Cover page normal"/>
    <w:basedOn w:val="Coverpage-normal"/>
    <w:link w:val="BRCoverpagenormalChar"/>
    <w:uiPriority w:val="1"/>
    <w:rsid w:val="00415F03"/>
  </w:style>
  <w:style w:type="character" w:customStyle="1" w:styleId="BRCoverPageH1Char">
    <w:name w:val="BR Cover Page H1 Char"/>
    <w:basedOn w:val="BodyChar"/>
    <w:link w:val="BRCoverPageH1"/>
    <w:rsid w:val="00902F55"/>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uiPriority w:val="1"/>
    <w:rsid w:val="00BD1D7C"/>
    <w:rPr>
      <w:rFonts w:ascii="Arial" w:eastAsia="Times New Roman" w:hAnsi="Arial" w:cs="Calibri-Bold"/>
      <w:bCs/>
      <w:i/>
      <w:color w:val="1F497D" w:themeColor="text2"/>
      <w:sz w:val="24"/>
      <w:szCs w:val="48"/>
      <w:lang w:val="en-GB" w:eastAsia="en-AU"/>
    </w:rPr>
  </w:style>
  <w:style w:type="paragraph" w:customStyle="1" w:styleId="ExecSumm">
    <w:name w:val="Exec Summ"/>
    <w:basedOn w:val="BRHeading1"/>
    <w:link w:val="ExecSummChar"/>
    <w:uiPriority w:val="99"/>
    <w:rsid w:val="00FE58B0"/>
    <w:pPr>
      <w:numPr>
        <w:numId w:val="0"/>
      </w:numPr>
    </w:pPr>
  </w:style>
  <w:style w:type="paragraph" w:customStyle="1" w:styleId="Page2Heading">
    <w:name w:val="Page 2 Heading"/>
    <w:basedOn w:val="Heading2"/>
    <w:link w:val="Page2HeadingChar"/>
    <w:qFormat/>
    <w:rsid w:val="00FA5AD3"/>
    <w:pPr>
      <w:numPr>
        <w:ilvl w:val="0"/>
        <w:numId w:val="0"/>
      </w:numPr>
      <w:ind w:left="576" w:hanging="576"/>
    </w:pPr>
  </w:style>
  <w:style w:type="character" w:customStyle="1" w:styleId="ExecSummChar">
    <w:name w:val="Exec Summ Char"/>
    <w:basedOn w:val="BRHeading1Char"/>
    <w:link w:val="ExecSumm"/>
    <w:uiPriority w:val="99"/>
    <w:rsid w:val="006B63BA"/>
    <w:rPr>
      <w:rFonts w:ascii="Arial Bold" w:eastAsia="Times New Roman" w:hAnsi="Arial Bold" w:cs="Arial"/>
      <w:b/>
      <w:bCs/>
      <w:color w:val="1F497D" w:themeColor="text2"/>
      <w:sz w:val="48"/>
      <w:szCs w:val="48"/>
      <w:lang w:val="en-GB"/>
    </w:rPr>
  </w:style>
  <w:style w:type="paragraph" w:customStyle="1" w:styleId="BRQuote">
    <w:name w:val="BR Quote"/>
    <w:basedOn w:val="Normal"/>
    <w:link w:val="BRQuoteChar"/>
    <w:qFormat/>
    <w:rsid w:val="00F767FE"/>
    <w:pPr>
      <w:ind w:left="567"/>
    </w:pPr>
    <w:rPr>
      <w:i/>
      <w:color w:val="000000"/>
    </w:rPr>
  </w:style>
  <w:style w:type="character" w:customStyle="1" w:styleId="Page2HeadingChar">
    <w:name w:val="Page 2 Heading Char"/>
    <w:basedOn w:val="Heading2Char"/>
    <w:link w:val="Page2Heading"/>
    <w:rsid w:val="00902F55"/>
    <w:rPr>
      <w:rFonts w:cs="Arial"/>
      <w:b/>
      <w:bCs/>
      <w:color w:val="1F497D" w:themeColor="text2"/>
      <w:sz w:val="30"/>
      <w:szCs w:val="30"/>
      <w:lang w:val="en-GB"/>
    </w:rPr>
  </w:style>
  <w:style w:type="character" w:customStyle="1" w:styleId="BRQuoteChar">
    <w:name w:val="BR Quote Char"/>
    <w:basedOn w:val="DefaultParagraphFont"/>
    <w:link w:val="BRQuote"/>
    <w:rsid w:val="000C41FB"/>
    <w:rPr>
      <w:i/>
      <w:color w:val="000000"/>
    </w:rPr>
  </w:style>
  <w:style w:type="paragraph" w:customStyle="1" w:styleId="Bulletpoint">
    <w:name w:val="Bullet point"/>
    <w:basedOn w:val="Body"/>
    <w:link w:val="BulletpointChar"/>
    <w:uiPriority w:val="99"/>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eastAsiaTheme="minorHAnsi" w:hAnsi="Calibri" w:cs="Arial"/>
      <w:color w:val="000000"/>
      <w:sz w:val="22"/>
      <w:szCs w:val="22"/>
      <w:lang w:val="en-AU" w:eastAsia="en-AU"/>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eastAsiaTheme="minorHAnsi" w:hAnsi="Calibri" w:cs="Arial"/>
      <w:color w:val="000000"/>
      <w:sz w:val="22"/>
      <w:szCs w:val="22"/>
      <w:lang w:val="en-AU" w:eastAsia="en-AU"/>
    </w:rPr>
  </w:style>
  <w:style w:type="paragraph" w:customStyle="1" w:styleId="BR2ndbullet">
    <w:name w:val="BR 2nd bullet"/>
    <w:basedOn w:val="2ndbulletpoint"/>
    <w:link w:val="BR2ndbulletChar"/>
    <w:qFormat/>
    <w:rsid w:val="008E6B3E"/>
    <w:pPr>
      <w:numPr>
        <w:numId w:val="38"/>
      </w:numPr>
      <w:tabs>
        <w:tab w:val="clear" w:pos="1440"/>
        <w:tab w:val="num" w:pos="993"/>
      </w:tabs>
      <w:ind w:left="993" w:hanging="426"/>
    </w:pPr>
  </w:style>
  <w:style w:type="paragraph" w:customStyle="1" w:styleId="BRNormal11pt0">
    <w:name w:val="BR Normal 11pt"/>
    <w:basedOn w:val="BRnormal10pt-CopyrightPage"/>
    <w:link w:val="BRNormal11ptChar0"/>
    <w:qFormat/>
    <w:rsid w:val="00761645"/>
    <w:rPr>
      <w:color w:val="000000"/>
      <w:sz w:val="22"/>
      <w:szCs w:val="22"/>
    </w:rPr>
  </w:style>
  <w:style w:type="character" w:customStyle="1" w:styleId="BR2ndbulletChar">
    <w:name w:val="BR 2nd bullet Char"/>
    <w:basedOn w:val="2ndbulletpointChar"/>
    <w:link w:val="BR2ndbullet"/>
    <w:rsid w:val="00483C44"/>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rsid w:val="00902F55"/>
    <w:rPr>
      <w:rFonts w:ascii="Calibri" w:eastAsiaTheme="minorHAnsi" w:hAnsi="Calibri" w:cs="Arial"/>
      <w:color w:val="000000"/>
      <w:sz w:val="20"/>
      <w:szCs w:val="20"/>
      <w:lang w:val="en-AU" w:eastAsia="en-AU"/>
    </w:rPr>
  </w:style>
  <w:style w:type="paragraph" w:customStyle="1" w:styleId="Caption-figure">
    <w:name w:val="Caption - figure"/>
    <w:basedOn w:val="Tablecaption"/>
    <w:link w:val="Caption-figureChar"/>
    <w:qFormat/>
    <w:rsid w:val="00D90926"/>
    <w:pPr>
      <w:keepNext w:val="0"/>
      <w:spacing w:after="360"/>
    </w:pPr>
  </w:style>
  <w:style w:type="character" w:customStyle="1" w:styleId="Caption-figureChar">
    <w:name w:val="Caption - figure Char"/>
    <w:basedOn w:val="CaptionChar"/>
    <w:link w:val="Caption-figure"/>
    <w:rsid w:val="00D90926"/>
    <w:rPr>
      <w:rFonts w:eastAsia="Times New Roman" w:cs="Times New Roman"/>
      <w:sz w:val="20"/>
      <w:szCs w:val="20"/>
      <w:lang w:val="en-GB" w:eastAsia="en-US"/>
    </w:rPr>
  </w:style>
  <w:style w:type="paragraph" w:customStyle="1" w:styleId="SummaryH2">
    <w:name w:val="Summary H2"/>
    <w:basedOn w:val="BRnormal11pt"/>
    <w:link w:val="SummaryH2Char"/>
    <w:qFormat/>
    <w:rsid w:val="0023261D"/>
    <w:rPr>
      <w:b/>
      <w:color w:val="1F497D" w:themeColor="text2"/>
      <w:sz w:val="30"/>
      <w:szCs w:val="30"/>
    </w:rPr>
  </w:style>
  <w:style w:type="paragraph" w:customStyle="1" w:styleId="SummaryH1">
    <w:name w:val="Summary H1"/>
    <w:basedOn w:val="ExecSumm"/>
    <w:link w:val="SummaryH1Char"/>
    <w:qFormat/>
    <w:rsid w:val="0023261D"/>
  </w:style>
  <w:style w:type="character" w:customStyle="1" w:styleId="SummaryH2Char">
    <w:name w:val="Summary H2 Char"/>
    <w:basedOn w:val="BRnormal11ptChar"/>
    <w:link w:val="SummaryH2"/>
    <w:rsid w:val="00902F55"/>
    <w:rPr>
      <w:rFonts w:ascii="Arial" w:eastAsiaTheme="minorHAnsi" w:hAnsi="Arial" w:cs="Arial"/>
      <w:b/>
      <w:color w:val="1F497D" w:themeColor="text2"/>
      <w:sz w:val="30"/>
      <w:szCs w:val="30"/>
      <w:lang w:val="en-AU" w:eastAsia="en-AU"/>
    </w:rPr>
  </w:style>
  <w:style w:type="character" w:customStyle="1" w:styleId="SummaryH1Char">
    <w:name w:val="Summary H1 Char"/>
    <w:basedOn w:val="ExecSummChar"/>
    <w:link w:val="SummaryH1"/>
    <w:rsid w:val="00902F55"/>
    <w:rPr>
      <w:rFonts w:ascii="Arial Bold" w:eastAsia="Times New Roman" w:hAnsi="Arial Bold" w:cs="Arial"/>
      <w:b/>
      <w:bCs/>
      <w:color w:val="1F497D" w:themeColor="text2"/>
      <w:sz w:val="48"/>
      <w:szCs w:val="48"/>
      <w:lang w:val="en-GB"/>
    </w:rPr>
  </w:style>
  <w:style w:type="paragraph" w:customStyle="1" w:styleId="BRCoverPageH3">
    <w:name w:val="BR Cover Page H3"/>
    <w:basedOn w:val="H3"/>
    <w:link w:val="BRCoverPageH3Char"/>
    <w:qFormat/>
    <w:rsid w:val="004923D3"/>
    <w:pPr>
      <w:spacing w:before="840"/>
      <w:ind w:left="2410"/>
    </w:pPr>
    <w:rPr>
      <w:rFonts w:ascii="Arial" w:hAnsi="Arial"/>
      <w:b w:val="0"/>
      <w:color w:val="1F497D" w:themeColor="text2"/>
      <w:sz w:val="20"/>
    </w:rPr>
  </w:style>
  <w:style w:type="paragraph" w:customStyle="1" w:styleId="BRCoverDate">
    <w:name w:val="BR Cover Date"/>
    <w:basedOn w:val="CoverDate"/>
    <w:link w:val="BRCoverDateChar"/>
    <w:uiPriority w:val="99"/>
    <w:rsid w:val="001F5FDC"/>
  </w:style>
  <w:style w:type="character" w:customStyle="1" w:styleId="CoverSubjectChar">
    <w:name w:val="CoverSubject Char"/>
    <w:basedOn w:val="BRCoverpagenormalChar"/>
    <w:link w:val="CoverSubject"/>
    <w:uiPriority w:val="99"/>
    <w:rsid w:val="006B63BA"/>
    <w:rPr>
      <w:rFonts w:ascii="Arial" w:eastAsia="Times New Roman" w:hAnsi="Arial" w:cs="Calibri-Bold"/>
      <w:bCs/>
      <w:i/>
      <w:color w:val="1F497D" w:themeColor="text2"/>
      <w:sz w:val="24"/>
      <w:szCs w:val="48"/>
      <w:lang w:val="en-GB" w:eastAsia="en-AU"/>
    </w:rPr>
  </w:style>
  <w:style w:type="character" w:customStyle="1" w:styleId="BRCoverPageH3Char">
    <w:name w:val="BR Cover Page H3 Char"/>
    <w:basedOn w:val="CoverSubjectChar"/>
    <w:link w:val="BRCoverPageH3"/>
    <w:rsid w:val="00902F55"/>
    <w:rPr>
      <w:rFonts w:ascii="Arial" w:eastAsia="Times New Roman" w:hAnsi="Arial" w:cs="Calibri-Bold"/>
      <w:bCs/>
      <w:i w:val="0"/>
      <w:color w:val="1F497D" w:themeColor="text2"/>
      <w:sz w:val="20"/>
      <w:szCs w:val="48"/>
      <w:lang w:val="en-GB" w:eastAsia="en-AU"/>
    </w:rPr>
  </w:style>
  <w:style w:type="paragraph" w:customStyle="1" w:styleId="BelowTableFigureText9pt">
    <w:name w:val="Below TableFigure Text 9pt"/>
    <w:basedOn w:val="Body"/>
    <w:link w:val="BelowTableFigureText9ptChar"/>
    <w:qFormat/>
    <w:rsid w:val="000C41FB"/>
    <w:pPr>
      <w:spacing w:before="120"/>
    </w:pPr>
    <w:rPr>
      <w:rFonts w:ascii="Arial" w:hAnsi="Arial"/>
      <w:sz w:val="18"/>
      <w:szCs w:val="18"/>
    </w:rPr>
  </w:style>
  <w:style w:type="character" w:customStyle="1" w:styleId="CoverDateChar">
    <w:name w:val="CoverDate Char"/>
    <w:basedOn w:val="BodyTextChar"/>
    <w:link w:val="CoverDate"/>
    <w:uiPriority w:val="99"/>
    <w:rsid w:val="006B63BA"/>
    <w:rPr>
      <w:rFonts w:ascii="Arial" w:eastAsia="Times New Roman" w:hAnsi="Arial" w:cs="Arial"/>
      <w:color w:val="1F497D" w:themeColor="text2"/>
      <w:sz w:val="20"/>
      <w:szCs w:val="20"/>
      <w:lang w:val="en-AU" w:eastAsia="en-AU"/>
    </w:rPr>
  </w:style>
  <w:style w:type="character" w:customStyle="1" w:styleId="BRCoverDateChar">
    <w:name w:val="BR Cover Date Char"/>
    <w:basedOn w:val="CoverDateChar"/>
    <w:link w:val="BRCoverDate"/>
    <w:uiPriority w:val="99"/>
    <w:rsid w:val="00BD1D7C"/>
    <w:rPr>
      <w:rFonts w:ascii="Arial" w:eastAsia="Times New Roman" w:hAnsi="Arial" w:cs="Arial"/>
      <w:color w:val="1F497D" w:themeColor="text2"/>
      <w:sz w:val="20"/>
      <w:szCs w:val="20"/>
      <w:lang w:val="en-AU" w:eastAsia="en-AU"/>
    </w:rPr>
  </w:style>
  <w:style w:type="paragraph" w:customStyle="1" w:styleId="BRnumbering">
    <w:name w:val="BR numbering"/>
    <w:basedOn w:val="BRnormal11pt"/>
    <w:link w:val="BRnumberingChar"/>
    <w:qFormat/>
    <w:rsid w:val="005649EE"/>
    <w:pPr>
      <w:numPr>
        <w:numId w:val="39"/>
      </w:numPr>
      <w:spacing w:after="113" w:line="280" w:lineRule="atLeast"/>
      <w:ind w:left="426" w:hanging="426"/>
    </w:pPr>
    <w:rPr>
      <w:lang w:val="en-GB"/>
    </w:rPr>
  </w:style>
  <w:style w:type="character" w:customStyle="1" w:styleId="BelowTableFigureText9ptChar">
    <w:name w:val="Below TableFigure Text 9pt Char"/>
    <w:basedOn w:val="BodyChar"/>
    <w:link w:val="BelowTableFigureText9pt"/>
    <w:rsid w:val="000C41FB"/>
    <w:rPr>
      <w:rFonts w:ascii="Calibri" w:eastAsiaTheme="minorHAnsi" w:hAnsi="Calibri" w:cs="Arial"/>
      <w:sz w:val="18"/>
      <w:szCs w:val="18"/>
      <w:lang w:val="en-AU" w:eastAsia="en-AU"/>
    </w:rPr>
  </w:style>
  <w:style w:type="character" w:customStyle="1" w:styleId="BRnumberingChar">
    <w:name w:val="BR numbering Char"/>
    <w:basedOn w:val="BRnormal11ptChar"/>
    <w:link w:val="BRnumbering"/>
    <w:rsid w:val="005649EE"/>
    <w:rPr>
      <w:rFonts w:ascii="Arial" w:eastAsiaTheme="minorHAnsi" w:hAnsi="Arial" w:cs="Arial"/>
      <w:sz w:val="22"/>
      <w:szCs w:val="22"/>
      <w:lang w:val="en-GB" w:eastAsia="en-AU"/>
    </w:rPr>
  </w:style>
  <w:style w:type="paragraph" w:customStyle="1" w:styleId="BRNormal">
    <w:name w:val="BR Normal"/>
    <w:basedOn w:val="Normal"/>
    <w:link w:val="BRNormalChar"/>
    <w:uiPriority w:val="99"/>
    <w:qFormat/>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BR-normal-CopyrightPage">
    <w:name w:val="BR - normal - Copyright Page"/>
    <w:basedOn w:val="Body"/>
    <w:link w:val="BR-normal-CopyrightPageChar"/>
    <w:uiPriority w:val="99"/>
    <w:rsid w:val="00967815"/>
    <w:rPr>
      <w:rFonts w:ascii="Arial" w:hAnsi="Arial"/>
      <w:color w:val="000000"/>
      <w:sz w:val="20"/>
      <w:szCs w:val="20"/>
    </w:rPr>
  </w:style>
  <w:style w:type="character" w:customStyle="1" w:styleId="BR-normal-CopyrightPageChar">
    <w:name w:val="BR - normal - Copyright Page Char"/>
    <w:basedOn w:val="BodyChar"/>
    <w:link w:val="BR-normal-CopyrightPage"/>
    <w:uiPriority w:val="99"/>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cs="Arial"/>
      <w:b/>
      <w:bCs/>
      <w:color w:val="1F497D" w:themeColor="text2"/>
      <w:sz w:val="30"/>
      <w:szCs w:val="26"/>
      <w:lang w:val="en-GB"/>
    </w:rPr>
  </w:style>
  <w:style w:type="paragraph" w:customStyle="1" w:styleId="Tableheading">
    <w:name w:val="Table heading"/>
    <w:basedOn w:val="Body"/>
    <w:link w:val="TableheadingChar"/>
    <w:qFormat/>
    <w:rsid w:val="00F87E44"/>
    <w:pPr>
      <w:widowControl w:val="0"/>
      <w:suppressAutoHyphens/>
      <w:adjustRightInd w:val="0"/>
      <w:spacing w:before="60" w:after="60"/>
      <w:textAlignment w:val="center"/>
    </w:pPr>
    <w:rPr>
      <w:rFonts w:ascii="Arial" w:hAnsi="Arial"/>
      <w:b/>
      <w:sz w:val="20"/>
      <w:szCs w:val="20"/>
      <w:lang w:eastAsia="en-US"/>
    </w:rPr>
  </w:style>
  <w:style w:type="paragraph" w:customStyle="1" w:styleId="Tabletext">
    <w:name w:val="Table text"/>
    <w:basedOn w:val="Body"/>
    <w:link w:val="TabletextChar"/>
    <w:qFormat/>
    <w:rsid w:val="00F87E44"/>
    <w:pPr>
      <w:widowControl w:val="0"/>
      <w:suppressAutoHyphens/>
      <w:adjustRightInd w:val="0"/>
      <w:spacing w:before="60" w:after="60"/>
      <w:textAlignment w:val="center"/>
    </w:pPr>
    <w:rPr>
      <w:rFonts w:ascii="Arial" w:hAnsi="Arial"/>
      <w:color w:val="000000"/>
      <w:sz w:val="20"/>
      <w:szCs w:val="20"/>
    </w:rPr>
  </w:style>
  <w:style w:type="character" w:customStyle="1" w:styleId="TableheadingChar">
    <w:name w:val="Table heading Char"/>
    <w:basedOn w:val="BodyChar"/>
    <w:link w:val="Tableheading"/>
    <w:rsid w:val="00902F55"/>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902F55"/>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uiPriority w:val="1"/>
    <w:rsid w:val="008057EC"/>
    <w:pPr>
      <w:numPr>
        <w:ilvl w:val="0"/>
        <w:numId w:val="0"/>
      </w:numPr>
    </w:pPr>
    <w:rPr>
      <w:sz w:val="26"/>
    </w:rPr>
  </w:style>
  <w:style w:type="character" w:customStyle="1" w:styleId="BRheading3Char">
    <w:name w:val="BR heading 3 Char"/>
    <w:basedOn w:val="BRHeading2Char"/>
    <w:link w:val="BRheading3"/>
    <w:uiPriority w:val="1"/>
    <w:rsid w:val="00BD1D7C"/>
    <w:rPr>
      <w:rFonts w:cs="Arial"/>
      <w:b/>
      <w:bCs/>
      <w:i/>
      <w:color w:val="1F497D" w:themeColor="text2"/>
      <w:sz w:val="26"/>
      <w:szCs w:val="26"/>
      <w:lang w:val="en-GB"/>
    </w:rPr>
  </w:style>
  <w:style w:type="paragraph" w:customStyle="1" w:styleId="SummaryH3">
    <w:name w:val="Summary H3"/>
    <w:basedOn w:val="BRNormal"/>
    <w:link w:val="SummaryH3Char"/>
    <w:qFormat/>
    <w:rsid w:val="0023261D"/>
    <w:rPr>
      <w:b/>
      <w:i/>
      <w:color w:val="1F497D" w:themeColor="text2"/>
      <w:sz w:val="26"/>
      <w:szCs w:val="26"/>
    </w:rPr>
  </w:style>
  <w:style w:type="character" w:customStyle="1" w:styleId="SummaryH3Char">
    <w:name w:val="Summary H3 Char"/>
    <w:basedOn w:val="BRheading3Char"/>
    <w:link w:val="SummaryH3"/>
    <w:rsid w:val="00902F55"/>
    <w:rPr>
      <w:rFonts w:cs="Arial"/>
      <w:b/>
      <w:bCs w:val="0"/>
      <w:i/>
      <w:color w:val="1F497D" w:themeColor="text2"/>
      <w:sz w:val="26"/>
      <w:szCs w:val="26"/>
      <w:lang w:val="en-GB"/>
    </w:rPr>
  </w:style>
  <w:style w:type="paragraph" w:customStyle="1" w:styleId="BRQuote-listlevel1">
    <w:name w:val="BR Quote - list level 1"/>
    <w:basedOn w:val="BRdotpoints"/>
    <w:link w:val="BRQuote-listlevel1Char"/>
    <w:qFormat/>
    <w:rsid w:val="008B71D0"/>
    <w:pPr>
      <w:numPr>
        <w:numId w:val="30"/>
      </w:numPr>
      <w:autoSpaceDE/>
      <w:autoSpaceDN/>
      <w:ind w:left="993" w:hanging="426"/>
    </w:pPr>
    <w:rPr>
      <w:i/>
      <w:color w:val="000000"/>
    </w:rPr>
  </w:style>
  <w:style w:type="character" w:customStyle="1" w:styleId="BRQuote-listlevel1Char">
    <w:name w:val="BR Quote - list level 1 Char"/>
    <w:basedOn w:val="BRdotpointsChar"/>
    <w:link w:val="BRQuote-listlevel1"/>
    <w:rsid w:val="000C41FB"/>
    <w:rPr>
      <w:rFonts w:ascii="Calibri" w:eastAsia="Times New Roman" w:hAnsi="Calibri" w:cs="Times New Roman"/>
      <w:i/>
      <w:color w:val="000000"/>
      <w:sz w:val="22"/>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6B63BA"/>
    <w:rPr>
      <w:rFonts w:ascii="Arial" w:eastAsiaTheme="minorHAnsi" w:hAnsi="Arial" w:cs="Arial"/>
      <w:b/>
      <w:bCs/>
      <w:i/>
      <w:iCs/>
      <w:color w:val="4F81BD" w:themeColor="accent1"/>
      <w:sz w:val="22"/>
      <w:szCs w:val="22"/>
      <w:lang w:val="en-AU" w:eastAsia="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uiPriority w:val="99"/>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1"/>
    <w:rsid w:val="007533F7"/>
    <w:rPr>
      <w:i/>
      <w:iCs/>
      <w:color w:val="000000" w:themeColor="text1"/>
    </w:rPr>
  </w:style>
  <w:style w:type="character" w:customStyle="1" w:styleId="QuoteChar">
    <w:name w:val="Quote Char"/>
    <w:basedOn w:val="DefaultParagraphFont"/>
    <w:link w:val="Quote"/>
    <w:uiPriority w:val="1"/>
    <w:rsid w:val="00BD1D7C"/>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Summaryheading4">
    <w:name w:val="Summary heading 4"/>
    <w:basedOn w:val="Heading4"/>
    <w:link w:val="Summaryheading4Char"/>
    <w:qFormat/>
    <w:rsid w:val="000C41FB"/>
    <w:pPr>
      <w:numPr>
        <w:ilvl w:val="0"/>
        <w:numId w:val="0"/>
      </w:numPr>
      <w:ind w:left="864" w:hanging="864"/>
    </w:pPr>
  </w:style>
  <w:style w:type="character" w:customStyle="1" w:styleId="Summaryheading4Char">
    <w:name w:val="Summary heading 4 Char"/>
    <w:basedOn w:val="Heading4Char"/>
    <w:link w:val="Summaryheading4"/>
    <w:rsid w:val="000C41FB"/>
    <w:rPr>
      <w:rFonts w:eastAsia="Times New Roman" w:cs="Times New Roman"/>
      <w:b/>
      <w:color w:val="1F497D" w:themeColor="text2"/>
      <w:lang w:val="en-GB" w:eastAsia="en-US"/>
    </w:rPr>
  </w:style>
  <w:style w:type="paragraph" w:customStyle="1" w:styleId="Listintrotext">
    <w:name w:val="List intro text"/>
    <w:basedOn w:val="Body"/>
    <w:link w:val="ListintrotextChar"/>
    <w:qFormat/>
    <w:rsid w:val="00A90F48"/>
    <w:pPr>
      <w:spacing w:before="200" w:after="120"/>
    </w:pPr>
    <w:rPr>
      <w:rFonts w:ascii="Arial" w:hAnsi="Arial"/>
    </w:rPr>
  </w:style>
  <w:style w:type="paragraph" w:customStyle="1" w:styleId="Post-listtext">
    <w:name w:val="Post-list text"/>
    <w:basedOn w:val="BRnormal11pt"/>
    <w:link w:val="Post-listtextChar"/>
    <w:qFormat/>
    <w:rsid w:val="00CB1F06"/>
    <w:pPr>
      <w:spacing w:before="200"/>
    </w:pPr>
  </w:style>
  <w:style w:type="character" w:customStyle="1" w:styleId="ListintrotextChar">
    <w:name w:val="List intro text Char"/>
    <w:basedOn w:val="BodyChar"/>
    <w:link w:val="Listintrotext"/>
    <w:rsid w:val="00A90F48"/>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qFormat/>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qFormat/>
    <w:rsid w:val="00BD1D7C"/>
    <w:pPr>
      <w:jc w:val="center"/>
    </w:pPr>
    <w:rPr>
      <w:sz w:val="18"/>
      <w:szCs w:val="18"/>
    </w:rPr>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BRQuote"/>
    <w:link w:val="QuotecitationChar"/>
    <w:qFormat/>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AppendixH1">
    <w:name w:val="Appendix H1"/>
    <w:basedOn w:val="SummaryH1"/>
    <w:link w:val="AppendixH1Char"/>
    <w:qFormat/>
    <w:rsid w:val="000C41FB"/>
  </w:style>
  <w:style w:type="character" w:customStyle="1" w:styleId="QuotecitationChar">
    <w:name w:val="Quote citation Char"/>
    <w:basedOn w:val="BRQuoteChar"/>
    <w:link w:val="Quotecitation"/>
    <w:rsid w:val="000C41FB"/>
    <w:rPr>
      <w:i w:val="0"/>
      <w:color w:val="000000"/>
    </w:rPr>
  </w:style>
  <w:style w:type="paragraph" w:customStyle="1" w:styleId="AppendixH2">
    <w:name w:val="Appendix H2"/>
    <w:basedOn w:val="SummaryH2"/>
    <w:link w:val="AppendixH2Char"/>
    <w:qFormat/>
    <w:rsid w:val="000C41FB"/>
  </w:style>
  <w:style w:type="character" w:customStyle="1" w:styleId="AppendixH1Char">
    <w:name w:val="Appendix H1 Char"/>
    <w:basedOn w:val="SummaryH1Char"/>
    <w:link w:val="AppendixH1"/>
    <w:rsid w:val="000C41FB"/>
    <w:rPr>
      <w:rFonts w:ascii="Arial Bold" w:eastAsia="Times New Roman" w:hAnsi="Arial Bold" w:cs="Arial"/>
      <w:b/>
      <w:bCs/>
      <w:color w:val="1F497D" w:themeColor="text2"/>
      <w:sz w:val="48"/>
      <w:szCs w:val="48"/>
      <w:lang w:val="en-GB"/>
    </w:rPr>
  </w:style>
  <w:style w:type="paragraph" w:customStyle="1" w:styleId="AppendixH3">
    <w:name w:val="Appendix H3"/>
    <w:basedOn w:val="SummaryH3"/>
    <w:link w:val="AppendixH3Char"/>
    <w:qFormat/>
    <w:rsid w:val="000C41FB"/>
  </w:style>
  <w:style w:type="character" w:customStyle="1" w:styleId="AppendixH2Char">
    <w:name w:val="Appendix H2 Char"/>
    <w:basedOn w:val="SummaryH2Char"/>
    <w:link w:val="AppendixH2"/>
    <w:rsid w:val="000C41FB"/>
    <w:rPr>
      <w:rFonts w:ascii="Arial" w:eastAsiaTheme="minorHAnsi" w:hAnsi="Arial" w:cs="Arial"/>
      <w:b/>
      <w:color w:val="1F497D" w:themeColor="text2"/>
      <w:sz w:val="30"/>
      <w:szCs w:val="30"/>
      <w:lang w:val="en-AU" w:eastAsia="en-AU"/>
    </w:rPr>
  </w:style>
  <w:style w:type="paragraph" w:customStyle="1" w:styleId="AppendixH4">
    <w:name w:val="Appendix H4"/>
    <w:basedOn w:val="Summaryheading4"/>
    <w:link w:val="AppendixH4Char"/>
    <w:qFormat/>
    <w:rsid w:val="000C41FB"/>
  </w:style>
  <w:style w:type="character" w:customStyle="1" w:styleId="AppendixH3Char">
    <w:name w:val="Appendix H3 Char"/>
    <w:basedOn w:val="SummaryH3Char"/>
    <w:link w:val="AppendixH3"/>
    <w:rsid w:val="00066553"/>
    <w:rPr>
      <w:rFonts w:cs="Arial"/>
      <w:b/>
      <w:bCs w:val="0"/>
      <w:i/>
      <w:color w:val="1F497D" w:themeColor="text2"/>
      <w:sz w:val="26"/>
      <w:szCs w:val="26"/>
      <w:lang w:val="en-GB"/>
    </w:rPr>
  </w:style>
  <w:style w:type="paragraph" w:customStyle="1" w:styleId="3rdbullet">
    <w:name w:val="3rd bullet"/>
    <w:basedOn w:val="BR2ndbullet"/>
    <w:link w:val="3rdbulletChar"/>
    <w:qFormat/>
    <w:rsid w:val="00483C44"/>
    <w:pPr>
      <w:numPr>
        <w:ilvl w:val="2"/>
      </w:numPr>
      <w:tabs>
        <w:tab w:val="clear" w:pos="2160"/>
        <w:tab w:val="num" w:pos="1560"/>
      </w:tabs>
      <w:ind w:left="1560" w:hanging="426"/>
    </w:pPr>
  </w:style>
  <w:style w:type="character" w:customStyle="1" w:styleId="AppendixH4Char">
    <w:name w:val="Appendix H4 Char"/>
    <w:basedOn w:val="Summaryheading4Char"/>
    <w:link w:val="AppendixH4"/>
    <w:rsid w:val="00066553"/>
    <w:rPr>
      <w:rFonts w:eastAsia="Times New Roman" w:cs="Times New Roman"/>
      <w:b/>
      <w:color w:val="1F497D" w:themeColor="text2"/>
      <w:lang w:val="en-GB" w:eastAsia="en-US"/>
    </w:rPr>
  </w:style>
  <w:style w:type="character" w:customStyle="1" w:styleId="3rdbulletChar">
    <w:name w:val="3rd bullet Char"/>
    <w:basedOn w:val="BR2ndbulletChar"/>
    <w:link w:val="3rdbullet"/>
    <w:rsid w:val="00483C44"/>
    <w:rPr>
      <w:rFonts w:ascii="Calibri" w:eastAsiaTheme="minorHAnsi" w:hAnsi="Calibri" w:cs="Arial"/>
      <w:color w:val="000000"/>
      <w:sz w:val="22"/>
      <w:szCs w:val="22"/>
      <w:lang w:val="en-AU" w:eastAsia="en-AU"/>
    </w:rPr>
  </w:style>
  <w:style w:type="paragraph" w:customStyle="1" w:styleId="TableDotPoint">
    <w:name w:val="Table Dot Point"/>
    <w:basedOn w:val="Tabletext"/>
    <w:link w:val="TableDotPointChar"/>
    <w:uiPriority w:val="99"/>
    <w:qFormat/>
    <w:rsid w:val="00573315"/>
    <w:pPr>
      <w:numPr>
        <w:numId w:val="41"/>
      </w:numPr>
      <w:ind w:left="327" w:hanging="327"/>
    </w:pPr>
    <w:rPr>
      <w:lang w:val="en-GB"/>
    </w:rPr>
  </w:style>
  <w:style w:type="paragraph" w:customStyle="1" w:styleId="Page2address">
    <w:name w:val="Page 2 address"/>
    <w:basedOn w:val="BRnormal10pt-CopyrightPage"/>
    <w:link w:val="Page2addressChar"/>
    <w:uiPriority w:val="99"/>
    <w:qFormat/>
    <w:rsid w:val="00E17C06"/>
    <w:pPr>
      <w:spacing w:before="0" w:after="0"/>
    </w:pPr>
    <w:rPr>
      <w:rFonts w:eastAsiaTheme="minorHAnsi"/>
      <w:lang w:val="en-AU" w:eastAsia="en-AU"/>
    </w:rPr>
  </w:style>
  <w:style w:type="character" w:customStyle="1" w:styleId="TableDotPointChar">
    <w:name w:val="Table Dot Point Char"/>
    <w:basedOn w:val="TabletextChar"/>
    <w:link w:val="TableDotPoint"/>
    <w:uiPriority w:val="99"/>
    <w:rsid w:val="00573315"/>
    <w:rPr>
      <w:rFonts w:ascii="Calibri" w:eastAsiaTheme="minorHAnsi" w:hAnsi="Calibri" w:cs="Arial"/>
      <w:color w:val="000000"/>
      <w:sz w:val="20"/>
      <w:szCs w:val="20"/>
      <w:lang w:val="en-GB" w:eastAsia="en-AU"/>
    </w:rPr>
  </w:style>
  <w:style w:type="character" w:customStyle="1" w:styleId="Page2addressChar">
    <w:name w:val="Page 2 address Char"/>
    <w:basedOn w:val="BRnormal10pt-CopyrightPageChar"/>
    <w:link w:val="Page2address"/>
    <w:uiPriority w:val="99"/>
    <w:rsid w:val="00E17C06"/>
    <w:rPr>
      <w:rFonts w:ascii="Calibri" w:eastAsiaTheme="minorHAnsi" w:hAnsi="Calibri" w:cs="Arial"/>
      <w:sz w:val="20"/>
      <w:szCs w:val="20"/>
      <w:lang w:val="en-AU" w:eastAsia="en-AU"/>
    </w:rPr>
  </w:style>
  <w:style w:type="paragraph" w:customStyle="1" w:styleId="Dotpoints10pt">
    <w:name w:val="Dot points 10pt"/>
    <w:basedOn w:val="BRdotpoints"/>
    <w:link w:val="Dotpoints10ptChar"/>
    <w:uiPriority w:val="99"/>
    <w:qFormat/>
    <w:rsid w:val="00EE5849"/>
    <w:rPr>
      <w:sz w:val="20"/>
      <w:szCs w:val="20"/>
    </w:rPr>
  </w:style>
  <w:style w:type="table" w:customStyle="1" w:styleId="TableGrid2">
    <w:name w:val="Table Grid2"/>
    <w:basedOn w:val="TableNormal"/>
    <w:next w:val="TableGrid"/>
    <w:rsid w:val="00DA5833"/>
    <w:pPr>
      <w:spacing w:before="77" w:after="113" w:line="250" w:lineRule="exac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tpoints10ptChar">
    <w:name w:val="Dot points 10pt Char"/>
    <w:basedOn w:val="BRdotpointsChar"/>
    <w:link w:val="Dotpoints10pt"/>
    <w:uiPriority w:val="99"/>
    <w:rsid w:val="00EE5849"/>
    <w:rPr>
      <w:rFonts w:ascii="Calibri" w:eastAsia="Times New Roman" w:hAnsi="Calibri" w:cs="Times New Roman"/>
      <w:color w:val="000000"/>
      <w:sz w:val="20"/>
      <w:szCs w:val="20"/>
      <w:lang w:val="en-GB" w:eastAsia="en-US"/>
    </w:rPr>
  </w:style>
  <w:style w:type="table" w:customStyle="1" w:styleId="TableGrid3">
    <w:name w:val="Table Grid3"/>
    <w:basedOn w:val="TableNormal"/>
    <w:next w:val="TableGrid"/>
    <w:rsid w:val="0093202E"/>
    <w:pPr>
      <w:spacing w:before="77" w:after="113" w:line="250" w:lineRule="exac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nalDotPoint">
    <w:name w:val="Final Dot Point"/>
    <w:basedOn w:val="BRdotpoints"/>
    <w:link w:val="FinalDotPointChar"/>
    <w:uiPriority w:val="99"/>
    <w:qFormat/>
    <w:rsid w:val="00973D19"/>
    <w:pPr>
      <w:spacing w:after="200"/>
    </w:pPr>
  </w:style>
  <w:style w:type="paragraph" w:customStyle="1" w:styleId="BodyCopy">
    <w:name w:val="Body Copy"/>
    <w:link w:val="BodyCopyChar"/>
    <w:qFormat/>
    <w:rsid w:val="001E6DBD"/>
    <w:pPr>
      <w:suppressAutoHyphens/>
      <w:autoSpaceDE w:val="0"/>
      <w:autoSpaceDN w:val="0"/>
      <w:adjustRightInd w:val="0"/>
      <w:spacing w:before="117" w:after="153" w:line="270" w:lineRule="atLeast"/>
      <w:jc w:val="both"/>
      <w:textAlignment w:val="center"/>
    </w:pPr>
    <w:rPr>
      <w:rFonts w:eastAsia="Times New Roman" w:cs="Arial (TT)"/>
      <w:color w:val="000000"/>
      <w:sz w:val="20"/>
      <w:szCs w:val="20"/>
      <w:lang w:val="en-GB" w:eastAsia="en-US"/>
    </w:rPr>
  </w:style>
  <w:style w:type="character" w:customStyle="1" w:styleId="FinalDotPointChar">
    <w:name w:val="Final Dot Point Char"/>
    <w:basedOn w:val="BRdotpointsChar"/>
    <w:link w:val="FinalDotPoint"/>
    <w:uiPriority w:val="99"/>
    <w:rsid w:val="00973D19"/>
    <w:rPr>
      <w:rFonts w:ascii="Calibri" w:eastAsia="Times New Roman" w:hAnsi="Calibri" w:cs="Times New Roman"/>
      <w:color w:val="000000"/>
      <w:sz w:val="22"/>
      <w:szCs w:val="20"/>
      <w:lang w:val="en-GB" w:eastAsia="en-US"/>
    </w:rPr>
  </w:style>
  <w:style w:type="character" w:customStyle="1" w:styleId="BodyCopyChar">
    <w:name w:val="Body Copy Char"/>
    <w:basedOn w:val="DefaultParagraphFont"/>
    <w:link w:val="BodyCopy"/>
    <w:rsid w:val="001E6DBD"/>
    <w:rPr>
      <w:rFonts w:eastAsia="Times New Roman" w:cs="Arial (TT)"/>
      <w:color w:val="000000"/>
      <w:sz w:val="20"/>
      <w:szCs w:val="20"/>
      <w:lang w:val="en-GB" w:eastAsia="en-US"/>
    </w:rPr>
  </w:style>
  <w:style w:type="paragraph" w:customStyle="1" w:styleId="BRTableheading">
    <w:name w:val="BR Table heading"/>
    <w:basedOn w:val="Body"/>
    <w:link w:val="BRTableheadingChar"/>
    <w:qFormat/>
    <w:rsid w:val="00A9314B"/>
    <w:pPr>
      <w:widowControl w:val="0"/>
      <w:suppressAutoHyphens/>
      <w:adjustRightInd w:val="0"/>
      <w:spacing w:before="60" w:after="60"/>
      <w:textAlignment w:val="center"/>
    </w:pPr>
    <w:rPr>
      <w:rFonts w:eastAsiaTheme="minorHAnsi"/>
      <w:b/>
      <w:sz w:val="20"/>
      <w:szCs w:val="20"/>
      <w:lang w:val="en-AU" w:eastAsia="en-US"/>
    </w:rPr>
  </w:style>
  <w:style w:type="character" w:customStyle="1" w:styleId="BRTableheadingChar">
    <w:name w:val="BR Table heading Char"/>
    <w:basedOn w:val="BodyChar"/>
    <w:link w:val="BRTableheading"/>
    <w:rsid w:val="00A9314B"/>
    <w:rPr>
      <w:rFonts w:ascii="Calibri" w:eastAsiaTheme="minorHAnsi" w:hAnsi="Calibri" w:cs="Arial"/>
      <w:b/>
      <w:sz w:val="20"/>
      <w:szCs w:val="20"/>
      <w:lang w:val="en-AU" w:eastAsia="en-US"/>
    </w:rPr>
  </w:style>
  <w:style w:type="paragraph" w:customStyle="1" w:styleId="BRTabletext">
    <w:name w:val="BR Table text"/>
    <w:basedOn w:val="Body"/>
    <w:link w:val="BRTabletextChar"/>
    <w:qFormat/>
    <w:rsid w:val="00A9314B"/>
    <w:pPr>
      <w:widowControl w:val="0"/>
      <w:suppressAutoHyphens/>
      <w:adjustRightInd w:val="0"/>
      <w:spacing w:before="60" w:after="60"/>
      <w:textAlignment w:val="center"/>
    </w:pPr>
    <w:rPr>
      <w:rFonts w:eastAsiaTheme="minorHAnsi"/>
      <w:color w:val="000000"/>
      <w:sz w:val="20"/>
      <w:szCs w:val="20"/>
      <w:lang w:val="en-AU" w:eastAsia="en-AU"/>
    </w:rPr>
  </w:style>
  <w:style w:type="character" w:customStyle="1" w:styleId="BRTabletextChar">
    <w:name w:val="BR Table text Char"/>
    <w:basedOn w:val="BodyChar"/>
    <w:link w:val="BRTabletext"/>
    <w:rsid w:val="00A9314B"/>
    <w:rPr>
      <w:rFonts w:ascii="Calibri" w:eastAsiaTheme="minorHAnsi" w:hAnsi="Calibri" w:cs="Arial"/>
      <w:color w:val="000000"/>
      <w:sz w:val="20"/>
      <w:szCs w:val="20"/>
      <w:lang w:val="en-AU" w:eastAsia="en-AU"/>
    </w:rPr>
  </w:style>
  <w:style w:type="paragraph" w:customStyle="1" w:styleId="Number2ndlevel">
    <w:name w:val="Number 2nd level"/>
    <w:basedOn w:val="BRnumbering"/>
    <w:link w:val="Number2ndlevelChar"/>
    <w:uiPriority w:val="99"/>
    <w:qFormat/>
    <w:rsid w:val="005649EE"/>
    <w:pPr>
      <w:numPr>
        <w:ilvl w:val="1"/>
      </w:numPr>
      <w:ind w:left="851" w:hanging="425"/>
    </w:pPr>
  </w:style>
  <w:style w:type="paragraph" w:customStyle="1" w:styleId="Number3rdlevel">
    <w:name w:val="Number 3rd level"/>
    <w:basedOn w:val="Listintrotext"/>
    <w:link w:val="Number3rdlevelChar"/>
    <w:uiPriority w:val="99"/>
    <w:qFormat/>
    <w:rsid w:val="005649EE"/>
    <w:pPr>
      <w:numPr>
        <w:ilvl w:val="2"/>
        <w:numId w:val="42"/>
      </w:numPr>
      <w:ind w:left="1418" w:hanging="425"/>
    </w:pPr>
    <w:rPr>
      <w:lang w:val="en-GB"/>
    </w:rPr>
  </w:style>
  <w:style w:type="character" w:customStyle="1" w:styleId="Number2ndlevelChar">
    <w:name w:val="Number 2nd level Char"/>
    <w:basedOn w:val="BRnumberingChar"/>
    <w:link w:val="Number2ndlevel"/>
    <w:uiPriority w:val="99"/>
    <w:rsid w:val="005649EE"/>
    <w:rPr>
      <w:rFonts w:ascii="Arial" w:eastAsiaTheme="minorHAnsi" w:hAnsi="Arial" w:cs="Arial"/>
      <w:sz w:val="22"/>
      <w:szCs w:val="22"/>
      <w:lang w:val="en-GB" w:eastAsia="en-AU"/>
    </w:rPr>
  </w:style>
  <w:style w:type="paragraph" w:customStyle="1" w:styleId="Tabledotpoint0">
    <w:name w:val="Table dot point"/>
    <w:basedOn w:val="BRdotpoints"/>
    <w:link w:val="TabledotpointChar0"/>
    <w:uiPriority w:val="99"/>
    <w:rsid w:val="00E6767F"/>
    <w:rPr>
      <w:sz w:val="20"/>
      <w:szCs w:val="20"/>
      <w:lang w:val="en-GB"/>
    </w:rPr>
  </w:style>
  <w:style w:type="character" w:customStyle="1" w:styleId="Number3rdlevelChar">
    <w:name w:val="Number 3rd level Char"/>
    <w:basedOn w:val="ListintrotextChar"/>
    <w:link w:val="Number3rdlevel"/>
    <w:uiPriority w:val="99"/>
    <w:rsid w:val="005649EE"/>
    <w:rPr>
      <w:rFonts w:ascii="Calibri" w:eastAsiaTheme="minorHAnsi" w:hAnsi="Calibri" w:cs="Arial"/>
      <w:sz w:val="22"/>
      <w:szCs w:val="22"/>
      <w:lang w:val="en-GB" w:eastAsia="en-AU"/>
    </w:rPr>
  </w:style>
  <w:style w:type="paragraph" w:customStyle="1" w:styleId="Tabledotpoint2ndlevel">
    <w:name w:val="Table dot point 2nd level"/>
    <w:basedOn w:val="BR2ndbullet"/>
    <w:link w:val="Tabledotpoint2ndlevelChar"/>
    <w:uiPriority w:val="99"/>
    <w:qFormat/>
    <w:rsid w:val="00570387"/>
    <w:pPr>
      <w:spacing w:before="60" w:after="60" w:line="240" w:lineRule="auto"/>
      <w:ind w:left="992" w:hanging="425"/>
    </w:pPr>
    <w:rPr>
      <w:sz w:val="20"/>
      <w:szCs w:val="20"/>
      <w:lang w:val="en-AU"/>
    </w:rPr>
  </w:style>
  <w:style w:type="character" w:customStyle="1" w:styleId="TabledotpointChar0">
    <w:name w:val="Table dot point Char"/>
    <w:basedOn w:val="BRdotpointsChar"/>
    <w:link w:val="Tabledotpoint0"/>
    <w:uiPriority w:val="99"/>
    <w:rsid w:val="00E6767F"/>
    <w:rPr>
      <w:rFonts w:ascii="Calibri" w:eastAsia="Times New Roman" w:hAnsi="Calibri" w:cs="Times New Roman"/>
      <w:color w:val="000000"/>
      <w:sz w:val="20"/>
      <w:szCs w:val="20"/>
      <w:lang w:val="en-GB" w:eastAsia="en-US"/>
    </w:rPr>
  </w:style>
  <w:style w:type="character" w:customStyle="1" w:styleId="Tabledotpoint2ndlevelChar">
    <w:name w:val="Table dot point 2nd level Char"/>
    <w:basedOn w:val="BR2ndbulletChar"/>
    <w:link w:val="Tabledotpoint2ndlevel"/>
    <w:uiPriority w:val="99"/>
    <w:rsid w:val="00570387"/>
    <w:rPr>
      <w:rFonts w:ascii="Calibri" w:eastAsiaTheme="minorHAnsi" w:hAnsi="Calibri" w:cs="Arial"/>
      <w:color w:val="000000"/>
      <w:sz w:val="20"/>
      <w:szCs w:val="20"/>
      <w:lang w:val="en-AU" w:eastAsia="en-AU"/>
    </w:rPr>
  </w:style>
  <w:style w:type="paragraph" w:customStyle="1" w:styleId="Caption-table">
    <w:name w:val="Caption - table"/>
    <w:basedOn w:val="Caption-figure"/>
    <w:link w:val="Caption-tableChar"/>
    <w:uiPriority w:val="99"/>
    <w:qFormat/>
    <w:rsid w:val="00154A6A"/>
    <w:pPr>
      <w:spacing w:before="360" w:after="120"/>
    </w:pPr>
  </w:style>
  <w:style w:type="character" w:customStyle="1" w:styleId="Caption-tableChar">
    <w:name w:val="Caption - table Char"/>
    <w:basedOn w:val="Caption-figureChar"/>
    <w:link w:val="Caption-table"/>
    <w:uiPriority w:val="99"/>
    <w:rsid w:val="00154A6A"/>
    <w:rPr>
      <w:rFonts w:eastAsia="Times New Roman" w:cs="Times New Roman"/>
      <w:sz w:val="20"/>
      <w:szCs w:val="20"/>
      <w:lang w:val="en-GB" w:eastAsia="en-US"/>
    </w:rPr>
  </w:style>
</w:styles>
</file>

<file path=word/webSettings.xml><?xml version="1.0" encoding="utf-8"?>
<w:webSettings xmlns:r="http://schemas.openxmlformats.org/officeDocument/2006/relationships" xmlns:w="http://schemas.openxmlformats.org/wordprocessingml/2006/main">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sChild>
    </w:div>
    <w:div w:id="234508669">
      <w:bodyDiv w:val="1"/>
      <w:marLeft w:val="0"/>
      <w:marRight w:val="0"/>
      <w:marTop w:val="0"/>
      <w:marBottom w:val="0"/>
      <w:divBdr>
        <w:top w:val="none" w:sz="0" w:space="0" w:color="auto"/>
        <w:left w:val="none" w:sz="0" w:space="0" w:color="auto"/>
        <w:bottom w:val="none" w:sz="0" w:space="0" w:color="auto"/>
        <w:right w:val="none" w:sz="0" w:space="0" w:color="auto"/>
      </w:divBdr>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788040">
      <w:bodyDiv w:val="1"/>
      <w:marLeft w:val="0"/>
      <w:marRight w:val="0"/>
      <w:marTop w:val="0"/>
      <w:marBottom w:val="0"/>
      <w:divBdr>
        <w:top w:val="none" w:sz="0" w:space="0" w:color="auto"/>
        <w:left w:val="none" w:sz="0" w:space="0" w:color="auto"/>
        <w:bottom w:val="none" w:sz="0" w:space="0" w:color="auto"/>
        <w:right w:val="none" w:sz="0" w:space="0" w:color="auto"/>
      </w:divBdr>
    </w:div>
    <w:div w:id="536308991">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665520977">
      <w:bodyDiv w:val="1"/>
      <w:marLeft w:val="0"/>
      <w:marRight w:val="0"/>
      <w:marTop w:val="0"/>
      <w:marBottom w:val="0"/>
      <w:divBdr>
        <w:top w:val="none" w:sz="0" w:space="0" w:color="auto"/>
        <w:left w:val="none" w:sz="0" w:space="0" w:color="auto"/>
        <w:bottom w:val="none" w:sz="0" w:space="0" w:color="auto"/>
        <w:right w:val="none" w:sz="0" w:space="0" w:color="auto"/>
      </w:divBdr>
    </w:div>
    <w:div w:id="686323433">
      <w:bodyDiv w:val="1"/>
      <w:marLeft w:val="0"/>
      <w:marRight w:val="0"/>
      <w:marTop w:val="0"/>
      <w:marBottom w:val="0"/>
      <w:divBdr>
        <w:top w:val="none" w:sz="0" w:space="0" w:color="auto"/>
        <w:left w:val="none" w:sz="0" w:space="0" w:color="auto"/>
        <w:bottom w:val="none" w:sz="0" w:space="0" w:color="auto"/>
        <w:right w:val="none" w:sz="0" w:space="0" w:color="auto"/>
      </w:divBdr>
    </w:div>
    <w:div w:id="802770184">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630882">
      <w:bodyDiv w:val="1"/>
      <w:marLeft w:val="0"/>
      <w:marRight w:val="0"/>
      <w:marTop w:val="0"/>
      <w:marBottom w:val="0"/>
      <w:divBdr>
        <w:top w:val="none" w:sz="0" w:space="0" w:color="auto"/>
        <w:left w:val="none" w:sz="0" w:space="0" w:color="auto"/>
        <w:bottom w:val="none" w:sz="0" w:space="0" w:color="auto"/>
        <w:right w:val="none" w:sz="0" w:space="0" w:color="auto"/>
      </w:divBdr>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1571077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78676575">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7103017">
      <w:bodyDiv w:val="1"/>
      <w:marLeft w:val="0"/>
      <w:marRight w:val="0"/>
      <w:marTop w:val="0"/>
      <w:marBottom w:val="0"/>
      <w:divBdr>
        <w:top w:val="none" w:sz="0" w:space="0" w:color="auto"/>
        <w:left w:val="none" w:sz="0" w:space="0" w:color="auto"/>
        <w:bottom w:val="none" w:sz="0" w:space="0" w:color="auto"/>
        <w:right w:val="none" w:sz="0" w:space="0" w:color="auto"/>
      </w:divBdr>
    </w:div>
    <w:div w:id="1345984172">
      <w:bodyDiv w:val="1"/>
      <w:marLeft w:val="0"/>
      <w:marRight w:val="0"/>
      <w:marTop w:val="0"/>
      <w:marBottom w:val="0"/>
      <w:divBdr>
        <w:top w:val="none" w:sz="0" w:space="0" w:color="auto"/>
        <w:left w:val="none" w:sz="0" w:space="0" w:color="auto"/>
        <w:bottom w:val="none" w:sz="0" w:space="0" w:color="auto"/>
        <w:right w:val="none" w:sz="0" w:space="0" w:color="auto"/>
      </w:divBdr>
    </w:div>
    <w:div w:id="1421869377">
      <w:bodyDiv w:val="1"/>
      <w:marLeft w:val="0"/>
      <w:marRight w:val="0"/>
      <w:marTop w:val="0"/>
      <w:marBottom w:val="0"/>
      <w:divBdr>
        <w:top w:val="none" w:sz="0" w:space="0" w:color="auto"/>
        <w:left w:val="none" w:sz="0" w:space="0" w:color="auto"/>
        <w:bottom w:val="none" w:sz="0" w:space="0" w:color="auto"/>
        <w:right w:val="none" w:sz="0" w:space="0" w:color="auto"/>
      </w:divBdr>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 w:id="2085688771">
      <w:bodyDiv w:val="1"/>
      <w:marLeft w:val="0"/>
      <w:marRight w:val="0"/>
      <w:marTop w:val="0"/>
      <w:marBottom w:val="0"/>
      <w:divBdr>
        <w:top w:val="none" w:sz="0" w:space="0" w:color="auto"/>
        <w:left w:val="none" w:sz="0" w:space="0" w:color="auto"/>
        <w:bottom w:val="none" w:sz="0" w:space="0" w:color="auto"/>
        <w:right w:val="none" w:sz="0" w:space="0" w:color="auto"/>
      </w:divBdr>
    </w:div>
    <w:div w:id="2118744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55.png"/><Relationship Id="rId21" Type="http://schemas.openxmlformats.org/officeDocument/2006/relationships/footer" Target="footer5.xml"/><Relationship Id="rId42" Type="http://schemas.openxmlformats.org/officeDocument/2006/relationships/image" Target="media/image22.emf"/><Relationship Id="rId47" Type="http://schemas.openxmlformats.org/officeDocument/2006/relationships/image" Target="media/image27.jpeg"/><Relationship Id="rId63" Type="http://schemas.openxmlformats.org/officeDocument/2006/relationships/header" Target="header14.xml"/><Relationship Id="rId68" Type="http://schemas.openxmlformats.org/officeDocument/2006/relationships/image" Target="media/image36.emf"/><Relationship Id="rId84" Type="http://schemas.openxmlformats.org/officeDocument/2006/relationships/chart" Target="charts/chart2.xml"/><Relationship Id="rId89" Type="http://schemas.openxmlformats.org/officeDocument/2006/relationships/header" Target="header24.xml"/><Relationship Id="rId112" Type="http://schemas.openxmlformats.org/officeDocument/2006/relationships/image" Target="media/image50.png"/><Relationship Id="rId133" Type="http://schemas.openxmlformats.org/officeDocument/2006/relationships/image" Target="media/image65.png"/><Relationship Id="rId138" Type="http://schemas.openxmlformats.org/officeDocument/2006/relationships/header" Target="header35.xml"/><Relationship Id="rId16" Type="http://schemas.openxmlformats.org/officeDocument/2006/relationships/hyperlink" Target="http://creativecommons.org/licenses/by/3.0/au/" TargetMode="External"/><Relationship Id="rId107" Type="http://schemas.openxmlformats.org/officeDocument/2006/relationships/footer" Target="footer27.xml"/><Relationship Id="rId11" Type="http://schemas.openxmlformats.org/officeDocument/2006/relationships/footer" Target="footer1.xml"/><Relationship Id="rId32" Type="http://schemas.openxmlformats.org/officeDocument/2006/relationships/header" Target="header7.xml"/><Relationship Id="rId37" Type="http://schemas.openxmlformats.org/officeDocument/2006/relationships/footer" Target="footer8.xml"/><Relationship Id="rId53" Type="http://schemas.openxmlformats.org/officeDocument/2006/relationships/footer" Target="footer11.xml"/><Relationship Id="rId58" Type="http://schemas.openxmlformats.org/officeDocument/2006/relationships/image" Target="media/image30.emf"/><Relationship Id="rId74" Type="http://schemas.openxmlformats.org/officeDocument/2006/relationships/image" Target="media/image39.png"/><Relationship Id="rId79" Type="http://schemas.openxmlformats.org/officeDocument/2006/relationships/header" Target="header19.xml"/><Relationship Id="rId102" Type="http://schemas.openxmlformats.org/officeDocument/2006/relationships/footer" Target="footer25.xml"/><Relationship Id="rId123" Type="http://schemas.openxmlformats.org/officeDocument/2006/relationships/image" Target="media/image57.png"/><Relationship Id="rId128" Type="http://schemas.openxmlformats.org/officeDocument/2006/relationships/image" Target="media/image60.png"/><Relationship Id="rId144" Type="http://schemas.openxmlformats.org/officeDocument/2006/relationships/header" Target="header38.xml"/><Relationship Id="rId149" Type="http://schemas.openxmlformats.org/officeDocument/2006/relationships/footer" Target="footer37.xml"/><Relationship Id="rId5" Type="http://schemas.openxmlformats.org/officeDocument/2006/relationships/footnotes" Target="footnotes.xml"/><Relationship Id="rId90" Type="http://schemas.openxmlformats.org/officeDocument/2006/relationships/footer" Target="footer21.xml"/><Relationship Id="rId95" Type="http://schemas.openxmlformats.org/officeDocument/2006/relationships/footer" Target="footer23.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header" Target="header10.xml"/><Relationship Id="rId64" Type="http://schemas.openxmlformats.org/officeDocument/2006/relationships/footer" Target="footer13.xml"/><Relationship Id="rId69" Type="http://schemas.openxmlformats.org/officeDocument/2006/relationships/image" Target="media/image37.emf"/><Relationship Id="rId113" Type="http://schemas.openxmlformats.org/officeDocument/2006/relationships/image" Target="media/image51.png"/><Relationship Id="rId118" Type="http://schemas.openxmlformats.org/officeDocument/2006/relationships/image" Target="media/image56.png"/><Relationship Id="rId134" Type="http://schemas.openxmlformats.org/officeDocument/2006/relationships/image" Target="media/image66.png"/><Relationship Id="rId139" Type="http://schemas.openxmlformats.org/officeDocument/2006/relationships/footer" Target="footer32.xml"/><Relationship Id="rId80" Type="http://schemas.openxmlformats.org/officeDocument/2006/relationships/footer" Target="footer17.xml"/><Relationship Id="rId85" Type="http://schemas.openxmlformats.org/officeDocument/2006/relationships/header" Target="header22.xml"/><Relationship Id="rId150" Type="http://schemas.openxmlformats.org/officeDocument/2006/relationships/footer" Target="footer38.xml"/><Relationship Id="rId12" Type="http://schemas.openxmlformats.org/officeDocument/2006/relationships/footer" Target="footer2.xml"/><Relationship Id="rId17" Type="http://schemas.openxmlformats.org/officeDocument/2006/relationships/hyperlink" Target="http://www.iesc.environment.gov.au" TargetMode="External"/><Relationship Id="rId25" Type="http://schemas.openxmlformats.org/officeDocument/2006/relationships/image" Target="media/image12.png"/><Relationship Id="rId33" Type="http://schemas.openxmlformats.org/officeDocument/2006/relationships/footer" Target="footer7.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1.emf"/><Relationship Id="rId67" Type="http://schemas.openxmlformats.org/officeDocument/2006/relationships/image" Target="media/image35.emf"/><Relationship Id="rId103" Type="http://schemas.openxmlformats.org/officeDocument/2006/relationships/header" Target="header29.xml"/><Relationship Id="rId108" Type="http://schemas.openxmlformats.org/officeDocument/2006/relationships/image" Target="media/image46.emf"/><Relationship Id="rId116" Type="http://schemas.openxmlformats.org/officeDocument/2006/relationships/image" Target="media/image54.png"/><Relationship Id="rId124" Type="http://schemas.openxmlformats.org/officeDocument/2006/relationships/header" Target="header33.xml"/><Relationship Id="rId129" Type="http://schemas.openxmlformats.org/officeDocument/2006/relationships/image" Target="media/image61.png"/><Relationship Id="rId137" Type="http://schemas.openxmlformats.org/officeDocument/2006/relationships/footer" Target="footer31.xml"/><Relationship Id="rId20" Type="http://schemas.openxmlformats.org/officeDocument/2006/relationships/header" Target="header5.xml"/><Relationship Id="rId41" Type="http://schemas.openxmlformats.org/officeDocument/2006/relationships/image" Target="media/image21.jpeg"/><Relationship Id="rId54" Type="http://schemas.openxmlformats.org/officeDocument/2006/relationships/header" Target="header13.xml"/><Relationship Id="rId62" Type="http://schemas.openxmlformats.org/officeDocument/2006/relationships/image" Target="media/image34.jpeg"/><Relationship Id="rId70" Type="http://schemas.openxmlformats.org/officeDocument/2006/relationships/image" Target="media/image38.emf"/><Relationship Id="rId75" Type="http://schemas.openxmlformats.org/officeDocument/2006/relationships/chart" Target="charts/chart1.xml"/><Relationship Id="rId83" Type="http://schemas.openxmlformats.org/officeDocument/2006/relationships/footer" Target="footer18.xml"/><Relationship Id="rId88" Type="http://schemas.openxmlformats.org/officeDocument/2006/relationships/footer" Target="footer20.xml"/><Relationship Id="rId91" Type="http://schemas.openxmlformats.org/officeDocument/2006/relationships/image" Target="media/image41.png"/><Relationship Id="rId96" Type="http://schemas.openxmlformats.org/officeDocument/2006/relationships/header" Target="header27.xml"/><Relationship Id="rId111" Type="http://schemas.openxmlformats.org/officeDocument/2006/relationships/image" Target="media/image49.png"/><Relationship Id="rId132" Type="http://schemas.openxmlformats.org/officeDocument/2006/relationships/image" Target="media/image64.png"/><Relationship Id="rId140" Type="http://schemas.openxmlformats.org/officeDocument/2006/relationships/header" Target="header36.xml"/><Relationship Id="rId145" Type="http://schemas.openxmlformats.org/officeDocument/2006/relationships/footer" Target="footer35.xml"/><Relationship Id="rId153"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9.xml"/><Relationship Id="rId49" Type="http://schemas.openxmlformats.org/officeDocument/2006/relationships/footer" Target="footer9.xml"/><Relationship Id="rId57" Type="http://schemas.openxmlformats.org/officeDocument/2006/relationships/image" Target="media/image29.png"/><Relationship Id="rId106" Type="http://schemas.openxmlformats.org/officeDocument/2006/relationships/header" Target="header30.xml"/><Relationship Id="rId114" Type="http://schemas.openxmlformats.org/officeDocument/2006/relationships/image" Target="media/image52.png"/><Relationship Id="rId119" Type="http://schemas.openxmlformats.org/officeDocument/2006/relationships/header" Target="header31.xml"/><Relationship Id="rId127" Type="http://schemas.openxmlformats.org/officeDocument/2006/relationships/image" Target="media/image59.png"/><Relationship Id="rId10" Type="http://schemas.openxmlformats.org/officeDocument/2006/relationships/header" Target="header2.xml"/><Relationship Id="rId31" Type="http://schemas.openxmlformats.org/officeDocument/2006/relationships/footer" Target="footer6.xml"/><Relationship Id="rId44" Type="http://schemas.openxmlformats.org/officeDocument/2006/relationships/image" Target="media/image24.png"/><Relationship Id="rId52" Type="http://schemas.openxmlformats.org/officeDocument/2006/relationships/header" Target="header12.xml"/><Relationship Id="rId60" Type="http://schemas.openxmlformats.org/officeDocument/2006/relationships/image" Target="media/image32.jpeg"/><Relationship Id="rId65" Type="http://schemas.openxmlformats.org/officeDocument/2006/relationships/header" Target="header15.xml"/><Relationship Id="rId73" Type="http://schemas.openxmlformats.org/officeDocument/2006/relationships/footer" Target="footer15.xml"/><Relationship Id="rId78" Type="http://schemas.openxmlformats.org/officeDocument/2006/relationships/footer" Target="footer16.xml"/><Relationship Id="rId81" Type="http://schemas.openxmlformats.org/officeDocument/2006/relationships/header" Target="header20.xml"/><Relationship Id="rId86" Type="http://schemas.openxmlformats.org/officeDocument/2006/relationships/footer" Target="footer19.xml"/><Relationship Id="rId94" Type="http://schemas.openxmlformats.org/officeDocument/2006/relationships/header" Target="header26.xml"/><Relationship Id="rId99" Type="http://schemas.openxmlformats.org/officeDocument/2006/relationships/image" Target="media/image43.emf"/><Relationship Id="rId101" Type="http://schemas.openxmlformats.org/officeDocument/2006/relationships/header" Target="header28.xml"/><Relationship Id="rId122" Type="http://schemas.openxmlformats.org/officeDocument/2006/relationships/footer" Target="footer29.xml"/><Relationship Id="rId130" Type="http://schemas.openxmlformats.org/officeDocument/2006/relationships/image" Target="media/image62.png"/><Relationship Id="rId135" Type="http://schemas.openxmlformats.org/officeDocument/2006/relationships/image" Target="media/image67.png"/><Relationship Id="rId143" Type="http://schemas.openxmlformats.org/officeDocument/2006/relationships/footer" Target="footer34.xml"/><Relationship Id="rId148" Type="http://schemas.openxmlformats.org/officeDocument/2006/relationships/header" Target="header40.xml"/><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image" Target="media/image19.png"/><Relationship Id="rId109" Type="http://schemas.openxmlformats.org/officeDocument/2006/relationships/image" Target="media/image47.jpeg"/><Relationship Id="rId34" Type="http://schemas.openxmlformats.org/officeDocument/2006/relationships/image" Target="media/image17.png"/><Relationship Id="rId50" Type="http://schemas.openxmlformats.org/officeDocument/2006/relationships/header" Target="header11.xml"/><Relationship Id="rId55" Type="http://schemas.openxmlformats.org/officeDocument/2006/relationships/footer" Target="footer12.xml"/><Relationship Id="rId76" Type="http://schemas.openxmlformats.org/officeDocument/2006/relationships/image" Target="media/image40.emf"/><Relationship Id="rId97" Type="http://schemas.openxmlformats.org/officeDocument/2006/relationships/footer" Target="footer24.xml"/><Relationship Id="rId104" Type="http://schemas.openxmlformats.org/officeDocument/2006/relationships/footer" Target="footer26.xml"/><Relationship Id="rId120" Type="http://schemas.openxmlformats.org/officeDocument/2006/relationships/footer" Target="footer28.xml"/><Relationship Id="rId125" Type="http://schemas.openxmlformats.org/officeDocument/2006/relationships/footer" Target="footer30.xml"/><Relationship Id="rId141" Type="http://schemas.openxmlformats.org/officeDocument/2006/relationships/footer" Target="footer33.xml"/><Relationship Id="rId146" Type="http://schemas.openxmlformats.org/officeDocument/2006/relationships/header" Target="header39.xml"/><Relationship Id="rId7" Type="http://schemas.openxmlformats.org/officeDocument/2006/relationships/image" Target="media/image1.png"/><Relationship Id="rId71" Type="http://schemas.openxmlformats.org/officeDocument/2006/relationships/header" Target="header16.xml"/><Relationship Id="rId92" Type="http://schemas.openxmlformats.org/officeDocument/2006/relationships/header" Target="header25.xml"/><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footer" Target="footer14.xml"/><Relationship Id="rId87" Type="http://schemas.openxmlformats.org/officeDocument/2006/relationships/header" Target="header23.xml"/><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3.png"/><Relationship Id="rId136" Type="http://schemas.openxmlformats.org/officeDocument/2006/relationships/header" Target="header34.xml"/><Relationship Id="rId61" Type="http://schemas.openxmlformats.org/officeDocument/2006/relationships/image" Target="media/image33.png"/><Relationship Id="rId82" Type="http://schemas.openxmlformats.org/officeDocument/2006/relationships/header" Target="header21.xml"/><Relationship Id="rId152" Type="http://schemas.openxmlformats.org/officeDocument/2006/relationships/theme" Target="theme/theme1.xml"/><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header" Target="header6.xml"/><Relationship Id="rId35" Type="http://schemas.openxmlformats.org/officeDocument/2006/relationships/header" Target="header8.xml"/><Relationship Id="rId56" Type="http://schemas.openxmlformats.org/officeDocument/2006/relationships/image" Target="media/image28.png"/><Relationship Id="rId77" Type="http://schemas.openxmlformats.org/officeDocument/2006/relationships/header" Target="header18.xml"/><Relationship Id="rId100" Type="http://schemas.openxmlformats.org/officeDocument/2006/relationships/image" Target="media/image44.jpeg"/><Relationship Id="rId105" Type="http://schemas.openxmlformats.org/officeDocument/2006/relationships/image" Target="media/image45.png"/><Relationship Id="rId126" Type="http://schemas.openxmlformats.org/officeDocument/2006/relationships/image" Target="media/image58.png"/><Relationship Id="rId147" Type="http://schemas.openxmlformats.org/officeDocument/2006/relationships/footer" Target="footer36.xml"/><Relationship Id="rId8" Type="http://schemas.openxmlformats.org/officeDocument/2006/relationships/image" Target="media/image2.png"/><Relationship Id="rId51" Type="http://schemas.openxmlformats.org/officeDocument/2006/relationships/footer" Target="footer10.xml"/><Relationship Id="rId72" Type="http://schemas.openxmlformats.org/officeDocument/2006/relationships/header" Target="header17.xml"/><Relationship Id="rId93" Type="http://schemas.openxmlformats.org/officeDocument/2006/relationships/footer" Target="footer22.xml"/><Relationship Id="rId98" Type="http://schemas.openxmlformats.org/officeDocument/2006/relationships/image" Target="media/image42.png"/><Relationship Id="rId121" Type="http://schemas.openxmlformats.org/officeDocument/2006/relationships/header" Target="header32.xml"/><Relationship Id="rId142" Type="http://schemas.openxmlformats.org/officeDocument/2006/relationships/header" Target="header37.xml"/><Relationship Id="rId3" Type="http://schemas.openxmlformats.org/officeDocument/2006/relationships/settings" Target="settings.xml"/></Relationships>
</file>

<file path=word/_rels/footer11.xml.rels><?xml version="1.0" encoding="UTF-8" standalone="yes"?>
<Relationships xmlns="http://schemas.openxmlformats.org/package/2006/relationships"><Relationship Id="rId1" Type="http://schemas.openxmlformats.org/officeDocument/2006/relationships/image" Target="media/image8.png"/></Relationships>
</file>

<file path=word/_rels/footer13.xml.rels><?xml version="1.0" encoding="UTF-8" standalone="yes"?>
<Relationships xmlns="http://schemas.openxmlformats.org/package/2006/relationships"><Relationship Id="rId1" Type="http://schemas.openxmlformats.org/officeDocument/2006/relationships/image" Target="media/image8.png"/></Relationships>
</file>

<file path=word/_rels/footer16.xml.rels><?xml version="1.0" encoding="UTF-8" standalone="yes"?>
<Relationships xmlns="http://schemas.openxmlformats.org/package/2006/relationships"><Relationship Id="rId1" Type="http://schemas.openxmlformats.org/officeDocument/2006/relationships/image" Target="media/image8.png"/></Relationships>
</file>

<file path=word/_rels/footer19.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22.xml.rels><?xml version="1.0" encoding="UTF-8" standalone="yes"?>
<Relationships xmlns="http://schemas.openxmlformats.org/package/2006/relationships"><Relationship Id="rId1" Type="http://schemas.openxmlformats.org/officeDocument/2006/relationships/image" Target="media/image8.png"/></Relationships>
</file>

<file path=word/_rels/footer25.xml.rels><?xml version="1.0" encoding="UTF-8" standalone="yes"?>
<Relationships xmlns="http://schemas.openxmlformats.org/package/2006/relationships"><Relationship Id="rId1" Type="http://schemas.openxmlformats.org/officeDocument/2006/relationships/image" Target="media/image8.png"/></Relationships>
</file>

<file path=word/_rels/footer28.xml.rels><?xml version="1.0" encoding="UTF-8" standalone="yes"?>
<Relationships xmlns="http://schemas.openxmlformats.org/package/2006/relationships"><Relationship Id="rId1" Type="http://schemas.openxmlformats.org/officeDocument/2006/relationships/image" Target="media/image8.png"/></Relationships>
</file>

<file path=word/_rels/footer31.xml.rels><?xml version="1.0" encoding="UTF-8" standalone="yes"?>
<Relationships xmlns="http://schemas.openxmlformats.org/package/2006/relationships"><Relationship Id="rId1" Type="http://schemas.openxmlformats.org/officeDocument/2006/relationships/image" Target="media/image8.png"/></Relationships>
</file>

<file path=word/_rels/footer33.xml.rels><?xml version="1.0" encoding="UTF-8" standalone="yes"?>
<Relationships xmlns="http://schemas.openxmlformats.org/package/2006/relationships"><Relationship Id="rId1" Type="http://schemas.openxmlformats.org/officeDocument/2006/relationships/image" Target="media/image8.png"/></Relationships>
</file>

<file path=word/_rels/footer35.xml.rels><?xml version="1.0" encoding="UTF-8" standalone="yes"?>
<Relationships xmlns="http://schemas.openxmlformats.org/package/2006/relationships"><Relationship Id="rId1" Type="http://schemas.openxmlformats.org/officeDocument/2006/relationships/image" Target="media/image8.png"/></Relationships>
</file>

<file path=word/_rels/footer37.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1" Type="http://schemas.openxmlformats.org/officeDocument/2006/relationships/image" Target="media/image8.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1" Type="http://schemas.openxmlformats.org/officeDocument/2006/relationships/image" Target="media/image8.png"/></Relationships>
</file>

<file path=word/_rels/header15.xml.rels><?xml version="1.0" encoding="UTF-8" standalone="yes"?>
<Relationships xmlns="http://schemas.openxmlformats.org/package/2006/relationships"><Relationship Id="rId1" Type="http://schemas.openxmlformats.org/officeDocument/2006/relationships/image" Target="media/image8.png"/></Relationships>
</file>

<file path=word/_rels/header16.xml.rels><?xml version="1.0" encoding="UTF-8" standalone="yes"?>
<Relationships xmlns="http://schemas.openxmlformats.org/package/2006/relationships"><Relationship Id="rId1" Type="http://schemas.openxmlformats.org/officeDocument/2006/relationships/image" Target="media/image8.png"/></Relationships>
</file>

<file path=word/_rels/header17.xml.rels><?xml version="1.0" encoding="UTF-8" standalone="yes"?>
<Relationships xmlns="http://schemas.openxmlformats.org/package/2006/relationships"><Relationship Id="rId1" Type="http://schemas.openxmlformats.org/officeDocument/2006/relationships/image" Target="media/image8.png"/></Relationships>
</file>

<file path=word/_rels/header18.xml.rels><?xml version="1.0" encoding="UTF-8" standalone="yes"?>
<Relationships xmlns="http://schemas.openxmlformats.org/package/2006/relationships"><Relationship Id="rId1" Type="http://schemas.openxmlformats.org/officeDocument/2006/relationships/image" Target="media/image8.png"/></Relationships>
</file>

<file path=word/_rels/header19.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8.png"/></Relationships>
</file>

<file path=word/_rels/header21.xml.rels><?xml version="1.0" encoding="UTF-8" standalone="yes"?>
<Relationships xmlns="http://schemas.openxmlformats.org/package/2006/relationships"><Relationship Id="rId1" Type="http://schemas.openxmlformats.org/officeDocument/2006/relationships/image" Target="media/image8.png"/></Relationships>
</file>

<file path=word/_rels/header22.xml.rels><?xml version="1.0" encoding="UTF-8" standalone="yes"?>
<Relationships xmlns="http://schemas.openxmlformats.org/package/2006/relationships"><Relationship Id="rId1" Type="http://schemas.openxmlformats.org/officeDocument/2006/relationships/image" Target="media/image8.png"/></Relationships>
</file>

<file path=word/_rels/header23.xml.rels><?xml version="1.0" encoding="UTF-8" standalone="yes"?>
<Relationships xmlns="http://schemas.openxmlformats.org/package/2006/relationships"><Relationship Id="rId1" Type="http://schemas.openxmlformats.org/officeDocument/2006/relationships/image" Target="media/image8.png"/></Relationships>
</file>

<file path=word/_rels/header24.xml.rels><?xml version="1.0" encoding="UTF-8" standalone="yes"?>
<Relationships xmlns="http://schemas.openxmlformats.org/package/2006/relationships"><Relationship Id="rId1" Type="http://schemas.openxmlformats.org/officeDocument/2006/relationships/image" Target="media/image8.png"/></Relationships>
</file>

<file path=word/_rels/header25.xml.rels><?xml version="1.0" encoding="UTF-8" standalone="yes"?>
<Relationships xmlns="http://schemas.openxmlformats.org/package/2006/relationships"><Relationship Id="rId1" Type="http://schemas.openxmlformats.org/officeDocument/2006/relationships/image" Target="media/image8.png"/></Relationships>
</file>

<file path=word/_rels/header26.xml.rels><?xml version="1.0" encoding="UTF-8" standalone="yes"?>
<Relationships xmlns="http://schemas.openxmlformats.org/package/2006/relationships"><Relationship Id="rId1" Type="http://schemas.openxmlformats.org/officeDocument/2006/relationships/image" Target="media/image8.png"/></Relationships>
</file>

<file path=word/_rels/header27.xml.rels><?xml version="1.0" encoding="UTF-8" standalone="yes"?>
<Relationships xmlns="http://schemas.openxmlformats.org/package/2006/relationships"><Relationship Id="rId1" Type="http://schemas.openxmlformats.org/officeDocument/2006/relationships/image" Target="media/image8.png"/></Relationships>
</file>

<file path=word/_rels/header28.xml.rels><?xml version="1.0" encoding="UTF-8" standalone="yes"?>
<Relationships xmlns="http://schemas.openxmlformats.org/package/2006/relationships"><Relationship Id="rId1" Type="http://schemas.openxmlformats.org/officeDocument/2006/relationships/image" Target="media/image8.png"/></Relationships>
</file>

<file path=word/_rels/header29.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30.xml.rels><?xml version="1.0" encoding="UTF-8" standalone="yes"?>
<Relationships xmlns="http://schemas.openxmlformats.org/package/2006/relationships"><Relationship Id="rId1" Type="http://schemas.openxmlformats.org/officeDocument/2006/relationships/image" Target="media/image8.png"/></Relationships>
</file>

<file path=word/_rels/header31.xml.rels><?xml version="1.0" encoding="UTF-8" standalone="yes"?>
<Relationships xmlns="http://schemas.openxmlformats.org/package/2006/relationships"><Relationship Id="rId1" Type="http://schemas.openxmlformats.org/officeDocument/2006/relationships/image" Target="media/image8.png"/></Relationships>
</file>

<file path=word/_rels/header32.xml.rels><?xml version="1.0" encoding="UTF-8" standalone="yes"?>
<Relationships xmlns="http://schemas.openxmlformats.org/package/2006/relationships"><Relationship Id="rId1" Type="http://schemas.openxmlformats.org/officeDocument/2006/relationships/image" Target="media/image8.png"/></Relationships>
</file>

<file path=word/_rels/header33.xml.rels><?xml version="1.0" encoding="UTF-8" standalone="yes"?>
<Relationships xmlns="http://schemas.openxmlformats.org/package/2006/relationships"><Relationship Id="rId1" Type="http://schemas.openxmlformats.org/officeDocument/2006/relationships/image" Target="media/image8.png"/></Relationships>
</file>

<file path=word/_rels/header34.xml.rels><?xml version="1.0" encoding="UTF-8" standalone="yes"?>
<Relationships xmlns="http://schemas.openxmlformats.org/package/2006/relationships"><Relationship Id="rId1" Type="http://schemas.openxmlformats.org/officeDocument/2006/relationships/image" Target="media/image8.png"/></Relationships>
</file>

<file path=word/_rels/header35.xml.rels><?xml version="1.0" encoding="UTF-8" standalone="yes"?>
<Relationships xmlns="http://schemas.openxmlformats.org/package/2006/relationships"><Relationship Id="rId1" Type="http://schemas.openxmlformats.org/officeDocument/2006/relationships/image" Target="media/image8.png"/></Relationships>
</file>

<file path=word/_rels/header36.xml.rels><?xml version="1.0" encoding="UTF-8" standalone="yes"?>
<Relationships xmlns="http://schemas.openxmlformats.org/package/2006/relationships"><Relationship Id="rId1" Type="http://schemas.openxmlformats.org/officeDocument/2006/relationships/image" Target="media/image8.png"/></Relationships>
</file>

<file path=word/_rels/header37.xml.rels><?xml version="1.0" encoding="UTF-8" standalone="yes"?>
<Relationships xmlns="http://schemas.openxmlformats.org/package/2006/relationships"><Relationship Id="rId1" Type="http://schemas.openxmlformats.org/officeDocument/2006/relationships/image" Target="media/image8.png"/></Relationships>
</file>

<file path=word/_rels/header38.xml.rels><?xml version="1.0" encoding="UTF-8" standalone="yes"?>
<Relationships xmlns="http://schemas.openxmlformats.org/package/2006/relationships"><Relationship Id="rId1" Type="http://schemas.openxmlformats.org/officeDocument/2006/relationships/image" Target="media/image8.png"/></Relationships>
</file>

<file path=word/_rels/header39.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_rels/header40.xml.rels><?xml version="1.0" encoding="UTF-8" standalone="yes"?>
<Relationships xmlns="http://schemas.openxmlformats.org/package/2006/relationships"><Relationship Id="rId1" Type="http://schemas.openxmlformats.org/officeDocument/2006/relationships/image" Target="media/image68.jpe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pire.environment.gov.au/spire/170614/8061/Hydro-Subsidence%20CSG/Reports%20-%20Figs%2028-33%20original%20fil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pire.environment.gov.au/spire/170614/8061/Hydro-Subsidence%20CSG/Reports%20-%20Figs%2028-33%20original%20fil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AU"/>
  <c:chart>
    <c:plotArea>
      <c:layout>
        <c:manualLayout>
          <c:layoutTarget val="inner"/>
          <c:xMode val="edge"/>
          <c:yMode val="edge"/>
          <c:x val="0.25628203586790382"/>
          <c:y val="0.19101193458836199"/>
          <c:w val="0.65326793456524468"/>
          <c:h val="0.74906641015043562"/>
        </c:manualLayout>
      </c:layout>
      <c:scatterChart>
        <c:scatterStyle val="lineMarker"/>
        <c:ser>
          <c:idx val="0"/>
          <c:order val="0"/>
          <c:tx>
            <c:v>Initial</c:v>
          </c:tx>
          <c:spPr>
            <a:ln w="38100">
              <a:solidFill>
                <a:srgbClr val="000080"/>
              </a:solidFill>
              <a:prstDash val="solid"/>
            </a:ln>
          </c:spPr>
          <c:marker>
            <c:symbol val="none"/>
          </c:marker>
          <c:xVal>
            <c:numRef>
              <c:f>Fig28_ImageOnly!$V$10:$V$17</c:f>
              <c:numCache>
                <c:formatCode>General</c:formatCode>
                <c:ptCount val="8"/>
                <c:pt idx="0">
                  <c:v>0</c:v>
                </c:pt>
                <c:pt idx="1">
                  <c:v>40</c:v>
                </c:pt>
                <c:pt idx="2">
                  <c:v>140</c:v>
                </c:pt>
                <c:pt idx="3">
                  <c:v>240</c:v>
                </c:pt>
                <c:pt idx="4">
                  <c:v>340</c:v>
                </c:pt>
                <c:pt idx="5">
                  <c:v>440</c:v>
                </c:pt>
                <c:pt idx="6">
                  <c:v>540</c:v>
                </c:pt>
                <c:pt idx="7">
                  <c:v>640</c:v>
                </c:pt>
              </c:numCache>
            </c:numRef>
          </c:xVal>
          <c:yVal>
            <c:numRef>
              <c:f>Fig28_ImageOnly!$S$10:$S$17</c:f>
              <c:numCache>
                <c:formatCode>General</c:formatCode>
                <c:ptCount val="8"/>
                <c:pt idx="0">
                  <c:v>20</c:v>
                </c:pt>
                <c:pt idx="1">
                  <c:v>60</c:v>
                </c:pt>
                <c:pt idx="2">
                  <c:v>160</c:v>
                </c:pt>
                <c:pt idx="3">
                  <c:v>260</c:v>
                </c:pt>
                <c:pt idx="4">
                  <c:v>360</c:v>
                </c:pt>
                <c:pt idx="5">
                  <c:v>460</c:v>
                </c:pt>
                <c:pt idx="6">
                  <c:v>560</c:v>
                </c:pt>
                <c:pt idx="7">
                  <c:v>660</c:v>
                </c:pt>
              </c:numCache>
            </c:numRef>
          </c:yVal>
        </c:ser>
        <c:ser>
          <c:idx val="1"/>
          <c:order val="1"/>
          <c:tx>
            <c:v>Final</c:v>
          </c:tx>
          <c:spPr>
            <a:ln w="38100">
              <a:solidFill>
                <a:srgbClr val="FF00FF"/>
              </a:solidFill>
              <a:prstDash val="solid"/>
            </a:ln>
          </c:spPr>
          <c:marker>
            <c:symbol val="none"/>
          </c:marker>
          <c:xVal>
            <c:numRef>
              <c:f>Fig28_ImageOnly!$W$10:$W$17</c:f>
              <c:numCache>
                <c:formatCode>0</c:formatCode>
                <c:ptCount val="8"/>
                <c:pt idx="0">
                  <c:v>0</c:v>
                </c:pt>
                <c:pt idx="1">
                  <c:v>40</c:v>
                </c:pt>
                <c:pt idx="2">
                  <c:v>38.333333333333343</c:v>
                </c:pt>
                <c:pt idx="3">
                  <c:v>36.666666666666444</c:v>
                </c:pt>
                <c:pt idx="4">
                  <c:v>35</c:v>
                </c:pt>
                <c:pt idx="5">
                  <c:v>135</c:v>
                </c:pt>
                <c:pt idx="6">
                  <c:v>235</c:v>
                </c:pt>
                <c:pt idx="7">
                  <c:v>335</c:v>
                </c:pt>
              </c:numCache>
            </c:numRef>
          </c:xVal>
          <c:yVal>
            <c:numRef>
              <c:f>Fig28_ImageOnly!$S$10:$S$17</c:f>
              <c:numCache>
                <c:formatCode>General</c:formatCode>
                <c:ptCount val="8"/>
                <c:pt idx="0">
                  <c:v>20</c:v>
                </c:pt>
                <c:pt idx="1">
                  <c:v>60</c:v>
                </c:pt>
                <c:pt idx="2">
                  <c:v>160</c:v>
                </c:pt>
                <c:pt idx="3">
                  <c:v>260</c:v>
                </c:pt>
                <c:pt idx="4">
                  <c:v>360</c:v>
                </c:pt>
                <c:pt idx="5">
                  <c:v>460</c:v>
                </c:pt>
                <c:pt idx="6">
                  <c:v>560</c:v>
                </c:pt>
                <c:pt idx="7">
                  <c:v>660</c:v>
                </c:pt>
              </c:numCache>
            </c:numRef>
          </c:yVal>
        </c:ser>
        <c:dLbls/>
        <c:axId val="32935936"/>
        <c:axId val="32937856"/>
      </c:scatterChart>
      <c:valAx>
        <c:axId val="32935936"/>
        <c:scaling>
          <c:orientation val="minMax"/>
          <c:min val="0"/>
        </c:scaling>
        <c:axPos val="t"/>
        <c:title>
          <c:tx>
            <c:rich>
              <a:bodyPr/>
              <a:lstStyle/>
              <a:p>
                <a:pPr>
                  <a:defRPr sz="900" b="0" i="0" u="none" strike="noStrike" baseline="0">
                    <a:solidFill>
                      <a:srgbClr val="000000"/>
                    </a:solidFill>
                    <a:latin typeface="Arial"/>
                    <a:ea typeface="Arial"/>
                    <a:cs typeface="Arial"/>
                  </a:defRPr>
                </a:pPr>
                <a:r>
                  <a:rPr lang="en-AU"/>
                  <a:t>Pressure head (m)</a:t>
                </a:r>
              </a:p>
            </c:rich>
          </c:tx>
          <c:layout>
            <c:manualLayout>
              <c:xMode val="edge"/>
              <c:yMode val="edge"/>
              <c:x val="0.34673451911539904"/>
              <c:y val="1.8726660253760921E-2"/>
            </c:manualLayout>
          </c:layout>
          <c:spPr>
            <a:noFill/>
            <a:ln w="25400">
              <a:noFill/>
            </a:ln>
          </c:spPr>
        </c:title>
        <c:numFmt formatCode="General" sourceLinked="1"/>
        <c:tickLblPos val="nextTo"/>
        <c:spPr>
          <a:ln w="12700">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32937856"/>
        <c:crosses val="autoZero"/>
        <c:crossBetween val="midCat"/>
        <c:majorUnit val="200"/>
      </c:valAx>
      <c:valAx>
        <c:axId val="32937856"/>
        <c:scaling>
          <c:orientation val="maxMin"/>
          <c:max val="660"/>
          <c:min val="0"/>
        </c:scaling>
        <c:axPos val="l"/>
        <c:title>
          <c:tx>
            <c:rich>
              <a:bodyPr/>
              <a:lstStyle/>
              <a:p>
                <a:pPr>
                  <a:defRPr sz="900" b="0" i="0" u="none" strike="noStrike" baseline="0">
                    <a:solidFill>
                      <a:srgbClr val="000000"/>
                    </a:solidFill>
                    <a:latin typeface="Arial"/>
                    <a:ea typeface="Arial"/>
                    <a:cs typeface="Arial"/>
                  </a:defRPr>
                </a:pPr>
                <a:r>
                  <a:rPr lang="en-AU"/>
                  <a:t>Depth (mbgl)</a:t>
                </a:r>
                <a:r>
                  <a:rPr lang="en-AU" sz="900" b="0" i="0" u="none" strike="noStrike" baseline="0"/>
                  <a:t> *</a:t>
                </a:r>
                <a:endParaRPr lang="en-AU"/>
              </a:p>
            </c:rich>
          </c:tx>
          <c:layout>
            <c:manualLayout>
              <c:xMode val="edge"/>
              <c:yMode val="edge"/>
              <c:x val="2.5125689790970938E-2"/>
              <c:y val="0.42696785378574992"/>
            </c:manualLayout>
          </c:layout>
          <c:spPr>
            <a:noFill/>
            <a:ln w="25400">
              <a:noFill/>
            </a:ln>
          </c:spPr>
        </c:title>
        <c:numFmt formatCode="General" sourceLinked="1"/>
        <c:tickLblPos val="nextTo"/>
        <c:spPr>
          <a:ln w="12700">
            <a:solidFill>
              <a:srgbClr val="000000"/>
            </a:solidFill>
            <a:prstDash val="solid"/>
          </a:ln>
        </c:spPr>
        <c:txPr>
          <a:bodyPr rot="-5400000" vert="horz"/>
          <a:lstStyle/>
          <a:p>
            <a:pPr>
              <a:defRPr sz="900" b="0" i="0" u="none" strike="noStrike" baseline="0">
                <a:solidFill>
                  <a:srgbClr val="000000"/>
                </a:solidFill>
                <a:latin typeface="Arial"/>
                <a:ea typeface="Arial"/>
                <a:cs typeface="Arial"/>
              </a:defRPr>
            </a:pPr>
            <a:endParaRPr lang="en-US"/>
          </a:p>
        </c:txPr>
        <c:crossAx val="32935936"/>
        <c:crosses val="autoZero"/>
        <c:crossBetween val="midCat"/>
        <c:majorUnit val="100"/>
      </c:valAx>
      <c:spPr>
        <a:noFill/>
        <a:ln w="12700">
          <a:solidFill>
            <a:srgbClr val="000000"/>
          </a:solidFill>
          <a:prstDash val="solid"/>
        </a:ln>
      </c:spPr>
    </c:plotArea>
    <c:legend>
      <c:legendPos val="r"/>
      <c:layout>
        <c:manualLayout>
          <c:xMode val="edge"/>
          <c:yMode val="edge"/>
          <c:x val="0.43718700236289676"/>
          <c:y val="0.19850259868986531"/>
          <c:w val="0.44723727827928283"/>
          <c:h val="0.17228527433460006"/>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9525">
      <a:noFill/>
    </a:ln>
  </c:spPr>
  <c:txPr>
    <a:bodyPr/>
    <a:lstStyle/>
    <a:p>
      <a:pPr>
        <a:defRPr sz="900" b="0" i="0" u="none" strike="noStrike" baseline="0">
          <a:solidFill>
            <a:srgbClr val="000000"/>
          </a:solidFill>
          <a:latin typeface="Arial"/>
          <a:ea typeface="Arial"/>
          <a:cs typeface="Arial"/>
        </a:defRPr>
      </a:pPr>
      <a:endParaRPr lang="en-US"/>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en-AU"/>
  <c:chart>
    <c:plotArea>
      <c:layout>
        <c:manualLayout>
          <c:layoutTarget val="inner"/>
          <c:xMode val="edge"/>
          <c:yMode val="edge"/>
          <c:x val="0.24747596805934371"/>
          <c:y val="0.18656750409482936"/>
          <c:w val="0.66161942481171565"/>
          <c:h val="0.75373271654311347"/>
        </c:manualLayout>
      </c:layout>
      <c:scatterChart>
        <c:scatterStyle val="lineMarker"/>
        <c:ser>
          <c:idx val="2"/>
          <c:order val="0"/>
          <c:tx>
            <c:v>Initial</c:v>
          </c:tx>
          <c:spPr>
            <a:ln w="38100">
              <a:solidFill>
                <a:srgbClr val="000080"/>
              </a:solidFill>
              <a:prstDash val="solid"/>
            </a:ln>
          </c:spPr>
          <c:marker>
            <c:symbol val="none"/>
          </c:marker>
          <c:xVal>
            <c:numRef>
              <c:f>Fig30_ImageOnly!$AB$5:$AB$12</c:f>
              <c:numCache>
                <c:formatCode>General</c:formatCode>
                <c:ptCount val="8"/>
                <c:pt idx="0">
                  <c:v>0</c:v>
                </c:pt>
                <c:pt idx="1">
                  <c:v>40</c:v>
                </c:pt>
                <c:pt idx="2">
                  <c:v>140</c:v>
                </c:pt>
                <c:pt idx="3">
                  <c:v>240</c:v>
                </c:pt>
                <c:pt idx="4">
                  <c:v>340</c:v>
                </c:pt>
                <c:pt idx="5">
                  <c:v>440</c:v>
                </c:pt>
                <c:pt idx="6">
                  <c:v>540</c:v>
                </c:pt>
                <c:pt idx="7">
                  <c:v>640</c:v>
                </c:pt>
              </c:numCache>
            </c:numRef>
          </c:xVal>
          <c:yVal>
            <c:numRef>
              <c:f>Fig30_ImageOnly!$T$5:$T$12</c:f>
              <c:numCache>
                <c:formatCode>General</c:formatCode>
                <c:ptCount val="8"/>
                <c:pt idx="0">
                  <c:v>20</c:v>
                </c:pt>
                <c:pt idx="1">
                  <c:v>60</c:v>
                </c:pt>
                <c:pt idx="2">
                  <c:v>160</c:v>
                </c:pt>
                <c:pt idx="3">
                  <c:v>260</c:v>
                </c:pt>
                <c:pt idx="4">
                  <c:v>360</c:v>
                </c:pt>
                <c:pt idx="5">
                  <c:v>460</c:v>
                </c:pt>
                <c:pt idx="6">
                  <c:v>560</c:v>
                </c:pt>
                <c:pt idx="7">
                  <c:v>660</c:v>
                </c:pt>
              </c:numCache>
            </c:numRef>
          </c:yVal>
        </c:ser>
        <c:ser>
          <c:idx val="0"/>
          <c:order val="1"/>
          <c:tx>
            <c:v>Final</c:v>
          </c:tx>
          <c:spPr>
            <a:ln w="38100">
              <a:solidFill>
                <a:srgbClr val="FF00FF"/>
              </a:solidFill>
              <a:prstDash val="solid"/>
            </a:ln>
          </c:spPr>
          <c:marker>
            <c:symbol val="none"/>
          </c:marker>
          <c:xVal>
            <c:numRef>
              <c:f>Fig30_ImageOnly!$AC$5:$AC$12</c:f>
              <c:numCache>
                <c:formatCode>0</c:formatCode>
                <c:ptCount val="8"/>
                <c:pt idx="0">
                  <c:v>0</c:v>
                </c:pt>
                <c:pt idx="1">
                  <c:v>40</c:v>
                </c:pt>
                <c:pt idx="2">
                  <c:v>118.72093023255771</c:v>
                </c:pt>
                <c:pt idx="3">
                  <c:v>147.79069767441808</c:v>
                </c:pt>
                <c:pt idx="4">
                  <c:v>35</c:v>
                </c:pt>
                <c:pt idx="5">
                  <c:v>135</c:v>
                </c:pt>
                <c:pt idx="6">
                  <c:v>235</c:v>
                </c:pt>
                <c:pt idx="7">
                  <c:v>335</c:v>
                </c:pt>
              </c:numCache>
            </c:numRef>
          </c:xVal>
          <c:yVal>
            <c:numRef>
              <c:f>Fig30_ImageOnly!$T$5:$T$12</c:f>
              <c:numCache>
                <c:formatCode>General</c:formatCode>
                <c:ptCount val="8"/>
                <c:pt idx="0">
                  <c:v>20</c:v>
                </c:pt>
                <c:pt idx="1">
                  <c:v>60</c:v>
                </c:pt>
                <c:pt idx="2">
                  <c:v>160</c:v>
                </c:pt>
                <c:pt idx="3">
                  <c:v>260</c:v>
                </c:pt>
                <c:pt idx="4">
                  <c:v>360</c:v>
                </c:pt>
                <c:pt idx="5">
                  <c:v>460</c:v>
                </c:pt>
                <c:pt idx="6">
                  <c:v>560</c:v>
                </c:pt>
                <c:pt idx="7">
                  <c:v>660</c:v>
                </c:pt>
              </c:numCache>
            </c:numRef>
          </c:yVal>
        </c:ser>
        <c:dLbls/>
        <c:axId val="166137216"/>
        <c:axId val="166159872"/>
      </c:scatterChart>
      <c:valAx>
        <c:axId val="166137216"/>
        <c:scaling>
          <c:orientation val="minMax"/>
          <c:min val="0"/>
        </c:scaling>
        <c:axPos val="t"/>
        <c:title>
          <c:tx>
            <c:rich>
              <a:bodyPr/>
              <a:lstStyle/>
              <a:p>
                <a:pPr>
                  <a:defRPr sz="900" b="0" i="0" u="none" strike="noStrike" baseline="0">
                    <a:solidFill>
                      <a:srgbClr val="000000"/>
                    </a:solidFill>
                    <a:latin typeface="Arial"/>
                    <a:ea typeface="Arial"/>
                    <a:cs typeface="Arial"/>
                  </a:defRPr>
                </a:pPr>
                <a:r>
                  <a:rPr lang="en-AU"/>
                  <a:t>Pressure head (m)</a:t>
                </a:r>
              </a:p>
            </c:rich>
          </c:tx>
          <c:layout>
            <c:manualLayout>
              <c:xMode val="edge"/>
              <c:yMode val="edge"/>
              <c:x val="0.34848656726724286"/>
              <c:y val="1.8656750409482881E-2"/>
            </c:manualLayout>
          </c:layout>
          <c:spPr>
            <a:noFill/>
            <a:ln w="25400">
              <a:noFill/>
            </a:ln>
          </c:spPr>
        </c:title>
        <c:numFmt formatCode="General" sourceLinked="1"/>
        <c:tickLblPos val="nextTo"/>
        <c:spPr>
          <a:ln w="12700">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66159872"/>
        <c:crossesAt val="-100"/>
        <c:crossBetween val="midCat"/>
        <c:majorUnit val="200"/>
      </c:valAx>
      <c:valAx>
        <c:axId val="166159872"/>
        <c:scaling>
          <c:orientation val="maxMin"/>
          <c:max val="660"/>
          <c:min val="0"/>
        </c:scaling>
        <c:axPos val="l"/>
        <c:title>
          <c:tx>
            <c:rich>
              <a:bodyPr/>
              <a:lstStyle/>
              <a:p>
                <a:pPr>
                  <a:defRPr sz="900" b="0" i="0" u="none" strike="noStrike" baseline="0">
                    <a:solidFill>
                      <a:srgbClr val="000000"/>
                    </a:solidFill>
                    <a:latin typeface="Arial"/>
                    <a:ea typeface="Arial"/>
                    <a:cs typeface="Arial"/>
                  </a:defRPr>
                </a:pPr>
                <a:r>
                  <a:rPr lang="en-AU"/>
                  <a:t>Depth (mbgl)*</a:t>
                </a:r>
              </a:p>
            </c:rich>
          </c:tx>
          <c:layout>
            <c:manualLayout>
              <c:xMode val="edge"/>
              <c:yMode val="edge"/>
              <c:x val="2.5252649801973892E-2"/>
              <c:y val="0.42537390933621189"/>
            </c:manualLayout>
          </c:layout>
          <c:spPr>
            <a:noFill/>
            <a:ln w="25400">
              <a:noFill/>
            </a:ln>
          </c:spPr>
        </c:title>
        <c:numFmt formatCode="General" sourceLinked="1"/>
        <c:tickLblPos val="nextTo"/>
        <c:spPr>
          <a:ln w="12700">
            <a:solidFill>
              <a:srgbClr val="000000"/>
            </a:solidFill>
            <a:prstDash val="solid"/>
          </a:ln>
        </c:spPr>
        <c:txPr>
          <a:bodyPr rot="-5400000" vert="horz"/>
          <a:lstStyle/>
          <a:p>
            <a:pPr>
              <a:defRPr sz="900" b="0" i="0" u="none" strike="noStrike" baseline="0">
                <a:solidFill>
                  <a:srgbClr val="000000"/>
                </a:solidFill>
                <a:latin typeface="Arial"/>
                <a:ea typeface="Arial"/>
                <a:cs typeface="Arial"/>
              </a:defRPr>
            </a:pPr>
            <a:endParaRPr lang="en-US"/>
          </a:p>
        </c:txPr>
        <c:crossAx val="166137216"/>
        <c:crossesAt val="-100"/>
        <c:crossBetween val="midCat"/>
        <c:majorUnit val="100"/>
      </c:valAx>
      <c:spPr>
        <a:noFill/>
        <a:ln w="12700">
          <a:solidFill>
            <a:srgbClr val="000000"/>
          </a:solidFill>
          <a:prstDash val="solid"/>
        </a:ln>
      </c:spPr>
    </c:plotArea>
    <c:legend>
      <c:legendPos val="r"/>
      <c:layout>
        <c:manualLayout>
          <c:xMode val="edge"/>
          <c:yMode val="edge"/>
          <c:x val="0.47474981627710833"/>
          <c:y val="0.20522425450431228"/>
          <c:w val="0.41919398671276592"/>
          <c:h val="0.14179130311207103"/>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9525">
      <a:noFill/>
    </a:ln>
  </c:spPr>
  <c:txPr>
    <a:bodyPr/>
    <a:lstStyle/>
    <a:p>
      <a:pPr>
        <a:defRPr sz="900" b="0" i="0" u="none" strike="noStrike" baseline="0">
          <a:solidFill>
            <a:srgbClr val="000000"/>
          </a:solidFill>
          <a:latin typeface="Arial"/>
          <a:ea typeface="Arial"/>
          <a:cs typeface="Arial"/>
        </a:defRPr>
      </a:pPr>
      <a:endParaRPr lang="en-US"/>
    </a:p>
  </c:txPr>
  <c:externalData r:id="rId1"/>
</c:chartSpace>
</file>

<file path=word/drawings/drawing1.xml><?xml version="1.0" encoding="utf-8"?>
<c:userShapes xmlns:c="http://schemas.openxmlformats.org/drawingml/2006/chart">
  <cdr:relSizeAnchor xmlns:cdr="http://schemas.openxmlformats.org/drawingml/2006/chartDrawing">
    <cdr:from>
      <cdr:x>0.339</cdr:x>
      <cdr:y>0.65389</cdr:y>
    </cdr:from>
    <cdr:to>
      <cdr:x>0.58441</cdr:x>
      <cdr:y>0.65389</cdr:y>
    </cdr:to>
    <cdr:sp macro="" textlink="">
      <cdr:nvSpPr>
        <cdr:cNvPr id="19457" name="Line 1"/>
        <cdr:cNvSpPr>
          <a:spLocks xmlns:a="http://schemas.openxmlformats.org/drawingml/2006/main" noChangeShapeType="1"/>
        </cdr:cNvSpPr>
      </cdr:nvSpPr>
      <cdr:spPr bwMode="auto">
        <a:xfrm xmlns:a="http://schemas.openxmlformats.org/drawingml/2006/main">
          <a:off x="642051" y="1689698"/>
          <a:ext cx="495498" cy="0"/>
        </a:xfrm>
        <a:prstGeom xmlns:a="http://schemas.openxmlformats.org/drawingml/2006/main" prst="line">
          <a:avLst/>
        </a:prstGeom>
        <a:noFill xmlns:a="http://schemas.openxmlformats.org/drawingml/2006/main"/>
        <a:ln xmlns:a="http://schemas.openxmlformats.org/drawingml/2006/main" w="9525">
          <a:solidFill>
            <a:srgbClr val="000000"/>
          </a:solidFill>
          <a:round/>
          <a:headEnd type="triangle" w="med" len="med"/>
          <a:tailEnd type="triangle" w="med" len="med"/>
        </a:ln>
        <a:extLst xmlns:a="http://schemas.openxmlformats.org/drawingml/2006/main">
          <a:ext uri="{909E8E84-426E-40DD-AFC4-6F175D3DCCD1}">
            <a14:hiddenFill xmlns:a14="http://schemas.microsoft.com/office/drawing/2010/main" xmlns="">
              <a:noFill/>
            </a14:hiddenFill>
          </a:ext>
        </a:extLst>
      </cdr:spPr>
      <cdr:txBody>
        <a:bodyPr xmlns:a="http://schemas.openxmlformats.org/drawingml/2006/main"/>
        <a:lstStyle xmlns:a="http://schemas.openxmlformats.org/drawingml/2006/main"/>
        <a:p xmlns:a="http://schemas.openxmlformats.org/drawingml/2006/main">
          <a:endParaRPr lang="en-AU"/>
        </a:p>
      </cdr:txBody>
    </cdr:sp>
  </cdr:relSizeAnchor>
  <cdr:relSizeAnchor xmlns:cdr="http://schemas.openxmlformats.org/drawingml/2006/chartDrawing">
    <cdr:from>
      <cdr:x>0.5603</cdr:x>
      <cdr:y>0.45158</cdr:y>
    </cdr:from>
    <cdr:to>
      <cdr:x>0.89578</cdr:x>
      <cdr:y>0.86627</cdr:y>
    </cdr:to>
    <cdr:sp macro="" textlink="">
      <cdr:nvSpPr>
        <cdr:cNvPr id="19458" name="Text Box 2"/>
        <cdr:cNvSpPr txBox="1">
          <a:spLocks xmlns:a="http://schemas.openxmlformats.org/drawingml/2006/main" noChangeArrowheads="1"/>
        </cdr:cNvSpPr>
      </cdr:nvSpPr>
      <cdr:spPr bwMode="auto">
        <a:xfrm xmlns:a="http://schemas.openxmlformats.org/drawingml/2006/main">
          <a:off x="1089208" y="1157475"/>
          <a:ext cx="678172" cy="108990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xmlns="">
              <a:solidFill>
                <a:srgbClr xmlns:mc="http://schemas.openxmlformats.org/markup-compatibility/2006" val="FFFFFF" mc:Ignorable="a14" a14:legacySpreadsheetColorIndex="65"/>
              </a:solidFill>
            </a14:hiddenFill>
          </a:ext>
          <a:ext uri="{91240B29-F687-4F45-9708-019B960494DF}">
            <a14:hiddenLine xmlns:a14="http://schemas.microsoft.com/office/drawing/2010/main" xmlns=""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AU" sz="900" b="0" i="0" u="none" strike="noStrike" baseline="0">
              <a:solidFill>
                <a:srgbClr val="000000"/>
              </a:solidFill>
              <a:latin typeface="Arial"/>
              <a:cs typeface="Arial"/>
            </a:rPr>
            <a:t>Average change </a:t>
          </a:r>
        </a:p>
        <a:p xmlns:a="http://schemas.openxmlformats.org/drawingml/2006/main">
          <a:pPr algn="ctr" rtl="0">
            <a:defRPr sz="1000"/>
          </a:pPr>
          <a:r>
            <a:rPr lang="en-AU" sz="900" b="0" i="0" u="none" strike="noStrike" baseline="0">
              <a:solidFill>
                <a:srgbClr val="000000"/>
              </a:solidFill>
              <a:latin typeface="Arial"/>
              <a:cs typeface="Arial"/>
            </a:rPr>
            <a:t>in pressure head across ground profile</a:t>
          </a:r>
          <a:endParaRPr lang="en-AU"/>
        </a:p>
      </cdr:txBody>
    </cdr:sp>
  </cdr:relSizeAnchor>
  <cdr:relSizeAnchor xmlns:cdr="http://schemas.openxmlformats.org/drawingml/2006/chartDrawing">
    <cdr:from>
      <cdr:x>0.56171</cdr:x>
      <cdr:y>0.52901</cdr:y>
    </cdr:from>
    <cdr:to>
      <cdr:x>0.58701</cdr:x>
      <cdr:y>0.54675</cdr:y>
    </cdr:to>
    <cdr:sp macro="" textlink="">
      <cdr:nvSpPr>
        <cdr:cNvPr id="19461" name="Text Box 5"/>
        <cdr:cNvSpPr txBox="1">
          <a:spLocks xmlns:a="http://schemas.openxmlformats.org/drawingml/2006/main" noChangeArrowheads="1"/>
        </cdr:cNvSpPr>
      </cdr:nvSpPr>
      <cdr:spPr bwMode="auto">
        <a:xfrm xmlns:a="http://schemas.openxmlformats.org/drawingml/2006/main">
          <a:off x="1091997" y="1361173"/>
          <a:ext cx="51130" cy="4657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xmlns="">
              <a:solidFill>
                <a:srgbClr xmlns:mc="http://schemas.openxmlformats.org/markup-compatibility/2006" val="000000" mc:Ignorable="a14" a14:legacySpreadsheetColorIndex="64"/>
              </a:solidFill>
            </a14:hiddenFill>
          </a:ext>
          <a:ext uri="{91240B29-F687-4F45-9708-019B960494DF}">
            <a14:hiddenLine xmlns:a14="http://schemas.microsoft.com/office/drawing/2010/main" xmlns=""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xmlns="">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en-AU" sz="675" b="0" i="0" u="none" strike="noStrike" baseline="0">
              <a:solidFill>
                <a:srgbClr val="000000"/>
              </a:solidFill>
              <a:latin typeface="Arial"/>
              <a:cs typeface="Arial"/>
            </a:rPr>
            <a:t> </a:t>
          </a:r>
          <a:endParaRPr lang="en-AU"/>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155</Pages>
  <Words>47557</Words>
  <Characters>271077</Characters>
  <Application>Microsoft Office Word</Application>
  <DocSecurity>0</DocSecurity>
  <Lines>2258</Lines>
  <Paragraphs>635</Paragraphs>
  <ScaleCrop>false</ScaleCrop>
  <LinksUpToDate>false</LinksUpToDate>
  <CharactersWithSpaces>317999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and management of subsidence induced by coal seam gas extraction</dc:title>
  <dc:creator/>
  <cp:lastModifiedBy/>
  <cp:revision>1</cp:revision>
  <dcterms:created xsi:type="dcterms:W3CDTF">2014-11-03T23:58:00Z</dcterms:created>
  <dcterms:modified xsi:type="dcterms:W3CDTF">2014-11-04T00:01:00Z</dcterms:modified>
</cp:coreProperties>
</file>