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73457C9F" w:rsidR="00ED0614" w:rsidRPr="00EA4652" w:rsidRDefault="00372089">
      <w:pPr>
        <w:pStyle w:val="Heading1"/>
      </w:pPr>
      <w:r w:rsidRPr="00372089">
        <w:t>Koi herpesvirus disease (KHVD)</w:t>
      </w:r>
    </w:p>
    <w:p w14:paraId="6B762390" w14:textId="5B5EC1F8" w:rsidR="00162F1F" w:rsidRPr="00F82AA0" w:rsidRDefault="00162F1F" w:rsidP="00162F1F">
      <w:pPr>
        <w:pStyle w:val="Subtitle"/>
        <w:rPr>
          <w:sz w:val="24"/>
          <w:szCs w:val="24"/>
        </w:rPr>
      </w:pPr>
      <w:r w:rsidRPr="00F82AA0">
        <w:rPr>
          <w:sz w:val="24"/>
          <w:szCs w:val="24"/>
        </w:rPr>
        <w:t xml:space="preserve">Also known as </w:t>
      </w:r>
      <w:r w:rsidR="00372089" w:rsidRPr="00F82AA0">
        <w:rPr>
          <w:sz w:val="24"/>
          <w:szCs w:val="24"/>
        </w:rPr>
        <w:t>carp interstitial nephritis, gill necrosis virus</w:t>
      </w:r>
      <w:r w:rsidR="00D75D59" w:rsidRPr="00F82AA0">
        <w:rPr>
          <w:sz w:val="24"/>
          <w:szCs w:val="24"/>
        </w:rPr>
        <w:t>, infection with koi herpesvirus (KHV)</w:t>
      </w:r>
      <w:r w:rsidR="00372089" w:rsidRPr="00F82AA0">
        <w:rPr>
          <w:sz w:val="24"/>
          <w:szCs w:val="24"/>
        </w:rPr>
        <w:t xml:space="preserve"> and infection with cyprinid herpesvirus 3 (CyHv3)</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0551BC09" w:rsidR="00ED0614" w:rsidRPr="007F1EDC" w:rsidRDefault="00BF271F">
      <w:pPr>
        <w:pStyle w:val="Caption"/>
      </w:pPr>
      <w:r>
        <w:t xml:space="preserve">Figure </w:t>
      </w:r>
      <w:r w:rsidR="004E2257">
        <w:rPr>
          <w:noProof/>
        </w:rPr>
        <w:fldChar w:fldCharType="begin"/>
      </w:r>
      <w:r w:rsidR="004E2257">
        <w:rPr>
          <w:noProof/>
        </w:rPr>
        <w:instrText xml:space="preserve"> SEQ Figure \* ARABIC </w:instrText>
      </w:r>
      <w:r w:rsidR="004E2257">
        <w:rPr>
          <w:noProof/>
        </w:rPr>
        <w:fldChar w:fldCharType="separate"/>
      </w:r>
      <w:r w:rsidR="00CA1DBA">
        <w:rPr>
          <w:noProof/>
        </w:rPr>
        <w:t>1</w:t>
      </w:r>
      <w:r w:rsidR="004E2257">
        <w:rPr>
          <w:noProof/>
        </w:rPr>
        <w:fldChar w:fldCharType="end"/>
      </w:r>
      <w:r>
        <w:t xml:space="preserve"> </w:t>
      </w:r>
      <w:r w:rsidR="00372089" w:rsidRPr="00372089">
        <w:rPr>
          <w:noProof/>
        </w:rPr>
        <w:t>Koi carp (</w:t>
      </w:r>
      <w:r w:rsidR="00372089" w:rsidRPr="00BF6EC8">
        <w:rPr>
          <w:rStyle w:val="Emphasis"/>
        </w:rPr>
        <w:t>Cyprinus carpio</w:t>
      </w:r>
      <w:r w:rsidR="00372089" w:rsidRPr="00372089">
        <w:rPr>
          <w:noProof/>
        </w:rPr>
        <w:t>) with gross lesions associated with KHVD</w:t>
      </w:r>
    </w:p>
    <w:p w14:paraId="0EFF3543" w14:textId="306190E3" w:rsidR="00ED0614" w:rsidRPr="007F1EDC" w:rsidRDefault="00372089">
      <w:r>
        <w:rPr>
          <w:noProof/>
          <w:lang w:eastAsia="en-AU"/>
        </w:rPr>
        <w:drawing>
          <wp:inline distT="0" distB="0" distL="0" distR="0" wp14:anchorId="2A00283D" wp14:editId="0180ED72">
            <wp:extent cx="3960000" cy="2944800"/>
            <wp:effectExtent l="0" t="0" r="2540" b="8255"/>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V E Johnson.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2944800"/>
                    </a:xfrm>
                    <a:prstGeom prst="rect">
                      <a:avLst/>
                    </a:prstGeom>
                    <a:ln>
                      <a:noFill/>
                    </a:ln>
                    <a:extLst>
                      <a:ext uri="{53640926-AAD7-44D8-BBD7-CCE9431645EC}">
                        <a14:shadowObscured xmlns:a14="http://schemas.microsoft.com/office/drawing/2010/main"/>
                      </a:ext>
                    </a:extLst>
                  </pic:spPr>
                </pic:pic>
              </a:graphicData>
            </a:graphic>
          </wp:inline>
        </w:drawing>
      </w:r>
    </w:p>
    <w:p w14:paraId="103E0989" w14:textId="2A2D9816" w:rsidR="00E6181A" w:rsidRDefault="00E260DC" w:rsidP="00372089">
      <w:pPr>
        <w:pStyle w:val="FigureTableNoteSource"/>
      </w:pPr>
      <w:r w:rsidRPr="007F1EDC">
        <w:t xml:space="preserve">Note: </w:t>
      </w:r>
      <w:r w:rsidR="00372089" w:rsidRPr="00372089">
        <w:t>Operculum is removed showing mottled red (haemorrhage) and white (necrosis) gill, sunken eyes and a single ulcer on the ventral skin.</w:t>
      </w:r>
    </w:p>
    <w:p w14:paraId="0FE7139E" w14:textId="37008651" w:rsidR="00ED0614" w:rsidRDefault="00E6181A" w:rsidP="00372089">
      <w:pPr>
        <w:pStyle w:val="FigureTableNoteSource"/>
      </w:pPr>
      <w:r w:rsidRPr="00E6181A">
        <w:t>Source: E Johnson</w:t>
      </w:r>
    </w:p>
    <w:p w14:paraId="34D7581A" w14:textId="77777777" w:rsidR="00ED0614" w:rsidRDefault="00E260DC" w:rsidP="00052B5F">
      <w:pPr>
        <w:pStyle w:val="Heading2"/>
      </w:pPr>
      <w:bookmarkStart w:id="0" w:name="_Signs_of_disease"/>
      <w:bookmarkEnd w:id="0"/>
      <w:r>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0ED3BEC6" w14:textId="77777777" w:rsidR="00ED0614" w:rsidRDefault="00E260DC">
      <w:pPr>
        <w:rPr>
          <w:lang w:eastAsia="ja-JP"/>
        </w:rPr>
      </w:pPr>
      <w:r>
        <w:rPr>
          <w:lang w:eastAsia="ja-JP"/>
        </w:rPr>
        <w:t>Disease signs at the farm, tank or pond level are:</w:t>
      </w:r>
    </w:p>
    <w:p w14:paraId="2C19D8B3" w14:textId="77777777" w:rsidR="00372089" w:rsidRDefault="00372089" w:rsidP="00372089">
      <w:pPr>
        <w:pStyle w:val="ListBullet"/>
        <w:rPr>
          <w:lang w:eastAsia="ja-JP"/>
        </w:rPr>
      </w:pPr>
      <w:r>
        <w:rPr>
          <w:lang w:eastAsia="ja-JP"/>
        </w:rPr>
        <w:t>mass mortalities, with many dead and moribund fish floating at the surface</w:t>
      </w:r>
    </w:p>
    <w:p w14:paraId="769B131B" w14:textId="77777777" w:rsidR="00372089" w:rsidRDefault="00372089" w:rsidP="00372089">
      <w:pPr>
        <w:pStyle w:val="ListBullet"/>
        <w:rPr>
          <w:lang w:eastAsia="ja-JP"/>
        </w:rPr>
      </w:pPr>
      <w:r>
        <w:rPr>
          <w:lang w:eastAsia="ja-JP"/>
        </w:rPr>
        <w:t>disorientation and erratic swimming behaviour (sometimes hyperactivity)</w:t>
      </w:r>
    </w:p>
    <w:p w14:paraId="3638E8F9" w14:textId="77777777" w:rsidR="00372089" w:rsidRDefault="00372089" w:rsidP="00372089">
      <w:pPr>
        <w:pStyle w:val="ListBullet"/>
        <w:rPr>
          <w:lang w:eastAsia="ja-JP"/>
        </w:rPr>
      </w:pPr>
      <w:r>
        <w:rPr>
          <w:lang w:eastAsia="ja-JP"/>
        </w:rPr>
        <w:t>fish coming to the surface and gasping</w:t>
      </w:r>
    </w:p>
    <w:p w14:paraId="64631B6C" w14:textId="404E5D2B" w:rsidR="00ED0614" w:rsidRDefault="00372089" w:rsidP="00372089">
      <w:pPr>
        <w:pStyle w:val="ListBullet"/>
        <w:rPr>
          <w:lang w:eastAsia="ja-JP"/>
        </w:rPr>
      </w:pPr>
      <w:r>
        <w:rPr>
          <w:lang w:eastAsia="ja-JP"/>
        </w:rPr>
        <w:t>fish separated from the shoal.</w:t>
      </w:r>
    </w:p>
    <w:p w14:paraId="7418287E" w14:textId="77777777" w:rsidR="00CD0FA5" w:rsidRDefault="00DF2031" w:rsidP="004A5DDC">
      <w:pPr>
        <w:keepNext/>
        <w:keepLines/>
        <w:rPr>
          <w:lang w:eastAsia="ja-JP"/>
        </w:rPr>
      </w:pPr>
      <w:r>
        <w:rPr>
          <w:lang w:eastAsia="ja-JP"/>
        </w:rPr>
        <w:t xml:space="preserve">Gross </w:t>
      </w:r>
      <w:r w:rsidRPr="00DF2031">
        <w:t>pathological</w:t>
      </w:r>
      <w:r>
        <w:rPr>
          <w:lang w:eastAsia="ja-JP"/>
        </w:rPr>
        <w:t xml:space="preserve"> signs </w:t>
      </w:r>
      <w:r w:rsidR="00CD0FA5">
        <w:rPr>
          <w:lang w:eastAsia="ja-JP"/>
        </w:rPr>
        <w:t>are:</w:t>
      </w:r>
    </w:p>
    <w:p w14:paraId="56E864C3" w14:textId="77777777" w:rsidR="00372089" w:rsidRDefault="00372089" w:rsidP="00372089">
      <w:pPr>
        <w:pStyle w:val="ListBullet"/>
        <w:rPr>
          <w:lang w:eastAsia="ja-JP"/>
        </w:rPr>
      </w:pPr>
      <w:r>
        <w:rPr>
          <w:lang w:eastAsia="ja-JP"/>
        </w:rPr>
        <w:t>pale patches on the skin</w:t>
      </w:r>
    </w:p>
    <w:p w14:paraId="2C6E76DD" w14:textId="77777777" w:rsidR="00372089" w:rsidRDefault="00372089" w:rsidP="00372089">
      <w:pPr>
        <w:pStyle w:val="ListBullet"/>
        <w:rPr>
          <w:lang w:eastAsia="ja-JP"/>
        </w:rPr>
      </w:pPr>
      <w:r>
        <w:rPr>
          <w:lang w:eastAsia="ja-JP"/>
        </w:rPr>
        <w:t>overproduction or underproduction of mucous on the skin and gills</w:t>
      </w:r>
    </w:p>
    <w:p w14:paraId="24D2D6F3" w14:textId="77777777" w:rsidR="00372089" w:rsidRDefault="00372089" w:rsidP="00372089">
      <w:pPr>
        <w:pStyle w:val="ListBullet"/>
        <w:rPr>
          <w:lang w:eastAsia="ja-JP"/>
        </w:rPr>
      </w:pPr>
      <w:r>
        <w:rPr>
          <w:lang w:eastAsia="ja-JP"/>
        </w:rPr>
        <w:t>superficial branchial (gill) and skin haemorrhages</w:t>
      </w:r>
    </w:p>
    <w:p w14:paraId="478CF9E0" w14:textId="77777777" w:rsidR="00372089" w:rsidRDefault="00372089" w:rsidP="00372089">
      <w:pPr>
        <w:pStyle w:val="ListBullet"/>
        <w:rPr>
          <w:lang w:eastAsia="ja-JP"/>
        </w:rPr>
      </w:pPr>
      <w:r>
        <w:rPr>
          <w:lang w:eastAsia="ja-JP"/>
        </w:rPr>
        <w:t>endophthalmia (sunken eyes), erosion of the fins (occasionally), and blistering of the skin</w:t>
      </w:r>
    </w:p>
    <w:p w14:paraId="065AD8CD" w14:textId="77777777" w:rsidR="00372089" w:rsidRDefault="00372089" w:rsidP="00372089">
      <w:pPr>
        <w:pStyle w:val="ListBullet"/>
        <w:rPr>
          <w:lang w:eastAsia="ja-JP"/>
        </w:rPr>
      </w:pPr>
      <w:r>
        <w:rPr>
          <w:lang w:eastAsia="ja-JP"/>
        </w:rPr>
        <w:lastRenderedPageBreak/>
        <w:t>severe gill necrosis and/or erosion, seen as red and white patches</w:t>
      </w:r>
    </w:p>
    <w:p w14:paraId="663BDC74" w14:textId="77777777" w:rsidR="00372089" w:rsidRDefault="00372089" w:rsidP="00372089">
      <w:pPr>
        <w:pStyle w:val="ListBullet"/>
        <w:rPr>
          <w:lang w:eastAsia="ja-JP"/>
        </w:rPr>
      </w:pPr>
      <w:r>
        <w:rPr>
          <w:lang w:eastAsia="ja-JP"/>
        </w:rPr>
        <w:t>focal or generalised loss of skin</w:t>
      </w:r>
    </w:p>
    <w:p w14:paraId="21853FE2" w14:textId="5D443B4E" w:rsidR="00372089" w:rsidRDefault="00372089" w:rsidP="00372089">
      <w:pPr>
        <w:pStyle w:val="ListBullet"/>
        <w:rPr>
          <w:lang w:eastAsia="ja-JP"/>
        </w:rPr>
      </w:pPr>
      <w:r>
        <w:rPr>
          <w:lang w:eastAsia="ja-JP"/>
        </w:rPr>
        <w:t>adhesions in the abdominal cavity and abnormal colouration of internal organs (lighter</w:t>
      </w:r>
      <w:r w:rsidR="00BF6EC8">
        <w:rPr>
          <w:lang w:eastAsia="ja-JP"/>
        </w:rPr>
        <w:t xml:space="preserve"> or </w:t>
      </w:r>
      <w:r>
        <w:rPr>
          <w:lang w:eastAsia="ja-JP"/>
        </w:rPr>
        <w:t>darker or mottled)</w:t>
      </w:r>
    </w:p>
    <w:p w14:paraId="06EC2B36" w14:textId="0FF0909B" w:rsidR="00ED0614" w:rsidRDefault="00372089" w:rsidP="00372089">
      <w:pPr>
        <w:pStyle w:val="ListBullet"/>
        <w:rPr>
          <w:lang w:eastAsia="ja-JP"/>
        </w:rPr>
      </w:pPr>
      <w:r>
        <w:rPr>
          <w:lang w:eastAsia="ja-JP"/>
        </w:rPr>
        <w:t>enlargement and surface haemorrhages of the kidney and liver</w:t>
      </w:r>
      <w:r w:rsidR="002521EC">
        <w:rPr>
          <w:lang w:eastAsia="ja-JP"/>
        </w:rPr>
        <w:t>.</w:t>
      </w:r>
    </w:p>
    <w:p w14:paraId="2D426F0A" w14:textId="77777777" w:rsidR="00ED0614" w:rsidRDefault="00E260DC">
      <w:pPr>
        <w:rPr>
          <w:lang w:eastAsia="ja-JP"/>
        </w:rPr>
      </w:pPr>
      <w:r>
        <w:rPr>
          <w:lang w:eastAsia="ja-JP"/>
        </w:rPr>
        <w:t>Microscopic pathological signs are:</w:t>
      </w:r>
    </w:p>
    <w:p w14:paraId="6D0D4A6C" w14:textId="77777777" w:rsidR="00372089" w:rsidRPr="00372089" w:rsidRDefault="00372089" w:rsidP="00372089">
      <w:pPr>
        <w:pStyle w:val="ListBullet"/>
        <w:rPr>
          <w:lang w:val="en-US"/>
        </w:rPr>
      </w:pPr>
      <w:r w:rsidRPr="00372089">
        <w:rPr>
          <w:lang w:val="en-US"/>
        </w:rPr>
        <w:t>inflammation and necrosis of gill tissues, and adhesion of gill filaments</w:t>
      </w:r>
    </w:p>
    <w:p w14:paraId="31ECFCE8" w14:textId="77777777" w:rsidR="00372089" w:rsidRPr="00372089" w:rsidRDefault="00372089" w:rsidP="00372089">
      <w:pPr>
        <w:pStyle w:val="ListBullet"/>
        <w:rPr>
          <w:lang w:val="en-US"/>
        </w:rPr>
      </w:pPr>
      <w:r w:rsidRPr="00372089">
        <w:rPr>
          <w:lang w:val="en-US"/>
        </w:rPr>
        <w:t>nuclear swelling, margination of chromatin and pale eosinophilic intranuclear inclusions of the epithelium</w:t>
      </w:r>
    </w:p>
    <w:p w14:paraId="68AAA3DA" w14:textId="6BAF2ADE" w:rsidR="00ED0614" w:rsidRDefault="00372089" w:rsidP="00372089">
      <w:pPr>
        <w:pStyle w:val="ListBullet"/>
        <w:rPr>
          <w:lang w:val="en-US"/>
        </w:rPr>
      </w:pPr>
      <w:r w:rsidRPr="00372089">
        <w:rPr>
          <w:lang w:val="en-US"/>
        </w:rPr>
        <w:t>non-specific inflammation and necrosis in other organs</w:t>
      </w:r>
      <w:r w:rsidR="00E260DC">
        <w:rPr>
          <w:lang w:val="en-US"/>
        </w:rPr>
        <w:t>.</w:t>
      </w:r>
    </w:p>
    <w:p w14:paraId="755CDE80" w14:textId="77777777" w:rsidR="00ED0614" w:rsidRDefault="00E260DC">
      <w:pPr>
        <w:pStyle w:val="Heading2"/>
      </w:pPr>
      <w:r>
        <w:t>Disease agent</w:t>
      </w:r>
    </w:p>
    <w:p w14:paraId="54C7B5E3" w14:textId="4427DFA4" w:rsidR="00CB11B9" w:rsidRPr="00CB11B9" w:rsidRDefault="005E5C96" w:rsidP="00876983">
      <w:r>
        <w:t>KHVD</w:t>
      </w:r>
      <w:r w:rsidR="00372089" w:rsidRPr="00372089">
        <w:t xml:space="preserve"> is caused by infection with koi herpesvirus (KHV), also known as cyprinid herpesvirus</w:t>
      </w:r>
      <w:r w:rsidR="00D75D59">
        <w:t> </w:t>
      </w:r>
      <w:r w:rsidR="00372089" w:rsidRPr="00372089">
        <w:t xml:space="preserve">3 (CyHv3), a virus classified as a member of the family </w:t>
      </w:r>
      <w:r w:rsidR="00372089" w:rsidRPr="00D75D59">
        <w:rPr>
          <w:rStyle w:val="Emphasis"/>
        </w:rPr>
        <w:t>Alloherpesviridae</w:t>
      </w:r>
      <w:r w:rsidR="00372089" w:rsidRPr="00372089">
        <w:t xml:space="preserve"> within the genus </w:t>
      </w:r>
      <w:r w:rsidR="00372089" w:rsidRPr="00D75D59">
        <w:rPr>
          <w:rStyle w:val="Emphasis"/>
        </w:rPr>
        <w:t>Cyprinivirus</w:t>
      </w:r>
      <w:r w:rsidR="00372089" w:rsidRPr="00372089">
        <w:t>.</w:t>
      </w:r>
    </w:p>
    <w:p w14:paraId="10B41ACC" w14:textId="77777777" w:rsidR="00ED0614" w:rsidRDefault="00E260DC" w:rsidP="00270423">
      <w:pPr>
        <w:pStyle w:val="Heading2"/>
        <w:keepLines/>
      </w:pPr>
      <w:r>
        <w:t>Host range</w:t>
      </w:r>
    </w:p>
    <w:p w14:paraId="7CCED3A8" w14:textId="48BB7CB5" w:rsidR="00162F1F" w:rsidRPr="00162F1F" w:rsidRDefault="00372089" w:rsidP="00162F1F">
      <w:pPr>
        <w:rPr>
          <w:lang w:eastAsia="ja-JP"/>
        </w:rPr>
      </w:pPr>
      <w:r w:rsidRPr="00372089">
        <w:rPr>
          <w:lang w:eastAsia="ja-JP"/>
        </w:rPr>
        <w:t>Naturally occurring KHV infections have only been recorded from common carp (</w:t>
      </w:r>
      <w:r w:rsidRPr="00D75D59">
        <w:rPr>
          <w:rStyle w:val="Emphasis"/>
          <w:lang w:eastAsia="ja-JP"/>
        </w:rPr>
        <w:t>Cyprinus carpio</w:t>
      </w:r>
      <w:r w:rsidRPr="00372089">
        <w:rPr>
          <w:lang w:eastAsia="ja-JP"/>
        </w:rPr>
        <w:t>) and varieties of this species (</w:t>
      </w:r>
      <w:r w:rsidR="00BF6EC8">
        <w:rPr>
          <w:lang w:eastAsia="ja-JP"/>
        </w:rPr>
        <w:t xml:space="preserve">such as </w:t>
      </w:r>
      <w:r w:rsidRPr="00372089">
        <w:rPr>
          <w:lang w:eastAsia="ja-JP"/>
        </w:rPr>
        <w:t>koi carp). Goldfish × common carp hybrids, produced by hybridising male goldfish with female carp, have been reported to show some susceptibility to KHV infection.</w:t>
      </w:r>
    </w:p>
    <w:p w14:paraId="521FE6F1" w14:textId="165CEBF9" w:rsidR="00BF6EC8" w:rsidRPr="00372089" w:rsidRDefault="00BF6EC8" w:rsidP="00BF6EC8">
      <w:r w:rsidRPr="00372089">
        <w:t>Several fish species have been described as asymptomatic carrier species</w:t>
      </w:r>
      <w:r>
        <w:t>. These</w:t>
      </w:r>
      <w:r w:rsidRPr="00372089">
        <w:t xml:space="preserve"> show no clinical signs of KHVD after natural or experimental exposure to KHV, but</w:t>
      </w:r>
      <w:r>
        <w:t xml:space="preserve"> </w:t>
      </w:r>
      <w:r w:rsidR="005E5C96">
        <w:t>carry</w:t>
      </w:r>
      <w:r w:rsidRPr="00372089">
        <w:t xml:space="preserve"> viral DNA</w:t>
      </w:r>
      <w:r>
        <w:t xml:space="preserve">, </w:t>
      </w:r>
      <w:r w:rsidRPr="00372089">
        <w:t>allowing them to potentially act as vectors of the disease.</w:t>
      </w:r>
      <w:r w:rsidR="00EE72EE" w:rsidRPr="00EE72EE">
        <w:t xml:space="preserve"> </w:t>
      </w:r>
      <w:r w:rsidR="00EE72EE">
        <w:t>V</w:t>
      </w:r>
      <w:r w:rsidR="00EE72EE" w:rsidRPr="00372089">
        <w:t>iral DNA has been</w:t>
      </w:r>
      <w:r w:rsidR="00EE72EE">
        <w:t xml:space="preserve"> also been detected in two non-fish species, amphipods (</w:t>
      </w:r>
      <w:r w:rsidR="00EE72EE" w:rsidRPr="00EE72EE">
        <w:rPr>
          <w:rStyle w:val="Emphasis"/>
        </w:rPr>
        <w:t>Gammarus pulex</w:t>
      </w:r>
      <w:r w:rsidR="00EE72EE">
        <w:t>) and swan mussels (</w:t>
      </w:r>
      <w:r w:rsidR="00EE72EE" w:rsidRPr="00EE72EE">
        <w:rPr>
          <w:rStyle w:val="Emphasis"/>
        </w:rPr>
        <w:t>Anodonta cygnea</w:t>
      </w:r>
      <w:r w:rsidR="00EE72EE">
        <w:t>), making them potential vectors.</w:t>
      </w:r>
    </w:p>
    <w:p w14:paraId="63E14290" w14:textId="0F387838" w:rsidR="00ED0614" w:rsidRDefault="00E260DC">
      <w:pPr>
        <w:pStyle w:val="Caption"/>
      </w:pPr>
      <w:r>
        <w:t xml:space="preserve">Table </w:t>
      </w:r>
      <w:r>
        <w:rPr>
          <w:noProof/>
        </w:rPr>
        <w:fldChar w:fldCharType="begin"/>
      </w:r>
      <w:r>
        <w:rPr>
          <w:noProof/>
        </w:rPr>
        <w:instrText xml:space="preserve"> SEQ Table \* ARABIC </w:instrText>
      </w:r>
      <w:r>
        <w:rPr>
          <w:noProof/>
        </w:rPr>
        <w:fldChar w:fldCharType="separate"/>
      </w:r>
      <w:r w:rsidR="00CA1DBA">
        <w:rPr>
          <w:noProof/>
        </w:rPr>
        <w:t>1</w:t>
      </w:r>
      <w:r>
        <w:rPr>
          <w:noProof/>
        </w:rPr>
        <w:fldChar w:fldCharType="end"/>
      </w:r>
      <w:r>
        <w:t xml:space="preserve"> </w:t>
      </w:r>
      <w:r w:rsidR="00372089" w:rsidRPr="00372089">
        <w:t>Species known to be naturally susceptible to KHVD</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ED0614" w14:paraId="7F099F95" w14:textId="77777777">
        <w:trPr>
          <w:cantSplit/>
          <w:trHeight w:val="300"/>
          <w:tblHeader/>
        </w:trPr>
        <w:tc>
          <w:tcPr>
            <w:tcW w:w="2500" w:type="pct"/>
            <w:tcBorders>
              <w:top w:val="single" w:sz="4" w:space="0" w:color="auto"/>
              <w:bottom w:val="single" w:sz="4" w:space="0" w:color="auto"/>
            </w:tcBorders>
            <w:noWrap/>
          </w:tcPr>
          <w:p w14:paraId="53C37EB4" w14:textId="77777777" w:rsidR="00ED0614" w:rsidRDefault="00E260DC">
            <w:pPr>
              <w:pStyle w:val="TableHeading"/>
            </w:pPr>
            <w:r>
              <w:t>Common name</w:t>
            </w:r>
          </w:p>
        </w:tc>
        <w:tc>
          <w:tcPr>
            <w:tcW w:w="2500" w:type="pct"/>
            <w:tcBorders>
              <w:top w:val="single" w:sz="4" w:space="0" w:color="auto"/>
              <w:bottom w:val="single" w:sz="4" w:space="0" w:color="auto"/>
            </w:tcBorders>
            <w:noWrap/>
          </w:tcPr>
          <w:p w14:paraId="0DE0AAEB" w14:textId="77777777" w:rsidR="00ED0614" w:rsidRDefault="00E260DC">
            <w:pPr>
              <w:pStyle w:val="TableHeading"/>
            </w:pPr>
            <w:r>
              <w:t>Scientific name</w:t>
            </w:r>
          </w:p>
        </w:tc>
      </w:tr>
      <w:tr w:rsidR="00372089" w14:paraId="42EB7617" w14:textId="77777777">
        <w:trPr>
          <w:cantSplit/>
          <w:trHeight w:val="315"/>
        </w:trPr>
        <w:tc>
          <w:tcPr>
            <w:tcW w:w="2500" w:type="pct"/>
            <w:noWrap/>
          </w:tcPr>
          <w:p w14:paraId="71A33549" w14:textId="3CED00EC" w:rsidR="00372089" w:rsidRDefault="00372089" w:rsidP="00372089">
            <w:pPr>
              <w:pStyle w:val="TableText"/>
            </w:pPr>
            <w:r w:rsidRPr="001F2F7E">
              <w:t>Common carp and koi carp</w:t>
            </w:r>
          </w:p>
        </w:tc>
        <w:tc>
          <w:tcPr>
            <w:tcW w:w="2500" w:type="pct"/>
            <w:noWrap/>
          </w:tcPr>
          <w:p w14:paraId="1D4032D9" w14:textId="74B77F1F" w:rsidR="00372089" w:rsidRPr="00372089" w:rsidRDefault="00372089" w:rsidP="00372089">
            <w:pPr>
              <w:pStyle w:val="TableText"/>
              <w:rPr>
                <w:rStyle w:val="Emphasis"/>
                <w:rFonts w:eastAsia="SimSun"/>
              </w:rPr>
            </w:pPr>
            <w:r w:rsidRPr="00372089">
              <w:rPr>
                <w:rStyle w:val="Emphasis"/>
              </w:rPr>
              <w:t>Cyprinus carpio</w:t>
            </w:r>
          </w:p>
        </w:tc>
      </w:tr>
    </w:tbl>
    <w:p w14:paraId="38E29C17" w14:textId="232B053F" w:rsidR="007F73EC" w:rsidRDefault="007F73EC" w:rsidP="005C54CB">
      <w:pPr>
        <w:pStyle w:val="Caption"/>
        <w:spacing w:before="120"/>
      </w:pPr>
      <w:r>
        <w:t xml:space="preserve">Table </w:t>
      </w:r>
      <w:r>
        <w:rPr>
          <w:noProof/>
        </w:rPr>
        <w:fldChar w:fldCharType="begin"/>
      </w:r>
      <w:r>
        <w:rPr>
          <w:noProof/>
        </w:rPr>
        <w:instrText xml:space="preserve"> SEQ Table \* ARABIC </w:instrText>
      </w:r>
      <w:r>
        <w:rPr>
          <w:noProof/>
        </w:rPr>
        <w:fldChar w:fldCharType="separate"/>
      </w:r>
      <w:r w:rsidR="00CA1DBA">
        <w:rPr>
          <w:noProof/>
        </w:rPr>
        <w:t>2</w:t>
      </w:r>
      <w:r>
        <w:rPr>
          <w:noProof/>
        </w:rPr>
        <w:fldChar w:fldCharType="end"/>
      </w:r>
      <w:r>
        <w:t xml:space="preserve"> </w:t>
      </w:r>
      <w:r w:rsidR="00EE72EE">
        <w:t>P</w:t>
      </w:r>
      <w:r w:rsidR="00372089" w:rsidRPr="00372089">
        <w:t>otential carrier</w:t>
      </w:r>
      <w:r w:rsidR="00EE72EE">
        <w:t>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7F73EC" w14:paraId="297654F6" w14:textId="77777777" w:rsidTr="00395270">
        <w:trPr>
          <w:cantSplit/>
          <w:trHeight w:val="300"/>
          <w:tblHeader/>
        </w:trPr>
        <w:tc>
          <w:tcPr>
            <w:tcW w:w="2500" w:type="pct"/>
            <w:tcBorders>
              <w:top w:val="single" w:sz="4" w:space="0" w:color="auto"/>
              <w:bottom w:val="single" w:sz="4" w:space="0" w:color="auto"/>
            </w:tcBorders>
            <w:noWrap/>
          </w:tcPr>
          <w:p w14:paraId="688AFA5E" w14:textId="77777777" w:rsidR="007F73EC" w:rsidRDefault="007F73EC" w:rsidP="00395270">
            <w:pPr>
              <w:pStyle w:val="TableHeading"/>
            </w:pPr>
            <w:r>
              <w:t>Common name</w:t>
            </w:r>
          </w:p>
        </w:tc>
        <w:tc>
          <w:tcPr>
            <w:tcW w:w="2500" w:type="pct"/>
            <w:tcBorders>
              <w:top w:val="single" w:sz="4" w:space="0" w:color="auto"/>
              <w:bottom w:val="single" w:sz="4" w:space="0" w:color="auto"/>
            </w:tcBorders>
            <w:noWrap/>
          </w:tcPr>
          <w:p w14:paraId="36B3C416" w14:textId="77777777" w:rsidR="007F73EC" w:rsidRDefault="007F73EC" w:rsidP="00395270">
            <w:pPr>
              <w:pStyle w:val="TableHeading"/>
            </w:pPr>
            <w:r>
              <w:t>Scientific name</w:t>
            </w:r>
          </w:p>
        </w:tc>
      </w:tr>
      <w:tr w:rsidR="00372089" w14:paraId="4BDA0795" w14:textId="77777777" w:rsidTr="00395270">
        <w:trPr>
          <w:cantSplit/>
          <w:trHeight w:val="315"/>
        </w:trPr>
        <w:tc>
          <w:tcPr>
            <w:tcW w:w="2500" w:type="pct"/>
            <w:tcBorders>
              <w:top w:val="single" w:sz="4" w:space="0" w:color="auto"/>
            </w:tcBorders>
            <w:noWrap/>
          </w:tcPr>
          <w:p w14:paraId="3BA63A75" w14:textId="183BA66C" w:rsidR="00372089" w:rsidRDefault="00372089" w:rsidP="00372089">
            <w:pPr>
              <w:pStyle w:val="TableText"/>
              <w:tabs>
                <w:tab w:val="left" w:pos="1640"/>
              </w:tabs>
            </w:pPr>
            <w:r w:rsidRPr="00B870BA">
              <w:t>Atlantic sturgeon</w:t>
            </w:r>
          </w:p>
        </w:tc>
        <w:tc>
          <w:tcPr>
            <w:tcW w:w="2500" w:type="pct"/>
            <w:tcBorders>
              <w:top w:val="single" w:sz="4" w:space="0" w:color="auto"/>
            </w:tcBorders>
            <w:noWrap/>
          </w:tcPr>
          <w:p w14:paraId="731D7337" w14:textId="2C867A66" w:rsidR="00372089" w:rsidRPr="00D75D59" w:rsidRDefault="00372089" w:rsidP="00372089">
            <w:pPr>
              <w:pStyle w:val="TableText"/>
              <w:rPr>
                <w:rStyle w:val="Emphasis"/>
              </w:rPr>
            </w:pPr>
            <w:r w:rsidRPr="00D75D59">
              <w:rPr>
                <w:rStyle w:val="Emphasis"/>
              </w:rPr>
              <w:t>Acipenser oxyrinchus</w:t>
            </w:r>
          </w:p>
        </w:tc>
      </w:tr>
      <w:tr w:rsidR="00372089" w14:paraId="77097DE5" w14:textId="77777777" w:rsidTr="00395270">
        <w:trPr>
          <w:cantSplit/>
          <w:trHeight w:val="315"/>
        </w:trPr>
        <w:tc>
          <w:tcPr>
            <w:tcW w:w="2500" w:type="pct"/>
            <w:noWrap/>
          </w:tcPr>
          <w:p w14:paraId="0661A9B0" w14:textId="60FC5653" w:rsidR="00372089" w:rsidRDefault="00372089" w:rsidP="00372089">
            <w:pPr>
              <w:pStyle w:val="TableText"/>
            </w:pPr>
            <w:r w:rsidRPr="00B870BA">
              <w:t>Common roach</w:t>
            </w:r>
          </w:p>
        </w:tc>
        <w:tc>
          <w:tcPr>
            <w:tcW w:w="2500" w:type="pct"/>
            <w:noWrap/>
          </w:tcPr>
          <w:p w14:paraId="6BB76E25" w14:textId="523471A8" w:rsidR="00372089" w:rsidRPr="00D75D59" w:rsidRDefault="00372089" w:rsidP="00372089">
            <w:pPr>
              <w:pStyle w:val="TableText"/>
              <w:rPr>
                <w:rStyle w:val="Emphasis"/>
                <w:rFonts w:eastAsia="SimSun"/>
              </w:rPr>
            </w:pPr>
            <w:r w:rsidRPr="00D75D59">
              <w:rPr>
                <w:rStyle w:val="Emphasis"/>
              </w:rPr>
              <w:t>Rutilus rutilus</w:t>
            </w:r>
          </w:p>
        </w:tc>
      </w:tr>
      <w:tr w:rsidR="00372089" w14:paraId="77064B71" w14:textId="77777777" w:rsidTr="00395270">
        <w:trPr>
          <w:cantSplit/>
          <w:trHeight w:val="315"/>
        </w:trPr>
        <w:tc>
          <w:tcPr>
            <w:tcW w:w="2500" w:type="pct"/>
            <w:noWrap/>
          </w:tcPr>
          <w:p w14:paraId="422FAF28" w14:textId="30566E59" w:rsidR="00372089" w:rsidRDefault="00372089" w:rsidP="00372089">
            <w:pPr>
              <w:pStyle w:val="TableText"/>
            </w:pPr>
            <w:r w:rsidRPr="00B870BA">
              <w:t>Crucian carp</w:t>
            </w:r>
          </w:p>
        </w:tc>
        <w:tc>
          <w:tcPr>
            <w:tcW w:w="2500" w:type="pct"/>
            <w:noWrap/>
          </w:tcPr>
          <w:p w14:paraId="3A5F59D6" w14:textId="278D886A" w:rsidR="00372089" w:rsidRPr="00D75D59" w:rsidRDefault="00372089" w:rsidP="00372089">
            <w:pPr>
              <w:pStyle w:val="TableText"/>
              <w:rPr>
                <w:rStyle w:val="Emphasis"/>
                <w:rFonts w:eastAsia="SimSun"/>
              </w:rPr>
            </w:pPr>
            <w:r w:rsidRPr="00D75D59">
              <w:rPr>
                <w:rStyle w:val="Emphasis"/>
              </w:rPr>
              <w:t>Carassius carassius</w:t>
            </w:r>
          </w:p>
        </w:tc>
      </w:tr>
      <w:tr w:rsidR="00372089" w14:paraId="20CC33C9" w14:textId="77777777" w:rsidTr="00395270">
        <w:trPr>
          <w:cantSplit/>
          <w:trHeight w:val="315"/>
        </w:trPr>
        <w:tc>
          <w:tcPr>
            <w:tcW w:w="2500" w:type="pct"/>
            <w:noWrap/>
          </w:tcPr>
          <w:p w14:paraId="4789330C" w14:textId="39091DE3" w:rsidR="00372089" w:rsidRDefault="00372089" w:rsidP="00372089">
            <w:pPr>
              <w:pStyle w:val="TableText"/>
            </w:pPr>
            <w:r w:rsidRPr="00B870BA">
              <w:t>Eurasian ruffe</w:t>
            </w:r>
          </w:p>
        </w:tc>
        <w:tc>
          <w:tcPr>
            <w:tcW w:w="2500" w:type="pct"/>
            <w:noWrap/>
          </w:tcPr>
          <w:p w14:paraId="75783D15" w14:textId="16676437" w:rsidR="00372089" w:rsidRPr="00D75D59" w:rsidRDefault="00372089" w:rsidP="00372089">
            <w:pPr>
              <w:pStyle w:val="TableText"/>
              <w:rPr>
                <w:rStyle w:val="Emphasis"/>
                <w:rFonts w:eastAsia="SimSun"/>
              </w:rPr>
            </w:pPr>
            <w:r w:rsidRPr="00D75D59">
              <w:rPr>
                <w:rStyle w:val="Emphasis"/>
              </w:rPr>
              <w:t>Gymnocephalus cernua</w:t>
            </w:r>
          </w:p>
        </w:tc>
      </w:tr>
      <w:tr w:rsidR="00372089" w14:paraId="74B9AFFF" w14:textId="77777777" w:rsidTr="00395270">
        <w:trPr>
          <w:cantSplit/>
          <w:trHeight w:val="315"/>
        </w:trPr>
        <w:tc>
          <w:tcPr>
            <w:tcW w:w="2500" w:type="pct"/>
            <w:noWrap/>
          </w:tcPr>
          <w:p w14:paraId="79609FD7" w14:textId="196F7DEA" w:rsidR="00372089" w:rsidRPr="00505B06" w:rsidRDefault="00372089" w:rsidP="00372089">
            <w:pPr>
              <w:pStyle w:val="TableText"/>
            </w:pPr>
            <w:r w:rsidRPr="00B870BA">
              <w:t>Goldfish or shubunkin</w:t>
            </w:r>
          </w:p>
        </w:tc>
        <w:tc>
          <w:tcPr>
            <w:tcW w:w="2500" w:type="pct"/>
            <w:noWrap/>
          </w:tcPr>
          <w:p w14:paraId="0AE0FF95" w14:textId="1FA2A5DB" w:rsidR="00372089" w:rsidRPr="00D75D59" w:rsidRDefault="00372089" w:rsidP="00372089">
            <w:pPr>
              <w:pStyle w:val="TableText"/>
              <w:rPr>
                <w:rStyle w:val="Emphasis"/>
              </w:rPr>
            </w:pPr>
            <w:r w:rsidRPr="00D75D59">
              <w:rPr>
                <w:rStyle w:val="Emphasis"/>
              </w:rPr>
              <w:t>Carassius auratus</w:t>
            </w:r>
          </w:p>
        </w:tc>
      </w:tr>
      <w:tr w:rsidR="00372089" w14:paraId="7A3E2C3E" w14:textId="77777777" w:rsidTr="00395270">
        <w:trPr>
          <w:cantSplit/>
          <w:trHeight w:val="315"/>
        </w:trPr>
        <w:tc>
          <w:tcPr>
            <w:tcW w:w="2500" w:type="pct"/>
            <w:noWrap/>
          </w:tcPr>
          <w:p w14:paraId="7A53F6F7" w14:textId="44BFA793" w:rsidR="00372089" w:rsidRPr="00505B06" w:rsidRDefault="00372089" w:rsidP="00372089">
            <w:pPr>
              <w:pStyle w:val="TableText"/>
            </w:pPr>
            <w:r w:rsidRPr="00B870BA">
              <w:t>Grass carp</w:t>
            </w:r>
          </w:p>
        </w:tc>
        <w:tc>
          <w:tcPr>
            <w:tcW w:w="2500" w:type="pct"/>
            <w:noWrap/>
          </w:tcPr>
          <w:p w14:paraId="02365A98" w14:textId="377F6617" w:rsidR="00372089" w:rsidRPr="00D75D59" w:rsidRDefault="00372089" w:rsidP="00372089">
            <w:pPr>
              <w:pStyle w:val="TableText"/>
              <w:rPr>
                <w:rStyle w:val="Emphasis"/>
              </w:rPr>
            </w:pPr>
            <w:r w:rsidRPr="00D75D59">
              <w:rPr>
                <w:rStyle w:val="Emphasis"/>
              </w:rPr>
              <w:t>Ctenopharyngodon idella</w:t>
            </w:r>
          </w:p>
        </w:tc>
      </w:tr>
      <w:tr w:rsidR="00372089" w14:paraId="4AC251C1" w14:textId="77777777" w:rsidTr="00395270">
        <w:trPr>
          <w:cantSplit/>
          <w:trHeight w:val="315"/>
        </w:trPr>
        <w:tc>
          <w:tcPr>
            <w:tcW w:w="2500" w:type="pct"/>
            <w:noWrap/>
          </w:tcPr>
          <w:p w14:paraId="36BBA368" w14:textId="16524534" w:rsidR="00372089" w:rsidRDefault="00372089" w:rsidP="00372089">
            <w:pPr>
              <w:pStyle w:val="TableText"/>
            </w:pPr>
            <w:r w:rsidRPr="00B870BA">
              <w:t>Ide</w:t>
            </w:r>
          </w:p>
        </w:tc>
        <w:tc>
          <w:tcPr>
            <w:tcW w:w="2500" w:type="pct"/>
            <w:noWrap/>
          </w:tcPr>
          <w:p w14:paraId="5778A798" w14:textId="3987E94E" w:rsidR="00372089" w:rsidRPr="00D75D59" w:rsidRDefault="00372089" w:rsidP="00372089">
            <w:pPr>
              <w:pStyle w:val="TableText"/>
              <w:rPr>
                <w:rStyle w:val="Emphasis"/>
              </w:rPr>
            </w:pPr>
            <w:r w:rsidRPr="00D75D59">
              <w:rPr>
                <w:rStyle w:val="Emphasis"/>
              </w:rPr>
              <w:t>Leuciscus idus</w:t>
            </w:r>
          </w:p>
        </w:tc>
      </w:tr>
      <w:tr w:rsidR="00372089" w14:paraId="42A53FDB" w14:textId="77777777" w:rsidTr="00395270">
        <w:trPr>
          <w:cantSplit/>
          <w:trHeight w:val="315"/>
        </w:trPr>
        <w:tc>
          <w:tcPr>
            <w:tcW w:w="2500" w:type="pct"/>
            <w:noWrap/>
          </w:tcPr>
          <w:p w14:paraId="76693F4D" w14:textId="71572177" w:rsidR="00372089" w:rsidRDefault="00372089" w:rsidP="00372089">
            <w:pPr>
              <w:pStyle w:val="TableText"/>
            </w:pPr>
            <w:r w:rsidRPr="00B870BA">
              <w:t>Redfin or European perch</w:t>
            </w:r>
          </w:p>
        </w:tc>
        <w:tc>
          <w:tcPr>
            <w:tcW w:w="2500" w:type="pct"/>
            <w:noWrap/>
          </w:tcPr>
          <w:p w14:paraId="3EAE5FFD" w14:textId="76FA11FC" w:rsidR="00372089" w:rsidRPr="00D75D59" w:rsidRDefault="00372089" w:rsidP="00372089">
            <w:pPr>
              <w:pStyle w:val="TableText"/>
              <w:rPr>
                <w:rStyle w:val="Emphasis"/>
              </w:rPr>
            </w:pPr>
            <w:r w:rsidRPr="00D75D59">
              <w:rPr>
                <w:rStyle w:val="Emphasis"/>
              </w:rPr>
              <w:t>Perca fluviatilis</w:t>
            </w:r>
          </w:p>
        </w:tc>
      </w:tr>
      <w:tr w:rsidR="00372089" w14:paraId="4213695D" w14:textId="77777777" w:rsidTr="00395270">
        <w:trPr>
          <w:cantSplit/>
          <w:trHeight w:val="315"/>
        </w:trPr>
        <w:tc>
          <w:tcPr>
            <w:tcW w:w="2500" w:type="pct"/>
            <w:noWrap/>
          </w:tcPr>
          <w:p w14:paraId="6380CAB2" w14:textId="3BCA3A6F" w:rsidR="00372089" w:rsidRDefault="00372089" w:rsidP="00372089">
            <w:pPr>
              <w:pStyle w:val="TableText"/>
            </w:pPr>
            <w:r w:rsidRPr="00B870BA">
              <w:t>Russian sturgeon</w:t>
            </w:r>
          </w:p>
        </w:tc>
        <w:tc>
          <w:tcPr>
            <w:tcW w:w="2500" w:type="pct"/>
            <w:noWrap/>
          </w:tcPr>
          <w:p w14:paraId="5EECEB80" w14:textId="5888C16A" w:rsidR="00372089" w:rsidRPr="00D75D59" w:rsidRDefault="00372089" w:rsidP="00372089">
            <w:pPr>
              <w:pStyle w:val="TableText"/>
              <w:rPr>
                <w:rStyle w:val="Emphasis"/>
              </w:rPr>
            </w:pPr>
            <w:r w:rsidRPr="00D75D59">
              <w:rPr>
                <w:rStyle w:val="Emphasis"/>
              </w:rPr>
              <w:t>Acipenser gueldenstaedtii</w:t>
            </w:r>
          </w:p>
        </w:tc>
      </w:tr>
      <w:tr w:rsidR="00372089" w14:paraId="36D0F90C" w14:textId="77777777" w:rsidTr="00395270">
        <w:trPr>
          <w:cantSplit/>
          <w:trHeight w:val="315"/>
        </w:trPr>
        <w:tc>
          <w:tcPr>
            <w:tcW w:w="2500" w:type="pct"/>
            <w:noWrap/>
          </w:tcPr>
          <w:p w14:paraId="0D0D0BAA" w14:textId="0F41586D" w:rsidR="00372089" w:rsidRPr="00B870BA" w:rsidRDefault="00372089" w:rsidP="00372089">
            <w:pPr>
              <w:pStyle w:val="TableText"/>
            </w:pPr>
            <w:r w:rsidRPr="005C55A2">
              <w:lastRenderedPageBreak/>
              <w:t>Silver carp</w:t>
            </w:r>
          </w:p>
        </w:tc>
        <w:tc>
          <w:tcPr>
            <w:tcW w:w="2500" w:type="pct"/>
            <w:noWrap/>
          </w:tcPr>
          <w:p w14:paraId="4885245E" w14:textId="58E9F41C" w:rsidR="00372089" w:rsidRPr="00D75D59" w:rsidRDefault="00372089" w:rsidP="00372089">
            <w:pPr>
              <w:pStyle w:val="TableText"/>
              <w:rPr>
                <w:rStyle w:val="Emphasis"/>
              </w:rPr>
            </w:pPr>
            <w:r w:rsidRPr="00D75D59">
              <w:rPr>
                <w:rStyle w:val="Emphasis"/>
              </w:rPr>
              <w:t>Hypophthalmichthys molitrix</w:t>
            </w:r>
          </w:p>
        </w:tc>
      </w:tr>
      <w:tr w:rsidR="00372089" w14:paraId="446E49F6" w14:textId="77777777" w:rsidTr="00395270">
        <w:trPr>
          <w:cantSplit/>
          <w:trHeight w:val="315"/>
        </w:trPr>
        <w:tc>
          <w:tcPr>
            <w:tcW w:w="2500" w:type="pct"/>
            <w:noWrap/>
          </w:tcPr>
          <w:p w14:paraId="776139EF" w14:textId="2246BDF3" w:rsidR="00372089" w:rsidRPr="00B870BA" w:rsidRDefault="00372089" w:rsidP="00372089">
            <w:pPr>
              <w:pStyle w:val="TableText"/>
            </w:pPr>
            <w:r w:rsidRPr="005C55A2">
              <w:t>Tench</w:t>
            </w:r>
          </w:p>
        </w:tc>
        <w:tc>
          <w:tcPr>
            <w:tcW w:w="2500" w:type="pct"/>
            <w:noWrap/>
          </w:tcPr>
          <w:p w14:paraId="67F88760" w14:textId="0EF1DCB6" w:rsidR="00372089" w:rsidRPr="00D75D59" w:rsidRDefault="00372089" w:rsidP="00372089">
            <w:pPr>
              <w:pStyle w:val="TableText"/>
              <w:rPr>
                <w:rStyle w:val="Emphasis"/>
              </w:rPr>
            </w:pPr>
            <w:r w:rsidRPr="00D75D59">
              <w:rPr>
                <w:rStyle w:val="Emphasis"/>
              </w:rPr>
              <w:t>Tinca tinca</w:t>
            </w:r>
          </w:p>
        </w:tc>
      </w:tr>
    </w:tbl>
    <w:p w14:paraId="7F3038DF" w14:textId="4EF787A2" w:rsidR="00372089" w:rsidRDefault="00372089" w:rsidP="005C54CB">
      <w:pPr>
        <w:pStyle w:val="Caption"/>
        <w:spacing w:before="120"/>
      </w:pPr>
      <w:r>
        <w:t xml:space="preserve">Table </w:t>
      </w:r>
      <w:r>
        <w:rPr>
          <w:noProof/>
        </w:rPr>
        <w:fldChar w:fldCharType="begin"/>
      </w:r>
      <w:r>
        <w:rPr>
          <w:noProof/>
        </w:rPr>
        <w:instrText xml:space="preserve"> SEQ Table \* ARABIC </w:instrText>
      </w:r>
      <w:r>
        <w:rPr>
          <w:noProof/>
        </w:rPr>
        <w:fldChar w:fldCharType="separate"/>
      </w:r>
      <w:r w:rsidR="00CA1DBA">
        <w:rPr>
          <w:noProof/>
        </w:rPr>
        <w:t>3</w:t>
      </w:r>
      <w:r>
        <w:rPr>
          <w:noProof/>
        </w:rPr>
        <w:fldChar w:fldCharType="end"/>
      </w:r>
      <w:r>
        <w:t xml:space="preserve"> </w:t>
      </w:r>
      <w:r w:rsidRPr="00372089">
        <w:t xml:space="preserve">Non-fish carriers </w:t>
      </w:r>
    </w:p>
    <w:tbl>
      <w:tblPr>
        <w:tblW w:w="5000" w:type="pct"/>
        <w:tblBorders>
          <w:top w:val="single" w:sz="4" w:space="0" w:color="auto"/>
          <w:bottom w:val="single" w:sz="4" w:space="0" w:color="auto"/>
        </w:tblBorders>
        <w:tblLook w:val="04A0" w:firstRow="1" w:lastRow="0" w:firstColumn="1" w:lastColumn="0" w:noHBand="0" w:noVBand="1"/>
      </w:tblPr>
      <w:tblGrid>
        <w:gridCol w:w="4537"/>
        <w:gridCol w:w="4533"/>
      </w:tblGrid>
      <w:tr w:rsidR="004E2257" w14:paraId="41146093" w14:textId="77777777" w:rsidTr="004E2257">
        <w:trPr>
          <w:cantSplit/>
          <w:trHeight w:val="300"/>
          <w:tblHeader/>
        </w:trPr>
        <w:tc>
          <w:tcPr>
            <w:tcW w:w="2501" w:type="pct"/>
            <w:tcBorders>
              <w:top w:val="single" w:sz="4" w:space="0" w:color="auto"/>
              <w:bottom w:val="single" w:sz="4" w:space="0" w:color="auto"/>
            </w:tcBorders>
            <w:noWrap/>
          </w:tcPr>
          <w:p w14:paraId="7802D1E6" w14:textId="77777777" w:rsidR="004E2257" w:rsidRDefault="004E2257" w:rsidP="005A5C5F">
            <w:pPr>
              <w:pStyle w:val="TableHeading"/>
            </w:pPr>
            <w:r>
              <w:t>Common name</w:t>
            </w:r>
          </w:p>
        </w:tc>
        <w:tc>
          <w:tcPr>
            <w:tcW w:w="2499" w:type="pct"/>
            <w:tcBorders>
              <w:top w:val="single" w:sz="4" w:space="0" w:color="auto"/>
              <w:bottom w:val="single" w:sz="4" w:space="0" w:color="auto"/>
            </w:tcBorders>
            <w:noWrap/>
          </w:tcPr>
          <w:p w14:paraId="1F3B4D62" w14:textId="1EC01D49" w:rsidR="004E2257" w:rsidRDefault="004E2257" w:rsidP="005A5C5F">
            <w:pPr>
              <w:pStyle w:val="TableHeading"/>
            </w:pPr>
            <w:r>
              <w:t>Scientific name</w:t>
            </w:r>
          </w:p>
        </w:tc>
      </w:tr>
      <w:tr w:rsidR="004E2257" w14:paraId="1DE17429" w14:textId="77777777" w:rsidTr="004E2257">
        <w:trPr>
          <w:cantSplit/>
          <w:trHeight w:val="315"/>
        </w:trPr>
        <w:tc>
          <w:tcPr>
            <w:tcW w:w="2501" w:type="pct"/>
            <w:tcBorders>
              <w:top w:val="single" w:sz="4" w:space="0" w:color="auto"/>
            </w:tcBorders>
            <w:noWrap/>
          </w:tcPr>
          <w:p w14:paraId="45C9B52E" w14:textId="69B56D5B" w:rsidR="004E2257" w:rsidRDefault="004E2257" w:rsidP="00372089">
            <w:pPr>
              <w:pStyle w:val="TableText"/>
              <w:tabs>
                <w:tab w:val="left" w:pos="1640"/>
              </w:tabs>
            </w:pPr>
            <w:r w:rsidRPr="003B5757">
              <w:t>Amphipods</w:t>
            </w:r>
          </w:p>
        </w:tc>
        <w:tc>
          <w:tcPr>
            <w:tcW w:w="2499" w:type="pct"/>
            <w:tcBorders>
              <w:top w:val="single" w:sz="4" w:space="0" w:color="auto"/>
            </w:tcBorders>
            <w:noWrap/>
          </w:tcPr>
          <w:p w14:paraId="66386E04" w14:textId="14D30670" w:rsidR="004E2257" w:rsidRPr="00D75D59" w:rsidRDefault="004E2257" w:rsidP="00372089">
            <w:pPr>
              <w:pStyle w:val="TableText"/>
              <w:rPr>
                <w:rStyle w:val="Emphasis"/>
              </w:rPr>
            </w:pPr>
            <w:r w:rsidRPr="00D75D59">
              <w:rPr>
                <w:rStyle w:val="Emphasis"/>
              </w:rPr>
              <w:t>Gammarus pulex</w:t>
            </w:r>
          </w:p>
        </w:tc>
      </w:tr>
      <w:tr w:rsidR="004E2257" w14:paraId="30E14F9E" w14:textId="77777777" w:rsidTr="004E2257">
        <w:trPr>
          <w:cantSplit/>
          <w:trHeight w:val="315"/>
        </w:trPr>
        <w:tc>
          <w:tcPr>
            <w:tcW w:w="2501" w:type="pct"/>
            <w:noWrap/>
          </w:tcPr>
          <w:p w14:paraId="6D32012A" w14:textId="787EEC13" w:rsidR="004E2257" w:rsidRDefault="004E2257" w:rsidP="00372089">
            <w:pPr>
              <w:pStyle w:val="TableText"/>
            </w:pPr>
            <w:r w:rsidRPr="003B5757">
              <w:t xml:space="preserve">Swan mussels </w:t>
            </w:r>
          </w:p>
        </w:tc>
        <w:tc>
          <w:tcPr>
            <w:tcW w:w="2499" w:type="pct"/>
            <w:noWrap/>
          </w:tcPr>
          <w:p w14:paraId="326391E8" w14:textId="754EB36B" w:rsidR="004E2257" w:rsidRPr="00D75D59" w:rsidRDefault="004E2257" w:rsidP="00372089">
            <w:pPr>
              <w:pStyle w:val="TableText"/>
              <w:rPr>
                <w:rStyle w:val="Emphasis"/>
                <w:rFonts w:eastAsia="SimSun"/>
              </w:rPr>
            </w:pPr>
            <w:r w:rsidRPr="00D75D59">
              <w:rPr>
                <w:rStyle w:val="Emphasis"/>
              </w:rPr>
              <w:t>Anodonta cygnea</w:t>
            </w:r>
          </w:p>
        </w:tc>
      </w:tr>
    </w:tbl>
    <w:p w14:paraId="07189146" w14:textId="77777777" w:rsidR="00ED0614" w:rsidRDefault="00E260DC">
      <w:pPr>
        <w:pStyle w:val="Heading2"/>
      </w:pPr>
      <w:r>
        <w:t>Presence in Australia</w:t>
      </w:r>
    </w:p>
    <w:p w14:paraId="12DFE40E" w14:textId="277F361A" w:rsidR="00FD7D78" w:rsidRDefault="004B703A">
      <w:pPr>
        <w:keepNext/>
        <w:keepLines/>
      </w:pPr>
      <w:r w:rsidRPr="004B703A">
        <w:t>Exotic disease—not recorded in Australia.</w:t>
      </w:r>
    </w:p>
    <w:p w14:paraId="0E915BBC" w14:textId="2DD24B4C" w:rsidR="00162F1F" w:rsidRDefault="00D75D59">
      <w:pPr>
        <w:keepNext/>
        <w:keepLines/>
      </w:pPr>
      <w:r w:rsidRPr="00D75D59">
        <w:t>KHV has not been recorded from Australia, and is considered exotic. The potential use of KHV as a biological control for introduced populations of European carp is being investigated.</w:t>
      </w:r>
    </w:p>
    <w:p w14:paraId="55B0F228" w14:textId="25B13747"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CA1DBA">
        <w:rPr>
          <w:noProof/>
        </w:rPr>
        <w:t>1</w:t>
      </w:r>
      <w:r>
        <w:rPr>
          <w:noProof/>
        </w:rPr>
        <w:fldChar w:fldCharType="end"/>
      </w:r>
      <w:r>
        <w:t xml:space="preserve"> Presence </w:t>
      </w:r>
      <w:r w:rsidR="004B703A" w:rsidRPr="004B703A">
        <w:t xml:space="preserve">of </w:t>
      </w:r>
      <w:r w:rsidR="00A10F62">
        <w:t>KHV</w:t>
      </w:r>
      <w:r>
        <w:t>, by jurisdiction</w:t>
      </w:r>
    </w:p>
    <w:p w14:paraId="0046BA22" w14:textId="77777777" w:rsidR="00ED0614" w:rsidRDefault="00E260DC">
      <w:r>
        <w:rPr>
          <w:noProof/>
          <w:lang w:eastAsia="en-AU"/>
        </w:rPr>
        <w:drawing>
          <wp:inline distT="0" distB="0" distL="0" distR="0" wp14:anchorId="1C3B5809" wp14:editId="7EAC54EB">
            <wp:extent cx="4137772" cy="2946411"/>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2" cstate="print">
                      <a:extLst>
                        <a:ext uri="{28A0092B-C50C-407E-A947-70E740481C1C}">
                          <a14:useLocalDpi xmlns:a14="http://schemas.microsoft.com/office/drawing/2010/main"/>
                        </a:ext>
                      </a:extLst>
                    </a:blip>
                    <a:stretch>
                      <a:fillRect/>
                    </a:stretch>
                  </pic:blipFill>
                  <pic:spPr>
                    <a:xfrm>
                      <a:off x="0" y="0"/>
                      <a:ext cx="4137772" cy="2946411"/>
                    </a:xfrm>
                    <a:prstGeom prst="rect">
                      <a:avLst/>
                    </a:prstGeom>
                  </pic:spPr>
                </pic:pic>
              </a:graphicData>
            </a:graphic>
          </wp:inline>
        </w:drawing>
      </w:r>
    </w:p>
    <w:p w14:paraId="345F5669" w14:textId="77777777" w:rsidR="00ED0614" w:rsidRDefault="00E260DC" w:rsidP="002521EC">
      <w:pPr>
        <w:pStyle w:val="Heading2"/>
        <w:keepLines/>
      </w:pPr>
      <w:r>
        <w:t>Epidemiology</w:t>
      </w:r>
    </w:p>
    <w:p w14:paraId="1B530B28" w14:textId="07EDFAC2" w:rsidR="00D75D59" w:rsidRDefault="00D75D59" w:rsidP="00D75D59">
      <w:pPr>
        <w:pStyle w:val="ListBullet"/>
      </w:pPr>
      <w:r>
        <w:t>An outbreak of KHVD in Japan during the spring of</w:t>
      </w:r>
      <w:r w:rsidR="00A10F62">
        <w:t> </w:t>
      </w:r>
      <w:r>
        <w:t>2004 occurred in wild carp populations in water temperatures of 15</w:t>
      </w:r>
      <w:r w:rsidR="00A10F62">
        <w:t> to </w:t>
      </w:r>
      <w:r>
        <w:t>16°C. Most of the dead fish were adult. In the field, it appears that adult carp are more susceptible than juveniles.</w:t>
      </w:r>
    </w:p>
    <w:p w14:paraId="5BDFB07B" w14:textId="1997F7A0" w:rsidR="00D75D59" w:rsidRDefault="00D75D59" w:rsidP="00D75D59">
      <w:pPr>
        <w:pStyle w:val="ListBullet"/>
      </w:pPr>
      <w:r>
        <w:t>The virus may survive at low temperatures (5</w:t>
      </w:r>
      <w:r w:rsidR="00A10F62">
        <w:rPr>
          <w:rFonts w:cstheme="minorHAnsi"/>
        </w:rPr>
        <w:t>°</w:t>
      </w:r>
      <w:r>
        <w:t>C), but the temperature range for disease outbreaks is primarily between</w:t>
      </w:r>
      <w:r w:rsidR="00A10F62">
        <w:t> </w:t>
      </w:r>
      <w:r>
        <w:t>16°C and</w:t>
      </w:r>
      <w:r w:rsidR="00A10F62">
        <w:t> </w:t>
      </w:r>
      <w:r>
        <w:t>25°C. Mortalities commonly appear between</w:t>
      </w:r>
      <w:r w:rsidR="00A10F62">
        <w:t> </w:t>
      </w:r>
      <w:r>
        <w:t>22°C and</w:t>
      </w:r>
      <w:r w:rsidR="00A10F62">
        <w:t> </w:t>
      </w:r>
      <w:r>
        <w:t>25°C, with few at temperatures above</w:t>
      </w:r>
      <w:r w:rsidR="00A10F62">
        <w:t> </w:t>
      </w:r>
      <w:r>
        <w:t>30°C.</w:t>
      </w:r>
    </w:p>
    <w:p w14:paraId="2F824C4E" w14:textId="7B3294BA" w:rsidR="00D75D59" w:rsidRDefault="00D75D59" w:rsidP="00D75D59">
      <w:pPr>
        <w:pStyle w:val="ListBullet"/>
      </w:pPr>
      <w:r>
        <w:t>The disease affects all age classes of common and koi carp</w:t>
      </w:r>
      <w:r w:rsidR="005E5C96">
        <w:t xml:space="preserve">, occurring </w:t>
      </w:r>
      <w:r>
        <w:t>in fingerlings, juveniles and adults.</w:t>
      </w:r>
    </w:p>
    <w:p w14:paraId="34B61C36" w14:textId="77777777" w:rsidR="00D75D59" w:rsidRDefault="00D75D59" w:rsidP="00D75D59">
      <w:pPr>
        <w:pStyle w:val="ListBullet"/>
      </w:pPr>
      <w:r>
        <w:t>Moving infected fish from cool (13°C) to warm (23°C) water results in rapid onset of mortality.</w:t>
      </w:r>
    </w:p>
    <w:p w14:paraId="49650F38" w14:textId="07823B68" w:rsidR="00D75D59" w:rsidRDefault="00D75D59" w:rsidP="00D75D59">
      <w:pPr>
        <w:pStyle w:val="ListBullet"/>
      </w:pPr>
      <w:r>
        <w:t>Mortality rates can vary between</w:t>
      </w:r>
      <w:r w:rsidR="00A10F62">
        <w:t> </w:t>
      </w:r>
      <w:r>
        <w:t>70% and</w:t>
      </w:r>
      <w:r w:rsidR="00A10F62">
        <w:t> </w:t>
      </w:r>
      <w:r>
        <w:t>100%.</w:t>
      </w:r>
    </w:p>
    <w:p w14:paraId="4505BBBF" w14:textId="77777777" w:rsidR="00D75D59" w:rsidRDefault="00D75D59" w:rsidP="00D75D59">
      <w:pPr>
        <w:pStyle w:val="ListBullet"/>
      </w:pPr>
      <w:r>
        <w:lastRenderedPageBreak/>
        <w:t>Reservoirs of KHV are clinically infected fish and covert carriers. Virus is shed via faeces, urine, gills and skin mucus.</w:t>
      </w:r>
    </w:p>
    <w:p w14:paraId="08007784" w14:textId="77777777" w:rsidR="00D75D59" w:rsidRDefault="00D75D59" w:rsidP="00D75D59">
      <w:pPr>
        <w:pStyle w:val="ListBullet"/>
      </w:pPr>
      <w:r>
        <w:t>Transmission of KHV is horizontal, mainly via water, but possibly via animal vectors and fomites.</w:t>
      </w:r>
    </w:p>
    <w:p w14:paraId="14F5B05D" w14:textId="77777777" w:rsidR="00D75D59" w:rsidRDefault="00D75D59" w:rsidP="00D75D59">
      <w:pPr>
        <w:pStyle w:val="ListBullet"/>
      </w:pPr>
      <w:r>
        <w:t>Vertical transmission cannot be excluded as a possible transmission route.</w:t>
      </w:r>
    </w:p>
    <w:p w14:paraId="45CF7725" w14:textId="2A2DAEE5" w:rsidR="00ED0614" w:rsidRDefault="00D75D59" w:rsidP="00D75D59">
      <w:pPr>
        <w:pStyle w:val="ListBullet"/>
      </w:pPr>
      <w:r>
        <w:t>Secondary gill infections (</w:t>
      </w:r>
      <w:r w:rsidR="00A10F62">
        <w:t>including</w:t>
      </w:r>
      <w:r>
        <w:t xml:space="preserve"> </w:t>
      </w:r>
      <w:r w:rsidRPr="00D75D59">
        <w:rPr>
          <w:rStyle w:val="Emphasis"/>
        </w:rPr>
        <w:t>Flavobacterium columnare</w:t>
      </w:r>
      <w:r>
        <w:t xml:space="preserve"> and </w:t>
      </w:r>
      <w:r w:rsidRPr="00D75D59">
        <w:rPr>
          <w:rStyle w:val="Emphasis"/>
        </w:rPr>
        <w:t>Aeromonas</w:t>
      </w:r>
      <w:r>
        <w:t xml:space="preserve"> spp.) are often associated with KHV infection</w:t>
      </w:r>
      <w:r w:rsidR="00162F1F">
        <w:t>.</w:t>
      </w:r>
    </w:p>
    <w:p w14:paraId="431A90C5" w14:textId="77777777" w:rsidR="00ED0614" w:rsidRDefault="00E260DC">
      <w:pPr>
        <w:pStyle w:val="Heading2"/>
      </w:pPr>
      <w:r>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1" w:name="_Similar_diseases"/>
      <w:bookmarkEnd w:id="1"/>
      <w:r>
        <w:t>Similar diseases</w:t>
      </w:r>
    </w:p>
    <w:p w14:paraId="3085BBD7" w14:textId="11812176" w:rsidR="00ED0614" w:rsidRDefault="00D75D59">
      <w:r w:rsidRPr="00D75D59">
        <w:t xml:space="preserve">Infection with </w:t>
      </w:r>
      <w:r w:rsidRPr="00A10F62">
        <w:rPr>
          <w:rStyle w:val="Emphasis"/>
        </w:rPr>
        <w:t>Aeromonas salmonicida</w:t>
      </w:r>
      <w:r w:rsidR="00A10F62">
        <w:rPr>
          <w:rStyle w:val="Emphasis"/>
        </w:rPr>
        <w:t>—</w:t>
      </w:r>
      <w:r w:rsidRPr="00D75D59">
        <w:t xml:space="preserve">atypical strains, infection with </w:t>
      </w:r>
      <w:r w:rsidRPr="00A10F62">
        <w:rPr>
          <w:rStyle w:val="Emphasis"/>
        </w:rPr>
        <w:t>Aphanomyces invadans</w:t>
      </w:r>
      <w:r w:rsidRPr="00D75D59">
        <w:t xml:space="preserve"> (EUS)</w:t>
      </w:r>
      <w:r w:rsidR="00A10F62">
        <w:t xml:space="preserve"> and</w:t>
      </w:r>
      <w:r w:rsidRPr="00D75D59">
        <w:t xml:space="preserve"> spring viraemia of carp (SVC)</w:t>
      </w:r>
      <w:r w:rsidR="00917BB4">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sidP="00270423">
      <w:pPr>
        <w:keepNext/>
      </w:pPr>
      <w:r>
        <w:t>See something you think is this disease? Report it. Even if you’re not sure.</w:t>
      </w:r>
    </w:p>
    <w:p w14:paraId="57CF72E2" w14:textId="3DD8C984" w:rsidR="002521EC" w:rsidRPr="002521EC" w:rsidRDefault="00E260DC" w:rsidP="004A5DDC">
      <w:pPr>
        <w:rPr>
          <w:lang w:eastAsia="ja-JP"/>
        </w:rPr>
      </w:pPr>
      <w:r>
        <w:t xml:space="preserve">Call the Emergency Animal Disease Watch Hotline on </w:t>
      </w:r>
      <w:r w:rsidR="007B72EC">
        <w:rPr>
          <w:rStyle w:val="Strong"/>
        </w:rPr>
        <w:t>1800 675 888</w:t>
      </w:r>
      <w:r>
        <w:t>. They will refer you to the right state or territory agency.</w:t>
      </w:r>
    </w:p>
    <w:p w14:paraId="6B39C243" w14:textId="77777777" w:rsidR="00ED0614" w:rsidRDefault="00E260DC" w:rsidP="003C1061">
      <w:pPr>
        <w:pStyle w:val="Heading2"/>
        <w:keepLines/>
        <w:rPr>
          <w:rFonts w:ascii="Cambria" w:eastAsiaTheme="minorHAnsi" w:hAnsi="Cambria"/>
          <w:b w:val="0"/>
          <w:bCs w:val="0"/>
          <w:color w:val="auto"/>
          <w:sz w:val="22"/>
          <w:szCs w:val="22"/>
          <w:lang w:eastAsia="en-US"/>
        </w:rPr>
      </w:pPr>
      <w:r>
        <w:t>Further reading</w:t>
      </w:r>
    </w:p>
    <w:p w14:paraId="06F3CC3A" w14:textId="0F801A04" w:rsidR="00D75D59" w:rsidRDefault="00D75D59" w:rsidP="00D75D59">
      <w:r>
        <w:t xml:space="preserve">CABI Invasive Species Compendium </w:t>
      </w:r>
      <w:hyperlink r:id="rId13" w:history="1">
        <w:r w:rsidRPr="00D75D59">
          <w:rPr>
            <w:rStyle w:val="Hyperlink"/>
          </w:rPr>
          <w:t>Koi herpesvirus disease</w:t>
        </w:r>
      </w:hyperlink>
    </w:p>
    <w:p w14:paraId="28C946B1" w14:textId="4072C6CC" w:rsidR="00D75D59" w:rsidRDefault="00D75D59" w:rsidP="00D75D59">
      <w:r>
        <w:t>CEFAS International Database on Aquatic Animal Diseases</w:t>
      </w:r>
      <w:r w:rsidR="00792847">
        <w:t xml:space="preserve"> </w:t>
      </w:r>
      <w:hyperlink r:id="rId14" w:history="1">
        <w:r w:rsidR="00792847" w:rsidRPr="00792847">
          <w:rPr>
            <w:rStyle w:val="Hyperlink"/>
          </w:rPr>
          <w:t xml:space="preserve">Koi </w:t>
        </w:r>
        <w:r w:rsidR="00792847">
          <w:rPr>
            <w:rStyle w:val="Hyperlink"/>
          </w:rPr>
          <w:t xml:space="preserve">herpesvirus </w:t>
        </w:r>
        <w:r w:rsidR="00792847" w:rsidRPr="00792847">
          <w:rPr>
            <w:rStyle w:val="Hyperlink"/>
          </w:rPr>
          <w:t>disease</w:t>
        </w:r>
      </w:hyperlink>
    </w:p>
    <w:p w14:paraId="65AC697A" w14:textId="6ED0B558" w:rsidR="00BF271F" w:rsidRDefault="00BF271F" w:rsidP="00D75D59">
      <w:r w:rsidRPr="004A5DDC">
        <w:t xml:space="preserve">World Organisation for Animal Health </w:t>
      </w:r>
      <w:hyperlink r:id="rId15" w:history="1">
        <w:r w:rsidRPr="004A5DDC">
          <w:rPr>
            <w:rStyle w:val="Hyperlink"/>
          </w:rPr>
          <w:t>Manual o</w:t>
        </w:r>
        <w:r w:rsidR="00695FA8" w:rsidRPr="004A5DDC">
          <w:rPr>
            <w:rStyle w:val="Hyperlink"/>
          </w:rPr>
          <w:t>f diagnostic tests for aquatic an</w:t>
        </w:r>
        <w:r w:rsidRPr="004A5DDC">
          <w:rPr>
            <w:rStyle w:val="Hyperlink"/>
          </w:rPr>
          <w:t>imals</w:t>
        </w:r>
      </w:hyperlink>
    </w:p>
    <w:p w14:paraId="651B3923" w14:textId="0E41600F" w:rsidR="004B703A" w:rsidRDefault="004B703A" w:rsidP="00BF271F">
      <w:r>
        <w:t>Th</w:t>
      </w:r>
      <w:r w:rsidR="004A58F4">
        <w:t>ese</w:t>
      </w:r>
      <w:r>
        <w:t xml:space="preserve"> hyperlink</w:t>
      </w:r>
      <w:r w:rsidR="004A58F4">
        <w:t>s</w:t>
      </w:r>
      <w:r>
        <w:t xml:space="preserve"> w</w:t>
      </w:r>
      <w:r w:rsidR="004A58F4">
        <w:t>ere</w:t>
      </w:r>
      <w:r>
        <w:t xml:space="preserve"> correct at the time of publication.</w:t>
      </w:r>
    </w:p>
    <w:p w14:paraId="1AF792C8" w14:textId="77777777" w:rsidR="00ED0614" w:rsidRDefault="00E260DC">
      <w:pPr>
        <w:pStyle w:val="Heading2"/>
        <w:ind w:left="0" w:firstLine="0"/>
      </w:pPr>
      <w:r>
        <w:t>Contact details</w:t>
      </w:r>
    </w:p>
    <w:p w14:paraId="26C6D2C2" w14:textId="77777777" w:rsidR="00ED0614" w:rsidRDefault="00E260DC">
      <w:pPr>
        <w:spacing w:after="0"/>
      </w:pPr>
      <w:r>
        <w:t>Emergency Animal Disease Watch Hotline 1800 675 888</w:t>
      </w:r>
    </w:p>
    <w:p w14:paraId="3490169F" w14:textId="77777777" w:rsidR="00ED0614" w:rsidRDefault="00E260DC">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16C0A9CE" w14:textId="07F5AD1C" w:rsidR="00ED0614" w:rsidRDefault="00E260DC">
      <w:pPr>
        <w:pStyle w:val="Normalsmall"/>
      </w:pPr>
      <w:r>
        <w:t>© Commonwealth of Australia 20</w:t>
      </w:r>
      <w:r w:rsidR="00CA1DBA">
        <w:t>20</w:t>
      </w:r>
      <w:bookmarkStart w:id="2" w:name="_GoBack"/>
      <w:bookmarkEnd w:id="2"/>
    </w:p>
    <w:p w14:paraId="783F07B8" w14:textId="77777777" w:rsidR="00ED0614" w:rsidRDefault="00E260DC">
      <w:pPr>
        <w:pStyle w:val="Normalsmall"/>
      </w:pPr>
      <w:r>
        <w:t>This work is copyright. It may be reproduced in whole or in part subject to the inclusion of an acknowledgement of the source and no commercial usage or sale.</w:t>
      </w:r>
    </w:p>
    <w:sectPr w:rsidR="00ED0614">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706F1ADB" w:rsidR="00ED0614" w:rsidRDefault="00CA1DBA">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7C3855">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47084C12" w:rsidR="00ED0614" w:rsidRPr="00CB11B9" w:rsidRDefault="00372089" w:rsidP="00CB11B9">
    <w:pPr>
      <w:pStyle w:val="Header"/>
    </w:pPr>
    <w:r w:rsidRPr="00372089">
      <w:t>Koi herpesvirus disease (KHVD)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705FCD4B">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50C3A"/>
    <w:rsid w:val="00052B5F"/>
    <w:rsid w:val="00073506"/>
    <w:rsid w:val="000B2163"/>
    <w:rsid w:val="000C051E"/>
    <w:rsid w:val="000D05F1"/>
    <w:rsid w:val="000D38F7"/>
    <w:rsid w:val="000E0DC0"/>
    <w:rsid w:val="001413A7"/>
    <w:rsid w:val="001474D1"/>
    <w:rsid w:val="00150862"/>
    <w:rsid w:val="00162F1F"/>
    <w:rsid w:val="00164E54"/>
    <w:rsid w:val="001726AA"/>
    <w:rsid w:val="00193434"/>
    <w:rsid w:val="001A7824"/>
    <w:rsid w:val="001E366B"/>
    <w:rsid w:val="001E6330"/>
    <w:rsid w:val="001F30EF"/>
    <w:rsid w:val="002521EC"/>
    <w:rsid w:val="00266BD4"/>
    <w:rsid w:val="00270423"/>
    <w:rsid w:val="00274A52"/>
    <w:rsid w:val="00372089"/>
    <w:rsid w:val="003C1061"/>
    <w:rsid w:val="003F4E8E"/>
    <w:rsid w:val="00422C3A"/>
    <w:rsid w:val="00444DC2"/>
    <w:rsid w:val="0045639F"/>
    <w:rsid w:val="0045792C"/>
    <w:rsid w:val="004631DF"/>
    <w:rsid w:val="004A104B"/>
    <w:rsid w:val="004A58F4"/>
    <w:rsid w:val="004A5DDC"/>
    <w:rsid w:val="004B703A"/>
    <w:rsid w:val="004E2257"/>
    <w:rsid w:val="004E3720"/>
    <w:rsid w:val="005312B5"/>
    <w:rsid w:val="00583281"/>
    <w:rsid w:val="00583B3C"/>
    <w:rsid w:val="005A359A"/>
    <w:rsid w:val="005B0B25"/>
    <w:rsid w:val="005B5670"/>
    <w:rsid w:val="005C17C2"/>
    <w:rsid w:val="005C54CB"/>
    <w:rsid w:val="005E5930"/>
    <w:rsid w:val="005E5C96"/>
    <w:rsid w:val="005E698C"/>
    <w:rsid w:val="006649F0"/>
    <w:rsid w:val="00695FA8"/>
    <w:rsid w:val="006D51D3"/>
    <w:rsid w:val="006E3E02"/>
    <w:rsid w:val="00742002"/>
    <w:rsid w:val="00756677"/>
    <w:rsid w:val="007757E1"/>
    <w:rsid w:val="00786618"/>
    <w:rsid w:val="00792847"/>
    <w:rsid w:val="00793DD5"/>
    <w:rsid w:val="007A0952"/>
    <w:rsid w:val="007B72EC"/>
    <w:rsid w:val="007C3855"/>
    <w:rsid w:val="007D5853"/>
    <w:rsid w:val="007E3043"/>
    <w:rsid w:val="007F1EDC"/>
    <w:rsid w:val="007F73EC"/>
    <w:rsid w:val="00844BA3"/>
    <w:rsid w:val="0085325A"/>
    <w:rsid w:val="00853ED4"/>
    <w:rsid w:val="00876983"/>
    <w:rsid w:val="00880A10"/>
    <w:rsid w:val="008B4009"/>
    <w:rsid w:val="00917BB4"/>
    <w:rsid w:val="0095639C"/>
    <w:rsid w:val="009A09FC"/>
    <w:rsid w:val="009B5DE8"/>
    <w:rsid w:val="009C7070"/>
    <w:rsid w:val="009E53A8"/>
    <w:rsid w:val="00A10F62"/>
    <w:rsid w:val="00A83382"/>
    <w:rsid w:val="00A93B2B"/>
    <w:rsid w:val="00A94C32"/>
    <w:rsid w:val="00B93085"/>
    <w:rsid w:val="00BE5CB5"/>
    <w:rsid w:val="00BF271F"/>
    <w:rsid w:val="00BF6EC8"/>
    <w:rsid w:val="00C10318"/>
    <w:rsid w:val="00C36630"/>
    <w:rsid w:val="00C605BC"/>
    <w:rsid w:val="00C87D4C"/>
    <w:rsid w:val="00CA1DBA"/>
    <w:rsid w:val="00CB11B9"/>
    <w:rsid w:val="00CC02C5"/>
    <w:rsid w:val="00CD0FA5"/>
    <w:rsid w:val="00D1126F"/>
    <w:rsid w:val="00D12B64"/>
    <w:rsid w:val="00D467E7"/>
    <w:rsid w:val="00D67E6B"/>
    <w:rsid w:val="00D75D59"/>
    <w:rsid w:val="00DD769F"/>
    <w:rsid w:val="00DD7F2B"/>
    <w:rsid w:val="00DF2031"/>
    <w:rsid w:val="00E12525"/>
    <w:rsid w:val="00E260DC"/>
    <w:rsid w:val="00E263C9"/>
    <w:rsid w:val="00E6181A"/>
    <w:rsid w:val="00E84766"/>
    <w:rsid w:val="00EA4652"/>
    <w:rsid w:val="00ED0614"/>
    <w:rsid w:val="00EE72EE"/>
    <w:rsid w:val="00F03FC2"/>
    <w:rsid w:val="00F06A73"/>
    <w:rsid w:val="00F2215F"/>
    <w:rsid w:val="00F72EFE"/>
    <w:rsid w:val="00F80772"/>
    <w:rsid w:val="00F82AA0"/>
    <w:rsid w:val="00FA58FC"/>
    <w:rsid w:val="00FD7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bi.org/ISC/datasheet/7869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ie.int/en/international-standard-setting/aquatic-manual/access-onlin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fas.co.uk/international-database-on-aquatic-animal-diseases/disease-data/?id=5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4E02E6D-21B7-4D69-ACA2-7066E639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4</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Koi herpesvirus disease (KHVD)</vt:lpstr>
    </vt:vector>
  </TitlesOfParts>
  <Company>Department of Agriculture Fisheries &amp; Forestry</Company>
  <LinksUpToDate>false</LinksUpToDate>
  <CharactersWithSpaces>7234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Koi herpesvirus disease (KHVD)</dc:title>
  <dc:creator>Department of Agriculture</dc:creator>
  <cp:lastModifiedBy>Caldwell, Louise</cp:lastModifiedBy>
  <cp:revision>9</cp:revision>
  <cp:lastPrinted>2020-03-11T06:09:00Z</cp:lastPrinted>
  <dcterms:created xsi:type="dcterms:W3CDTF">2019-09-03T04:15:00Z</dcterms:created>
  <dcterms:modified xsi:type="dcterms:W3CDTF">2020-03-11T06:09:00Z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