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A2DCD" w14:textId="77777777" w:rsidR="00016798" w:rsidRPr="00B87D1E" w:rsidRDefault="00B87D1E" w:rsidP="00B87D1E">
      <w:pPr>
        <w:pStyle w:val="H1TITLE"/>
        <w:ind w:right="-2693"/>
        <w:rPr>
          <w:sz w:val="44"/>
        </w:rPr>
      </w:pPr>
      <w:r w:rsidRPr="00B87D1E">
        <w:rPr>
          <w:sz w:val="44"/>
        </w:rPr>
        <w:t>Commonwealth environmental water office</w:t>
      </w:r>
    </w:p>
    <w:p w14:paraId="268BF834" w14:textId="77777777" w:rsidR="00C371B8" w:rsidRPr="00B87D1E" w:rsidRDefault="00B87D1E" w:rsidP="00B86D30">
      <w:pPr>
        <w:pStyle w:val="H1TITLE"/>
        <w:rPr>
          <w:sz w:val="44"/>
        </w:rPr>
      </w:pPr>
      <w:r w:rsidRPr="00B87D1E">
        <w:rPr>
          <w:sz w:val="44"/>
        </w:rPr>
        <w:t>Long term intervention monitoring project:</w:t>
      </w:r>
    </w:p>
    <w:p w14:paraId="62BD977D" w14:textId="2827AEB6" w:rsidR="00B87D1E" w:rsidRDefault="00B87D1E" w:rsidP="00B86D30">
      <w:pPr>
        <w:pStyle w:val="H1TITLE"/>
        <w:rPr>
          <w:sz w:val="44"/>
        </w:rPr>
      </w:pPr>
      <w:r w:rsidRPr="00B87D1E">
        <w:rPr>
          <w:sz w:val="44"/>
        </w:rPr>
        <w:t>Lachlan river system</w:t>
      </w:r>
    </w:p>
    <w:p w14:paraId="1E6983E2" w14:textId="73E59F23" w:rsidR="00C0721E" w:rsidRDefault="00C0721E" w:rsidP="00B86D30">
      <w:pPr>
        <w:pStyle w:val="H1TITLE"/>
        <w:rPr>
          <w:sz w:val="44"/>
        </w:rPr>
      </w:pPr>
      <w:r>
        <w:rPr>
          <w:sz w:val="44"/>
        </w:rPr>
        <w:t>201</w:t>
      </w:r>
      <w:r w:rsidR="00E30739">
        <w:rPr>
          <w:sz w:val="44"/>
        </w:rPr>
        <w:t>8</w:t>
      </w:r>
      <w:r>
        <w:rPr>
          <w:sz w:val="44"/>
        </w:rPr>
        <w:t>-</w:t>
      </w:r>
      <w:r w:rsidRPr="00E03E6B">
        <w:rPr>
          <w:sz w:val="44"/>
        </w:rPr>
        <w:t>1</w:t>
      </w:r>
      <w:r w:rsidR="00E30739">
        <w:rPr>
          <w:sz w:val="44"/>
        </w:rPr>
        <w:t>9</w:t>
      </w:r>
      <w:r w:rsidRPr="00E03E6B">
        <w:rPr>
          <w:sz w:val="44"/>
        </w:rPr>
        <w:t xml:space="preserve"> </w:t>
      </w:r>
      <w:r w:rsidR="00C73E28" w:rsidRPr="00E03E6B">
        <w:rPr>
          <w:sz w:val="44"/>
        </w:rPr>
        <w:t xml:space="preserve">Technical Report:  </w:t>
      </w:r>
      <w:r w:rsidR="00FC6747">
        <w:rPr>
          <w:sz w:val="44"/>
        </w:rPr>
        <w:t>FINAL</w:t>
      </w:r>
    </w:p>
    <w:p w14:paraId="5AF9C659" w14:textId="76BE6212" w:rsidR="00E03E6B" w:rsidRPr="00FC6747" w:rsidRDefault="00A25D64" w:rsidP="00016798">
      <w:r w:rsidRPr="00FC6747">
        <w:rPr>
          <w:noProof/>
          <w:lang w:eastAsia="en-AU"/>
        </w:rPr>
        <w:drawing>
          <wp:inline distT="0" distB="0" distL="0" distR="0" wp14:anchorId="19BD3EFA" wp14:editId="213FB2DE">
            <wp:extent cx="6120765" cy="4590415"/>
            <wp:effectExtent l="0" t="0" r="0" b="635"/>
            <wp:docPr id="25"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B29A6E-68D6-44C5-83C1-EB7336C9A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B29A6E-68D6-44C5-83C1-EB7336C9A69F}"/>
                        </a:ext>
                      </a:extLst>
                    </pic:cNvPr>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6120765" cy="4590415"/>
                    </a:xfrm>
                    <a:prstGeom prst="rect">
                      <a:avLst/>
                    </a:prstGeom>
                  </pic:spPr>
                </pic:pic>
              </a:graphicData>
            </a:graphic>
          </wp:inline>
        </w:drawing>
      </w:r>
    </w:p>
    <w:p w14:paraId="32C881FA" w14:textId="1E11FBDD" w:rsidR="00D94C16" w:rsidRDefault="00FC6747" w:rsidP="00016798">
      <w:pPr>
        <w:rPr>
          <w:sz w:val="32"/>
        </w:rPr>
      </w:pPr>
      <w:r>
        <w:t>February 2020</w:t>
      </w:r>
    </w:p>
    <w:p w14:paraId="512F1DA0" w14:textId="77777777" w:rsidR="005B3215" w:rsidRPr="00B51A24" w:rsidRDefault="005B3215" w:rsidP="00016798">
      <w:pPr>
        <w:sectPr w:rsidR="005B3215" w:rsidRPr="00B51A24" w:rsidSect="006E0321">
          <w:headerReference w:type="even" r:id="rId9"/>
          <w:headerReference w:type="default" r:id="rId10"/>
          <w:footerReference w:type="even" r:id="rId11"/>
          <w:footerReference w:type="default" r:id="rId12"/>
          <w:headerReference w:type="first" r:id="rId13"/>
          <w:footerReference w:type="first" r:id="rId14"/>
          <w:pgSz w:w="11900" w:h="16840"/>
          <w:pgMar w:top="5670" w:right="1410" w:bottom="567" w:left="851" w:header="709" w:footer="709" w:gutter="0"/>
          <w:cols w:space="284"/>
          <w:titlePg/>
          <w:docGrid w:linePitch="360"/>
        </w:sectPr>
      </w:pPr>
    </w:p>
    <w:p w14:paraId="179059BF" w14:textId="77777777" w:rsidR="00B87D1E" w:rsidRPr="00A133CA" w:rsidRDefault="00B87D1E" w:rsidP="00B87D1E">
      <w:pPr>
        <w:jc w:val="center"/>
        <w:rPr>
          <w:b/>
          <w:sz w:val="32"/>
          <w:szCs w:val="32"/>
        </w:rPr>
      </w:pPr>
      <w:r w:rsidRPr="00A133CA">
        <w:rPr>
          <w:b/>
          <w:sz w:val="32"/>
          <w:szCs w:val="32"/>
        </w:rPr>
        <w:lastRenderedPageBreak/>
        <w:t>Commonwealth Environmental Water Office</w:t>
      </w:r>
    </w:p>
    <w:p w14:paraId="17CFA6F7" w14:textId="77777777" w:rsidR="00B87D1E" w:rsidRPr="00A133CA" w:rsidRDefault="00B87D1E" w:rsidP="00B87D1E">
      <w:pPr>
        <w:jc w:val="center"/>
        <w:rPr>
          <w:b/>
          <w:sz w:val="32"/>
          <w:szCs w:val="32"/>
        </w:rPr>
      </w:pPr>
      <w:r w:rsidRPr="00A133CA">
        <w:rPr>
          <w:b/>
          <w:sz w:val="32"/>
          <w:szCs w:val="32"/>
        </w:rPr>
        <w:t>Long Term Intervention Monitoring Project</w:t>
      </w:r>
    </w:p>
    <w:p w14:paraId="14451C83" w14:textId="28A53235" w:rsidR="00B87D1E" w:rsidRDefault="00B87D1E" w:rsidP="00C0721E">
      <w:pPr>
        <w:jc w:val="center"/>
        <w:rPr>
          <w:b/>
          <w:sz w:val="32"/>
          <w:szCs w:val="32"/>
        </w:rPr>
      </w:pPr>
      <w:r w:rsidRPr="00A133CA">
        <w:rPr>
          <w:b/>
          <w:sz w:val="32"/>
          <w:szCs w:val="32"/>
        </w:rPr>
        <w:t>Lachlan river system</w:t>
      </w:r>
      <w:r>
        <w:rPr>
          <w:b/>
          <w:sz w:val="32"/>
          <w:szCs w:val="32"/>
        </w:rPr>
        <w:t xml:space="preserve"> </w:t>
      </w:r>
      <w:r w:rsidR="00C0721E">
        <w:rPr>
          <w:b/>
          <w:sz w:val="32"/>
          <w:szCs w:val="32"/>
        </w:rPr>
        <w:t>201</w:t>
      </w:r>
      <w:r w:rsidR="00DC1005">
        <w:rPr>
          <w:b/>
          <w:sz w:val="32"/>
          <w:szCs w:val="32"/>
        </w:rPr>
        <w:t>8</w:t>
      </w:r>
      <w:r w:rsidR="00C0721E">
        <w:rPr>
          <w:b/>
          <w:sz w:val="32"/>
          <w:szCs w:val="32"/>
        </w:rPr>
        <w:t>-</w:t>
      </w:r>
      <w:r>
        <w:rPr>
          <w:b/>
          <w:sz w:val="32"/>
          <w:szCs w:val="32"/>
        </w:rPr>
        <w:t>1</w:t>
      </w:r>
      <w:r w:rsidR="00DC1005">
        <w:rPr>
          <w:b/>
          <w:sz w:val="32"/>
          <w:szCs w:val="32"/>
        </w:rPr>
        <w:t>9</w:t>
      </w:r>
      <w:r>
        <w:rPr>
          <w:b/>
          <w:sz w:val="32"/>
          <w:szCs w:val="32"/>
        </w:rPr>
        <w:t xml:space="preserve"> </w:t>
      </w:r>
      <w:r w:rsidR="00D5505A">
        <w:rPr>
          <w:b/>
          <w:sz w:val="32"/>
          <w:szCs w:val="32"/>
        </w:rPr>
        <w:t xml:space="preserve">Technical </w:t>
      </w:r>
      <w:r w:rsidRPr="00D5505A">
        <w:rPr>
          <w:b/>
          <w:sz w:val="32"/>
          <w:szCs w:val="32"/>
        </w:rPr>
        <w:t>Report</w:t>
      </w:r>
    </w:p>
    <w:p w14:paraId="3A638BB5" w14:textId="77777777" w:rsidR="00E11442" w:rsidRDefault="00E11442" w:rsidP="00B87D1E">
      <w:pPr>
        <w:rPr>
          <w:b/>
          <w:sz w:val="32"/>
          <w:szCs w:val="32"/>
        </w:rPr>
      </w:pPr>
    </w:p>
    <w:p w14:paraId="17F3687C" w14:textId="3EAB7710" w:rsidR="00B87D1E" w:rsidRPr="00A133CA" w:rsidRDefault="00FC6747" w:rsidP="00B87D1E">
      <w:pPr>
        <w:rPr>
          <w:b/>
          <w:sz w:val="32"/>
          <w:szCs w:val="32"/>
        </w:rPr>
      </w:pPr>
      <w:r>
        <w:rPr>
          <w:b/>
          <w:sz w:val="32"/>
          <w:szCs w:val="32"/>
        </w:rPr>
        <w:t>FINAL</w:t>
      </w:r>
      <w:r w:rsidR="00107FDD" w:rsidRPr="00D5505A">
        <w:rPr>
          <w:b/>
          <w:sz w:val="32"/>
          <w:szCs w:val="32"/>
        </w:rPr>
        <w:t xml:space="preserve"> </w:t>
      </w:r>
      <w:r>
        <w:rPr>
          <w:b/>
          <w:sz w:val="32"/>
          <w:szCs w:val="32"/>
        </w:rPr>
        <w:t>February 2020</w:t>
      </w:r>
    </w:p>
    <w:p w14:paraId="6FFC2CB1" w14:textId="5C2BB5A4" w:rsidR="00B87D1E" w:rsidRDefault="00B87D1E" w:rsidP="00B87D1E">
      <w:bookmarkStart w:id="0" w:name="_Hlk18419902"/>
      <w:r w:rsidRPr="005A6BE7">
        <w:t>This document has been co-ordinated by Dr Fiona Dyer</w:t>
      </w:r>
      <w:r>
        <w:t xml:space="preserve"> </w:t>
      </w:r>
      <w:r w:rsidRPr="005A6BE7">
        <w:t xml:space="preserve">and includes contributions from </w:t>
      </w:r>
      <w:r w:rsidR="00E11442">
        <w:t>Mr Ben Broadhurst, Ms Alica Tschier</w:t>
      </w:r>
      <w:r w:rsidR="00A04344">
        <w:t>s</w:t>
      </w:r>
      <w:r w:rsidR="00E11442">
        <w:t xml:space="preserve">chke, </w:t>
      </w:r>
      <w:r w:rsidR="003874C9">
        <w:t xml:space="preserve">Dr Will Higgisson, </w:t>
      </w:r>
      <w:r w:rsidR="003D0B18">
        <w:t>Mr Hugh Allan</w:t>
      </w:r>
      <w:r w:rsidR="00AC609A">
        <w:t xml:space="preserve"> and</w:t>
      </w:r>
      <w:r w:rsidR="003D0B18">
        <w:t xml:space="preserve"> </w:t>
      </w:r>
      <w:r w:rsidRPr="005A6BE7">
        <w:t>Professor Ross Thompson (U</w:t>
      </w:r>
      <w:r>
        <w:t xml:space="preserve">niversity of </w:t>
      </w:r>
      <w:r w:rsidRPr="005A6BE7">
        <w:t>C</w:t>
      </w:r>
      <w:r>
        <w:t>anberra</w:t>
      </w:r>
      <w:r w:rsidRPr="005A6BE7">
        <w:t xml:space="preserve">); Dr Patrick Driver </w:t>
      </w:r>
      <w:r w:rsidR="008F503D">
        <w:t xml:space="preserve">and </w:t>
      </w:r>
      <w:r w:rsidR="00AC609A">
        <w:t>Dr</w:t>
      </w:r>
      <w:r w:rsidR="008F503D">
        <w:t xml:space="preserve"> </w:t>
      </w:r>
      <w:r w:rsidR="008F503D" w:rsidRPr="005A6BE7">
        <w:t xml:space="preserve">Sharon Bowen </w:t>
      </w:r>
      <w:r w:rsidRPr="005A6BE7">
        <w:t>(NSW</w:t>
      </w:r>
      <w:r>
        <w:t xml:space="preserve"> Department of Primary Industries,</w:t>
      </w:r>
      <w:r w:rsidRPr="005A6BE7">
        <w:t xml:space="preserve"> Water); </w:t>
      </w:r>
      <w:r w:rsidR="00CA4B0D">
        <w:t xml:space="preserve">Dr Joanne Lenehan </w:t>
      </w:r>
      <w:r w:rsidRPr="005A6BE7">
        <w:t xml:space="preserve">(NSW </w:t>
      </w:r>
      <w:r w:rsidR="00AC609A">
        <w:t>Department of Planning, Industry and Environment</w:t>
      </w:r>
      <w:r w:rsidRPr="005A6BE7">
        <w:t xml:space="preserve">); </w:t>
      </w:r>
      <w:r w:rsidR="00921823">
        <w:t xml:space="preserve">and </w:t>
      </w:r>
      <w:r w:rsidRPr="005A6BE7">
        <w:t xml:space="preserve">Dr </w:t>
      </w:r>
      <w:r>
        <w:t>Jason Thiem</w:t>
      </w:r>
      <w:r w:rsidR="003D0B18">
        <w:t xml:space="preserve"> and Dr Daniel Wright</w:t>
      </w:r>
      <w:r w:rsidRPr="005A6BE7">
        <w:t xml:space="preserve"> (</w:t>
      </w:r>
      <w:r w:rsidR="00726EB9">
        <w:t xml:space="preserve">NSW </w:t>
      </w:r>
      <w:r w:rsidRPr="005A6BE7">
        <w:t>Department of Primary Industries, Fisheries</w:t>
      </w:r>
      <w:r>
        <w:t>).</w:t>
      </w:r>
    </w:p>
    <w:bookmarkEnd w:id="0"/>
    <w:p w14:paraId="384B85BA" w14:textId="77777777" w:rsidR="00280AF2" w:rsidRPr="005A6BE7" w:rsidRDefault="00280AF2" w:rsidP="00B87D1E"/>
    <w:p w14:paraId="4455FB20" w14:textId="77777777" w:rsidR="00B87D1E" w:rsidRDefault="00235373" w:rsidP="00B87D1E">
      <w:pPr>
        <w:jc w:val="center"/>
        <w:rPr>
          <w:rFonts w:ascii="Cambria" w:hAnsi="Cambria"/>
          <w:noProof/>
          <w:lang w:eastAsia="en-AU"/>
        </w:rPr>
      </w:pPr>
      <w:r>
        <w:rPr>
          <w:noProof/>
          <w:lang w:eastAsia="en-AU"/>
        </w:rPr>
        <w:drawing>
          <wp:inline distT="0" distB="0" distL="0" distR="0" wp14:anchorId="125BDEA4" wp14:editId="6978E1E3">
            <wp:extent cx="3450590" cy="729615"/>
            <wp:effectExtent l="0" t="0" r="0" b="0"/>
            <wp:docPr id="6" name="Picture 8"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650370.UCSTAFF\AppData\Local\Microsoft\Windows\Temporary Internet Files\Content.Word\CEWO_logo_inline_highRes.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450590" cy="729615"/>
                    </a:xfrm>
                    <a:prstGeom prst="rect">
                      <a:avLst/>
                    </a:prstGeom>
                    <a:noFill/>
                    <a:ln>
                      <a:noFill/>
                    </a:ln>
                  </pic:spPr>
                </pic:pic>
              </a:graphicData>
            </a:graphic>
          </wp:inline>
        </w:drawing>
      </w:r>
      <w:r w:rsidR="00B87D1E" w:rsidRPr="001E578B">
        <w:t xml:space="preserve"> </w:t>
      </w:r>
      <w:r>
        <w:rPr>
          <w:rFonts w:ascii="Cambria" w:hAnsi="Cambria"/>
          <w:noProof/>
          <w:lang w:eastAsia="en-AU"/>
        </w:rPr>
        <w:drawing>
          <wp:inline distT="0" distB="0" distL="0" distR="0" wp14:anchorId="5D7EB707" wp14:editId="61406128">
            <wp:extent cx="1915795" cy="653415"/>
            <wp:effectExtent l="0" t="0" r="8255" b="0"/>
            <wp:docPr id="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915795" cy="653415"/>
                    </a:xfrm>
                    <a:prstGeom prst="rect">
                      <a:avLst/>
                    </a:prstGeom>
                    <a:noFill/>
                    <a:ln>
                      <a:noFill/>
                    </a:ln>
                  </pic:spPr>
                </pic:pic>
              </a:graphicData>
            </a:graphic>
          </wp:inline>
        </w:drawing>
      </w:r>
    </w:p>
    <w:p w14:paraId="318FCA33" w14:textId="77777777" w:rsidR="00280AF2" w:rsidRDefault="00280AF2" w:rsidP="00B87D1E">
      <w:pPr>
        <w:jc w:val="center"/>
      </w:pPr>
    </w:p>
    <w:p w14:paraId="744CDC9E" w14:textId="77777777" w:rsidR="00B87D1E" w:rsidRDefault="00424123" w:rsidP="00B87D1E">
      <w:pPr>
        <w:jc w:val="center"/>
        <w:rPr>
          <w:noProof/>
          <w:lang w:eastAsia="en-AU"/>
        </w:rPr>
      </w:pPr>
      <w:r>
        <w:rPr>
          <w:noProof/>
        </w:rPr>
        <w:t xml:space="preserve"> </w:t>
      </w:r>
      <w:r w:rsidR="00235373">
        <w:rPr>
          <w:noProof/>
          <w:lang w:eastAsia="en-AU"/>
        </w:rPr>
        <w:drawing>
          <wp:inline distT="0" distB="0" distL="0" distR="0" wp14:anchorId="7DDC1EA8" wp14:editId="00911F27">
            <wp:extent cx="1513205" cy="370205"/>
            <wp:effectExtent l="0" t="0" r="0" b="0"/>
            <wp:docPr id="9" name="Picture 1" descr="G:\Fishnet\Research Projects\Logos\DPI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ogos\DPI logo colour rgb.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13205" cy="370205"/>
                    </a:xfrm>
                    <a:prstGeom prst="rect">
                      <a:avLst/>
                    </a:prstGeom>
                    <a:noFill/>
                    <a:ln>
                      <a:noFill/>
                    </a:ln>
                  </pic:spPr>
                </pic:pic>
              </a:graphicData>
            </a:graphic>
          </wp:inline>
        </w:drawing>
      </w:r>
      <w:r w:rsidR="00235373">
        <w:rPr>
          <w:noProof/>
          <w:lang w:eastAsia="en-AU"/>
        </w:rPr>
        <w:drawing>
          <wp:inline distT="0" distB="0" distL="0" distR="0" wp14:anchorId="5A64C20E" wp14:editId="66757757">
            <wp:extent cx="1632585" cy="391795"/>
            <wp:effectExtent l="0" t="0" r="5715" b="8255"/>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632585" cy="391795"/>
                    </a:xfrm>
                    <a:prstGeom prst="rect">
                      <a:avLst/>
                    </a:prstGeom>
                    <a:noFill/>
                    <a:ln>
                      <a:noFill/>
                    </a:ln>
                  </pic:spPr>
                </pic:pic>
              </a:graphicData>
            </a:graphic>
          </wp:inline>
        </w:drawing>
      </w:r>
      <w:r>
        <w:rPr>
          <w:noProof/>
        </w:rPr>
        <w:t xml:space="preserve"> </w:t>
      </w:r>
      <w:r w:rsidR="00235373">
        <w:rPr>
          <w:noProof/>
          <w:lang w:eastAsia="en-AU"/>
        </w:rPr>
        <w:drawing>
          <wp:inline distT="0" distB="0" distL="0" distR="0" wp14:anchorId="43702B42" wp14:editId="413856F9">
            <wp:extent cx="1284605" cy="489585"/>
            <wp:effectExtent l="0" t="0" r="0" b="5715"/>
            <wp:docPr id="11" name="irc_mi" descr="http://data.nsw.gov.au/data/images/Office-of-Environment-and-Her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nsw.gov.au/data/images/Office-of-Environment-and-Heritage.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284605" cy="489585"/>
                    </a:xfrm>
                    <a:prstGeom prst="rect">
                      <a:avLst/>
                    </a:prstGeom>
                    <a:noFill/>
                    <a:ln>
                      <a:noFill/>
                    </a:ln>
                  </pic:spPr>
                </pic:pic>
              </a:graphicData>
            </a:graphic>
          </wp:inline>
        </w:drawing>
      </w:r>
    </w:p>
    <w:p w14:paraId="43B88E49" w14:textId="77777777" w:rsidR="00280AF2" w:rsidRDefault="00280AF2" w:rsidP="00B87D1E">
      <w:pPr>
        <w:jc w:val="center"/>
        <w:rPr>
          <w:noProof/>
          <w:lang w:eastAsia="en-AU"/>
        </w:rPr>
      </w:pPr>
    </w:p>
    <w:p w14:paraId="1A376E26" w14:textId="77777777" w:rsidR="00280AF2" w:rsidRPr="005A6BE7" w:rsidRDefault="00280AF2" w:rsidP="00B87D1E">
      <w:pPr>
        <w:jc w:val="center"/>
      </w:pPr>
    </w:p>
    <w:p w14:paraId="5B89634C" w14:textId="77777777" w:rsidR="00B87D1E" w:rsidRDefault="00B87D1E" w:rsidP="00B87D1E">
      <w:pPr>
        <w:jc w:val="center"/>
        <w:rPr>
          <w:rStyle w:val="IntenseEmphasis"/>
        </w:rPr>
      </w:pPr>
    </w:p>
    <w:p w14:paraId="40B33CFE" w14:textId="77777777" w:rsidR="00B87D1E" w:rsidRDefault="00B87D1E" w:rsidP="00B87D1E">
      <w:bookmarkStart w:id="1" w:name="_____replySeparator"/>
      <w:bookmarkEnd w:id="1"/>
    </w:p>
    <w:p w14:paraId="3737A2B5" w14:textId="77777777" w:rsidR="00B87D1E" w:rsidRDefault="00B87D1E" w:rsidP="00B87D1E">
      <w:r>
        <w:t xml:space="preserve">This monitoring project was commissioned and funded by Commonwealth Environmental Water Office with additional in-kind support from the University of Canberra, NSW Office of Environment and Heritage, and Department of Primary Industries. </w:t>
      </w:r>
    </w:p>
    <w:p w14:paraId="6C69C9B3" w14:textId="5BD69941" w:rsidR="00B87D1E" w:rsidRDefault="00B87D1E" w:rsidP="00B87D1E">
      <w:r>
        <w:rPr>
          <w:b/>
          <w:bCs/>
        </w:rPr>
        <w:t>Copyright</w:t>
      </w:r>
      <w:r>
        <w:rPr>
          <w:b/>
          <w:bCs/>
        </w:rPr>
        <w:br/>
      </w:r>
      <w:r>
        <w:t>© Copyright</w:t>
      </w:r>
      <w:r w:rsidR="00107FDD">
        <w:t xml:space="preserve"> Commonwealth of Australia, 201</w:t>
      </w:r>
      <w:r w:rsidR="00DC1005">
        <w:t>9</w:t>
      </w:r>
    </w:p>
    <w:p w14:paraId="316BD0F6" w14:textId="77777777" w:rsidR="00B87D1E" w:rsidRDefault="00235373" w:rsidP="00B87D1E">
      <w:pPr>
        <w:rPr>
          <w:sz w:val="18"/>
          <w:szCs w:val="18"/>
        </w:rPr>
      </w:pPr>
      <w:r>
        <w:rPr>
          <w:noProof/>
          <w:lang w:eastAsia="en-AU"/>
        </w:rPr>
        <w:drawing>
          <wp:inline distT="0" distB="0" distL="0" distR="0" wp14:anchorId="296D59B0" wp14:editId="6316767F">
            <wp:extent cx="1807210" cy="6311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807210" cy="631190"/>
                    </a:xfrm>
                    <a:prstGeom prst="rect">
                      <a:avLst/>
                    </a:prstGeom>
                    <a:noFill/>
                    <a:ln>
                      <a:noFill/>
                    </a:ln>
                  </pic:spPr>
                </pic:pic>
              </a:graphicData>
            </a:graphic>
          </wp:inline>
        </w:drawing>
      </w:r>
      <w:r w:rsidR="00B87D1E">
        <w:rPr>
          <w:noProof/>
          <w:sz w:val="18"/>
          <w:szCs w:val="18"/>
          <w:lang w:eastAsia="en-AU"/>
        </w:rPr>
        <w:t xml:space="preserve"> </w:t>
      </w:r>
    </w:p>
    <w:p w14:paraId="103C4DCE" w14:textId="08B86F52" w:rsidR="00B87D1E" w:rsidRPr="00E11442" w:rsidRDefault="00B87D1E" w:rsidP="00B87D1E">
      <w:pPr>
        <w:rPr>
          <w:sz w:val="32"/>
        </w:rPr>
      </w:pPr>
      <w:r>
        <w:rPr>
          <w:b/>
        </w:rPr>
        <w:br w:type="page"/>
      </w:r>
      <w:r w:rsidRPr="0063183D">
        <w:rPr>
          <w:b/>
        </w:rPr>
        <w:t>Commonwealth Environmental Water Office Long Term Intervention Monitoring Project: Lower Lachlan river system Selected Area</w:t>
      </w:r>
      <w:r w:rsidRPr="00D12D97">
        <w:t xml:space="preserve"> is</w:t>
      </w:r>
      <w:r>
        <w:t xml:space="preserve">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E11442">
          <w:rPr>
            <w:rStyle w:val="Hyperlink"/>
            <w:rFonts w:eastAsia="Times New Roman"/>
            <w:sz w:val="22"/>
            <w:szCs w:val="18"/>
          </w:rPr>
          <w:t>http://creativecommons.org/licenses/by/3.0/au/</w:t>
        </w:r>
      </w:hyperlink>
      <w:r w:rsidRPr="00E11442">
        <w:rPr>
          <w:sz w:val="32"/>
        </w:rPr>
        <w:t xml:space="preserve"> </w:t>
      </w:r>
    </w:p>
    <w:p w14:paraId="7481828B" w14:textId="6483E069" w:rsidR="00B87D1E" w:rsidRPr="0063183D" w:rsidRDefault="00B87D1E" w:rsidP="00B87D1E">
      <w:r w:rsidRPr="00D5505A">
        <w:t>This report should be attributed as: Dyer, F., Broadhurst, B.,</w:t>
      </w:r>
      <w:r w:rsidR="00E11442" w:rsidRPr="00D5505A">
        <w:t xml:space="preserve"> Tschier</w:t>
      </w:r>
      <w:r w:rsidR="00A04344" w:rsidRPr="00D5505A">
        <w:t>s</w:t>
      </w:r>
      <w:r w:rsidR="00E11442" w:rsidRPr="00D5505A">
        <w:t xml:space="preserve">chke, A., </w:t>
      </w:r>
      <w:r w:rsidR="003D0B18">
        <w:t>Higgisson, W., All</w:t>
      </w:r>
      <w:r w:rsidR="00DC1005">
        <w:t>a</w:t>
      </w:r>
      <w:r w:rsidR="003D0B18">
        <w:t xml:space="preserve">n, H., </w:t>
      </w:r>
      <w:r w:rsidRPr="00D5505A">
        <w:t xml:space="preserve">Thiem, J., </w:t>
      </w:r>
      <w:r w:rsidR="003D0B18">
        <w:t xml:space="preserve">Wright, D., </w:t>
      </w:r>
      <w:r w:rsidRPr="00D5505A">
        <w:t xml:space="preserve">Thompson, R. </w:t>
      </w:r>
      <w:r w:rsidR="00A93FB0" w:rsidRPr="00D5505A">
        <w:t>(201</w:t>
      </w:r>
      <w:r w:rsidR="000E63AB">
        <w:t>9</w:t>
      </w:r>
      <w:r w:rsidRPr="00D5505A">
        <w:t xml:space="preserve">). </w:t>
      </w:r>
      <w:bookmarkStart w:id="2" w:name="_GoBack"/>
      <w:r w:rsidRPr="00D5505A">
        <w:t>Commonwealth Environmental Water Office Long Term Intervention Monitoring Project: Lachlan river system</w:t>
      </w:r>
      <w:r w:rsidR="00E11442" w:rsidRPr="00D5505A">
        <w:t xml:space="preserve"> Selected Area 201</w:t>
      </w:r>
      <w:r w:rsidR="000E63AB">
        <w:t>8</w:t>
      </w:r>
      <w:r w:rsidR="00E11442" w:rsidRPr="00D5505A">
        <w:t>-1</w:t>
      </w:r>
      <w:r w:rsidR="000E63AB">
        <w:t>9</w:t>
      </w:r>
      <w:r w:rsidRPr="00D5505A">
        <w:t xml:space="preserve"> Monitoring and Evaluation </w:t>
      </w:r>
      <w:r w:rsidR="00D5505A" w:rsidRPr="00D5505A">
        <w:t xml:space="preserve">Technical </w:t>
      </w:r>
      <w:r w:rsidRPr="00D5505A">
        <w:t>Report</w:t>
      </w:r>
      <w:bookmarkEnd w:id="2"/>
      <w:r w:rsidRPr="00D5505A">
        <w:t>. Commonwealth of Australia, 201</w:t>
      </w:r>
      <w:r w:rsidR="00DC1005">
        <w:t>9</w:t>
      </w:r>
      <w:r w:rsidRPr="00D5505A">
        <w:t>.</w:t>
      </w:r>
    </w:p>
    <w:p w14:paraId="2779FCDE" w14:textId="77777777" w:rsidR="00B87D1E" w:rsidRDefault="00B87D1E" w:rsidP="00B87D1E"/>
    <w:p w14:paraId="0DE6998F" w14:textId="77777777" w:rsidR="00B87D1E" w:rsidRDefault="00B87D1E" w:rsidP="00B87D1E">
      <w:r>
        <w:t>The Commonwealth of Australia has made all reasonable efforts to identify content supplied by third parties using the following format ‘© Copyright, [name of third party] ’.</w:t>
      </w:r>
    </w:p>
    <w:p w14:paraId="629DAC4F" w14:textId="77777777" w:rsidR="00B87D1E" w:rsidRDefault="00B87D1E" w:rsidP="00B87D1E"/>
    <w:p w14:paraId="55E836BA" w14:textId="77777777" w:rsidR="00B87D1E" w:rsidRPr="00A133CA" w:rsidRDefault="00B87D1E" w:rsidP="00B87D1E">
      <w:pPr>
        <w:rPr>
          <w:b/>
        </w:rPr>
      </w:pPr>
      <w:r w:rsidRPr="00A133CA">
        <w:rPr>
          <w:b/>
        </w:rPr>
        <w:t>Disclaimer</w:t>
      </w:r>
    </w:p>
    <w:p w14:paraId="48886A37" w14:textId="18AFBA09" w:rsidR="00B87D1E" w:rsidRDefault="00B87D1E" w:rsidP="00B87D1E">
      <w:r>
        <w:t xml:space="preserve">The views and opinions expressed in this publication are those of the authors and do not necessarily reflect those of the Australian Government or the </w:t>
      </w:r>
      <w:r w:rsidR="007F7607">
        <w:t xml:space="preserve">Ministers for the </w:t>
      </w:r>
      <w:r w:rsidR="007F7607">
        <w:rPr>
          <w:rStyle w:val="fontcolorneutraldark2"/>
          <w:color w:val="333333"/>
          <w:lang w:val="en-US"/>
        </w:rPr>
        <w:t>Department of Agriculture, Water and the Environment</w:t>
      </w:r>
      <w:r>
        <w:t xml:space="preserve">. </w:t>
      </w:r>
    </w:p>
    <w:p w14:paraId="345FA85B" w14:textId="77777777" w:rsidR="00B87D1E" w:rsidRDefault="00B87D1E" w:rsidP="00B87D1E">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4CA85DF" w14:textId="77777777" w:rsidR="00B87D1E" w:rsidRDefault="00B87D1E" w:rsidP="00B87D1E">
      <w:pPr>
        <w:rPr>
          <w:sz w:val="18"/>
          <w:szCs w:val="18"/>
        </w:rPr>
      </w:pPr>
    </w:p>
    <w:p w14:paraId="787E9B8B" w14:textId="77777777" w:rsidR="00E11442" w:rsidRPr="00005DC0" w:rsidRDefault="00E11442" w:rsidP="00E11442">
      <w:pPr>
        <w:rPr>
          <w:rStyle w:val="IntenseEmphasis"/>
          <w:color w:val="76923C"/>
        </w:rPr>
      </w:pPr>
      <w:r w:rsidRPr="00005DC0">
        <w:rPr>
          <w:rStyle w:val="IntenseEmphasis"/>
          <w:color w:val="76923C"/>
        </w:rPr>
        <w:t>Inquiries regarding this document should be addressed to:</w:t>
      </w:r>
    </w:p>
    <w:p w14:paraId="2C22140A" w14:textId="77777777" w:rsidR="00E11442" w:rsidRPr="005A6BE7" w:rsidRDefault="00E11442" w:rsidP="00E11442">
      <w:r w:rsidRPr="005A6BE7">
        <w:t>Dr Fiona Dyer</w:t>
      </w:r>
      <w:r>
        <w:br/>
      </w:r>
      <w:r w:rsidRPr="005A6BE7">
        <w:t>Phone:</w:t>
      </w:r>
      <w:r w:rsidR="00424123">
        <w:t xml:space="preserve"> </w:t>
      </w:r>
      <w:r w:rsidRPr="005A6BE7">
        <w:t>02 6201 2452</w:t>
      </w:r>
      <w:r>
        <w:br/>
      </w:r>
      <w:r w:rsidRPr="005A6BE7">
        <w:t>e-mail:</w:t>
      </w:r>
      <w:r w:rsidR="00424123">
        <w:t xml:space="preserve"> </w:t>
      </w:r>
      <w:r w:rsidRPr="005A6BE7">
        <w:t>Fiona.Dyer@canberra.edu.au</w:t>
      </w:r>
    </w:p>
    <w:p w14:paraId="4B140802" w14:textId="77777777" w:rsidR="00B87D1E" w:rsidRDefault="00B87D1E" w:rsidP="00B87D1E">
      <w:pPr>
        <w:rPr>
          <w:b/>
          <w:sz w:val="32"/>
          <w:szCs w:val="32"/>
        </w:rPr>
      </w:pPr>
    </w:p>
    <w:tbl>
      <w:tblPr>
        <w:tblW w:w="0" w:type="auto"/>
        <w:jc w:val="center"/>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1714"/>
        <w:gridCol w:w="1859"/>
        <w:gridCol w:w="1472"/>
        <w:gridCol w:w="1771"/>
        <w:gridCol w:w="1611"/>
        <w:gridCol w:w="1751"/>
      </w:tblGrid>
      <w:tr w:rsidR="00E11442" w:rsidRPr="00B45693" w14:paraId="19B9451F" w14:textId="77777777" w:rsidTr="00894BC9">
        <w:trPr>
          <w:jc w:val="center"/>
        </w:trPr>
        <w:tc>
          <w:tcPr>
            <w:tcW w:w="10414" w:type="dxa"/>
            <w:gridSpan w:val="6"/>
            <w:shd w:val="clear" w:color="auto" w:fill="9BBB59"/>
          </w:tcPr>
          <w:p w14:paraId="5A841F80" w14:textId="77777777" w:rsidR="00E11442" w:rsidRPr="00B45693" w:rsidRDefault="00E11442" w:rsidP="00F07206">
            <w:pPr>
              <w:spacing w:line="240" w:lineRule="atLeast"/>
              <w:rPr>
                <w:rFonts w:ascii="Calibri Light" w:hAnsi="Calibri Light"/>
                <w:b/>
                <w:bCs/>
                <w:color w:val="FFFFFF"/>
              </w:rPr>
            </w:pPr>
            <w:r w:rsidRPr="00B45693">
              <w:rPr>
                <w:rFonts w:ascii="Calibri Light" w:hAnsi="Calibri Light"/>
                <w:b/>
                <w:bCs/>
                <w:color w:val="FFFFFF"/>
              </w:rPr>
              <w:t>Document history and status</w:t>
            </w:r>
          </w:p>
        </w:tc>
      </w:tr>
      <w:tr w:rsidR="00E11442" w:rsidRPr="005F7471" w14:paraId="795C22F0"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739D8502" w14:textId="77777777" w:rsidR="00E11442" w:rsidRPr="005F7471" w:rsidRDefault="00E11442" w:rsidP="00F07206">
            <w:pPr>
              <w:spacing w:after="0" w:line="200" w:lineRule="atLeast"/>
              <w:rPr>
                <w:b/>
                <w:bCs/>
                <w:sz w:val="22"/>
              </w:rPr>
            </w:pPr>
            <w:r w:rsidRPr="005F7471">
              <w:rPr>
                <w:b/>
                <w:bCs/>
                <w:sz w:val="22"/>
              </w:rPr>
              <w:t>Version</w:t>
            </w:r>
          </w:p>
        </w:tc>
        <w:tc>
          <w:tcPr>
            <w:tcW w:w="1901" w:type="dxa"/>
            <w:tcBorders>
              <w:top w:val="single" w:sz="8" w:space="0" w:color="9BBB59"/>
              <w:bottom w:val="single" w:sz="8" w:space="0" w:color="9BBB59"/>
            </w:tcBorders>
            <w:shd w:val="clear" w:color="auto" w:fill="auto"/>
          </w:tcPr>
          <w:p w14:paraId="7D049A41" w14:textId="77777777" w:rsidR="00E11442" w:rsidRPr="005F7471" w:rsidRDefault="00E11442" w:rsidP="00F07206">
            <w:pPr>
              <w:spacing w:after="0" w:line="200" w:lineRule="atLeast"/>
              <w:rPr>
                <w:b/>
                <w:sz w:val="22"/>
              </w:rPr>
            </w:pPr>
            <w:r w:rsidRPr="005F7471">
              <w:rPr>
                <w:b/>
                <w:sz w:val="22"/>
              </w:rPr>
              <w:t>Date Issued</w:t>
            </w:r>
          </w:p>
        </w:tc>
        <w:tc>
          <w:tcPr>
            <w:tcW w:w="1513" w:type="dxa"/>
            <w:tcBorders>
              <w:top w:val="single" w:sz="8" w:space="0" w:color="9BBB59"/>
              <w:bottom w:val="single" w:sz="8" w:space="0" w:color="9BBB59"/>
            </w:tcBorders>
          </w:tcPr>
          <w:p w14:paraId="349EAB9F" w14:textId="77777777" w:rsidR="00E11442" w:rsidRPr="005F7471" w:rsidRDefault="00E11442" w:rsidP="00F07206">
            <w:pPr>
              <w:spacing w:after="0" w:line="200" w:lineRule="atLeast"/>
              <w:rPr>
                <w:b/>
                <w:sz w:val="22"/>
              </w:rPr>
            </w:pPr>
            <w:r>
              <w:rPr>
                <w:b/>
                <w:sz w:val="22"/>
              </w:rPr>
              <w:t>Issued to</w:t>
            </w:r>
          </w:p>
        </w:tc>
        <w:tc>
          <w:tcPr>
            <w:tcW w:w="1811" w:type="dxa"/>
            <w:tcBorders>
              <w:top w:val="single" w:sz="8" w:space="0" w:color="9BBB59"/>
              <w:bottom w:val="single" w:sz="8" w:space="0" w:color="9BBB59"/>
            </w:tcBorders>
            <w:shd w:val="clear" w:color="auto" w:fill="auto"/>
          </w:tcPr>
          <w:p w14:paraId="462ABDEA" w14:textId="77777777" w:rsidR="00E11442" w:rsidRPr="005F7471" w:rsidRDefault="00E11442" w:rsidP="00F07206">
            <w:pPr>
              <w:spacing w:after="0" w:line="200" w:lineRule="atLeast"/>
              <w:rPr>
                <w:b/>
                <w:sz w:val="22"/>
              </w:rPr>
            </w:pPr>
            <w:r w:rsidRPr="005F7471">
              <w:rPr>
                <w:b/>
                <w:sz w:val="22"/>
              </w:rPr>
              <w:t xml:space="preserve">Reviewed by </w:t>
            </w:r>
          </w:p>
        </w:tc>
        <w:tc>
          <w:tcPr>
            <w:tcW w:w="1641" w:type="dxa"/>
            <w:tcBorders>
              <w:top w:val="single" w:sz="8" w:space="0" w:color="9BBB59"/>
              <w:bottom w:val="single" w:sz="8" w:space="0" w:color="9BBB59"/>
            </w:tcBorders>
            <w:shd w:val="clear" w:color="auto" w:fill="auto"/>
          </w:tcPr>
          <w:p w14:paraId="70C49AF6" w14:textId="77777777" w:rsidR="00E11442" w:rsidRPr="005F7471" w:rsidRDefault="00E11442" w:rsidP="00F07206">
            <w:pPr>
              <w:spacing w:after="0" w:line="200" w:lineRule="atLeast"/>
              <w:rPr>
                <w:b/>
                <w:sz w:val="22"/>
              </w:rPr>
            </w:pPr>
            <w:r w:rsidRPr="005F7471">
              <w:rPr>
                <w:b/>
                <w:sz w:val="22"/>
              </w:rPr>
              <w:t>Approved by</w:t>
            </w:r>
          </w:p>
        </w:tc>
        <w:tc>
          <w:tcPr>
            <w:tcW w:w="1797" w:type="dxa"/>
            <w:tcBorders>
              <w:top w:val="single" w:sz="8" w:space="0" w:color="9BBB59"/>
              <w:bottom w:val="single" w:sz="8" w:space="0" w:color="9BBB59"/>
              <w:right w:val="single" w:sz="8" w:space="0" w:color="9BBB59"/>
            </w:tcBorders>
            <w:shd w:val="clear" w:color="auto" w:fill="auto"/>
          </w:tcPr>
          <w:p w14:paraId="4179D138" w14:textId="77777777" w:rsidR="00E11442" w:rsidRPr="005F7471" w:rsidRDefault="00E11442" w:rsidP="00F07206">
            <w:pPr>
              <w:spacing w:after="0" w:line="200" w:lineRule="atLeast"/>
              <w:rPr>
                <w:b/>
                <w:sz w:val="22"/>
              </w:rPr>
            </w:pPr>
            <w:r w:rsidRPr="005F7471">
              <w:rPr>
                <w:b/>
                <w:sz w:val="22"/>
              </w:rPr>
              <w:t>Revision Type</w:t>
            </w:r>
          </w:p>
        </w:tc>
      </w:tr>
      <w:tr w:rsidR="00E11442" w:rsidRPr="005F7471" w14:paraId="242F8C21" w14:textId="77777777" w:rsidTr="00DB6655">
        <w:trPr>
          <w:jc w:val="center"/>
        </w:trPr>
        <w:tc>
          <w:tcPr>
            <w:tcW w:w="1751" w:type="dxa"/>
            <w:shd w:val="clear" w:color="auto" w:fill="auto"/>
          </w:tcPr>
          <w:p w14:paraId="5EB549F8" w14:textId="38A50C89" w:rsidR="00E11442" w:rsidRPr="005F7471" w:rsidRDefault="00D5505A" w:rsidP="00F07206">
            <w:pPr>
              <w:spacing w:after="0" w:line="200" w:lineRule="atLeast"/>
              <w:rPr>
                <w:bCs/>
                <w:sz w:val="22"/>
              </w:rPr>
            </w:pPr>
            <w:r>
              <w:rPr>
                <w:bCs/>
                <w:sz w:val="22"/>
              </w:rPr>
              <w:t>Draft</w:t>
            </w:r>
            <w:r w:rsidR="00AC609A">
              <w:rPr>
                <w:bCs/>
                <w:sz w:val="22"/>
              </w:rPr>
              <w:t xml:space="preserve"> Individual Technical chapters</w:t>
            </w:r>
          </w:p>
        </w:tc>
        <w:tc>
          <w:tcPr>
            <w:tcW w:w="1901" w:type="dxa"/>
            <w:shd w:val="clear" w:color="auto" w:fill="auto"/>
          </w:tcPr>
          <w:p w14:paraId="6BE3A7CD" w14:textId="4324C576" w:rsidR="00E11442" w:rsidRPr="005F7471" w:rsidRDefault="000E63AB" w:rsidP="00F07206">
            <w:pPr>
              <w:spacing w:after="0" w:line="200" w:lineRule="atLeast"/>
              <w:rPr>
                <w:sz w:val="22"/>
              </w:rPr>
            </w:pPr>
            <w:r>
              <w:rPr>
                <w:sz w:val="22"/>
              </w:rPr>
              <w:t>August 2019</w:t>
            </w:r>
          </w:p>
        </w:tc>
        <w:tc>
          <w:tcPr>
            <w:tcW w:w="1513" w:type="dxa"/>
          </w:tcPr>
          <w:p w14:paraId="17A95537" w14:textId="0ECE2AEB" w:rsidR="00E11442" w:rsidRPr="005F7471" w:rsidRDefault="00D5505A" w:rsidP="00F07206">
            <w:pPr>
              <w:spacing w:after="0" w:line="200" w:lineRule="atLeast"/>
              <w:rPr>
                <w:sz w:val="22"/>
              </w:rPr>
            </w:pPr>
            <w:r>
              <w:rPr>
                <w:sz w:val="22"/>
              </w:rPr>
              <w:t>CEWO</w:t>
            </w:r>
          </w:p>
        </w:tc>
        <w:tc>
          <w:tcPr>
            <w:tcW w:w="1811" w:type="dxa"/>
            <w:shd w:val="clear" w:color="auto" w:fill="auto"/>
          </w:tcPr>
          <w:p w14:paraId="5636EEA1" w14:textId="7ED38F8D" w:rsidR="00E11442" w:rsidRPr="005F7471" w:rsidRDefault="00D5505A" w:rsidP="00F07206">
            <w:pPr>
              <w:spacing w:after="0" w:line="200" w:lineRule="atLeast"/>
              <w:rPr>
                <w:sz w:val="22"/>
              </w:rPr>
            </w:pPr>
            <w:r>
              <w:rPr>
                <w:sz w:val="22"/>
              </w:rPr>
              <w:t>Fiona Dyer</w:t>
            </w:r>
          </w:p>
        </w:tc>
        <w:tc>
          <w:tcPr>
            <w:tcW w:w="1641" w:type="dxa"/>
            <w:shd w:val="clear" w:color="auto" w:fill="auto"/>
          </w:tcPr>
          <w:p w14:paraId="146D738D" w14:textId="741E8F98" w:rsidR="00E11442" w:rsidRPr="005F7471" w:rsidRDefault="00D5505A" w:rsidP="00F07206">
            <w:pPr>
              <w:spacing w:after="0" w:line="200" w:lineRule="atLeast"/>
              <w:rPr>
                <w:sz w:val="22"/>
              </w:rPr>
            </w:pPr>
            <w:r>
              <w:rPr>
                <w:sz w:val="22"/>
              </w:rPr>
              <w:t>Fiona Dyer</w:t>
            </w:r>
          </w:p>
        </w:tc>
        <w:tc>
          <w:tcPr>
            <w:tcW w:w="1797" w:type="dxa"/>
            <w:shd w:val="clear" w:color="auto" w:fill="auto"/>
          </w:tcPr>
          <w:p w14:paraId="45F6B2A0" w14:textId="3EDAD07A" w:rsidR="00E11442" w:rsidRPr="005F7471" w:rsidRDefault="00D5505A" w:rsidP="00F07206">
            <w:pPr>
              <w:spacing w:after="0" w:line="200" w:lineRule="atLeast"/>
              <w:rPr>
                <w:sz w:val="22"/>
              </w:rPr>
            </w:pPr>
            <w:r>
              <w:rPr>
                <w:sz w:val="22"/>
              </w:rPr>
              <w:t>Draft</w:t>
            </w:r>
          </w:p>
        </w:tc>
      </w:tr>
      <w:tr w:rsidR="00E11442" w:rsidRPr="005F7471" w14:paraId="6EC76622"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4F1F85F6" w14:textId="48C77788" w:rsidR="00E11442" w:rsidRPr="005F7471" w:rsidRDefault="00AC609A" w:rsidP="00F07206">
            <w:pPr>
              <w:spacing w:after="0" w:line="200" w:lineRule="atLeast"/>
              <w:rPr>
                <w:bCs/>
                <w:sz w:val="22"/>
              </w:rPr>
            </w:pPr>
            <w:r>
              <w:rPr>
                <w:bCs/>
                <w:sz w:val="22"/>
              </w:rPr>
              <w:t>Draft Technical report</w:t>
            </w:r>
          </w:p>
        </w:tc>
        <w:tc>
          <w:tcPr>
            <w:tcW w:w="1901" w:type="dxa"/>
            <w:tcBorders>
              <w:top w:val="single" w:sz="8" w:space="0" w:color="9BBB59"/>
              <w:bottom w:val="single" w:sz="8" w:space="0" w:color="9BBB59"/>
            </w:tcBorders>
            <w:shd w:val="clear" w:color="auto" w:fill="auto"/>
          </w:tcPr>
          <w:p w14:paraId="0762FC26" w14:textId="35B8E9EC" w:rsidR="00E11442" w:rsidRPr="005F7471" w:rsidRDefault="00AC609A" w:rsidP="00542361">
            <w:pPr>
              <w:spacing w:after="0" w:line="200" w:lineRule="atLeast"/>
              <w:rPr>
                <w:sz w:val="22"/>
              </w:rPr>
            </w:pPr>
            <w:r>
              <w:rPr>
                <w:sz w:val="22"/>
              </w:rPr>
              <w:t>November 2019</w:t>
            </w:r>
          </w:p>
        </w:tc>
        <w:tc>
          <w:tcPr>
            <w:tcW w:w="1513" w:type="dxa"/>
            <w:tcBorders>
              <w:top w:val="single" w:sz="8" w:space="0" w:color="9BBB59"/>
              <w:bottom w:val="single" w:sz="8" w:space="0" w:color="9BBB59"/>
            </w:tcBorders>
          </w:tcPr>
          <w:p w14:paraId="7B6FDFBE" w14:textId="22945A66" w:rsidR="00E11442" w:rsidRPr="005F7471" w:rsidRDefault="00AC609A" w:rsidP="00F07206">
            <w:pPr>
              <w:spacing w:after="0" w:line="200" w:lineRule="atLeast"/>
              <w:rPr>
                <w:rFonts w:cs="Arial"/>
                <w:iCs/>
                <w:color w:val="000000"/>
                <w:sz w:val="22"/>
                <w:szCs w:val="16"/>
              </w:rPr>
            </w:pPr>
            <w:r>
              <w:rPr>
                <w:rFonts w:cs="Arial"/>
                <w:iCs/>
                <w:color w:val="000000"/>
                <w:sz w:val="22"/>
                <w:szCs w:val="16"/>
              </w:rPr>
              <w:t>CEWO</w:t>
            </w:r>
          </w:p>
        </w:tc>
        <w:tc>
          <w:tcPr>
            <w:tcW w:w="1811" w:type="dxa"/>
            <w:tcBorders>
              <w:top w:val="single" w:sz="8" w:space="0" w:color="9BBB59"/>
              <w:bottom w:val="single" w:sz="8" w:space="0" w:color="9BBB59"/>
            </w:tcBorders>
            <w:shd w:val="clear" w:color="auto" w:fill="auto"/>
          </w:tcPr>
          <w:p w14:paraId="0DE78718" w14:textId="4E5F363C" w:rsidR="00E11442" w:rsidRPr="005F7471" w:rsidRDefault="00AC609A" w:rsidP="00F07206">
            <w:pPr>
              <w:spacing w:after="0" w:line="200" w:lineRule="atLeast"/>
              <w:rPr>
                <w:rFonts w:cs="Arial"/>
                <w:iCs/>
                <w:color w:val="000000"/>
                <w:sz w:val="22"/>
                <w:szCs w:val="16"/>
              </w:rPr>
            </w:pPr>
            <w:r>
              <w:rPr>
                <w:rFonts w:cs="Arial"/>
                <w:iCs/>
                <w:color w:val="000000"/>
                <w:sz w:val="22"/>
                <w:szCs w:val="16"/>
              </w:rPr>
              <w:t>Fiona Dyer &amp; CEWO</w:t>
            </w:r>
          </w:p>
        </w:tc>
        <w:tc>
          <w:tcPr>
            <w:tcW w:w="1641" w:type="dxa"/>
            <w:tcBorders>
              <w:top w:val="single" w:sz="8" w:space="0" w:color="9BBB59"/>
              <w:bottom w:val="single" w:sz="8" w:space="0" w:color="9BBB59"/>
            </w:tcBorders>
            <w:shd w:val="clear" w:color="auto" w:fill="auto"/>
          </w:tcPr>
          <w:p w14:paraId="06365BFE" w14:textId="476E6ED7" w:rsidR="00E11442" w:rsidRPr="005F7471" w:rsidRDefault="00AC609A" w:rsidP="00F07206">
            <w:pPr>
              <w:spacing w:after="0" w:line="200" w:lineRule="atLeast"/>
              <w:rPr>
                <w:sz w:val="22"/>
              </w:rPr>
            </w:pPr>
            <w:r>
              <w:rPr>
                <w:sz w:val="22"/>
              </w:rPr>
              <w:t>Fiona Dyer</w:t>
            </w:r>
          </w:p>
        </w:tc>
        <w:tc>
          <w:tcPr>
            <w:tcW w:w="1797" w:type="dxa"/>
            <w:tcBorders>
              <w:top w:val="single" w:sz="8" w:space="0" w:color="9BBB59"/>
              <w:bottom w:val="single" w:sz="8" w:space="0" w:color="9BBB59"/>
              <w:right w:val="single" w:sz="8" w:space="0" w:color="9BBB59"/>
            </w:tcBorders>
            <w:shd w:val="clear" w:color="auto" w:fill="auto"/>
          </w:tcPr>
          <w:p w14:paraId="6E73E28E" w14:textId="3CA80064" w:rsidR="00E11442" w:rsidRPr="005F7471" w:rsidRDefault="00AC609A" w:rsidP="00F07206">
            <w:pPr>
              <w:spacing w:after="0" w:line="200" w:lineRule="atLeast"/>
              <w:rPr>
                <w:sz w:val="22"/>
              </w:rPr>
            </w:pPr>
            <w:r>
              <w:rPr>
                <w:sz w:val="22"/>
              </w:rPr>
              <w:t>Draft</w:t>
            </w:r>
          </w:p>
        </w:tc>
      </w:tr>
      <w:tr w:rsidR="00542361" w:rsidRPr="005F7471" w14:paraId="0221911A"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72A60CA0" w14:textId="14E11E44" w:rsidR="00542361" w:rsidRDefault="00FC6747" w:rsidP="00F07206">
            <w:pPr>
              <w:spacing w:after="0" w:line="200" w:lineRule="atLeast"/>
              <w:rPr>
                <w:bCs/>
                <w:sz w:val="22"/>
              </w:rPr>
            </w:pPr>
            <w:r>
              <w:rPr>
                <w:bCs/>
                <w:sz w:val="22"/>
              </w:rPr>
              <w:t>Final Draft</w:t>
            </w:r>
          </w:p>
        </w:tc>
        <w:tc>
          <w:tcPr>
            <w:tcW w:w="1901" w:type="dxa"/>
            <w:tcBorders>
              <w:top w:val="single" w:sz="8" w:space="0" w:color="9BBB59"/>
              <w:bottom w:val="single" w:sz="8" w:space="0" w:color="9BBB59"/>
            </w:tcBorders>
            <w:shd w:val="clear" w:color="auto" w:fill="auto"/>
          </w:tcPr>
          <w:p w14:paraId="673F5414" w14:textId="2BC4002B" w:rsidR="00542361" w:rsidRDefault="00FC6747" w:rsidP="00542361">
            <w:pPr>
              <w:spacing w:after="0" w:line="200" w:lineRule="atLeast"/>
              <w:rPr>
                <w:sz w:val="22"/>
              </w:rPr>
            </w:pPr>
            <w:r>
              <w:rPr>
                <w:sz w:val="22"/>
              </w:rPr>
              <w:t>7 February 2020</w:t>
            </w:r>
          </w:p>
        </w:tc>
        <w:tc>
          <w:tcPr>
            <w:tcW w:w="1513" w:type="dxa"/>
            <w:tcBorders>
              <w:top w:val="single" w:sz="8" w:space="0" w:color="9BBB59"/>
              <w:bottom w:val="single" w:sz="8" w:space="0" w:color="9BBB59"/>
            </w:tcBorders>
          </w:tcPr>
          <w:p w14:paraId="03896A25" w14:textId="68BB6F6E" w:rsidR="00542361" w:rsidRDefault="00FC6747" w:rsidP="00F07206">
            <w:pPr>
              <w:spacing w:after="0" w:line="200" w:lineRule="atLeast"/>
              <w:rPr>
                <w:rFonts w:cs="Arial"/>
                <w:iCs/>
                <w:color w:val="000000"/>
                <w:sz w:val="22"/>
                <w:szCs w:val="16"/>
              </w:rPr>
            </w:pPr>
            <w:r>
              <w:rPr>
                <w:rFonts w:cs="Arial"/>
                <w:iCs/>
                <w:color w:val="000000"/>
                <w:sz w:val="22"/>
                <w:szCs w:val="16"/>
              </w:rPr>
              <w:t>CEWO</w:t>
            </w:r>
          </w:p>
        </w:tc>
        <w:tc>
          <w:tcPr>
            <w:tcW w:w="1811" w:type="dxa"/>
            <w:tcBorders>
              <w:top w:val="single" w:sz="8" w:space="0" w:color="9BBB59"/>
              <w:bottom w:val="single" w:sz="8" w:space="0" w:color="9BBB59"/>
            </w:tcBorders>
            <w:shd w:val="clear" w:color="auto" w:fill="auto"/>
          </w:tcPr>
          <w:p w14:paraId="49B9CFFA" w14:textId="6090F4D8" w:rsidR="00542361" w:rsidRDefault="00FC6747" w:rsidP="00F07206">
            <w:pPr>
              <w:spacing w:after="0" w:line="200" w:lineRule="atLeast"/>
              <w:rPr>
                <w:rFonts w:cs="Arial"/>
                <w:iCs/>
                <w:color w:val="000000"/>
                <w:sz w:val="22"/>
                <w:szCs w:val="16"/>
              </w:rPr>
            </w:pPr>
            <w:r>
              <w:rPr>
                <w:rFonts w:cs="Arial"/>
                <w:iCs/>
                <w:color w:val="000000"/>
                <w:sz w:val="22"/>
                <w:szCs w:val="16"/>
              </w:rPr>
              <w:t>CEWO, Basin Matter Teams</w:t>
            </w:r>
          </w:p>
        </w:tc>
        <w:tc>
          <w:tcPr>
            <w:tcW w:w="1641" w:type="dxa"/>
            <w:tcBorders>
              <w:top w:val="single" w:sz="8" w:space="0" w:color="9BBB59"/>
              <w:bottom w:val="single" w:sz="8" w:space="0" w:color="9BBB59"/>
            </w:tcBorders>
            <w:shd w:val="clear" w:color="auto" w:fill="auto"/>
          </w:tcPr>
          <w:p w14:paraId="786C8F0C" w14:textId="1C140588" w:rsidR="00542361" w:rsidRDefault="00FC6747" w:rsidP="00F07206">
            <w:pPr>
              <w:spacing w:after="0" w:line="200" w:lineRule="atLeast"/>
              <w:rPr>
                <w:sz w:val="22"/>
              </w:rPr>
            </w:pPr>
            <w:r>
              <w:rPr>
                <w:sz w:val="22"/>
              </w:rPr>
              <w:t>Fiona Dyer</w:t>
            </w:r>
          </w:p>
        </w:tc>
        <w:tc>
          <w:tcPr>
            <w:tcW w:w="1797" w:type="dxa"/>
            <w:tcBorders>
              <w:top w:val="single" w:sz="8" w:space="0" w:color="9BBB59"/>
              <w:bottom w:val="single" w:sz="8" w:space="0" w:color="9BBB59"/>
              <w:right w:val="single" w:sz="8" w:space="0" w:color="9BBB59"/>
            </w:tcBorders>
            <w:shd w:val="clear" w:color="auto" w:fill="auto"/>
          </w:tcPr>
          <w:p w14:paraId="77B8A868" w14:textId="2A49DE3B" w:rsidR="00542361" w:rsidRDefault="00FC6747" w:rsidP="00F07206">
            <w:pPr>
              <w:spacing w:after="0" w:line="200" w:lineRule="atLeast"/>
              <w:rPr>
                <w:sz w:val="22"/>
              </w:rPr>
            </w:pPr>
            <w:r>
              <w:rPr>
                <w:sz w:val="22"/>
              </w:rPr>
              <w:t>Final Draft</w:t>
            </w:r>
          </w:p>
        </w:tc>
      </w:tr>
      <w:tr w:rsidR="00E11442" w:rsidRPr="00B45693" w14:paraId="3FE1BEBE" w14:textId="77777777" w:rsidTr="00DB6655">
        <w:trPr>
          <w:jc w:val="center"/>
        </w:trPr>
        <w:tc>
          <w:tcPr>
            <w:tcW w:w="1751" w:type="dxa"/>
            <w:shd w:val="clear" w:color="auto" w:fill="auto"/>
          </w:tcPr>
          <w:p w14:paraId="5CC83489" w14:textId="77777777" w:rsidR="00E11442" w:rsidRPr="00B45693" w:rsidRDefault="00E11442" w:rsidP="00F07206">
            <w:pPr>
              <w:spacing w:after="0" w:line="200" w:lineRule="atLeast"/>
              <w:rPr>
                <w:b/>
                <w:bCs/>
              </w:rPr>
            </w:pPr>
          </w:p>
        </w:tc>
        <w:tc>
          <w:tcPr>
            <w:tcW w:w="1901" w:type="dxa"/>
            <w:shd w:val="clear" w:color="auto" w:fill="auto"/>
          </w:tcPr>
          <w:p w14:paraId="07945E6A" w14:textId="77777777" w:rsidR="00E11442" w:rsidRPr="00DB6655" w:rsidRDefault="00E11442" w:rsidP="00542361">
            <w:pPr>
              <w:spacing w:after="0" w:line="200" w:lineRule="atLeast"/>
              <w:rPr>
                <w:sz w:val="22"/>
                <w:szCs w:val="22"/>
              </w:rPr>
            </w:pPr>
          </w:p>
        </w:tc>
        <w:tc>
          <w:tcPr>
            <w:tcW w:w="1513" w:type="dxa"/>
          </w:tcPr>
          <w:p w14:paraId="61F6CF8A" w14:textId="77777777" w:rsidR="00E11442" w:rsidRPr="00DB6655" w:rsidRDefault="00E11442" w:rsidP="00F07206">
            <w:pPr>
              <w:spacing w:after="0" w:line="200" w:lineRule="atLeast"/>
              <w:rPr>
                <w:sz w:val="22"/>
                <w:szCs w:val="22"/>
              </w:rPr>
            </w:pPr>
          </w:p>
        </w:tc>
        <w:tc>
          <w:tcPr>
            <w:tcW w:w="1811" w:type="dxa"/>
            <w:shd w:val="clear" w:color="auto" w:fill="auto"/>
          </w:tcPr>
          <w:p w14:paraId="5484C277" w14:textId="77777777" w:rsidR="00E11442" w:rsidRPr="00DB6655" w:rsidRDefault="00E11442" w:rsidP="00F07206">
            <w:pPr>
              <w:spacing w:after="0" w:line="200" w:lineRule="atLeast"/>
              <w:rPr>
                <w:sz w:val="22"/>
                <w:szCs w:val="22"/>
              </w:rPr>
            </w:pPr>
          </w:p>
        </w:tc>
        <w:tc>
          <w:tcPr>
            <w:tcW w:w="1641" w:type="dxa"/>
            <w:shd w:val="clear" w:color="auto" w:fill="auto"/>
          </w:tcPr>
          <w:p w14:paraId="04252733" w14:textId="77777777" w:rsidR="00E11442" w:rsidRPr="00DB6655" w:rsidRDefault="00E11442" w:rsidP="00F07206">
            <w:pPr>
              <w:spacing w:after="0" w:line="200" w:lineRule="atLeast"/>
              <w:rPr>
                <w:sz w:val="22"/>
                <w:szCs w:val="22"/>
              </w:rPr>
            </w:pPr>
          </w:p>
        </w:tc>
        <w:tc>
          <w:tcPr>
            <w:tcW w:w="1797" w:type="dxa"/>
            <w:shd w:val="clear" w:color="auto" w:fill="auto"/>
          </w:tcPr>
          <w:p w14:paraId="205D8C72" w14:textId="77777777" w:rsidR="00E11442" w:rsidRPr="00DB6655" w:rsidRDefault="00E11442" w:rsidP="00F07206">
            <w:pPr>
              <w:spacing w:after="0" w:line="200" w:lineRule="atLeast"/>
              <w:rPr>
                <w:sz w:val="22"/>
                <w:szCs w:val="22"/>
              </w:rPr>
            </w:pPr>
          </w:p>
        </w:tc>
      </w:tr>
    </w:tbl>
    <w:p w14:paraId="2BBC0C2B" w14:textId="034220B2" w:rsidR="00A00086" w:rsidRPr="005F7471" w:rsidRDefault="00A00086" w:rsidP="00A00086">
      <w:pPr>
        <w:rPr>
          <w:sz w:val="22"/>
        </w:rPr>
      </w:pPr>
      <w:r w:rsidRPr="00F87329">
        <w:rPr>
          <w:sz w:val="22"/>
        </w:rPr>
        <w:t>Front cover photo</w:t>
      </w:r>
      <w:r w:rsidR="00107FDD" w:rsidRPr="00F87329">
        <w:rPr>
          <w:sz w:val="22"/>
        </w:rPr>
        <w:t xml:space="preserve">: </w:t>
      </w:r>
      <w:bookmarkStart w:id="3" w:name="_Hlk23784381"/>
      <w:r w:rsidR="00A25D64">
        <w:rPr>
          <w:sz w:val="22"/>
        </w:rPr>
        <w:t>The Lachlan River at Oxley, April 2019.  Photo by Alica Tschierschke, University of Canberra</w:t>
      </w:r>
    </w:p>
    <w:bookmarkEnd w:id="3"/>
    <w:p w14:paraId="682BAA01" w14:textId="77777777" w:rsidR="005B3215" w:rsidRPr="000D31F3" w:rsidRDefault="00D94C16" w:rsidP="00102207">
      <w:pPr>
        <w:rPr>
          <w:b/>
          <w:bCs/>
          <w:color w:val="76923C"/>
          <w:sz w:val="32"/>
          <w:szCs w:val="32"/>
        </w:rPr>
      </w:pPr>
      <w:r>
        <w:br w:type="page"/>
      </w:r>
      <w:bookmarkStart w:id="4" w:name="_Toc419888420"/>
      <w:bookmarkStart w:id="5" w:name="_Toc417653240"/>
      <w:bookmarkStart w:id="6" w:name="_Toc417653089"/>
      <w:bookmarkStart w:id="7" w:name="_Toc417396891"/>
      <w:r w:rsidR="00F62FB7" w:rsidRPr="000D31F3">
        <w:rPr>
          <w:b/>
          <w:bCs/>
          <w:color w:val="76923C"/>
          <w:sz w:val="32"/>
          <w:szCs w:val="32"/>
        </w:rPr>
        <w:t>TABLE OF CONTENTS</w:t>
      </w:r>
      <w:bookmarkEnd w:id="4"/>
      <w:bookmarkEnd w:id="5"/>
      <w:bookmarkEnd w:id="6"/>
      <w:bookmarkEnd w:id="7"/>
    </w:p>
    <w:p w14:paraId="0EDF6838" w14:textId="4C0073E4" w:rsidR="00DA5439" w:rsidRDefault="00A544F8">
      <w:pPr>
        <w:pStyle w:val="TOC1"/>
        <w:rPr>
          <w:rFonts w:asciiTheme="minorHAnsi" w:eastAsiaTheme="minorEastAsia" w:hAnsiTheme="minorHAnsi" w:cstheme="minorBidi"/>
          <w:b w:val="0"/>
          <w:color w:val="auto"/>
          <w:sz w:val="22"/>
          <w:szCs w:val="22"/>
          <w:lang w:eastAsia="en-AU"/>
        </w:rPr>
      </w:pPr>
      <w:r>
        <w:rPr>
          <w:b w:val="0"/>
          <w:color w:val="009EDD"/>
        </w:rPr>
        <w:fldChar w:fldCharType="begin"/>
      </w:r>
      <w:r>
        <w:rPr>
          <w:b w:val="0"/>
          <w:color w:val="009EDD"/>
        </w:rPr>
        <w:instrText xml:space="preserve"> TOC \o "1-3" </w:instrText>
      </w:r>
      <w:r>
        <w:rPr>
          <w:b w:val="0"/>
          <w:color w:val="009EDD"/>
        </w:rPr>
        <w:fldChar w:fldCharType="separate"/>
      </w:r>
      <w:r w:rsidR="00DA5439">
        <w:t>1</w:t>
      </w:r>
      <w:r w:rsidR="00DA5439">
        <w:rPr>
          <w:rFonts w:asciiTheme="minorHAnsi" w:eastAsiaTheme="minorEastAsia" w:hAnsiTheme="minorHAnsi" w:cstheme="minorBidi"/>
          <w:b w:val="0"/>
          <w:color w:val="auto"/>
          <w:sz w:val="22"/>
          <w:szCs w:val="22"/>
          <w:lang w:eastAsia="en-AU"/>
        </w:rPr>
        <w:tab/>
      </w:r>
      <w:r w:rsidR="00DA5439">
        <w:t>I</w:t>
      </w:r>
      <w:r w:rsidR="00DA5439" w:rsidRPr="00A17E5B">
        <w:t>ntroduction</w:t>
      </w:r>
      <w:r w:rsidR="00DA5439">
        <w:tab/>
      </w:r>
      <w:r w:rsidR="00DA5439">
        <w:fldChar w:fldCharType="begin"/>
      </w:r>
      <w:r w:rsidR="00DA5439">
        <w:instrText xml:space="preserve"> PAGEREF _Toc31985437 \h </w:instrText>
      </w:r>
      <w:r w:rsidR="00DA5439">
        <w:fldChar w:fldCharType="separate"/>
      </w:r>
      <w:r w:rsidR="007F7607">
        <w:t>17</w:t>
      </w:r>
      <w:r w:rsidR="00DA5439">
        <w:fldChar w:fldCharType="end"/>
      </w:r>
    </w:p>
    <w:p w14:paraId="2BADE55E" w14:textId="450B65AC" w:rsidR="00DA5439" w:rsidRDefault="00DA5439">
      <w:pPr>
        <w:pStyle w:val="TOC1"/>
        <w:rPr>
          <w:rFonts w:asciiTheme="minorHAnsi" w:eastAsiaTheme="minorEastAsia" w:hAnsiTheme="minorHAnsi" w:cstheme="minorBidi"/>
          <w:b w:val="0"/>
          <w:color w:val="auto"/>
          <w:sz w:val="22"/>
          <w:szCs w:val="22"/>
          <w:lang w:eastAsia="en-AU"/>
        </w:rPr>
      </w:pPr>
      <w:r>
        <w:t>2</w:t>
      </w:r>
      <w:r>
        <w:rPr>
          <w:rFonts w:asciiTheme="minorHAnsi" w:eastAsiaTheme="minorEastAsia" w:hAnsiTheme="minorHAnsi" w:cstheme="minorBidi"/>
          <w:b w:val="0"/>
          <w:color w:val="auto"/>
          <w:sz w:val="22"/>
          <w:szCs w:val="22"/>
          <w:lang w:eastAsia="en-AU"/>
        </w:rPr>
        <w:tab/>
      </w:r>
      <w:r>
        <w:t>Lower Lachlan river system – Selected Area</w:t>
      </w:r>
      <w:r>
        <w:tab/>
      </w:r>
      <w:r>
        <w:fldChar w:fldCharType="begin"/>
      </w:r>
      <w:r>
        <w:instrText xml:space="preserve"> PAGEREF _Toc31985438 \h </w:instrText>
      </w:r>
      <w:r>
        <w:fldChar w:fldCharType="separate"/>
      </w:r>
      <w:r w:rsidR="007F7607">
        <w:t>18</w:t>
      </w:r>
      <w:r>
        <w:fldChar w:fldCharType="end"/>
      </w:r>
    </w:p>
    <w:p w14:paraId="49451A65" w14:textId="2CF4BF61" w:rsidR="00DA5439" w:rsidRDefault="00DA5439">
      <w:pPr>
        <w:pStyle w:val="TOC1"/>
        <w:rPr>
          <w:rFonts w:asciiTheme="minorHAnsi" w:eastAsiaTheme="minorEastAsia" w:hAnsiTheme="minorHAnsi" w:cstheme="minorBidi"/>
          <w:b w:val="0"/>
          <w:color w:val="auto"/>
          <w:sz w:val="22"/>
          <w:szCs w:val="22"/>
          <w:lang w:eastAsia="en-AU"/>
        </w:rPr>
      </w:pPr>
      <w:r w:rsidRPr="00A17E5B">
        <w:t>3</w:t>
      </w:r>
      <w:r>
        <w:rPr>
          <w:rFonts w:asciiTheme="minorHAnsi" w:eastAsiaTheme="minorEastAsia" w:hAnsiTheme="minorHAnsi" w:cstheme="minorBidi"/>
          <w:b w:val="0"/>
          <w:color w:val="auto"/>
          <w:sz w:val="22"/>
          <w:szCs w:val="22"/>
          <w:lang w:eastAsia="en-AU"/>
        </w:rPr>
        <w:tab/>
      </w:r>
      <w:r w:rsidRPr="00A17E5B">
        <w:t>2018-19 Watering Actions</w:t>
      </w:r>
      <w:r>
        <w:tab/>
      </w:r>
      <w:r>
        <w:fldChar w:fldCharType="begin"/>
      </w:r>
      <w:r>
        <w:instrText xml:space="preserve"> PAGEREF _Toc31985439 \h </w:instrText>
      </w:r>
      <w:r>
        <w:fldChar w:fldCharType="separate"/>
      </w:r>
      <w:r w:rsidR="007F7607">
        <w:t>20</w:t>
      </w:r>
      <w:r>
        <w:fldChar w:fldCharType="end"/>
      </w:r>
    </w:p>
    <w:p w14:paraId="7B1266F6" w14:textId="01609045"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3.1</w:t>
      </w:r>
      <w:r>
        <w:rPr>
          <w:rFonts w:asciiTheme="minorHAnsi" w:eastAsiaTheme="minorEastAsia" w:hAnsiTheme="minorHAnsi" w:cstheme="minorBidi"/>
          <w:noProof/>
          <w:lang w:eastAsia="en-AU"/>
        </w:rPr>
        <w:tab/>
      </w:r>
      <w:r>
        <w:rPr>
          <w:noProof/>
        </w:rPr>
        <w:t xml:space="preserve">Catchment and </w:t>
      </w:r>
      <w:r w:rsidRPr="00A17E5B">
        <w:rPr>
          <w:noProof/>
        </w:rPr>
        <w:t>weather</w:t>
      </w:r>
      <w:r>
        <w:rPr>
          <w:noProof/>
        </w:rPr>
        <w:t xml:space="preserve"> conditions</w:t>
      </w:r>
      <w:r>
        <w:rPr>
          <w:noProof/>
        </w:rPr>
        <w:tab/>
      </w:r>
      <w:r>
        <w:rPr>
          <w:noProof/>
        </w:rPr>
        <w:fldChar w:fldCharType="begin"/>
      </w:r>
      <w:r>
        <w:rPr>
          <w:noProof/>
        </w:rPr>
        <w:instrText xml:space="preserve"> PAGEREF _Toc31985440 \h </w:instrText>
      </w:r>
      <w:r>
        <w:rPr>
          <w:noProof/>
        </w:rPr>
      </w:r>
      <w:r>
        <w:rPr>
          <w:noProof/>
        </w:rPr>
        <w:fldChar w:fldCharType="separate"/>
      </w:r>
      <w:r w:rsidR="007F7607">
        <w:rPr>
          <w:noProof/>
        </w:rPr>
        <w:t>20</w:t>
      </w:r>
      <w:r>
        <w:rPr>
          <w:noProof/>
        </w:rPr>
        <w:fldChar w:fldCharType="end"/>
      </w:r>
    </w:p>
    <w:p w14:paraId="0C04D625" w14:textId="2F50BED3"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3.2</w:t>
      </w:r>
      <w:r>
        <w:rPr>
          <w:rFonts w:asciiTheme="minorHAnsi" w:eastAsiaTheme="minorEastAsia" w:hAnsiTheme="minorHAnsi" w:cstheme="minorBidi"/>
          <w:noProof/>
          <w:lang w:eastAsia="en-AU"/>
        </w:rPr>
        <w:tab/>
      </w:r>
      <w:r>
        <w:rPr>
          <w:noProof/>
        </w:rPr>
        <w:t>E</w:t>
      </w:r>
      <w:r w:rsidRPr="00A17E5B">
        <w:rPr>
          <w:noProof/>
        </w:rPr>
        <w:t>nviromental water holdings</w:t>
      </w:r>
      <w:r>
        <w:rPr>
          <w:noProof/>
        </w:rPr>
        <w:tab/>
      </w:r>
      <w:r>
        <w:rPr>
          <w:noProof/>
        </w:rPr>
        <w:fldChar w:fldCharType="begin"/>
      </w:r>
      <w:r>
        <w:rPr>
          <w:noProof/>
        </w:rPr>
        <w:instrText xml:space="preserve"> PAGEREF _Toc31985441 \h </w:instrText>
      </w:r>
      <w:r>
        <w:rPr>
          <w:noProof/>
        </w:rPr>
      </w:r>
      <w:r>
        <w:rPr>
          <w:noProof/>
        </w:rPr>
        <w:fldChar w:fldCharType="separate"/>
      </w:r>
      <w:r w:rsidR="007F7607">
        <w:rPr>
          <w:noProof/>
        </w:rPr>
        <w:t>23</w:t>
      </w:r>
      <w:r>
        <w:rPr>
          <w:noProof/>
        </w:rPr>
        <w:fldChar w:fldCharType="end"/>
      </w:r>
    </w:p>
    <w:p w14:paraId="3097F6C6" w14:textId="145BAC25"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3.3</w:t>
      </w:r>
      <w:r>
        <w:rPr>
          <w:rFonts w:asciiTheme="minorHAnsi" w:eastAsiaTheme="minorEastAsia" w:hAnsiTheme="minorHAnsi" w:cstheme="minorBidi"/>
          <w:noProof/>
          <w:lang w:eastAsia="en-AU"/>
        </w:rPr>
        <w:tab/>
      </w:r>
      <w:r>
        <w:rPr>
          <w:noProof/>
        </w:rPr>
        <w:t>Planned water use</w:t>
      </w:r>
      <w:r>
        <w:rPr>
          <w:noProof/>
        </w:rPr>
        <w:tab/>
      </w:r>
      <w:r>
        <w:rPr>
          <w:noProof/>
        </w:rPr>
        <w:fldChar w:fldCharType="begin"/>
      </w:r>
      <w:r>
        <w:rPr>
          <w:noProof/>
        </w:rPr>
        <w:instrText xml:space="preserve"> PAGEREF _Toc31985442 \h </w:instrText>
      </w:r>
      <w:r>
        <w:rPr>
          <w:noProof/>
        </w:rPr>
      </w:r>
      <w:r>
        <w:rPr>
          <w:noProof/>
        </w:rPr>
        <w:fldChar w:fldCharType="separate"/>
      </w:r>
      <w:r w:rsidR="007F7607">
        <w:rPr>
          <w:noProof/>
        </w:rPr>
        <w:t>23</w:t>
      </w:r>
      <w:r>
        <w:rPr>
          <w:noProof/>
        </w:rPr>
        <w:fldChar w:fldCharType="end"/>
      </w:r>
    </w:p>
    <w:p w14:paraId="50E2DFA6" w14:textId="248A5494"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3.4</w:t>
      </w:r>
      <w:r>
        <w:rPr>
          <w:rFonts w:asciiTheme="minorHAnsi" w:eastAsiaTheme="minorEastAsia" w:hAnsiTheme="minorHAnsi" w:cstheme="minorBidi"/>
          <w:noProof/>
          <w:lang w:eastAsia="en-AU"/>
        </w:rPr>
        <w:tab/>
      </w:r>
      <w:r>
        <w:rPr>
          <w:noProof/>
        </w:rPr>
        <w:t>Implemented watering actions</w:t>
      </w:r>
      <w:r>
        <w:rPr>
          <w:noProof/>
        </w:rPr>
        <w:tab/>
      </w:r>
      <w:r>
        <w:rPr>
          <w:noProof/>
        </w:rPr>
        <w:fldChar w:fldCharType="begin"/>
      </w:r>
      <w:r>
        <w:rPr>
          <w:noProof/>
        </w:rPr>
        <w:instrText xml:space="preserve"> PAGEREF _Toc31985443 \h </w:instrText>
      </w:r>
      <w:r>
        <w:rPr>
          <w:noProof/>
        </w:rPr>
      </w:r>
      <w:r>
        <w:rPr>
          <w:noProof/>
        </w:rPr>
        <w:fldChar w:fldCharType="separate"/>
      </w:r>
      <w:r w:rsidR="007F7607">
        <w:rPr>
          <w:noProof/>
        </w:rPr>
        <w:t>24</w:t>
      </w:r>
      <w:r>
        <w:rPr>
          <w:noProof/>
        </w:rPr>
        <w:fldChar w:fldCharType="end"/>
      </w:r>
    </w:p>
    <w:p w14:paraId="2AAAB55A" w14:textId="24542455"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3.4.1</w:t>
      </w:r>
      <w:r>
        <w:rPr>
          <w:rFonts w:asciiTheme="minorHAnsi" w:eastAsiaTheme="minorEastAsia" w:hAnsiTheme="minorHAnsi" w:cstheme="minorBidi"/>
          <w:i w:val="0"/>
          <w:noProof/>
          <w:lang w:eastAsia="en-AU"/>
        </w:rPr>
        <w:tab/>
      </w:r>
      <w:r>
        <w:rPr>
          <w:noProof/>
        </w:rPr>
        <w:t>Commonwealth environmental water delivery</w:t>
      </w:r>
      <w:r>
        <w:rPr>
          <w:noProof/>
        </w:rPr>
        <w:tab/>
      </w:r>
      <w:r>
        <w:rPr>
          <w:noProof/>
        </w:rPr>
        <w:fldChar w:fldCharType="begin"/>
      </w:r>
      <w:r>
        <w:rPr>
          <w:noProof/>
        </w:rPr>
        <w:instrText xml:space="preserve"> PAGEREF _Toc31985444 \h </w:instrText>
      </w:r>
      <w:r>
        <w:rPr>
          <w:noProof/>
        </w:rPr>
      </w:r>
      <w:r>
        <w:rPr>
          <w:noProof/>
        </w:rPr>
        <w:fldChar w:fldCharType="separate"/>
      </w:r>
      <w:r w:rsidR="007F7607">
        <w:rPr>
          <w:noProof/>
        </w:rPr>
        <w:t>24</w:t>
      </w:r>
      <w:r>
        <w:rPr>
          <w:noProof/>
        </w:rPr>
        <w:fldChar w:fldCharType="end"/>
      </w:r>
    </w:p>
    <w:p w14:paraId="71FC138F" w14:textId="3ADBA5E3"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3.4.2</w:t>
      </w:r>
      <w:r>
        <w:rPr>
          <w:rFonts w:asciiTheme="minorHAnsi" w:eastAsiaTheme="minorEastAsia" w:hAnsiTheme="minorHAnsi" w:cstheme="minorBidi"/>
          <w:i w:val="0"/>
          <w:noProof/>
          <w:lang w:eastAsia="en-AU"/>
        </w:rPr>
        <w:tab/>
      </w:r>
      <w:r>
        <w:rPr>
          <w:noProof/>
        </w:rPr>
        <w:t>NSW Watering Actions</w:t>
      </w:r>
      <w:r>
        <w:rPr>
          <w:noProof/>
        </w:rPr>
        <w:tab/>
      </w:r>
      <w:r>
        <w:rPr>
          <w:noProof/>
        </w:rPr>
        <w:fldChar w:fldCharType="begin"/>
      </w:r>
      <w:r>
        <w:rPr>
          <w:noProof/>
        </w:rPr>
        <w:instrText xml:space="preserve"> PAGEREF _Toc31985445 \h </w:instrText>
      </w:r>
      <w:r>
        <w:rPr>
          <w:noProof/>
        </w:rPr>
      </w:r>
      <w:r>
        <w:rPr>
          <w:noProof/>
        </w:rPr>
        <w:fldChar w:fldCharType="separate"/>
      </w:r>
      <w:r w:rsidR="007F7607">
        <w:rPr>
          <w:noProof/>
        </w:rPr>
        <w:t>25</w:t>
      </w:r>
      <w:r>
        <w:rPr>
          <w:noProof/>
        </w:rPr>
        <w:fldChar w:fldCharType="end"/>
      </w:r>
    </w:p>
    <w:p w14:paraId="6E875B4B" w14:textId="6830CDD6"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3.5</w:t>
      </w:r>
      <w:r>
        <w:rPr>
          <w:rFonts w:asciiTheme="minorHAnsi" w:eastAsiaTheme="minorEastAsia" w:hAnsiTheme="minorHAnsi" w:cstheme="minorBidi"/>
          <w:noProof/>
          <w:lang w:eastAsia="en-AU"/>
        </w:rPr>
        <w:tab/>
      </w:r>
      <w:r>
        <w:rPr>
          <w:noProof/>
        </w:rPr>
        <w:t>Designing flows for fish</w:t>
      </w:r>
      <w:r>
        <w:rPr>
          <w:noProof/>
        </w:rPr>
        <w:tab/>
      </w:r>
      <w:r>
        <w:rPr>
          <w:noProof/>
        </w:rPr>
        <w:fldChar w:fldCharType="begin"/>
      </w:r>
      <w:r>
        <w:rPr>
          <w:noProof/>
        </w:rPr>
        <w:instrText xml:space="preserve"> PAGEREF _Toc31985446 \h </w:instrText>
      </w:r>
      <w:r>
        <w:rPr>
          <w:noProof/>
        </w:rPr>
      </w:r>
      <w:r>
        <w:rPr>
          <w:noProof/>
        </w:rPr>
        <w:fldChar w:fldCharType="separate"/>
      </w:r>
      <w:r w:rsidR="007F7607">
        <w:rPr>
          <w:noProof/>
        </w:rPr>
        <w:t>29</w:t>
      </w:r>
      <w:r>
        <w:rPr>
          <w:noProof/>
        </w:rPr>
        <w:fldChar w:fldCharType="end"/>
      </w:r>
    </w:p>
    <w:p w14:paraId="59C6404F" w14:textId="71871131" w:rsidR="00DA5439" w:rsidRDefault="00DA5439">
      <w:pPr>
        <w:pStyle w:val="TOC1"/>
        <w:rPr>
          <w:rFonts w:asciiTheme="minorHAnsi" w:eastAsiaTheme="minorEastAsia" w:hAnsiTheme="minorHAnsi" w:cstheme="minorBidi"/>
          <w:b w:val="0"/>
          <w:color w:val="auto"/>
          <w:sz w:val="22"/>
          <w:szCs w:val="22"/>
          <w:lang w:eastAsia="en-AU"/>
        </w:rPr>
      </w:pPr>
      <w:r>
        <w:t>4</w:t>
      </w:r>
      <w:r>
        <w:rPr>
          <w:rFonts w:asciiTheme="minorHAnsi" w:eastAsiaTheme="minorEastAsia" w:hAnsiTheme="minorHAnsi" w:cstheme="minorBidi"/>
          <w:b w:val="0"/>
          <w:color w:val="auto"/>
          <w:sz w:val="22"/>
          <w:szCs w:val="22"/>
          <w:lang w:eastAsia="en-AU"/>
        </w:rPr>
        <w:tab/>
      </w:r>
      <w:r>
        <w:t>Hydrology</w:t>
      </w:r>
      <w:r>
        <w:tab/>
      </w:r>
      <w:r>
        <w:fldChar w:fldCharType="begin"/>
      </w:r>
      <w:r>
        <w:instrText xml:space="preserve"> PAGEREF _Toc31985447 \h </w:instrText>
      </w:r>
      <w:r>
        <w:fldChar w:fldCharType="separate"/>
      </w:r>
      <w:r w:rsidR="007F7607">
        <w:t>31</w:t>
      </w:r>
      <w:r>
        <w:fldChar w:fldCharType="end"/>
      </w:r>
    </w:p>
    <w:p w14:paraId="259DFE7A" w14:textId="7BD5FA40"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4.1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_Toc31985448 \h </w:instrText>
      </w:r>
      <w:r>
        <w:rPr>
          <w:noProof/>
        </w:rPr>
      </w:r>
      <w:r>
        <w:rPr>
          <w:noProof/>
        </w:rPr>
        <w:fldChar w:fldCharType="separate"/>
      </w:r>
      <w:r w:rsidR="007F7607">
        <w:rPr>
          <w:noProof/>
        </w:rPr>
        <w:t>31</w:t>
      </w:r>
      <w:r>
        <w:rPr>
          <w:noProof/>
        </w:rPr>
        <w:fldChar w:fldCharType="end"/>
      </w:r>
    </w:p>
    <w:p w14:paraId="393857C0" w14:textId="0741F99D"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4.1.1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_Toc31985449 \h </w:instrText>
      </w:r>
      <w:r>
        <w:rPr>
          <w:noProof/>
        </w:rPr>
      </w:r>
      <w:r>
        <w:rPr>
          <w:noProof/>
        </w:rPr>
        <w:fldChar w:fldCharType="separate"/>
      </w:r>
      <w:r w:rsidR="007F7607">
        <w:rPr>
          <w:noProof/>
        </w:rPr>
        <w:t>32</w:t>
      </w:r>
      <w:r>
        <w:rPr>
          <w:noProof/>
        </w:rPr>
        <w:fldChar w:fldCharType="end"/>
      </w:r>
    </w:p>
    <w:p w14:paraId="418B3AE4" w14:textId="05E32DA3"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4.1.2</w:t>
      </w:r>
      <w:r>
        <w:rPr>
          <w:rFonts w:asciiTheme="minorHAnsi" w:eastAsiaTheme="minorEastAsia" w:hAnsiTheme="minorHAnsi" w:cstheme="minorBidi"/>
          <w:i w:val="0"/>
          <w:noProof/>
          <w:lang w:eastAsia="en-AU"/>
        </w:rPr>
        <w:tab/>
      </w:r>
      <w:r>
        <w:rPr>
          <w:noProof/>
        </w:rPr>
        <w:t>Selected area specific evaluation questions</w:t>
      </w:r>
      <w:r w:rsidRPr="00A17E5B">
        <w:rPr>
          <w:noProof/>
        </w:rPr>
        <w:t>:</w:t>
      </w:r>
      <w:r>
        <w:rPr>
          <w:noProof/>
        </w:rPr>
        <w:tab/>
      </w:r>
      <w:r>
        <w:rPr>
          <w:noProof/>
        </w:rPr>
        <w:fldChar w:fldCharType="begin"/>
      </w:r>
      <w:r>
        <w:rPr>
          <w:noProof/>
        </w:rPr>
        <w:instrText xml:space="preserve"> PAGEREF _Toc31985450 \h </w:instrText>
      </w:r>
      <w:r>
        <w:rPr>
          <w:noProof/>
        </w:rPr>
      </w:r>
      <w:r>
        <w:rPr>
          <w:noProof/>
        </w:rPr>
        <w:fldChar w:fldCharType="separate"/>
      </w:r>
      <w:r w:rsidR="007F7607">
        <w:rPr>
          <w:noProof/>
        </w:rPr>
        <w:t>32</w:t>
      </w:r>
      <w:r>
        <w:rPr>
          <w:noProof/>
        </w:rPr>
        <w:fldChar w:fldCharType="end"/>
      </w:r>
    </w:p>
    <w:p w14:paraId="155F0403" w14:textId="659F2599"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rPr>
        <w:t>4.2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_Toc31985451 \h </w:instrText>
      </w:r>
      <w:r>
        <w:rPr>
          <w:noProof/>
        </w:rPr>
      </w:r>
      <w:r>
        <w:rPr>
          <w:noProof/>
        </w:rPr>
        <w:fldChar w:fldCharType="separate"/>
      </w:r>
      <w:r w:rsidR="007F7607">
        <w:rPr>
          <w:noProof/>
        </w:rPr>
        <w:t>34</w:t>
      </w:r>
      <w:r>
        <w:rPr>
          <w:noProof/>
        </w:rPr>
        <w:fldChar w:fldCharType="end"/>
      </w:r>
    </w:p>
    <w:p w14:paraId="7929AFFE" w14:textId="2EE79F7D"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4.3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_Toc31985452 \h </w:instrText>
      </w:r>
      <w:r>
        <w:rPr>
          <w:noProof/>
        </w:rPr>
      </w:r>
      <w:r>
        <w:rPr>
          <w:noProof/>
        </w:rPr>
        <w:fldChar w:fldCharType="separate"/>
      </w:r>
      <w:r w:rsidR="007F7607">
        <w:rPr>
          <w:noProof/>
        </w:rPr>
        <w:t>35</w:t>
      </w:r>
      <w:r>
        <w:rPr>
          <w:noProof/>
        </w:rPr>
        <w:fldChar w:fldCharType="end"/>
      </w:r>
    </w:p>
    <w:p w14:paraId="4F51995C" w14:textId="16DBCFBE"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4.3.1</w:t>
      </w:r>
      <w:r>
        <w:rPr>
          <w:rFonts w:asciiTheme="minorHAnsi" w:eastAsiaTheme="minorEastAsia" w:hAnsiTheme="minorHAnsi" w:cstheme="minorBidi"/>
          <w:i w:val="0"/>
          <w:noProof/>
          <w:lang w:eastAsia="en-AU"/>
        </w:rPr>
        <w:tab/>
      </w:r>
      <w:r>
        <w:rPr>
          <w:noProof/>
        </w:rPr>
        <w:t>Watering Action</w:t>
      </w:r>
      <w:r w:rsidRPr="00A17E5B">
        <w:rPr>
          <w:noProof/>
          <w:lang w:val="en-US"/>
        </w:rPr>
        <w:t>s</w:t>
      </w:r>
      <w:r>
        <w:rPr>
          <w:noProof/>
        </w:rPr>
        <w:t xml:space="preserve"> 1</w:t>
      </w:r>
      <w:r w:rsidRPr="00A17E5B">
        <w:rPr>
          <w:noProof/>
          <w:lang w:val="en-US"/>
        </w:rPr>
        <w:t xml:space="preserve"> and 2</w:t>
      </w:r>
      <w:r>
        <w:rPr>
          <w:noProof/>
        </w:rPr>
        <w:t>:  Supporting native fish outcomes</w:t>
      </w:r>
      <w:r>
        <w:rPr>
          <w:noProof/>
        </w:rPr>
        <w:tab/>
      </w:r>
      <w:r>
        <w:rPr>
          <w:noProof/>
        </w:rPr>
        <w:fldChar w:fldCharType="begin"/>
      </w:r>
      <w:r>
        <w:rPr>
          <w:noProof/>
        </w:rPr>
        <w:instrText xml:space="preserve"> PAGEREF _Toc31985453 \h </w:instrText>
      </w:r>
      <w:r>
        <w:rPr>
          <w:noProof/>
        </w:rPr>
      </w:r>
      <w:r>
        <w:rPr>
          <w:noProof/>
        </w:rPr>
        <w:fldChar w:fldCharType="separate"/>
      </w:r>
      <w:r w:rsidR="007F7607">
        <w:rPr>
          <w:noProof/>
        </w:rPr>
        <w:t>36</w:t>
      </w:r>
      <w:r>
        <w:rPr>
          <w:noProof/>
        </w:rPr>
        <w:fldChar w:fldCharType="end"/>
      </w:r>
    </w:p>
    <w:p w14:paraId="08754274" w14:textId="404D8B73"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lang w:val="en-US"/>
        </w:rPr>
        <w:t>4.3.2</w:t>
      </w:r>
      <w:r>
        <w:rPr>
          <w:rFonts w:asciiTheme="minorHAnsi" w:eastAsiaTheme="minorEastAsia" w:hAnsiTheme="minorHAnsi" w:cstheme="minorBidi"/>
          <w:i w:val="0"/>
          <w:noProof/>
          <w:lang w:eastAsia="en-AU"/>
        </w:rPr>
        <w:tab/>
      </w:r>
      <w:r w:rsidRPr="00A17E5B">
        <w:rPr>
          <w:noProof/>
          <w:lang w:val="en-US"/>
        </w:rPr>
        <w:t>Watering Action 3:  Yarrabandai Lagoon</w:t>
      </w:r>
      <w:r>
        <w:rPr>
          <w:noProof/>
        </w:rPr>
        <w:tab/>
      </w:r>
      <w:r>
        <w:rPr>
          <w:noProof/>
        </w:rPr>
        <w:fldChar w:fldCharType="begin"/>
      </w:r>
      <w:r>
        <w:rPr>
          <w:noProof/>
        </w:rPr>
        <w:instrText xml:space="preserve"> PAGEREF _Toc31985454 \h </w:instrText>
      </w:r>
      <w:r>
        <w:rPr>
          <w:noProof/>
        </w:rPr>
      </w:r>
      <w:r>
        <w:rPr>
          <w:noProof/>
        </w:rPr>
        <w:fldChar w:fldCharType="separate"/>
      </w:r>
      <w:r w:rsidR="007F7607">
        <w:rPr>
          <w:noProof/>
        </w:rPr>
        <w:t>43</w:t>
      </w:r>
      <w:r>
        <w:rPr>
          <w:noProof/>
        </w:rPr>
        <w:fldChar w:fldCharType="end"/>
      </w:r>
    </w:p>
    <w:p w14:paraId="1583226D" w14:textId="5CE80C1F"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4.3.3</w:t>
      </w:r>
      <w:r>
        <w:rPr>
          <w:rFonts w:asciiTheme="minorHAnsi" w:eastAsiaTheme="minorEastAsia" w:hAnsiTheme="minorHAnsi" w:cstheme="minorBidi"/>
          <w:i w:val="0"/>
          <w:noProof/>
          <w:lang w:eastAsia="en-AU"/>
        </w:rPr>
        <w:tab/>
      </w:r>
      <w:r>
        <w:rPr>
          <w:noProof/>
        </w:rPr>
        <w:t xml:space="preserve">Watering Action 4: </w:t>
      </w:r>
      <w:r w:rsidRPr="00A17E5B">
        <w:rPr>
          <w:noProof/>
          <w:lang w:val="en-US"/>
        </w:rPr>
        <w:t>Autumn-Winter Fresh</w:t>
      </w:r>
      <w:r>
        <w:rPr>
          <w:noProof/>
        </w:rPr>
        <w:tab/>
      </w:r>
      <w:r>
        <w:rPr>
          <w:noProof/>
        </w:rPr>
        <w:fldChar w:fldCharType="begin"/>
      </w:r>
      <w:r>
        <w:rPr>
          <w:noProof/>
        </w:rPr>
        <w:instrText xml:space="preserve"> PAGEREF _Toc31985455 \h </w:instrText>
      </w:r>
      <w:r>
        <w:rPr>
          <w:noProof/>
        </w:rPr>
      </w:r>
      <w:r>
        <w:rPr>
          <w:noProof/>
        </w:rPr>
        <w:fldChar w:fldCharType="separate"/>
      </w:r>
      <w:r w:rsidR="007F7607">
        <w:rPr>
          <w:noProof/>
        </w:rPr>
        <w:t>45</w:t>
      </w:r>
      <w:r>
        <w:rPr>
          <w:noProof/>
        </w:rPr>
        <w:fldChar w:fldCharType="end"/>
      </w:r>
    </w:p>
    <w:p w14:paraId="62CC719C" w14:textId="433EA47E"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4.4</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_Toc31985456 \h </w:instrText>
      </w:r>
      <w:r>
        <w:rPr>
          <w:noProof/>
        </w:rPr>
      </w:r>
      <w:r>
        <w:rPr>
          <w:noProof/>
        </w:rPr>
        <w:fldChar w:fldCharType="separate"/>
      </w:r>
      <w:r w:rsidR="007F7607">
        <w:rPr>
          <w:noProof/>
        </w:rPr>
        <w:t>46</w:t>
      </w:r>
      <w:r>
        <w:rPr>
          <w:noProof/>
        </w:rPr>
        <w:fldChar w:fldCharType="end"/>
      </w:r>
    </w:p>
    <w:p w14:paraId="582F487C" w14:textId="130647D5"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4.5</w:t>
      </w:r>
      <w:r>
        <w:rPr>
          <w:rFonts w:asciiTheme="minorHAnsi" w:eastAsiaTheme="minorEastAsia" w:hAnsiTheme="minorHAnsi" w:cstheme="minorBidi"/>
          <w:noProof/>
          <w:lang w:eastAsia="en-AU"/>
        </w:rPr>
        <w:tab/>
      </w:r>
      <w:r>
        <w:rPr>
          <w:noProof/>
        </w:rPr>
        <w:t xml:space="preserve">Final </w:t>
      </w:r>
      <w:r w:rsidRPr="00A17E5B">
        <w:rPr>
          <w:noProof/>
        </w:rPr>
        <w:t>c</w:t>
      </w:r>
      <w:r>
        <w:rPr>
          <w:noProof/>
        </w:rPr>
        <w:t>omments and recommendations</w:t>
      </w:r>
      <w:r>
        <w:rPr>
          <w:noProof/>
        </w:rPr>
        <w:tab/>
      </w:r>
      <w:r>
        <w:rPr>
          <w:noProof/>
        </w:rPr>
        <w:fldChar w:fldCharType="begin"/>
      </w:r>
      <w:r>
        <w:rPr>
          <w:noProof/>
        </w:rPr>
        <w:instrText xml:space="preserve"> PAGEREF _Toc31985457 \h </w:instrText>
      </w:r>
      <w:r>
        <w:rPr>
          <w:noProof/>
        </w:rPr>
      </w:r>
      <w:r>
        <w:rPr>
          <w:noProof/>
        </w:rPr>
        <w:fldChar w:fldCharType="separate"/>
      </w:r>
      <w:r w:rsidR="007F7607">
        <w:rPr>
          <w:noProof/>
        </w:rPr>
        <w:t>48</w:t>
      </w:r>
      <w:r>
        <w:rPr>
          <w:noProof/>
        </w:rPr>
        <w:fldChar w:fldCharType="end"/>
      </w:r>
    </w:p>
    <w:p w14:paraId="28FC9C95" w14:textId="23D6D7C0" w:rsidR="00DA5439" w:rsidRDefault="00DA5439">
      <w:pPr>
        <w:pStyle w:val="TOC1"/>
        <w:rPr>
          <w:rFonts w:asciiTheme="minorHAnsi" w:eastAsiaTheme="minorEastAsia" w:hAnsiTheme="minorHAnsi" w:cstheme="minorBidi"/>
          <w:b w:val="0"/>
          <w:color w:val="auto"/>
          <w:sz w:val="22"/>
          <w:szCs w:val="22"/>
          <w:lang w:eastAsia="en-AU"/>
        </w:rPr>
      </w:pPr>
      <w:r>
        <w:t>5</w:t>
      </w:r>
      <w:r>
        <w:rPr>
          <w:rFonts w:asciiTheme="minorHAnsi" w:eastAsiaTheme="minorEastAsia" w:hAnsiTheme="minorHAnsi" w:cstheme="minorBidi"/>
          <w:b w:val="0"/>
          <w:color w:val="auto"/>
          <w:sz w:val="22"/>
          <w:szCs w:val="22"/>
          <w:lang w:eastAsia="en-AU"/>
        </w:rPr>
        <w:tab/>
      </w:r>
      <w:r>
        <w:t>Stream metabolism and water quality</w:t>
      </w:r>
      <w:r>
        <w:tab/>
      </w:r>
      <w:r>
        <w:fldChar w:fldCharType="begin"/>
      </w:r>
      <w:r>
        <w:instrText xml:space="preserve"> PAGEREF _Toc31985458 \h </w:instrText>
      </w:r>
      <w:r>
        <w:fldChar w:fldCharType="separate"/>
      </w:r>
      <w:r w:rsidR="007F7607">
        <w:t>49</w:t>
      </w:r>
      <w:r>
        <w:fldChar w:fldCharType="end"/>
      </w:r>
    </w:p>
    <w:p w14:paraId="7E0FCA4E" w14:textId="4F998C49"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_Toc31985459 \h </w:instrText>
      </w:r>
      <w:r>
        <w:rPr>
          <w:noProof/>
        </w:rPr>
      </w:r>
      <w:r>
        <w:rPr>
          <w:noProof/>
        </w:rPr>
        <w:fldChar w:fldCharType="separate"/>
      </w:r>
      <w:r w:rsidR="007F7607">
        <w:rPr>
          <w:noProof/>
        </w:rPr>
        <w:t>49</w:t>
      </w:r>
      <w:r>
        <w:rPr>
          <w:noProof/>
        </w:rPr>
        <w:fldChar w:fldCharType="end"/>
      </w:r>
    </w:p>
    <w:p w14:paraId="3ED10BCC" w14:textId="4D240C62"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5.1.1</w:t>
      </w:r>
      <w:r>
        <w:rPr>
          <w:rFonts w:asciiTheme="minorHAnsi" w:eastAsiaTheme="minorEastAsia" w:hAnsiTheme="minorHAnsi" w:cstheme="minorBidi"/>
          <w:i w:val="0"/>
          <w:noProof/>
          <w:lang w:eastAsia="en-AU"/>
        </w:rPr>
        <w:tab/>
      </w:r>
      <w:r w:rsidRPr="00A17E5B">
        <w:rPr>
          <w:noProof/>
          <w:lang w:val="en-US"/>
        </w:rPr>
        <w:t>Selected Area S</w:t>
      </w:r>
      <w:r>
        <w:rPr>
          <w:noProof/>
        </w:rPr>
        <w:t>pecific evaluation questions:</w:t>
      </w:r>
      <w:r>
        <w:rPr>
          <w:noProof/>
        </w:rPr>
        <w:tab/>
      </w:r>
      <w:r>
        <w:rPr>
          <w:noProof/>
        </w:rPr>
        <w:fldChar w:fldCharType="begin"/>
      </w:r>
      <w:r>
        <w:rPr>
          <w:noProof/>
        </w:rPr>
        <w:instrText xml:space="preserve"> PAGEREF _Toc31985460 \h </w:instrText>
      </w:r>
      <w:r>
        <w:rPr>
          <w:noProof/>
        </w:rPr>
      </w:r>
      <w:r>
        <w:rPr>
          <w:noProof/>
        </w:rPr>
        <w:fldChar w:fldCharType="separate"/>
      </w:r>
      <w:r w:rsidR="007F7607">
        <w:rPr>
          <w:noProof/>
        </w:rPr>
        <w:t>50</w:t>
      </w:r>
      <w:r>
        <w:rPr>
          <w:noProof/>
        </w:rPr>
        <w:fldChar w:fldCharType="end"/>
      </w:r>
    </w:p>
    <w:p w14:paraId="74BE5584" w14:textId="2D6CE86A"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_Toc31985461 \h </w:instrText>
      </w:r>
      <w:r>
        <w:rPr>
          <w:noProof/>
        </w:rPr>
      </w:r>
      <w:r>
        <w:rPr>
          <w:noProof/>
        </w:rPr>
        <w:fldChar w:fldCharType="separate"/>
      </w:r>
      <w:r w:rsidR="007F7607">
        <w:rPr>
          <w:noProof/>
        </w:rPr>
        <w:t>50</w:t>
      </w:r>
      <w:r>
        <w:rPr>
          <w:noProof/>
        </w:rPr>
        <w:fldChar w:fldCharType="end"/>
      </w:r>
    </w:p>
    <w:p w14:paraId="44E3A2F0" w14:textId="5DF84D25"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_Toc31985462 \h </w:instrText>
      </w:r>
      <w:r>
        <w:rPr>
          <w:noProof/>
        </w:rPr>
      </w:r>
      <w:r>
        <w:rPr>
          <w:noProof/>
        </w:rPr>
        <w:fldChar w:fldCharType="separate"/>
      </w:r>
      <w:r w:rsidR="007F7607">
        <w:rPr>
          <w:noProof/>
        </w:rPr>
        <w:t>53</w:t>
      </w:r>
      <w:r>
        <w:rPr>
          <w:noProof/>
        </w:rPr>
        <w:fldChar w:fldCharType="end"/>
      </w:r>
    </w:p>
    <w:p w14:paraId="6BEE9FEF" w14:textId="3C37CC4A"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rPr>
        <w:t>5.3.1</w:t>
      </w:r>
      <w:r>
        <w:rPr>
          <w:rFonts w:asciiTheme="minorHAnsi" w:eastAsiaTheme="minorEastAsia" w:hAnsiTheme="minorHAnsi" w:cstheme="minorBidi"/>
          <w:i w:val="0"/>
          <w:noProof/>
          <w:lang w:eastAsia="en-AU"/>
        </w:rPr>
        <w:tab/>
      </w:r>
      <w:r>
        <w:rPr>
          <w:noProof/>
        </w:rPr>
        <w:t>Water quality</w:t>
      </w:r>
      <w:r w:rsidRPr="00A17E5B">
        <w:rPr>
          <w:noProof/>
        </w:rPr>
        <w:t xml:space="preserve"> – 2018-19</w:t>
      </w:r>
      <w:r>
        <w:rPr>
          <w:noProof/>
        </w:rPr>
        <w:tab/>
      </w:r>
      <w:r>
        <w:rPr>
          <w:noProof/>
        </w:rPr>
        <w:fldChar w:fldCharType="begin"/>
      </w:r>
      <w:r>
        <w:rPr>
          <w:noProof/>
        </w:rPr>
        <w:instrText xml:space="preserve"> PAGEREF _Toc31985463 \h </w:instrText>
      </w:r>
      <w:r>
        <w:rPr>
          <w:noProof/>
        </w:rPr>
      </w:r>
      <w:r>
        <w:rPr>
          <w:noProof/>
        </w:rPr>
        <w:fldChar w:fldCharType="separate"/>
      </w:r>
      <w:r w:rsidR="007F7607">
        <w:rPr>
          <w:noProof/>
        </w:rPr>
        <w:t>53</w:t>
      </w:r>
      <w:r>
        <w:rPr>
          <w:noProof/>
        </w:rPr>
        <w:fldChar w:fldCharType="end"/>
      </w:r>
    </w:p>
    <w:p w14:paraId="3C7A905B" w14:textId="2B1D06F4"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rPr>
        <w:t>5.3.2</w:t>
      </w:r>
      <w:r>
        <w:rPr>
          <w:rFonts w:asciiTheme="minorHAnsi" w:eastAsiaTheme="minorEastAsia" w:hAnsiTheme="minorHAnsi" w:cstheme="minorBidi"/>
          <w:i w:val="0"/>
          <w:noProof/>
          <w:lang w:eastAsia="en-AU"/>
        </w:rPr>
        <w:tab/>
      </w:r>
      <w:r>
        <w:rPr>
          <w:noProof/>
        </w:rPr>
        <w:t>Water quality</w:t>
      </w:r>
      <w:r w:rsidRPr="00A17E5B">
        <w:rPr>
          <w:noProof/>
        </w:rPr>
        <w:t xml:space="preserve"> – 2014-19</w:t>
      </w:r>
      <w:r>
        <w:rPr>
          <w:noProof/>
        </w:rPr>
        <w:tab/>
      </w:r>
      <w:r>
        <w:rPr>
          <w:noProof/>
        </w:rPr>
        <w:fldChar w:fldCharType="begin"/>
      </w:r>
      <w:r>
        <w:rPr>
          <w:noProof/>
        </w:rPr>
        <w:instrText xml:space="preserve"> PAGEREF _Toc31985464 \h </w:instrText>
      </w:r>
      <w:r>
        <w:rPr>
          <w:noProof/>
        </w:rPr>
      </w:r>
      <w:r>
        <w:rPr>
          <w:noProof/>
        </w:rPr>
        <w:fldChar w:fldCharType="separate"/>
      </w:r>
      <w:r w:rsidR="007F7607">
        <w:rPr>
          <w:noProof/>
        </w:rPr>
        <w:t>60</w:t>
      </w:r>
      <w:r>
        <w:rPr>
          <w:noProof/>
        </w:rPr>
        <w:fldChar w:fldCharType="end"/>
      </w:r>
    </w:p>
    <w:p w14:paraId="4500C8B4" w14:textId="10E450EE"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5.3.3</w:t>
      </w:r>
      <w:r>
        <w:rPr>
          <w:rFonts w:asciiTheme="minorHAnsi" w:eastAsiaTheme="minorEastAsia" w:hAnsiTheme="minorHAnsi" w:cstheme="minorBidi"/>
          <w:i w:val="0"/>
          <w:noProof/>
          <w:lang w:eastAsia="en-AU"/>
        </w:rPr>
        <w:tab/>
      </w:r>
      <w:r w:rsidRPr="00A17E5B">
        <w:rPr>
          <w:noProof/>
        </w:rPr>
        <w:t>Stream Metabolism – 2018-19</w:t>
      </w:r>
      <w:r>
        <w:rPr>
          <w:noProof/>
        </w:rPr>
        <w:tab/>
      </w:r>
      <w:r>
        <w:rPr>
          <w:noProof/>
        </w:rPr>
        <w:fldChar w:fldCharType="begin"/>
      </w:r>
      <w:r>
        <w:rPr>
          <w:noProof/>
        </w:rPr>
        <w:instrText xml:space="preserve"> PAGEREF _Toc31985465 \h </w:instrText>
      </w:r>
      <w:r>
        <w:rPr>
          <w:noProof/>
        </w:rPr>
      </w:r>
      <w:r>
        <w:rPr>
          <w:noProof/>
        </w:rPr>
        <w:fldChar w:fldCharType="separate"/>
      </w:r>
      <w:r w:rsidR="007F7607">
        <w:rPr>
          <w:noProof/>
        </w:rPr>
        <w:t>64</w:t>
      </w:r>
      <w:r>
        <w:rPr>
          <w:noProof/>
        </w:rPr>
        <w:fldChar w:fldCharType="end"/>
      </w:r>
    </w:p>
    <w:p w14:paraId="4A206C78" w14:textId="2E2DC77A"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rPr>
        <w:t>5.3.4</w:t>
      </w:r>
      <w:r>
        <w:rPr>
          <w:rFonts w:asciiTheme="minorHAnsi" w:eastAsiaTheme="minorEastAsia" w:hAnsiTheme="minorHAnsi" w:cstheme="minorBidi"/>
          <w:i w:val="0"/>
          <w:noProof/>
          <w:lang w:eastAsia="en-AU"/>
        </w:rPr>
        <w:tab/>
      </w:r>
      <w:r w:rsidRPr="00A17E5B">
        <w:rPr>
          <w:noProof/>
        </w:rPr>
        <w:t>Stream metabolism – 2014-19</w:t>
      </w:r>
      <w:r>
        <w:rPr>
          <w:noProof/>
        </w:rPr>
        <w:tab/>
      </w:r>
      <w:r>
        <w:rPr>
          <w:noProof/>
        </w:rPr>
        <w:fldChar w:fldCharType="begin"/>
      </w:r>
      <w:r>
        <w:rPr>
          <w:noProof/>
        </w:rPr>
        <w:instrText xml:space="preserve"> PAGEREF _Toc31985466 \h </w:instrText>
      </w:r>
      <w:r>
        <w:rPr>
          <w:noProof/>
        </w:rPr>
      </w:r>
      <w:r>
        <w:rPr>
          <w:noProof/>
        </w:rPr>
        <w:fldChar w:fldCharType="separate"/>
      </w:r>
      <w:r w:rsidR="007F7607">
        <w:rPr>
          <w:noProof/>
        </w:rPr>
        <w:t>70</w:t>
      </w:r>
      <w:r>
        <w:rPr>
          <w:noProof/>
        </w:rPr>
        <w:fldChar w:fldCharType="end"/>
      </w:r>
    </w:p>
    <w:p w14:paraId="58EE1195" w14:textId="1BB7CAA8"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_Toc31985467 \h </w:instrText>
      </w:r>
      <w:r>
        <w:rPr>
          <w:noProof/>
        </w:rPr>
      </w:r>
      <w:r>
        <w:rPr>
          <w:noProof/>
        </w:rPr>
        <w:fldChar w:fldCharType="separate"/>
      </w:r>
      <w:r w:rsidR="007F7607">
        <w:rPr>
          <w:noProof/>
        </w:rPr>
        <w:t>73</w:t>
      </w:r>
      <w:r>
        <w:rPr>
          <w:noProof/>
        </w:rPr>
        <w:fldChar w:fldCharType="end"/>
      </w:r>
    </w:p>
    <w:p w14:paraId="402560BD" w14:textId="40084D1B"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5.4.1</w:t>
      </w:r>
      <w:r>
        <w:rPr>
          <w:rFonts w:asciiTheme="minorHAnsi" w:eastAsiaTheme="minorEastAsia" w:hAnsiTheme="minorHAnsi" w:cstheme="minorBidi"/>
          <w:i w:val="0"/>
          <w:noProof/>
          <w:lang w:eastAsia="en-AU"/>
        </w:rPr>
        <w:tab/>
      </w:r>
      <w:r>
        <w:rPr>
          <w:noProof/>
        </w:rPr>
        <w:t>Watering Action 1</w:t>
      </w:r>
      <w:r>
        <w:rPr>
          <w:noProof/>
        </w:rPr>
        <w:tab/>
      </w:r>
      <w:r>
        <w:rPr>
          <w:noProof/>
        </w:rPr>
        <w:fldChar w:fldCharType="begin"/>
      </w:r>
      <w:r>
        <w:rPr>
          <w:noProof/>
        </w:rPr>
        <w:instrText xml:space="preserve"> PAGEREF _Toc31985468 \h </w:instrText>
      </w:r>
      <w:r>
        <w:rPr>
          <w:noProof/>
        </w:rPr>
      </w:r>
      <w:r>
        <w:rPr>
          <w:noProof/>
        </w:rPr>
        <w:fldChar w:fldCharType="separate"/>
      </w:r>
      <w:r w:rsidR="007F7607">
        <w:rPr>
          <w:noProof/>
        </w:rPr>
        <w:t>73</w:t>
      </w:r>
      <w:r>
        <w:rPr>
          <w:noProof/>
        </w:rPr>
        <w:fldChar w:fldCharType="end"/>
      </w:r>
    </w:p>
    <w:p w14:paraId="74FD03CE" w14:textId="4D7ECE26"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lang w:val="en-US"/>
        </w:rPr>
        <w:t>5.4.2</w:t>
      </w:r>
      <w:r>
        <w:rPr>
          <w:rFonts w:asciiTheme="minorHAnsi" w:eastAsiaTheme="minorEastAsia" w:hAnsiTheme="minorHAnsi" w:cstheme="minorBidi"/>
          <w:i w:val="0"/>
          <w:noProof/>
          <w:lang w:eastAsia="en-AU"/>
        </w:rPr>
        <w:tab/>
      </w:r>
      <w:r>
        <w:rPr>
          <w:noProof/>
        </w:rPr>
        <w:t>Watering Action</w:t>
      </w:r>
      <w:r w:rsidRPr="00A17E5B">
        <w:rPr>
          <w:noProof/>
        </w:rPr>
        <w:t xml:space="preserve"> 2</w:t>
      </w:r>
      <w:r>
        <w:rPr>
          <w:noProof/>
        </w:rPr>
        <w:tab/>
      </w:r>
      <w:r>
        <w:rPr>
          <w:noProof/>
        </w:rPr>
        <w:fldChar w:fldCharType="begin"/>
      </w:r>
      <w:r>
        <w:rPr>
          <w:noProof/>
        </w:rPr>
        <w:instrText xml:space="preserve"> PAGEREF _Toc31985469 \h </w:instrText>
      </w:r>
      <w:r>
        <w:rPr>
          <w:noProof/>
        </w:rPr>
      </w:r>
      <w:r>
        <w:rPr>
          <w:noProof/>
        </w:rPr>
        <w:fldChar w:fldCharType="separate"/>
      </w:r>
      <w:r w:rsidR="007F7607">
        <w:rPr>
          <w:noProof/>
        </w:rPr>
        <w:t>73</w:t>
      </w:r>
      <w:r>
        <w:rPr>
          <w:noProof/>
        </w:rPr>
        <w:fldChar w:fldCharType="end"/>
      </w:r>
    </w:p>
    <w:p w14:paraId="2987EB2D" w14:textId="59271440"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lang w:val="en-US"/>
        </w:rPr>
        <w:t>5.4.3</w:t>
      </w:r>
      <w:r>
        <w:rPr>
          <w:rFonts w:asciiTheme="minorHAnsi" w:eastAsiaTheme="minorEastAsia" w:hAnsiTheme="minorHAnsi" w:cstheme="minorBidi"/>
          <w:i w:val="0"/>
          <w:noProof/>
          <w:lang w:eastAsia="en-AU"/>
        </w:rPr>
        <w:tab/>
      </w:r>
      <w:r>
        <w:rPr>
          <w:noProof/>
        </w:rPr>
        <w:t>Watering Action 4</w:t>
      </w:r>
      <w:r>
        <w:rPr>
          <w:noProof/>
        </w:rPr>
        <w:tab/>
      </w:r>
      <w:r>
        <w:rPr>
          <w:noProof/>
        </w:rPr>
        <w:fldChar w:fldCharType="begin"/>
      </w:r>
      <w:r>
        <w:rPr>
          <w:noProof/>
        </w:rPr>
        <w:instrText xml:space="preserve"> PAGEREF _Toc31985470 \h </w:instrText>
      </w:r>
      <w:r>
        <w:rPr>
          <w:noProof/>
        </w:rPr>
      </w:r>
      <w:r>
        <w:rPr>
          <w:noProof/>
        </w:rPr>
        <w:fldChar w:fldCharType="separate"/>
      </w:r>
      <w:r w:rsidR="007F7607">
        <w:rPr>
          <w:noProof/>
        </w:rPr>
        <w:t>73</w:t>
      </w:r>
      <w:r>
        <w:rPr>
          <w:noProof/>
        </w:rPr>
        <w:fldChar w:fldCharType="end"/>
      </w:r>
    </w:p>
    <w:p w14:paraId="5E55E235" w14:textId="1035D994"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5.4.4</w:t>
      </w:r>
      <w:r>
        <w:rPr>
          <w:rFonts w:asciiTheme="minorHAnsi" w:eastAsiaTheme="minorEastAsia" w:hAnsiTheme="minorHAnsi" w:cstheme="minorBidi"/>
          <w:i w:val="0"/>
          <w:noProof/>
          <w:lang w:eastAsia="en-AU"/>
        </w:rPr>
        <w:tab/>
      </w:r>
      <w:r>
        <w:rPr>
          <w:noProof/>
        </w:rPr>
        <w:t>Watering over the period</w:t>
      </w:r>
      <w:r w:rsidRPr="00A17E5B">
        <w:rPr>
          <w:noProof/>
        </w:rPr>
        <w:t xml:space="preserve"> 2014-19</w:t>
      </w:r>
      <w:r>
        <w:rPr>
          <w:noProof/>
        </w:rPr>
        <w:tab/>
      </w:r>
      <w:r>
        <w:rPr>
          <w:noProof/>
        </w:rPr>
        <w:fldChar w:fldCharType="begin"/>
      </w:r>
      <w:r>
        <w:rPr>
          <w:noProof/>
        </w:rPr>
        <w:instrText xml:space="preserve"> PAGEREF _Toc31985471 \h </w:instrText>
      </w:r>
      <w:r>
        <w:rPr>
          <w:noProof/>
        </w:rPr>
      </w:r>
      <w:r>
        <w:rPr>
          <w:noProof/>
        </w:rPr>
        <w:fldChar w:fldCharType="separate"/>
      </w:r>
      <w:r w:rsidR="007F7607">
        <w:rPr>
          <w:noProof/>
        </w:rPr>
        <w:t>74</w:t>
      </w:r>
      <w:r>
        <w:rPr>
          <w:noProof/>
        </w:rPr>
        <w:fldChar w:fldCharType="end"/>
      </w:r>
    </w:p>
    <w:p w14:paraId="1FD3E253" w14:textId="0609012F"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5.5</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_Toc31985472 \h </w:instrText>
      </w:r>
      <w:r>
        <w:rPr>
          <w:noProof/>
        </w:rPr>
      </w:r>
      <w:r>
        <w:rPr>
          <w:noProof/>
        </w:rPr>
        <w:fldChar w:fldCharType="separate"/>
      </w:r>
      <w:r w:rsidR="007F7607">
        <w:rPr>
          <w:noProof/>
        </w:rPr>
        <w:t>74</w:t>
      </w:r>
      <w:r>
        <w:rPr>
          <w:noProof/>
        </w:rPr>
        <w:fldChar w:fldCharType="end"/>
      </w:r>
    </w:p>
    <w:p w14:paraId="1E9E402E" w14:textId="001A4FDE"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5.6</w:t>
      </w:r>
      <w:r>
        <w:rPr>
          <w:rFonts w:asciiTheme="minorHAnsi" w:eastAsiaTheme="minorEastAsia" w:hAnsiTheme="minorHAnsi" w:cstheme="minorBidi"/>
          <w:noProof/>
          <w:lang w:eastAsia="en-AU"/>
        </w:rPr>
        <w:tab/>
      </w:r>
      <w:r>
        <w:rPr>
          <w:noProof/>
        </w:rPr>
        <w:t xml:space="preserve">Final </w:t>
      </w:r>
      <w:r w:rsidRPr="00A17E5B">
        <w:rPr>
          <w:noProof/>
        </w:rPr>
        <w:t>c</w:t>
      </w:r>
      <w:r>
        <w:rPr>
          <w:noProof/>
        </w:rPr>
        <w:t>omments and recommendations</w:t>
      </w:r>
      <w:r>
        <w:rPr>
          <w:noProof/>
        </w:rPr>
        <w:tab/>
      </w:r>
      <w:r>
        <w:rPr>
          <w:noProof/>
        </w:rPr>
        <w:fldChar w:fldCharType="begin"/>
      </w:r>
      <w:r>
        <w:rPr>
          <w:noProof/>
        </w:rPr>
        <w:instrText xml:space="preserve"> PAGEREF _Toc31985473 \h </w:instrText>
      </w:r>
      <w:r>
        <w:rPr>
          <w:noProof/>
        </w:rPr>
      </w:r>
      <w:r>
        <w:rPr>
          <w:noProof/>
        </w:rPr>
        <w:fldChar w:fldCharType="separate"/>
      </w:r>
      <w:r w:rsidR="007F7607">
        <w:rPr>
          <w:noProof/>
        </w:rPr>
        <w:t>74</w:t>
      </w:r>
      <w:r>
        <w:rPr>
          <w:noProof/>
        </w:rPr>
        <w:fldChar w:fldCharType="end"/>
      </w:r>
    </w:p>
    <w:p w14:paraId="3810D6C4" w14:textId="3D341775"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5.7</w:t>
      </w:r>
      <w:r>
        <w:rPr>
          <w:rFonts w:asciiTheme="minorHAnsi" w:eastAsiaTheme="minorEastAsia" w:hAnsiTheme="minorHAnsi" w:cstheme="minorBidi"/>
          <w:noProof/>
          <w:lang w:eastAsia="en-AU"/>
        </w:rPr>
        <w:tab/>
      </w:r>
      <w:r>
        <w:rPr>
          <w:noProof/>
        </w:rPr>
        <w:t>Appendi</w:t>
      </w:r>
      <w:r w:rsidRPr="00A17E5B">
        <w:rPr>
          <w:noProof/>
        </w:rPr>
        <w:t>x 1: Stream metabolism plots for additional sites in the Lower Lachlan River 2018-19</w:t>
      </w:r>
      <w:r>
        <w:rPr>
          <w:noProof/>
        </w:rPr>
        <w:tab/>
      </w:r>
      <w:r>
        <w:rPr>
          <w:noProof/>
        </w:rPr>
        <w:fldChar w:fldCharType="begin"/>
      </w:r>
      <w:r>
        <w:rPr>
          <w:noProof/>
        </w:rPr>
        <w:instrText xml:space="preserve"> PAGEREF _Toc31985474 \h </w:instrText>
      </w:r>
      <w:r>
        <w:rPr>
          <w:noProof/>
        </w:rPr>
      </w:r>
      <w:r>
        <w:rPr>
          <w:noProof/>
        </w:rPr>
        <w:fldChar w:fldCharType="separate"/>
      </w:r>
      <w:r w:rsidR="007F7607">
        <w:rPr>
          <w:noProof/>
        </w:rPr>
        <w:t>76</w:t>
      </w:r>
      <w:r>
        <w:rPr>
          <w:noProof/>
        </w:rPr>
        <w:fldChar w:fldCharType="end"/>
      </w:r>
    </w:p>
    <w:p w14:paraId="790BDD90" w14:textId="231D53CE"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5.8</w:t>
      </w:r>
      <w:r>
        <w:rPr>
          <w:rFonts w:asciiTheme="minorHAnsi" w:eastAsiaTheme="minorEastAsia" w:hAnsiTheme="minorHAnsi" w:cstheme="minorBidi"/>
          <w:noProof/>
          <w:lang w:eastAsia="en-AU"/>
        </w:rPr>
        <w:tab/>
      </w:r>
      <w:r>
        <w:rPr>
          <w:noProof/>
        </w:rPr>
        <w:t>Appendi</w:t>
      </w:r>
      <w:r w:rsidRPr="00A17E5B">
        <w:rPr>
          <w:noProof/>
        </w:rPr>
        <w:t>x 2: Stream metabolism plots for additional sites in the Mid Lachlan River 2018-19</w:t>
      </w:r>
      <w:r>
        <w:rPr>
          <w:noProof/>
        </w:rPr>
        <w:tab/>
      </w:r>
      <w:r>
        <w:rPr>
          <w:noProof/>
        </w:rPr>
        <w:fldChar w:fldCharType="begin"/>
      </w:r>
      <w:r>
        <w:rPr>
          <w:noProof/>
        </w:rPr>
        <w:instrText xml:space="preserve"> PAGEREF _Toc31985475 \h </w:instrText>
      </w:r>
      <w:r>
        <w:rPr>
          <w:noProof/>
        </w:rPr>
      </w:r>
      <w:r>
        <w:rPr>
          <w:noProof/>
        </w:rPr>
        <w:fldChar w:fldCharType="separate"/>
      </w:r>
      <w:r w:rsidR="007F7607">
        <w:rPr>
          <w:noProof/>
        </w:rPr>
        <w:t>80</w:t>
      </w:r>
      <w:r>
        <w:rPr>
          <w:noProof/>
        </w:rPr>
        <w:fldChar w:fldCharType="end"/>
      </w:r>
    </w:p>
    <w:p w14:paraId="573FDEA3" w14:textId="1839347A"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rPr>
        <w:t>5.9</w:t>
      </w:r>
      <w:r>
        <w:rPr>
          <w:rFonts w:asciiTheme="minorHAnsi" w:eastAsiaTheme="minorEastAsia" w:hAnsiTheme="minorHAnsi" w:cstheme="minorBidi"/>
          <w:noProof/>
          <w:lang w:eastAsia="en-AU"/>
        </w:rPr>
        <w:tab/>
      </w:r>
      <w:r>
        <w:rPr>
          <w:noProof/>
        </w:rPr>
        <w:t>Appendi</w:t>
      </w:r>
      <w:r w:rsidRPr="00A17E5B">
        <w:rPr>
          <w:noProof/>
        </w:rPr>
        <w:t>x 3: Stream metabolism plots for additional sites in the Lower Lachlan River 2014-19</w:t>
      </w:r>
      <w:r>
        <w:rPr>
          <w:noProof/>
        </w:rPr>
        <w:tab/>
      </w:r>
      <w:r>
        <w:rPr>
          <w:noProof/>
        </w:rPr>
        <w:fldChar w:fldCharType="begin"/>
      </w:r>
      <w:r>
        <w:rPr>
          <w:noProof/>
        </w:rPr>
        <w:instrText xml:space="preserve"> PAGEREF _Toc31985476 \h </w:instrText>
      </w:r>
      <w:r>
        <w:rPr>
          <w:noProof/>
        </w:rPr>
      </w:r>
      <w:r>
        <w:rPr>
          <w:noProof/>
        </w:rPr>
        <w:fldChar w:fldCharType="separate"/>
      </w:r>
      <w:r w:rsidR="007F7607">
        <w:rPr>
          <w:noProof/>
        </w:rPr>
        <w:t>84</w:t>
      </w:r>
      <w:r>
        <w:rPr>
          <w:noProof/>
        </w:rPr>
        <w:fldChar w:fldCharType="end"/>
      </w:r>
    </w:p>
    <w:p w14:paraId="484D00D6" w14:textId="1CC85217" w:rsidR="00DA5439" w:rsidRDefault="00DA5439">
      <w:pPr>
        <w:pStyle w:val="TOC1"/>
        <w:rPr>
          <w:rFonts w:asciiTheme="minorHAnsi" w:eastAsiaTheme="minorEastAsia" w:hAnsiTheme="minorHAnsi" w:cstheme="minorBidi"/>
          <w:b w:val="0"/>
          <w:color w:val="auto"/>
          <w:sz w:val="22"/>
          <w:szCs w:val="22"/>
          <w:lang w:eastAsia="en-AU"/>
        </w:rPr>
      </w:pPr>
      <w:r>
        <w:t>6</w:t>
      </w:r>
      <w:r>
        <w:rPr>
          <w:rFonts w:asciiTheme="minorHAnsi" w:eastAsiaTheme="minorEastAsia" w:hAnsiTheme="minorHAnsi" w:cstheme="minorBidi"/>
          <w:b w:val="0"/>
          <w:color w:val="auto"/>
          <w:sz w:val="22"/>
          <w:szCs w:val="22"/>
          <w:lang w:eastAsia="en-AU"/>
        </w:rPr>
        <w:tab/>
      </w:r>
      <w:r>
        <w:t>Fish community</w:t>
      </w:r>
      <w:r>
        <w:tab/>
      </w:r>
      <w:r>
        <w:fldChar w:fldCharType="begin"/>
      </w:r>
      <w:r>
        <w:instrText xml:space="preserve"> PAGEREF _Toc31985477 \h </w:instrText>
      </w:r>
      <w:r>
        <w:fldChar w:fldCharType="separate"/>
      </w:r>
      <w:r w:rsidR="007F7607">
        <w:t>88</w:t>
      </w:r>
      <w:r>
        <w:fldChar w:fldCharType="end"/>
      </w:r>
    </w:p>
    <w:p w14:paraId="4D25E19E" w14:textId="05F51B08"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_Toc31985478 \h </w:instrText>
      </w:r>
      <w:r>
        <w:rPr>
          <w:noProof/>
        </w:rPr>
      </w:r>
      <w:r>
        <w:rPr>
          <w:noProof/>
        </w:rPr>
        <w:fldChar w:fldCharType="separate"/>
      </w:r>
      <w:r w:rsidR="007F7607">
        <w:rPr>
          <w:noProof/>
        </w:rPr>
        <w:t>88</w:t>
      </w:r>
      <w:r>
        <w:rPr>
          <w:noProof/>
        </w:rPr>
        <w:fldChar w:fldCharType="end"/>
      </w:r>
    </w:p>
    <w:p w14:paraId="414D3600" w14:textId="465CC5E5"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6.1.1</w:t>
      </w:r>
      <w:r>
        <w:rPr>
          <w:rFonts w:asciiTheme="minorHAnsi" w:eastAsiaTheme="minorEastAsia" w:hAnsiTheme="minorHAnsi" w:cstheme="minorBidi"/>
          <w:i w:val="0"/>
          <w:noProof/>
          <w:lang w:eastAsia="en-AU"/>
        </w:rPr>
        <w:tab/>
      </w:r>
      <w:r>
        <w:rPr>
          <w:noProof/>
        </w:rPr>
        <w:t>Short-term (one-year) questions:</w:t>
      </w:r>
      <w:r>
        <w:rPr>
          <w:noProof/>
        </w:rPr>
        <w:tab/>
      </w:r>
      <w:r>
        <w:rPr>
          <w:noProof/>
        </w:rPr>
        <w:fldChar w:fldCharType="begin"/>
      </w:r>
      <w:r>
        <w:rPr>
          <w:noProof/>
        </w:rPr>
        <w:instrText xml:space="preserve"> PAGEREF _Toc31985479 \h </w:instrText>
      </w:r>
      <w:r>
        <w:rPr>
          <w:noProof/>
        </w:rPr>
      </w:r>
      <w:r>
        <w:rPr>
          <w:noProof/>
        </w:rPr>
        <w:fldChar w:fldCharType="separate"/>
      </w:r>
      <w:r w:rsidR="007F7607">
        <w:rPr>
          <w:noProof/>
        </w:rPr>
        <w:t>89</w:t>
      </w:r>
      <w:r>
        <w:rPr>
          <w:noProof/>
        </w:rPr>
        <w:fldChar w:fldCharType="end"/>
      </w:r>
    </w:p>
    <w:p w14:paraId="4A1D8267" w14:textId="32D490D6"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6.1.2</w:t>
      </w:r>
      <w:r>
        <w:rPr>
          <w:rFonts w:asciiTheme="minorHAnsi" w:eastAsiaTheme="minorEastAsia" w:hAnsiTheme="minorHAnsi" w:cstheme="minorBidi"/>
          <w:i w:val="0"/>
          <w:noProof/>
          <w:lang w:eastAsia="en-AU"/>
        </w:rPr>
        <w:tab/>
      </w:r>
      <w:r>
        <w:rPr>
          <w:noProof/>
        </w:rPr>
        <w:t>Long-term (five-year) questions:</w:t>
      </w:r>
      <w:r>
        <w:rPr>
          <w:noProof/>
        </w:rPr>
        <w:tab/>
      </w:r>
      <w:r>
        <w:rPr>
          <w:noProof/>
        </w:rPr>
        <w:fldChar w:fldCharType="begin"/>
      </w:r>
      <w:r>
        <w:rPr>
          <w:noProof/>
        </w:rPr>
        <w:instrText xml:space="preserve"> PAGEREF _Toc31985480 \h </w:instrText>
      </w:r>
      <w:r>
        <w:rPr>
          <w:noProof/>
        </w:rPr>
      </w:r>
      <w:r>
        <w:rPr>
          <w:noProof/>
        </w:rPr>
        <w:fldChar w:fldCharType="separate"/>
      </w:r>
      <w:r w:rsidR="007F7607">
        <w:rPr>
          <w:noProof/>
        </w:rPr>
        <w:t>89</w:t>
      </w:r>
      <w:r>
        <w:rPr>
          <w:noProof/>
        </w:rPr>
        <w:fldChar w:fldCharType="end"/>
      </w:r>
    </w:p>
    <w:p w14:paraId="6920928A" w14:textId="6DB68759"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_Toc31985481 \h </w:instrText>
      </w:r>
      <w:r>
        <w:rPr>
          <w:noProof/>
        </w:rPr>
      </w:r>
      <w:r>
        <w:rPr>
          <w:noProof/>
        </w:rPr>
        <w:fldChar w:fldCharType="separate"/>
      </w:r>
      <w:r w:rsidR="007F7607">
        <w:rPr>
          <w:noProof/>
        </w:rPr>
        <w:t>90</w:t>
      </w:r>
      <w:r>
        <w:rPr>
          <w:noProof/>
        </w:rPr>
        <w:fldChar w:fldCharType="end"/>
      </w:r>
    </w:p>
    <w:p w14:paraId="21A2B245" w14:textId="7A6362AB"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_Toc31985482 \h </w:instrText>
      </w:r>
      <w:r>
        <w:rPr>
          <w:noProof/>
        </w:rPr>
      </w:r>
      <w:r>
        <w:rPr>
          <w:noProof/>
        </w:rPr>
        <w:fldChar w:fldCharType="separate"/>
      </w:r>
      <w:r w:rsidR="007F7607">
        <w:rPr>
          <w:noProof/>
        </w:rPr>
        <w:t>92</w:t>
      </w:r>
      <w:r>
        <w:rPr>
          <w:noProof/>
        </w:rPr>
        <w:fldChar w:fldCharType="end"/>
      </w:r>
    </w:p>
    <w:p w14:paraId="799DB763" w14:textId="4ACD221B"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6.3.1</w:t>
      </w:r>
      <w:r>
        <w:rPr>
          <w:rFonts w:asciiTheme="minorHAnsi" w:eastAsiaTheme="minorEastAsia" w:hAnsiTheme="minorHAnsi" w:cstheme="minorBidi"/>
          <w:i w:val="0"/>
          <w:noProof/>
          <w:lang w:eastAsia="en-AU"/>
        </w:rPr>
        <w:tab/>
      </w:r>
      <w:r w:rsidRPr="00A17E5B">
        <w:rPr>
          <w:noProof/>
        </w:rPr>
        <w:t xml:space="preserve">Lower </w:t>
      </w:r>
      <w:r>
        <w:rPr>
          <w:noProof/>
        </w:rPr>
        <w:t>Lachlan River (</w:t>
      </w:r>
      <w:r w:rsidRPr="00A17E5B">
        <w:rPr>
          <w:noProof/>
        </w:rPr>
        <w:t>Long</w:t>
      </w:r>
      <w:r>
        <w:rPr>
          <w:noProof/>
        </w:rPr>
        <w:t xml:space="preserve"> Term Intervention Monitoring)</w:t>
      </w:r>
      <w:r>
        <w:rPr>
          <w:noProof/>
        </w:rPr>
        <w:tab/>
      </w:r>
      <w:r>
        <w:rPr>
          <w:noProof/>
        </w:rPr>
        <w:fldChar w:fldCharType="begin"/>
      </w:r>
      <w:r>
        <w:rPr>
          <w:noProof/>
        </w:rPr>
        <w:instrText xml:space="preserve"> PAGEREF _Toc31985483 \h </w:instrText>
      </w:r>
      <w:r>
        <w:rPr>
          <w:noProof/>
        </w:rPr>
      </w:r>
      <w:r>
        <w:rPr>
          <w:noProof/>
        </w:rPr>
        <w:fldChar w:fldCharType="separate"/>
      </w:r>
      <w:r w:rsidR="007F7607">
        <w:rPr>
          <w:noProof/>
        </w:rPr>
        <w:t>92</w:t>
      </w:r>
      <w:r>
        <w:rPr>
          <w:noProof/>
        </w:rPr>
        <w:fldChar w:fldCharType="end"/>
      </w:r>
    </w:p>
    <w:p w14:paraId="32914541" w14:textId="7F0022FF"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6.3.2</w:t>
      </w:r>
      <w:r>
        <w:rPr>
          <w:rFonts w:asciiTheme="minorHAnsi" w:eastAsiaTheme="minorEastAsia" w:hAnsiTheme="minorHAnsi" w:cstheme="minorBidi"/>
          <w:i w:val="0"/>
          <w:noProof/>
          <w:lang w:eastAsia="en-AU"/>
        </w:rPr>
        <w:tab/>
      </w:r>
      <w:r>
        <w:rPr>
          <w:noProof/>
        </w:rPr>
        <w:t>Mid Lachlan River (Short Term Intervention Monitoring)</w:t>
      </w:r>
      <w:r>
        <w:rPr>
          <w:noProof/>
        </w:rPr>
        <w:tab/>
      </w:r>
      <w:r>
        <w:rPr>
          <w:noProof/>
        </w:rPr>
        <w:fldChar w:fldCharType="begin"/>
      </w:r>
      <w:r>
        <w:rPr>
          <w:noProof/>
        </w:rPr>
        <w:instrText xml:space="preserve"> PAGEREF _Toc31985484 \h </w:instrText>
      </w:r>
      <w:r>
        <w:rPr>
          <w:noProof/>
        </w:rPr>
      </w:r>
      <w:r>
        <w:rPr>
          <w:noProof/>
        </w:rPr>
        <w:fldChar w:fldCharType="separate"/>
      </w:r>
      <w:r w:rsidR="007F7607">
        <w:rPr>
          <w:noProof/>
        </w:rPr>
        <w:t>100</w:t>
      </w:r>
      <w:r>
        <w:rPr>
          <w:noProof/>
        </w:rPr>
        <w:fldChar w:fldCharType="end"/>
      </w:r>
    </w:p>
    <w:p w14:paraId="0A1AA4DC" w14:textId="4553B607"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_Toc31985485 \h </w:instrText>
      </w:r>
      <w:r>
        <w:rPr>
          <w:noProof/>
        </w:rPr>
      </w:r>
      <w:r>
        <w:rPr>
          <w:noProof/>
        </w:rPr>
        <w:fldChar w:fldCharType="separate"/>
      </w:r>
      <w:r w:rsidR="007F7607">
        <w:rPr>
          <w:noProof/>
        </w:rPr>
        <w:t>106</w:t>
      </w:r>
      <w:r>
        <w:rPr>
          <w:noProof/>
        </w:rPr>
        <w:fldChar w:fldCharType="end"/>
      </w:r>
    </w:p>
    <w:p w14:paraId="3B334205" w14:textId="04A91DAF"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6.4.1</w:t>
      </w:r>
      <w:r>
        <w:rPr>
          <w:rFonts w:asciiTheme="minorHAnsi" w:eastAsiaTheme="minorEastAsia" w:hAnsiTheme="minorHAnsi" w:cstheme="minorBidi"/>
          <w:i w:val="0"/>
          <w:noProof/>
          <w:lang w:eastAsia="en-AU"/>
        </w:rPr>
        <w:tab/>
      </w:r>
      <w:r w:rsidRPr="00A17E5B">
        <w:rPr>
          <w:noProof/>
        </w:rPr>
        <w:t xml:space="preserve">Lower </w:t>
      </w:r>
      <w:r>
        <w:rPr>
          <w:noProof/>
        </w:rPr>
        <w:t>Lachlan River (</w:t>
      </w:r>
      <w:r w:rsidRPr="00A17E5B">
        <w:rPr>
          <w:noProof/>
        </w:rPr>
        <w:t>Long</w:t>
      </w:r>
      <w:r>
        <w:rPr>
          <w:noProof/>
        </w:rPr>
        <w:t xml:space="preserve"> Term Intervention Monitoring)</w:t>
      </w:r>
      <w:r>
        <w:rPr>
          <w:noProof/>
        </w:rPr>
        <w:tab/>
      </w:r>
      <w:r>
        <w:rPr>
          <w:noProof/>
        </w:rPr>
        <w:fldChar w:fldCharType="begin"/>
      </w:r>
      <w:r>
        <w:rPr>
          <w:noProof/>
        </w:rPr>
        <w:instrText xml:space="preserve"> PAGEREF _Toc31985486 \h </w:instrText>
      </w:r>
      <w:r>
        <w:rPr>
          <w:noProof/>
        </w:rPr>
      </w:r>
      <w:r>
        <w:rPr>
          <w:noProof/>
        </w:rPr>
        <w:fldChar w:fldCharType="separate"/>
      </w:r>
      <w:r w:rsidR="007F7607">
        <w:rPr>
          <w:noProof/>
        </w:rPr>
        <w:t>106</w:t>
      </w:r>
      <w:r>
        <w:rPr>
          <w:noProof/>
        </w:rPr>
        <w:fldChar w:fldCharType="end"/>
      </w:r>
    </w:p>
    <w:p w14:paraId="38789933" w14:textId="65668455"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6.4.2</w:t>
      </w:r>
      <w:r>
        <w:rPr>
          <w:rFonts w:asciiTheme="minorHAnsi" w:eastAsiaTheme="minorEastAsia" w:hAnsiTheme="minorHAnsi" w:cstheme="minorBidi"/>
          <w:i w:val="0"/>
          <w:noProof/>
          <w:lang w:eastAsia="en-AU"/>
        </w:rPr>
        <w:tab/>
      </w:r>
      <w:r>
        <w:rPr>
          <w:noProof/>
        </w:rPr>
        <w:t>Mid Lachlan River (Short Term Intervention Monitoring)</w:t>
      </w:r>
      <w:r>
        <w:rPr>
          <w:noProof/>
        </w:rPr>
        <w:tab/>
      </w:r>
      <w:r>
        <w:rPr>
          <w:noProof/>
        </w:rPr>
        <w:fldChar w:fldCharType="begin"/>
      </w:r>
      <w:r>
        <w:rPr>
          <w:noProof/>
        </w:rPr>
        <w:instrText xml:space="preserve"> PAGEREF _Toc31985487 \h </w:instrText>
      </w:r>
      <w:r>
        <w:rPr>
          <w:noProof/>
        </w:rPr>
      </w:r>
      <w:r>
        <w:rPr>
          <w:noProof/>
        </w:rPr>
        <w:fldChar w:fldCharType="separate"/>
      </w:r>
      <w:r w:rsidR="007F7607">
        <w:rPr>
          <w:noProof/>
        </w:rPr>
        <w:t>108</w:t>
      </w:r>
      <w:r>
        <w:rPr>
          <w:noProof/>
        </w:rPr>
        <w:fldChar w:fldCharType="end"/>
      </w:r>
    </w:p>
    <w:p w14:paraId="059A1C23" w14:textId="0C1BFED1"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6.5</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_Toc31985488 \h </w:instrText>
      </w:r>
      <w:r>
        <w:rPr>
          <w:noProof/>
        </w:rPr>
      </w:r>
      <w:r>
        <w:rPr>
          <w:noProof/>
        </w:rPr>
        <w:fldChar w:fldCharType="separate"/>
      </w:r>
      <w:r w:rsidR="007F7607">
        <w:rPr>
          <w:noProof/>
        </w:rPr>
        <w:t>110</w:t>
      </w:r>
      <w:r>
        <w:rPr>
          <w:noProof/>
        </w:rPr>
        <w:fldChar w:fldCharType="end"/>
      </w:r>
    </w:p>
    <w:p w14:paraId="04361FB1" w14:textId="3166DF72"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6.5.1</w:t>
      </w:r>
      <w:r>
        <w:rPr>
          <w:rFonts w:asciiTheme="minorHAnsi" w:eastAsiaTheme="minorEastAsia" w:hAnsiTheme="minorHAnsi" w:cstheme="minorBidi"/>
          <w:i w:val="0"/>
          <w:noProof/>
          <w:lang w:eastAsia="en-AU"/>
        </w:rPr>
        <w:tab/>
      </w:r>
      <w:r w:rsidRPr="00A17E5B">
        <w:rPr>
          <w:noProof/>
        </w:rPr>
        <w:t xml:space="preserve">Lower </w:t>
      </w:r>
      <w:r>
        <w:rPr>
          <w:noProof/>
        </w:rPr>
        <w:t>Lachlan River (</w:t>
      </w:r>
      <w:r w:rsidRPr="00A17E5B">
        <w:rPr>
          <w:noProof/>
        </w:rPr>
        <w:t>Long</w:t>
      </w:r>
      <w:r>
        <w:rPr>
          <w:noProof/>
        </w:rPr>
        <w:t xml:space="preserve"> Term Intervention Monitoring)</w:t>
      </w:r>
      <w:r>
        <w:rPr>
          <w:noProof/>
        </w:rPr>
        <w:tab/>
      </w:r>
      <w:r>
        <w:rPr>
          <w:noProof/>
        </w:rPr>
        <w:fldChar w:fldCharType="begin"/>
      </w:r>
      <w:r>
        <w:rPr>
          <w:noProof/>
        </w:rPr>
        <w:instrText xml:space="preserve"> PAGEREF _Toc31985489 \h </w:instrText>
      </w:r>
      <w:r>
        <w:rPr>
          <w:noProof/>
        </w:rPr>
      </w:r>
      <w:r>
        <w:rPr>
          <w:noProof/>
        </w:rPr>
        <w:fldChar w:fldCharType="separate"/>
      </w:r>
      <w:r w:rsidR="007F7607">
        <w:rPr>
          <w:noProof/>
        </w:rPr>
        <w:t>110</w:t>
      </w:r>
      <w:r>
        <w:rPr>
          <w:noProof/>
        </w:rPr>
        <w:fldChar w:fldCharType="end"/>
      </w:r>
    </w:p>
    <w:p w14:paraId="2B6A8CE3" w14:textId="00B0BDA1"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6.5.2</w:t>
      </w:r>
      <w:r>
        <w:rPr>
          <w:rFonts w:asciiTheme="minorHAnsi" w:eastAsiaTheme="minorEastAsia" w:hAnsiTheme="minorHAnsi" w:cstheme="minorBidi"/>
          <w:i w:val="0"/>
          <w:noProof/>
          <w:lang w:eastAsia="en-AU"/>
        </w:rPr>
        <w:tab/>
      </w:r>
      <w:r w:rsidRPr="00A17E5B">
        <w:rPr>
          <w:noProof/>
        </w:rPr>
        <w:t xml:space="preserve">Mid </w:t>
      </w:r>
      <w:r>
        <w:rPr>
          <w:noProof/>
        </w:rPr>
        <w:t>Lachlan River (</w:t>
      </w:r>
      <w:r w:rsidRPr="00A17E5B">
        <w:rPr>
          <w:noProof/>
        </w:rPr>
        <w:t xml:space="preserve">Short </w:t>
      </w:r>
      <w:r>
        <w:rPr>
          <w:noProof/>
        </w:rPr>
        <w:t>Term Intervention Monitoring)</w:t>
      </w:r>
      <w:r>
        <w:rPr>
          <w:noProof/>
        </w:rPr>
        <w:tab/>
      </w:r>
      <w:r>
        <w:rPr>
          <w:noProof/>
        </w:rPr>
        <w:fldChar w:fldCharType="begin"/>
      </w:r>
      <w:r>
        <w:rPr>
          <w:noProof/>
        </w:rPr>
        <w:instrText xml:space="preserve"> PAGEREF _Toc31985490 \h </w:instrText>
      </w:r>
      <w:r>
        <w:rPr>
          <w:noProof/>
        </w:rPr>
      </w:r>
      <w:r>
        <w:rPr>
          <w:noProof/>
        </w:rPr>
        <w:fldChar w:fldCharType="separate"/>
      </w:r>
      <w:r w:rsidR="007F7607">
        <w:rPr>
          <w:noProof/>
        </w:rPr>
        <w:t>110</w:t>
      </w:r>
      <w:r>
        <w:rPr>
          <w:noProof/>
        </w:rPr>
        <w:fldChar w:fldCharType="end"/>
      </w:r>
    </w:p>
    <w:p w14:paraId="31ABB429" w14:textId="7931B5E4"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6.6</w:t>
      </w:r>
      <w:r>
        <w:rPr>
          <w:rFonts w:asciiTheme="minorHAnsi" w:eastAsiaTheme="minorEastAsia" w:hAnsiTheme="minorHAnsi" w:cstheme="minorBidi"/>
          <w:noProof/>
          <w:lang w:eastAsia="en-AU"/>
        </w:rPr>
        <w:tab/>
      </w:r>
      <w:r w:rsidRPr="00A17E5B">
        <w:rPr>
          <w:noProof/>
          <w:lang w:val="en-US"/>
        </w:rPr>
        <w:t>R</w:t>
      </w:r>
      <w:r>
        <w:rPr>
          <w:noProof/>
        </w:rPr>
        <w:t>ecommendations</w:t>
      </w:r>
      <w:r>
        <w:rPr>
          <w:noProof/>
        </w:rPr>
        <w:tab/>
      </w:r>
      <w:r>
        <w:rPr>
          <w:noProof/>
        </w:rPr>
        <w:fldChar w:fldCharType="begin"/>
      </w:r>
      <w:r>
        <w:rPr>
          <w:noProof/>
        </w:rPr>
        <w:instrText xml:space="preserve"> PAGEREF _Toc31985491 \h </w:instrText>
      </w:r>
      <w:r>
        <w:rPr>
          <w:noProof/>
        </w:rPr>
      </w:r>
      <w:r>
        <w:rPr>
          <w:noProof/>
        </w:rPr>
        <w:fldChar w:fldCharType="separate"/>
      </w:r>
      <w:r w:rsidR="007F7607">
        <w:rPr>
          <w:noProof/>
        </w:rPr>
        <w:t>111</w:t>
      </w:r>
      <w:r>
        <w:rPr>
          <w:noProof/>
        </w:rPr>
        <w:fldChar w:fldCharType="end"/>
      </w:r>
    </w:p>
    <w:p w14:paraId="232B5E9D" w14:textId="5FA9C2A8"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6.6.1</w:t>
      </w:r>
      <w:r>
        <w:rPr>
          <w:rFonts w:asciiTheme="minorHAnsi" w:eastAsiaTheme="minorEastAsia" w:hAnsiTheme="minorHAnsi" w:cstheme="minorBidi"/>
          <w:i w:val="0"/>
          <w:noProof/>
          <w:lang w:eastAsia="en-AU"/>
        </w:rPr>
        <w:tab/>
      </w:r>
      <w:r w:rsidRPr="00A17E5B">
        <w:rPr>
          <w:noProof/>
        </w:rPr>
        <w:t xml:space="preserve">Lower </w:t>
      </w:r>
      <w:r>
        <w:rPr>
          <w:noProof/>
        </w:rPr>
        <w:t>Lachlan River (</w:t>
      </w:r>
      <w:r w:rsidRPr="00A17E5B">
        <w:rPr>
          <w:noProof/>
        </w:rPr>
        <w:t>Long</w:t>
      </w:r>
      <w:r>
        <w:rPr>
          <w:noProof/>
        </w:rPr>
        <w:t xml:space="preserve"> Term Intervention Monitoring)</w:t>
      </w:r>
      <w:r>
        <w:rPr>
          <w:noProof/>
        </w:rPr>
        <w:tab/>
      </w:r>
      <w:r>
        <w:rPr>
          <w:noProof/>
        </w:rPr>
        <w:fldChar w:fldCharType="begin"/>
      </w:r>
      <w:r>
        <w:rPr>
          <w:noProof/>
        </w:rPr>
        <w:instrText xml:space="preserve"> PAGEREF _Toc31985492 \h </w:instrText>
      </w:r>
      <w:r>
        <w:rPr>
          <w:noProof/>
        </w:rPr>
      </w:r>
      <w:r>
        <w:rPr>
          <w:noProof/>
        </w:rPr>
        <w:fldChar w:fldCharType="separate"/>
      </w:r>
      <w:r w:rsidR="007F7607">
        <w:rPr>
          <w:noProof/>
        </w:rPr>
        <w:t>111</w:t>
      </w:r>
      <w:r>
        <w:rPr>
          <w:noProof/>
        </w:rPr>
        <w:fldChar w:fldCharType="end"/>
      </w:r>
    </w:p>
    <w:p w14:paraId="51D97F15" w14:textId="4BC4AF6B"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6.6.2</w:t>
      </w:r>
      <w:r>
        <w:rPr>
          <w:rFonts w:asciiTheme="minorHAnsi" w:eastAsiaTheme="minorEastAsia" w:hAnsiTheme="minorHAnsi" w:cstheme="minorBidi"/>
          <w:i w:val="0"/>
          <w:noProof/>
          <w:lang w:eastAsia="en-AU"/>
        </w:rPr>
        <w:tab/>
      </w:r>
      <w:r>
        <w:rPr>
          <w:noProof/>
        </w:rPr>
        <w:t>Mid Lachlan River (Short Term Intervention Monitoring)</w:t>
      </w:r>
      <w:r>
        <w:rPr>
          <w:noProof/>
        </w:rPr>
        <w:tab/>
      </w:r>
      <w:r>
        <w:rPr>
          <w:noProof/>
        </w:rPr>
        <w:fldChar w:fldCharType="begin"/>
      </w:r>
      <w:r>
        <w:rPr>
          <w:noProof/>
        </w:rPr>
        <w:instrText xml:space="preserve"> PAGEREF _Toc31985493 \h </w:instrText>
      </w:r>
      <w:r>
        <w:rPr>
          <w:noProof/>
        </w:rPr>
      </w:r>
      <w:r>
        <w:rPr>
          <w:noProof/>
        </w:rPr>
        <w:fldChar w:fldCharType="separate"/>
      </w:r>
      <w:r w:rsidR="007F7607">
        <w:rPr>
          <w:noProof/>
        </w:rPr>
        <w:t>112</w:t>
      </w:r>
      <w:r>
        <w:rPr>
          <w:noProof/>
        </w:rPr>
        <w:fldChar w:fldCharType="end"/>
      </w:r>
    </w:p>
    <w:p w14:paraId="1FED1E80" w14:textId="03034B16"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6.7</w:t>
      </w:r>
      <w:r>
        <w:rPr>
          <w:rFonts w:asciiTheme="minorHAnsi" w:eastAsiaTheme="minorEastAsia" w:hAnsiTheme="minorHAnsi" w:cstheme="minorBidi"/>
          <w:noProof/>
          <w:lang w:eastAsia="en-AU"/>
        </w:rPr>
        <w:tab/>
      </w:r>
      <w:r>
        <w:rPr>
          <w:noProof/>
        </w:rPr>
        <w:t>Appendi</w:t>
      </w:r>
      <w:r w:rsidRPr="00A17E5B">
        <w:rPr>
          <w:noProof/>
        </w:rPr>
        <w:t>cies</w:t>
      </w:r>
      <w:r>
        <w:rPr>
          <w:noProof/>
        </w:rPr>
        <w:tab/>
      </w:r>
      <w:r>
        <w:rPr>
          <w:noProof/>
        </w:rPr>
        <w:fldChar w:fldCharType="begin"/>
      </w:r>
      <w:r>
        <w:rPr>
          <w:noProof/>
        </w:rPr>
        <w:instrText xml:space="preserve"> PAGEREF _Toc31985494 \h </w:instrText>
      </w:r>
      <w:r>
        <w:rPr>
          <w:noProof/>
        </w:rPr>
      </w:r>
      <w:r>
        <w:rPr>
          <w:noProof/>
        </w:rPr>
        <w:fldChar w:fldCharType="separate"/>
      </w:r>
      <w:r w:rsidR="007F7607">
        <w:rPr>
          <w:noProof/>
        </w:rPr>
        <w:t>113</w:t>
      </w:r>
      <w:r>
        <w:rPr>
          <w:noProof/>
        </w:rPr>
        <w:fldChar w:fldCharType="end"/>
      </w:r>
    </w:p>
    <w:p w14:paraId="66B7CE1E" w14:textId="0E72EDA7" w:rsidR="00DA5439" w:rsidRDefault="00DA5439">
      <w:pPr>
        <w:pStyle w:val="TOC1"/>
        <w:rPr>
          <w:rFonts w:asciiTheme="minorHAnsi" w:eastAsiaTheme="minorEastAsia" w:hAnsiTheme="minorHAnsi" w:cstheme="minorBidi"/>
          <w:b w:val="0"/>
          <w:color w:val="auto"/>
          <w:sz w:val="22"/>
          <w:szCs w:val="22"/>
          <w:lang w:eastAsia="en-AU"/>
        </w:rPr>
      </w:pPr>
      <w:r>
        <w:t>7</w:t>
      </w:r>
      <w:r>
        <w:rPr>
          <w:rFonts w:asciiTheme="minorHAnsi" w:eastAsiaTheme="minorEastAsia" w:hAnsiTheme="minorHAnsi" w:cstheme="minorBidi"/>
          <w:b w:val="0"/>
          <w:color w:val="auto"/>
          <w:sz w:val="22"/>
          <w:szCs w:val="22"/>
          <w:lang w:eastAsia="en-AU"/>
        </w:rPr>
        <w:tab/>
      </w:r>
      <w:r>
        <w:t>Spawning and larval fish</w:t>
      </w:r>
      <w:r>
        <w:tab/>
      </w:r>
      <w:r>
        <w:fldChar w:fldCharType="begin"/>
      </w:r>
      <w:r>
        <w:instrText xml:space="preserve"> PAGEREF _Toc31985495 \h </w:instrText>
      </w:r>
      <w:r>
        <w:fldChar w:fldCharType="separate"/>
      </w:r>
      <w:r w:rsidR="007F7607">
        <w:t>114</w:t>
      </w:r>
      <w:r>
        <w:fldChar w:fldCharType="end"/>
      </w:r>
    </w:p>
    <w:p w14:paraId="346B48E3" w14:textId="187AC2E1"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_Toc31985496 \h </w:instrText>
      </w:r>
      <w:r>
        <w:rPr>
          <w:noProof/>
        </w:rPr>
      </w:r>
      <w:r>
        <w:rPr>
          <w:noProof/>
        </w:rPr>
        <w:fldChar w:fldCharType="separate"/>
      </w:r>
      <w:r w:rsidR="007F7607">
        <w:rPr>
          <w:noProof/>
        </w:rPr>
        <w:t>114</w:t>
      </w:r>
      <w:r>
        <w:rPr>
          <w:noProof/>
        </w:rPr>
        <w:fldChar w:fldCharType="end"/>
      </w:r>
    </w:p>
    <w:p w14:paraId="12D80D33" w14:textId="78A0C76E"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rPr>
        <w:t>7.1.1</w:t>
      </w:r>
      <w:r>
        <w:rPr>
          <w:rFonts w:asciiTheme="minorHAnsi" w:eastAsiaTheme="minorEastAsia" w:hAnsiTheme="minorHAnsi" w:cstheme="minorBidi"/>
          <w:i w:val="0"/>
          <w:noProof/>
          <w:lang w:eastAsia="en-AU"/>
        </w:rPr>
        <w:tab/>
      </w:r>
      <w:r>
        <w:rPr>
          <w:noProof/>
        </w:rPr>
        <w:t>Short-term (one year) evaluation questions:</w:t>
      </w:r>
      <w:r>
        <w:rPr>
          <w:noProof/>
        </w:rPr>
        <w:tab/>
      </w:r>
      <w:r>
        <w:rPr>
          <w:noProof/>
        </w:rPr>
        <w:fldChar w:fldCharType="begin"/>
      </w:r>
      <w:r>
        <w:rPr>
          <w:noProof/>
        </w:rPr>
        <w:instrText xml:space="preserve"> PAGEREF _Toc31985497 \h </w:instrText>
      </w:r>
      <w:r>
        <w:rPr>
          <w:noProof/>
        </w:rPr>
      </w:r>
      <w:r>
        <w:rPr>
          <w:noProof/>
        </w:rPr>
        <w:fldChar w:fldCharType="separate"/>
      </w:r>
      <w:r w:rsidR="007F7607">
        <w:rPr>
          <w:noProof/>
        </w:rPr>
        <w:t>115</w:t>
      </w:r>
      <w:r>
        <w:rPr>
          <w:noProof/>
        </w:rPr>
        <w:fldChar w:fldCharType="end"/>
      </w:r>
    </w:p>
    <w:p w14:paraId="057F241D" w14:textId="3794C537"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7.1.2</w:t>
      </w:r>
      <w:r>
        <w:rPr>
          <w:rFonts w:asciiTheme="minorHAnsi" w:eastAsiaTheme="minorEastAsia" w:hAnsiTheme="minorHAnsi" w:cstheme="minorBidi"/>
          <w:i w:val="0"/>
          <w:noProof/>
          <w:lang w:eastAsia="en-AU"/>
        </w:rPr>
        <w:tab/>
      </w:r>
      <w:r>
        <w:rPr>
          <w:noProof/>
        </w:rPr>
        <w:t>Long-term (five year) evaluation questions:</w:t>
      </w:r>
      <w:r>
        <w:rPr>
          <w:noProof/>
        </w:rPr>
        <w:tab/>
      </w:r>
      <w:r>
        <w:rPr>
          <w:noProof/>
        </w:rPr>
        <w:fldChar w:fldCharType="begin"/>
      </w:r>
      <w:r>
        <w:rPr>
          <w:noProof/>
        </w:rPr>
        <w:instrText xml:space="preserve"> PAGEREF _Toc31985498 \h </w:instrText>
      </w:r>
      <w:r>
        <w:rPr>
          <w:noProof/>
        </w:rPr>
      </w:r>
      <w:r>
        <w:rPr>
          <w:noProof/>
        </w:rPr>
        <w:fldChar w:fldCharType="separate"/>
      </w:r>
      <w:r w:rsidR="007F7607">
        <w:rPr>
          <w:noProof/>
        </w:rPr>
        <w:t>115</w:t>
      </w:r>
      <w:r>
        <w:rPr>
          <w:noProof/>
        </w:rPr>
        <w:fldChar w:fldCharType="end"/>
      </w:r>
    </w:p>
    <w:p w14:paraId="7999240E" w14:textId="05F583AF"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_Toc31985499 \h </w:instrText>
      </w:r>
      <w:r>
        <w:rPr>
          <w:noProof/>
        </w:rPr>
      </w:r>
      <w:r>
        <w:rPr>
          <w:noProof/>
        </w:rPr>
        <w:fldChar w:fldCharType="separate"/>
      </w:r>
      <w:r w:rsidR="007F7607">
        <w:rPr>
          <w:noProof/>
        </w:rPr>
        <w:t>115</w:t>
      </w:r>
      <w:r>
        <w:rPr>
          <w:noProof/>
        </w:rPr>
        <w:fldChar w:fldCharType="end"/>
      </w:r>
    </w:p>
    <w:p w14:paraId="03091DC8" w14:textId="6A29ABEC"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7.2.1</w:t>
      </w:r>
      <w:r>
        <w:rPr>
          <w:rFonts w:asciiTheme="minorHAnsi" w:eastAsiaTheme="minorEastAsia" w:hAnsiTheme="minorHAnsi" w:cstheme="minorBidi"/>
          <w:i w:val="0"/>
          <w:noProof/>
          <w:lang w:eastAsia="en-AU"/>
        </w:rPr>
        <w:tab/>
      </w:r>
      <w:r>
        <w:rPr>
          <w:noProof/>
        </w:rPr>
        <w:t>Field sampling</w:t>
      </w:r>
      <w:r>
        <w:rPr>
          <w:noProof/>
        </w:rPr>
        <w:tab/>
      </w:r>
      <w:r>
        <w:rPr>
          <w:noProof/>
        </w:rPr>
        <w:fldChar w:fldCharType="begin"/>
      </w:r>
      <w:r>
        <w:rPr>
          <w:noProof/>
        </w:rPr>
        <w:instrText xml:space="preserve"> PAGEREF _Toc31985500 \h </w:instrText>
      </w:r>
      <w:r>
        <w:rPr>
          <w:noProof/>
        </w:rPr>
      </w:r>
      <w:r>
        <w:rPr>
          <w:noProof/>
        </w:rPr>
        <w:fldChar w:fldCharType="separate"/>
      </w:r>
      <w:r w:rsidR="007F7607">
        <w:rPr>
          <w:noProof/>
        </w:rPr>
        <w:t>115</w:t>
      </w:r>
      <w:r>
        <w:rPr>
          <w:noProof/>
        </w:rPr>
        <w:fldChar w:fldCharType="end"/>
      </w:r>
    </w:p>
    <w:p w14:paraId="0FC83C54" w14:textId="57FAA93C"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7.2.2</w:t>
      </w:r>
      <w:r>
        <w:rPr>
          <w:rFonts w:asciiTheme="minorHAnsi" w:eastAsiaTheme="minorEastAsia" w:hAnsiTheme="minorHAnsi" w:cstheme="minorBidi"/>
          <w:i w:val="0"/>
          <w:noProof/>
          <w:lang w:eastAsia="en-AU"/>
        </w:rPr>
        <w:tab/>
      </w:r>
      <w:r>
        <w:rPr>
          <w:noProof/>
        </w:rPr>
        <w:t>Laboratory processing</w:t>
      </w:r>
      <w:r>
        <w:rPr>
          <w:noProof/>
        </w:rPr>
        <w:tab/>
      </w:r>
      <w:r>
        <w:rPr>
          <w:noProof/>
        </w:rPr>
        <w:fldChar w:fldCharType="begin"/>
      </w:r>
      <w:r>
        <w:rPr>
          <w:noProof/>
        </w:rPr>
        <w:instrText xml:space="preserve"> PAGEREF _Toc31985501 \h </w:instrText>
      </w:r>
      <w:r>
        <w:rPr>
          <w:noProof/>
        </w:rPr>
      </w:r>
      <w:r>
        <w:rPr>
          <w:noProof/>
        </w:rPr>
        <w:fldChar w:fldCharType="separate"/>
      </w:r>
      <w:r w:rsidR="007F7607">
        <w:rPr>
          <w:noProof/>
        </w:rPr>
        <w:t>115</w:t>
      </w:r>
      <w:r>
        <w:rPr>
          <w:noProof/>
        </w:rPr>
        <w:fldChar w:fldCharType="end"/>
      </w:r>
    </w:p>
    <w:p w14:paraId="0FBF1E9D" w14:textId="6C694A2A"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7.2.3</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_Toc31985502 \h </w:instrText>
      </w:r>
      <w:r>
        <w:rPr>
          <w:noProof/>
        </w:rPr>
      </w:r>
      <w:r>
        <w:rPr>
          <w:noProof/>
        </w:rPr>
        <w:fldChar w:fldCharType="separate"/>
      </w:r>
      <w:r w:rsidR="007F7607">
        <w:rPr>
          <w:noProof/>
        </w:rPr>
        <w:t>116</w:t>
      </w:r>
      <w:r>
        <w:rPr>
          <w:noProof/>
        </w:rPr>
        <w:fldChar w:fldCharType="end"/>
      </w:r>
    </w:p>
    <w:p w14:paraId="32062B14" w14:textId="5D79063B"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_Toc31985503 \h </w:instrText>
      </w:r>
      <w:r>
        <w:rPr>
          <w:noProof/>
        </w:rPr>
      </w:r>
      <w:r>
        <w:rPr>
          <w:noProof/>
        </w:rPr>
        <w:fldChar w:fldCharType="separate"/>
      </w:r>
      <w:r w:rsidR="007F7607">
        <w:rPr>
          <w:noProof/>
        </w:rPr>
        <w:t>116</w:t>
      </w:r>
      <w:r>
        <w:rPr>
          <w:noProof/>
        </w:rPr>
        <w:fldChar w:fldCharType="end"/>
      </w:r>
    </w:p>
    <w:p w14:paraId="31AF6107" w14:textId="6621BF04"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7.3.1</w:t>
      </w:r>
      <w:r>
        <w:rPr>
          <w:rFonts w:asciiTheme="minorHAnsi" w:eastAsiaTheme="minorEastAsia" w:hAnsiTheme="minorHAnsi" w:cstheme="minorBidi"/>
          <w:i w:val="0"/>
          <w:noProof/>
          <w:lang w:eastAsia="en-AU"/>
        </w:rPr>
        <w:tab/>
      </w:r>
      <w:r>
        <w:rPr>
          <w:noProof/>
        </w:rPr>
        <w:t>Lower Lachlan River Selected area</w:t>
      </w:r>
      <w:r>
        <w:rPr>
          <w:noProof/>
        </w:rPr>
        <w:tab/>
      </w:r>
      <w:r>
        <w:rPr>
          <w:noProof/>
        </w:rPr>
        <w:fldChar w:fldCharType="begin"/>
      </w:r>
      <w:r>
        <w:rPr>
          <w:noProof/>
        </w:rPr>
        <w:instrText xml:space="preserve"> PAGEREF _Toc31985504 \h </w:instrText>
      </w:r>
      <w:r>
        <w:rPr>
          <w:noProof/>
        </w:rPr>
      </w:r>
      <w:r>
        <w:rPr>
          <w:noProof/>
        </w:rPr>
        <w:fldChar w:fldCharType="separate"/>
      </w:r>
      <w:r w:rsidR="007F7607">
        <w:rPr>
          <w:noProof/>
        </w:rPr>
        <w:t>116</w:t>
      </w:r>
      <w:r>
        <w:rPr>
          <w:noProof/>
        </w:rPr>
        <w:fldChar w:fldCharType="end"/>
      </w:r>
    </w:p>
    <w:p w14:paraId="302A1D50" w14:textId="0CC20810"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7.3.2</w:t>
      </w:r>
      <w:r>
        <w:rPr>
          <w:rFonts w:asciiTheme="minorHAnsi" w:eastAsiaTheme="minorEastAsia" w:hAnsiTheme="minorHAnsi" w:cstheme="minorBidi"/>
          <w:i w:val="0"/>
          <w:noProof/>
          <w:lang w:eastAsia="en-AU"/>
        </w:rPr>
        <w:tab/>
      </w:r>
      <w:r>
        <w:rPr>
          <w:noProof/>
        </w:rPr>
        <w:t>201</w:t>
      </w:r>
      <w:r w:rsidRPr="00A17E5B">
        <w:rPr>
          <w:noProof/>
        </w:rPr>
        <w:t>8</w:t>
      </w:r>
      <w:r>
        <w:rPr>
          <w:noProof/>
        </w:rPr>
        <w:t xml:space="preserve"> vs </w:t>
      </w:r>
      <w:r w:rsidRPr="00A17E5B">
        <w:rPr>
          <w:noProof/>
        </w:rPr>
        <w:t>Previous years</w:t>
      </w:r>
      <w:r>
        <w:rPr>
          <w:noProof/>
        </w:rPr>
        <w:tab/>
      </w:r>
      <w:r>
        <w:rPr>
          <w:noProof/>
        </w:rPr>
        <w:fldChar w:fldCharType="begin"/>
      </w:r>
      <w:r>
        <w:rPr>
          <w:noProof/>
        </w:rPr>
        <w:instrText xml:space="preserve"> PAGEREF _Toc31985505 \h </w:instrText>
      </w:r>
      <w:r>
        <w:rPr>
          <w:noProof/>
        </w:rPr>
      </w:r>
      <w:r>
        <w:rPr>
          <w:noProof/>
        </w:rPr>
        <w:fldChar w:fldCharType="separate"/>
      </w:r>
      <w:r w:rsidR="007F7607">
        <w:rPr>
          <w:noProof/>
        </w:rPr>
        <w:t>120</w:t>
      </w:r>
      <w:r>
        <w:rPr>
          <w:noProof/>
        </w:rPr>
        <w:fldChar w:fldCharType="end"/>
      </w:r>
    </w:p>
    <w:p w14:paraId="5AB362BF" w14:textId="6BAF4CDA"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7.3.3</w:t>
      </w:r>
      <w:r>
        <w:rPr>
          <w:rFonts w:asciiTheme="minorHAnsi" w:eastAsiaTheme="minorEastAsia" w:hAnsiTheme="minorHAnsi" w:cstheme="minorBidi"/>
          <w:i w:val="0"/>
          <w:noProof/>
          <w:lang w:eastAsia="en-AU"/>
        </w:rPr>
        <w:tab/>
      </w:r>
      <w:r>
        <w:rPr>
          <w:noProof/>
        </w:rPr>
        <w:t>Mid</w:t>
      </w:r>
      <w:r w:rsidRPr="00A17E5B">
        <w:rPr>
          <w:noProof/>
        </w:rPr>
        <w:t xml:space="preserve"> </w:t>
      </w:r>
      <w:r>
        <w:rPr>
          <w:noProof/>
        </w:rPr>
        <w:t>Lachlan River short-term intervention monitoring: 2018</w:t>
      </w:r>
      <w:r>
        <w:rPr>
          <w:noProof/>
        </w:rPr>
        <w:tab/>
      </w:r>
      <w:r>
        <w:rPr>
          <w:noProof/>
        </w:rPr>
        <w:fldChar w:fldCharType="begin"/>
      </w:r>
      <w:r>
        <w:rPr>
          <w:noProof/>
        </w:rPr>
        <w:instrText xml:space="preserve"> PAGEREF _Toc31985506 \h </w:instrText>
      </w:r>
      <w:r>
        <w:rPr>
          <w:noProof/>
        </w:rPr>
      </w:r>
      <w:r>
        <w:rPr>
          <w:noProof/>
        </w:rPr>
        <w:fldChar w:fldCharType="separate"/>
      </w:r>
      <w:r w:rsidR="007F7607">
        <w:rPr>
          <w:noProof/>
        </w:rPr>
        <w:t>122</w:t>
      </w:r>
      <w:r>
        <w:rPr>
          <w:noProof/>
        </w:rPr>
        <w:fldChar w:fldCharType="end"/>
      </w:r>
    </w:p>
    <w:p w14:paraId="2EE02DAD" w14:textId="6AC8E8C6"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_Toc31985507 \h </w:instrText>
      </w:r>
      <w:r>
        <w:rPr>
          <w:noProof/>
        </w:rPr>
      </w:r>
      <w:r>
        <w:rPr>
          <w:noProof/>
        </w:rPr>
        <w:fldChar w:fldCharType="separate"/>
      </w:r>
      <w:r w:rsidR="007F7607">
        <w:rPr>
          <w:noProof/>
        </w:rPr>
        <w:t>126</w:t>
      </w:r>
      <w:r>
        <w:rPr>
          <w:noProof/>
        </w:rPr>
        <w:fldChar w:fldCharType="end"/>
      </w:r>
    </w:p>
    <w:p w14:paraId="69451C17" w14:textId="0CF369CC"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7.4.1</w:t>
      </w:r>
      <w:r>
        <w:rPr>
          <w:rFonts w:asciiTheme="minorHAnsi" w:eastAsiaTheme="minorEastAsia" w:hAnsiTheme="minorHAnsi" w:cstheme="minorBidi"/>
          <w:i w:val="0"/>
          <w:noProof/>
          <w:lang w:eastAsia="en-AU"/>
        </w:rPr>
        <w:tab/>
      </w:r>
      <w:r>
        <w:rPr>
          <w:noProof/>
        </w:rPr>
        <w:t>Lower-Lachlan River selected area</w:t>
      </w:r>
      <w:r>
        <w:rPr>
          <w:noProof/>
        </w:rPr>
        <w:tab/>
      </w:r>
      <w:r>
        <w:rPr>
          <w:noProof/>
        </w:rPr>
        <w:fldChar w:fldCharType="begin"/>
      </w:r>
      <w:r>
        <w:rPr>
          <w:noProof/>
        </w:rPr>
        <w:instrText xml:space="preserve"> PAGEREF _Toc31985508 \h </w:instrText>
      </w:r>
      <w:r>
        <w:rPr>
          <w:noProof/>
        </w:rPr>
      </w:r>
      <w:r>
        <w:rPr>
          <w:noProof/>
        </w:rPr>
        <w:fldChar w:fldCharType="separate"/>
      </w:r>
      <w:r w:rsidR="007F7607">
        <w:rPr>
          <w:noProof/>
        </w:rPr>
        <w:t>126</w:t>
      </w:r>
      <w:r>
        <w:rPr>
          <w:noProof/>
        </w:rPr>
        <w:fldChar w:fldCharType="end"/>
      </w:r>
    </w:p>
    <w:p w14:paraId="1B537AD2" w14:textId="1C00F693"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7.5</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_Toc31985509 \h </w:instrText>
      </w:r>
      <w:r>
        <w:rPr>
          <w:noProof/>
        </w:rPr>
      </w:r>
      <w:r>
        <w:rPr>
          <w:noProof/>
        </w:rPr>
        <w:fldChar w:fldCharType="separate"/>
      </w:r>
      <w:r w:rsidR="007F7607">
        <w:rPr>
          <w:noProof/>
        </w:rPr>
        <w:t>128</w:t>
      </w:r>
      <w:r>
        <w:rPr>
          <w:noProof/>
        </w:rPr>
        <w:fldChar w:fldCharType="end"/>
      </w:r>
    </w:p>
    <w:p w14:paraId="6C9B834F" w14:textId="5A9F0338"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7.5.1</w:t>
      </w:r>
      <w:r>
        <w:rPr>
          <w:rFonts w:asciiTheme="minorHAnsi" w:eastAsiaTheme="minorEastAsia" w:hAnsiTheme="minorHAnsi" w:cstheme="minorBidi"/>
          <w:i w:val="0"/>
          <w:noProof/>
          <w:lang w:eastAsia="en-AU"/>
        </w:rPr>
        <w:tab/>
      </w:r>
      <w:r>
        <w:rPr>
          <w:noProof/>
        </w:rPr>
        <w:t>Lower-Lachlan River selected area</w:t>
      </w:r>
      <w:r>
        <w:rPr>
          <w:noProof/>
        </w:rPr>
        <w:tab/>
      </w:r>
      <w:r>
        <w:rPr>
          <w:noProof/>
        </w:rPr>
        <w:fldChar w:fldCharType="begin"/>
      </w:r>
      <w:r>
        <w:rPr>
          <w:noProof/>
        </w:rPr>
        <w:instrText xml:space="preserve"> PAGEREF _Toc31985510 \h </w:instrText>
      </w:r>
      <w:r>
        <w:rPr>
          <w:noProof/>
        </w:rPr>
      </w:r>
      <w:r>
        <w:rPr>
          <w:noProof/>
        </w:rPr>
        <w:fldChar w:fldCharType="separate"/>
      </w:r>
      <w:r w:rsidR="007F7607">
        <w:rPr>
          <w:noProof/>
        </w:rPr>
        <w:t>128</w:t>
      </w:r>
      <w:r>
        <w:rPr>
          <w:noProof/>
        </w:rPr>
        <w:fldChar w:fldCharType="end"/>
      </w:r>
    </w:p>
    <w:p w14:paraId="2509504F" w14:textId="64E41D27"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7.5.2</w:t>
      </w:r>
      <w:r>
        <w:rPr>
          <w:rFonts w:asciiTheme="minorHAnsi" w:eastAsiaTheme="minorEastAsia" w:hAnsiTheme="minorHAnsi" w:cstheme="minorBidi"/>
          <w:i w:val="0"/>
          <w:noProof/>
          <w:lang w:eastAsia="en-AU"/>
        </w:rPr>
        <w:tab/>
      </w:r>
      <w:r>
        <w:rPr>
          <w:noProof/>
        </w:rPr>
        <w:t>Mid-Lachlan River short-term intervention monitoring</w:t>
      </w:r>
      <w:r>
        <w:rPr>
          <w:noProof/>
        </w:rPr>
        <w:tab/>
      </w:r>
      <w:r>
        <w:rPr>
          <w:noProof/>
        </w:rPr>
        <w:fldChar w:fldCharType="begin"/>
      </w:r>
      <w:r>
        <w:rPr>
          <w:noProof/>
        </w:rPr>
        <w:instrText xml:space="preserve"> PAGEREF _Toc31985511 \h </w:instrText>
      </w:r>
      <w:r>
        <w:rPr>
          <w:noProof/>
        </w:rPr>
      </w:r>
      <w:r>
        <w:rPr>
          <w:noProof/>
        </w:rPr>
        <w:fldChar w:fldCharType="separate"/>
      </w:r>
      <w:r w:rsidR="007F7607">
        <w:rPr>
          <w:noProof/>
        </w:rPr>
        <w:t>131</w:t>
      </w:r>
      <w:r>
        <w:rPr>
          <w:noProof/>
        </w:rPr>
        <w:fldChar w:fldCharType="end"/>
      </w:r>
    </w:p>
    <w:p w14:paraId="715A9BAC" w14:textId="000E909F"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rPr>
        <w:t>7.6</w:t>
      </w:r>
      <w:r>
        <w:rPr>
          <w:rFonts w:asciiTheme="minorHAnsi" w:eastAsiaTheme="minorEastAsia" w:hAnsiTheme="minorHAnsi" w:cstheme="minorBidi"/>
          <w:noProof/>
          <w:lang w:eastAsia="en-AU"/>
        </w:rPr>
        <w:tab/>
      </w:r>
      <w:r w:rsidRPr="00A17E5B">
        <w:rPr>
          <w:noProof/>
        </w:rPr>
        <w:t xml:space="preserve">Final Comments and </w:t>
      </w:r>
      <w:r>
        <w:rPr>
          <w:noProof/>
        </w:rPr>
        <w:t>Recommendations</w:t>
      </w:r>
      <w:r>
        <w:rPr>
          <w:noProof/>
        </w:rPr>
        <w:tab/>
      </w:r>
      <w:r>
        <w:rPr>
          <w:noProof/>
        </w:rPr>
        <w:fldChar w:fldCharType="begin"/>
      </w:r>
      <w:r>
        <w:rPr>
          <w:noProof/>
        </w:rPr>
        <w:instrText xml:space="preserve"> PAGEREF _Toc31985512 \h </w:instrText>
      </w:r>
      <w:r>
        <w:rPr>
          <w:noProof/>
        </w:rPr>
      </w:r>
      <w:r>
        <w:rPr>
          <w:noProof/>
        </w:rPr>
        <w:fldChar w:fldCharType="separate"/>
      </w:r>
      <w:r w:rsidR="007F7607">
        <w:rPr>
          <w:noProof/>
        </w:rPr>
        <w:t>133</w:t>
      </w:r>
      <w:r>
        <w:rPr>
          <w:noProof/>
        </w:rPr>
        <w:fldChar w:fldCharType="end"/>
      </w:r>
    </w:p>
    <w:p w14:paraId="3C12FF6F" w14:textId="1C4431F1"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7.7</w:t>
      </w:r>
      <w:r>
        <w:rPr>
          <w:rFonts w:asciiTheme="minorHAnsi" w:eastAsiaTheme="minorEastAsia" w:hAnsiTheme="minorHAnsi" w:cstheme="minorBidi"/>
          <w:noProof/>
          <w:lang w:eastAsia="en-AU"/>
        </w:rPr>
        <w:tab/>
      </w:r>
      <w:r w:rsidRPr="00A17E5B">
        <w:rPr>
          <w:noProof/>
        </w:rPr>
        <w:t>Appendix 1: Estimating fish spawning dates 2018</w:t>
      </w:r>
      <w:r>
        <w:rPr>
          <w:noProof/>
        </w:rPr>
        <w:tab/>
      </w:r>
      <w:r>
        <w:rPr>
          <w:noProof/>
        </w:rPr>
        <w:fldChar w:fldCharType="begin"/>
      </w:r>
      <w:r>
        <w:rPr>
          <w:noProof/>
        </w:rPr>
        <w:instrText xml:space="preserve"> PAGEREF _Toc31985513 \h </w:instrText>
      </w:r>
      <w:r>
        <w:rPr>
          <w:noProof/>
        </w:rPr>
      </w:r>
      <w:r>
        <w:rPr>
          <w:noProof/>
        </w:rPr>
        <w:fldChar w:fldCharType="separate"/>
      </w:r>
      <w:r w:rsidR="007F7607">
        <w:rPr>
          <w:noProof/>
        </w:rPr>
        <w:t>135</w:t>
      </w:r>
      <w:r>
        <w:rPr>
          <w:noProof/>
        </w:rPr>
        <w:fldChar w:fldCharType="end"/>
      </w:r>
    </w:p>
    <w:p w14:paraId="3FDE192B" w14:textId="58610C58"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rPr>
        <w:t>7.8</w:t>
      </w:r>
      <w:r>
        <w:rPr>
          <w:rFonts w:asciiTheme="minorHAnsi" w:eastAsiaTheme="minorEastAsia" w:hAnsiTheme="minorHAnsi" w:cstheme="minorBidi"/>
          <w:noProof/>
          <w:lang w:eastAsia="en-AU"/>
        </w:rPr>
        <w:tab/>
      </w:r>
      <w:r w:rsidRPr="00A17E5B">
        <w:rPr>
          <w:noProof/>
        </w:rPr>
        <w:t>Appendix 2: Results of Similarity percentage analysis (SIMPER) of annual differences in the larval fish community in the lower Lachlan River selected area.</w:t>
      </w:r>
      <w:r>
        <w:rPr>
          <w:noProof/>
        </w:rPr>
        <w:tab/>
      </w:r>
      <w:r>
        <w:rPr>
          <w:noProof/>
        </w:rPr>
        <w:fldChar w:fldCharType="begin"/>
      </w:r>
      <w:r>
        <w:rPr>
          <w:noProof/>
        </w:rPr>
        <w:instrText xml:space="preserve"> PAGEREF _Toc31985514 \h </w:instrText>
      </w:r>
      <w:r>
        <w:rPr>
          <w:noProof/>
        </w:rPr>
      </w:r>
      <w:r>
        <w:rPr>
          <w:noProof/>
        </w:rPr>
        <w:fldChar w:fldCharType="separate"/>
      </w:r>
      <w:r w:rsidR="007F7607">
        <w:rPr>
          <w:noProof/>
        </w:rPr>
        <w:t>138</w:t>
      </w:r>
      <w:r>
        <w:rPr>
          <w:noProof/>
        </w:rPr>
        <w:fldChar w:fldCharType="end"/>
      </w:r>
    </w:p>
    <w:p w14:paraId="46786A47" w14:textId="5263E113" w:rsidR="00DA5439" w:rsidRDefault="00DA5439">
      <w:pPr>
        <w:pStyle w:val="TOC1"/>
        <w:rPr>
          <w:rFonts w:asciiTheme="minorHAnsi" w:eastAsiaTheme="minorEastAsia" w:hAnsiTheme="minorHAnsi" w:cstheme="minorBidi"/>
          <w:b w:val="0"/>
          <w:color w:val="auto"/>
          <w:sz w:val="22"/>
          <w:szCs w:val="22"/>
          <w:lang w:eastAsia="en-AU"/>
        </w:rPr>
      </w:pPr>
      <w:r>
        <w:t>8</w:t>
      </w:r>
      <w:r>
        <w:rPr>
          <w:rFonts w:asciiTheme="minorHAnsi" w:eastAsiaTheme="minorEastAsia" w:hAnsiTheme="minorHAnsi" w:cstheme="minorBidi"/>
          <w:b w:val="0"/>
          <w:color w:val="auto"/>
          <w:sz w:val="22"/>
          <w:szCs w:val="22"/>
          <w:lang w:eastAsia="en-AU"/>
        </w:rPr>
        <w:tab/>
      </w:r>
      <w:r w:rsidRPr="00A17E5B">
        <w:rPr>
          <w:lang w:val="en-US"/>
        </w:rPr>
        <w:t>Determining age, spawning dates and growth of Australian smelt</w:t>
      </w:r>
      <w:r>
        <w:t xml:space="preserve"> </w:t>
      </w:r>
      <w:r w:rsidRPr="00A17E5B">
        <w:rPr>
          <w:lang w:val="en-US"/>
        </w:rPr>
        <w:t xml:space="preserve">and Murray cod </w:t>
      </w:r>
      <w:r>
        <w:t>in the lower Lachlan River selected area.</w:t>
      </w:r>
      <w:r>
        <w:tab/>
      </w:r>
      <w:r>
        <w:fldChar w:fldCharType="begin"/>
      </w:r>
      <w:r>
        <w:instrText xml:space="preserve"> PAGEREF _Toc31985515 \h </w:instrText>
      </w:r>
      <w:r>
        <w:fldChar w:fldCharType="separate"/>
      </w:r>
      <w:r w:rsidR="007F7607">
        <w:t>141</w:t>
      </w:r>
      <w:r>
        <w:fldChar w:fldCharType="end"/>
      </w:r>
    </w:p>
    <w:p w14:paraId="1491EF9A" w14:textId="0F72ED7A"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lang w:bidi="th-TH"/>
        </w:rPr>
        <w:t>8.1</w:t>
      </w:r>
      <w:r>
        <w:rPr>
          <w:rFonts w:asciiTheme="minorHAnsi" w:eastAsiaTheme="minorEastAsia" w:hAnsiTheme="minorHAnsi" w:cstheme="minorBidi"/>
          <w:noProof/>
          <w:lang w:eastAsia="en-AU"/>
        </w:rPr>
        <w:tab/>
      </w:r>
      <w:r>
        <w:rPr>
          <w:noProof/>
          <w:lang w:bidi="th-TH"/>
        </w:rPr>
        <w:t>Background</w:t>
      </w:r>
      <w:r>
        <w:rPr>
          <w:noProof/>
        </w:rPr>
        <w:tab/>
      </w:r>
      <w:r>
        <w:rPr>
          <w:noProof/>
        </w:rPr>
        <w:fldChar w:fldCharType="begin"/>
      </w:r>
      <w:r>
        <w:rPr>
          <w:noProof/>
        </w:rPr>
        <w:instrText xml:space="preserve"> PAGEREF _Toc31985516 \h </w:instrText>
      </w:r>
      <w:r>
        <w:rPr>
          <w:noProof/>
        </w:rPr>
      </w:r>
      <w:r>
        <w:rPr>
          <w:noProof/>
        </w:rPr>
        <w:fldChar w:fldCharType="separate"/>
      </w:r>
      <w:r w:rsidR="007F7607">
        <w:rPr>
          <w:noProof/>
        </w:rPr>
        <w:t>141</w:t>
      </w:r>
      <w:r>
        <w:rPr>
          <w:noProof/>
        </w:rPr>
        <w:fldChar w:fldCharType="end"/>
      </w:r>
    </w:p>
    <w:p w14:paraId="3DA19733" w14:textId="5C6DA192"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lang w:bidi="th-TH"/>
        </w:rPr>
        <w:t>8.2</w:t>
      </w:r>
      <w:r>
        <w:rPr>
          <w:rFonts w:asciiTheme="minorHAnsi" w:eastAsiaTheme="minorEastAsia" w:hAnsiTheme="minorHAnsi" w:cstheme="minorBidi"/>
          <w:noProof/>
          <w:lang w:eastAsia="en-AU"/>
        </w:rPr>
        <w:tab/>
      </w:r>
      <w:r>
        <w:rPr>
          <w:noProof/>
          <w:lang w:bidi="th-TH"/>
        </w:rPr>
        <w:t>Methods</w:t>
      </w:r>
      <w:r>
        <w:rPr>
          <w:noProof/>
        </w:rPr>
        <w:tab/>
      </w:r>
      <w:r>
        <w:rPr>
          <w:noProof/>
        </w:rPr>
        <w:fldChar w:fldCharType="begin"/>
      </w:r>
      <w:r>
        <w:rPr>
          <w:noProof/>
        </w:rPr>
        <w:instrText xml:space="preserve"> PAGEREF _Toc31985517 \h </w:instrText>
      </w:r>
      <w:r>
        <w:rPr>
          <w:noProof/>
        </w:rPr>
      </w:r>
      <w:r>
        <w:rPr>
          <w:noProof/>
        </w:rPr>
        <w:fldChar w:fldCharType="separate"/>
      </w:r>
      <w:r w:rsidR="007F7607">
        <w:rPr>
          <w:noProof/>
        </w:rPr>
        <w:t>142</w:t>
      </w:r>
      <w:r>
        <w:rPr>
          <w:noProof/>
        </w:rPr>
        <w:fldChar w:fldCharType="end"/>
      </w:r>
    </w:p>
    <w:p w14:paraId="7B325877" w14:textId="44210D51"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8.2.1</w:t>
      </w:r>
      <w:r>
        <w:rPr>
          <w:rFonts w:asciiTheme="minorHAnsi" w:eastAsiaTheme="minorEastAsia" w:hAnsiTheme="minorHAnsi" w:cstheme="minorBidi"/>
          <w:i w:val="0"/>
          <w:noProof/>
          <w:lang w:eastAsia="en-AU"/>
        </w:rPr>
        <w:tab/>
      </w:r>
      <w:r>
        <w:rPr>
          <w:noProof/>
        </w:rPr>
        <w:t>Fish collection and otolith analysis</w:t>
      </w:r>
      <w:r>
        <w:rPr>
          <w:noProof/>
        </w:rPr>
        <w:tab/>
      </w:r>
      <w:r>
        <w:rPr>
          <w:noProof/>
        </w:rPr>
        <w:fldChar w:fldCharType="begin"/>
      </w:r>
      <w:r>
        <w:rPr>
          <w:noProof/>
        </w:rPr>
        <w:instrText xml:space="preserve"> PAGEREF _Toc31985518 \h </w:instrText>
      </w:r>
      <w:r>
        <w:rPr>
          <w:noProof/>
        </w:rPr>
      </w:r>
      <w:r>
        <w:rPr>
          <w:noProof/>
        </w:rPr>
        <w:fldChar w:fldCharType="separate"/>
      </w:r>
      <w:r w:rsidR="007F7607">
        <w:rPr>
          <w:noProof/>
        </w:rPr>
        <w:t>142</w:t>
      </w:r>
      <w:r>
        <w:rPr>
          <w:noProof/>
        </w:rPr>
        <w:fldChar w:fldCharType="end"/>
      </w:r>
    </w:p>
    <w:p w14:paraId="5578BE5F" w14:textId="41929160"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8.2.2</w:t>
      </w:r>
      <w:r>
        <w:rPr>
          <w:rFonts w:asciiTheme="minorHAnsi" w:eastAsiaTheme="minorEastAsia" w:hAnsiTheme="minorHAnsi" w:cstheme="minorBidi"/>
          <w:i w:val="0"/>
          <w:noProof/>
          <w:lang w:eastAsia="en-AU"/>
        </w:rPr>
        <w:tab/>
      </w:r>
      <w:r>
        <w:rPr>
          <w:noProof/>
        </w:rPr>
        <w:t>Stream metabolism data</w:t>
      </w:r>
      <w:r>
        <w:rPr>
          <w:noProof/>
        </w:rPr>
        <w:tab/>
      </w:r>
      <w:r>
        <w:rPr>
          <w:noProof/>
        </w:rPr>
        <w:fldChar w:fldCharType="begin"/>
      </w:r>
      <w:r>
        <w:rPr>
          <w:noProof/>
        </w:rPr>
        <w:instrText xml:space="preserve"> PAGEREF _Toc31985519 \h </w:instrText>
      </w:r>
      <w:r>
        <w:rPr>
          <w:noProof/>
        </w:rPr>
      </w:r>
      <w:r>
        <w:rPr>
          <w:noProof/>
        </w:rPr>
        <w:fldChar w:fldCharType="separate"/>
      </w:r>
      <w:r w:rsidR="007F7607">
        <w:rPr>
          <w:noProof/>
        </w:rPr>
        <w:t>143</w:t>
      </w:r>
      <w:r>
        <w:rPr>
          <w:noProof/>
        </w:rPr>
        <w:fldChar w:fldCharType="end"/>
      </w:r>
    </w:p>
    <w:p w14:paraId="142C2725" w14:textId="5C5E4273"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8.2.3</w:t>
      </w:r>
      <w:r>
        <w:rPr>
          <w:rFonts w:asciiTheme="minorHAnsi" w:eastAsiaTheme="minorEastAsia" w:hAnsiTheme="minorHAnsi" w:cstheme="minorBidi"/>
          <w:i w:val="0"/>
          <w:noProof/>
          <w:lang w:eastAsia="en-AU"/>
        </w:rPr>
        <w:tab/>
      </w:r>
      <w:r>
        <w:rPr>
          <w:noProof/>
        </w:rPr>
        <w:t>Analysis</w:t>
      </w:r>
      <w:r>
        <w:rPr>
          <w:noProof/>
        </w:rPr>
        <w:tab/>
      </w:r>
      <w:r>
        <w:rPr>
          <w:noProof/>
        </w:rPr>
        <w:fldChar w:fldCharType="begin"/>
      </w:r>
      <w:r>
        <w:rPr>
          <w:noProof/>
        </w:rPr>
        <w:instrText xml:space="preserve"> PAGEREF _Toc31985520 \h </w:instrText>
      </w:r>
      <w:r>
        <w:rPr>
          <w:noProof/>
        </w:rPr>
      </w:r>
      <w:r>
        <w:rPr>
          <w:noProof/>
        </w:rPr>
        <w:fldChar w:fldCharType="separate"/>
      </w:r>
      <w:r w:rsidR="007F7607">
        <w:rPr>
          <w:noProof/>
        </w:rPr>
        <w:t>143</w:t>
      </w:r>
      <w:r>
        <w:rPr>
          <w:noProof/>
        </w:rPr>
        <w:fldChar w:fldCharType="end"/>
      </w:r>
    </w:p>
    <w:p w14:paraId="7CE667BE" w14:textId="46D4F31B"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lang w:bidi="th-TH"/>
        </w:rPr>
        <w:t>8.3</w:t>
      </w:r>
      <w:r>
        <w:rPr>
          <w:rFonts w:asciiTheme="minorHAnsi" w:eastAsiaTheme="minorEastAsia" w:hAnsiTheme="minorHAnsi" w:cstheme="minorBidi"/>
          <w:noProof/>
          <w:lang w:eastAsia="en-AU"/>
        </w:rPr>
        <w:tab/>
      </w:r>
      <w:r>
        <w:rPr>
          <w:noProof/>
          <w:lang w:bidi="th-TH"/>
        </w:rPr>
        <w:t>Results</w:t>
      </w:r>
      <w:r>
        <w:rPr>
          <w:noProof/>
        </w:rPr>
        <w:tab/>
      </w:r>
      <w:r>
        <w:rPr>
          <w:noProof/>
        </w:rPr>
        <w:fldChar w:fldCharType="begin"/>
      </w:r>
      <w:r>
        <w:rPr>
          <w:noProof/>
        </w:rPr>
        <w:instrText xml:space="preserve"> PAGEREF _Toc31985521 \h </w:instrText>
      </w:r>
      <w:r>
        <w:rPr>
          <w:noProof/>
        </w:rPr>
      </w:r>
      <w:r>
        <w:rPr>
          <w:noProof/>
        </w:rPr>
        <w:fldChar w:fldCharType="separate"/>
      </w:r>
      <w:r w:rsidR="007F7607">
        <w:rPr>
          <w:noProof/>
        </w:rPr>
        <w:t>144</w:t>
      </w:r>
      <w:r>
        <w:rPr>
          <w:noProof/>
        </w:rPr>
        <w:fldChar w:fldCharType="end"/>
      </w:r>
    </w:p>
    <w:p w14:paraId="2E26D1CB" w14:textId="13007811"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rFonts w:eastAsia="Calibri"/>
          <w:noProof/>
          <w:lang w:bidi="th-TH"/>
        </w:rPr>
        <w:t>8.3.1</w:t>
      </w:r>
      <w:r>
        <w:rPr>
          <w:rFonts w:asciiTheme="minorHAnsi" w:eastAsiaTheme="minorEastAsia" w:hAnsiTheme="minorHAnsi" w:cstheme="minorBidi"/>
          <w:i w:val="0"/>
          <w:noProof/>
          <w:lang w:eastAsia="en-AU"/>
        </w:rPr>
        <w:tab/>
      </w:r>
      <w:r w:rsidRPr="00A17E5B">
        <w:rPr>
          <w:rFonts w:eastAsia="Calibri"/>
          <w:noProof/>
          <w:lang w:bidi="th-TH"/>
        </w:rPr>
        <w:t>Determining length at age</w:t>
      </w:r>
      <w:r>
        <w:rPr>
          <w:noProof/>
        </w:rPr>
        <w:tab/>
      </w:r>
      <w:r>
        <w:rPr>
          <w:noProof/>
        </w:rPr>
        <w:fldChar w:fldCharType="begin"/>
      </w:r>
      <w:r>
        <w:rPr>
          <w:noProof/>
        </w:rPr>
        <w:instrText xml:space="preserve"> PAGEREF _Toc31985522 \h </w:instrText>
      </w:r>
      <w:r>
        <w:rPr>
          <w:noProof/>
        </w:rPr>
      </w:r>
      <w:r>
        <w:rPr>
          <w:noProof/>
        </w:rPr>
        <w:fldChar w:fldCharType="separate"/>
      </w:r>
      <w:r w:rsidR="007F7607">
        <w:rPr>
          <w:noProof/>
        </w:rPr>
        <w:t>144</w:t>
      </w:r>
      <w:r>
        <w:rPr>
          <w:noProof/>
        </w:rPr>
        <w:fldChar w:fldCharType="end"/>
      </w:r>
    </w:p>
    <w:p w14:paraId="224B36A2" w14:textId="011C5B08"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rFonts w:eastAsia="Calibri"/>
          <w:noProof/>
        </w:rPr>
        <w:t>8.3.2</w:t>
      </w:r>
      <w:r>
        <w:rPr>
          <w:rFonts w:asciiTheme="minorHAnsi" w:eastAsiaTheme="minorEastAsia" w:hAnsiTheme="minorHAnsi" w:cstheme="minorBidi"/>
          <w:i w:val="0"/>
          <w:noProof/>
          <w:lang w:eastAsia="en-AU"/>
        </w:rPr>
        <w:tab/>
      </w:r>
      <w:r w:rsidRPr="00A17E5B">
        <w:rPr>
          <w:rFonts w:eastAsia="Calibri"/>
          <w:noProof/>
        </w:rPr>
        <w:t>Estimating spawning dates</w:t>
      </w:r>
      <w:r>
        <w:rPr>
          <w:noProof/>
        </w:rPr>
        <w:tab/>
      </w:r>
      <w:r>
        <w:rPr>
          <w:noProof/>
        </w:rPr>
        <w:fldChar w:fldCharType="begin"/>
      </w:r>
      <w:r>
        <w:rPr>
          <w:noProof/>
        </w:rPr>
        <w:instrText xml:space="preserve"> PAGEREF _Toc31985523 \h </w:instrText>
      </w:r>
      <w:r>
        <w:rPr>
          <w:noProof/>
        </w:rPr>
      </w:r>
      <w:r>
        <w:rPr>
          <w:noProof/>
        </w:rPr>
        <w:fldChar w:fldCharType="separate"/>
      </w:r>
      <w:r w:rsidR="007F7607">
        <w:rPr>
          <w:noProof/>
        </w:rPr>
        <w:t>147</w:t>
      </w:r>
      <w:r>
        <w:rPr>
          <w:noProof/>
        </w:rPr>
        <w:fldChar w:fldCharType="end"/>
      </w:r>
    </w:p>
    <w:p w14:paraId="3A7BAF2E" w14:textId="318DCFFC"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rFonts w:eastAsia="Calibri"/>
          <w:noProof/>
        </w:rPr>
        <w:t>8.3.3</w:t>
      </w:r>
      <w:r>
        <w:rPr>
          <w:rFonts w:asciiTheme="minorHAnsi" w:eastAsiaTheme="minorEastAsia" w:hAnsiTheme="minorHAnsi" w:cstheme="minorBidi"/>
          <w:i w:val="0"/>
          <w:noProof/>
          <w:lang w:eastAsia="en-AU"/>
        </w:rPr>
        <w:tab/>
      </w:r>
      <w:r w:rsidRPr="00A17E5B">
        <w:rPr>
          <w:rFonts w:eastAsia="Calibri"/>
          <w:noProof/>
        </w:rPr>
        <w:t>Growth</w:t>
      </w:r>
      <w:r>
        <w:rPr>
          <w:noProof/>
        </w:rPr>
        <w:tab/>
      </w:r>
      <w:r>
        <w:rPr>
          <w:noProof/>
        </w:rPr>
        <w:fldChar w:fldCharType="begin"/>
      </w:r>
      <w:r>
        <w:rPr>
          <w:noProof/>
        </w:rPr>
        <w:instrText xml:space="preserve"> PAGEREF _Toc31985524 \h </w:instrText>
      </w:r>
      <w:r>
        <w:rPr>
          <w:noProof/>
        </w:rPr>
      </w:r>
      <w:r>
        <w:rPr>
          <w:noProof/>
        </w:rPr>
        <w:fldChar w:fldCharType="separate"/>
      </w:r>
      <w:r w:rsidR="007F7607">
        <w:rPr>
          <w:noProof/>
        </w:rPr>
        <w:t>149</w:t>
      </w:r>
      <w:r>
        <w:rPr>
          <w:noProof/>
        </w:rPr>
        <w:fldChar w:fldCharType="end"/>
      </w:r>
    </w:p>
    <w:p w14:paraId="35FC58BE" w14:textId="09172D3D"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lang w:bidi="th-TH"/>
        </w:rPr>
        <w:t>8.4</w:t>
      </w:r>
      <w:r>
        <w:rPr>
          <w:rFonts w:asciiTheme="minorHAnsi" w:eastAsiaTheme="minorEastAsia" w:hAnsiTheme="minorHAnsi" w:cstheme="minorBidi"/>
          <w:noProof/>
          <w:lang w:eastAsia="en-AU"/>
        </w:rPr>
        <w:tab/>
      </w:r>
      <w:r>
        <w:rPr>
          <w:noProof/>
          <w:lang w:bidi="th-TH"/>
        </w:rPr>
        <w:t>Discussion</w:t>
      </w:r>
      <w:r>
        <w:rPr>
          <w:noProof/>
        </w:rPr>
        <w:tab/>
      </w:r>
      <w:r>
        <w:rPr>
          <w:noProof/>
        </w:rPr>
        <w:fldChar w:fldCharType="begin"/>
      </w:r>
      <w:r>
        <w:rPr>
          <w:noProof/>
        </w:rPr>
        <w:instrText xml:space="preserve"> PAGEREF _Toc31985525 \h </w:instrText>
      </w:r>
      <w:r>
        <w:rPr>
          <w:noProof/>
        </w:rPr>
      </w:r>
      <w:r>
        <w:rPr>
          <w:noProof/>
        </w:rPr>
        <w:fldChar w:fldCharType="separate"/>
      </w:r>
      <w:r w:rsidR="007F7607">
        <w:rPr>
          <w:noProof/>
        </w:rPr>
        <w:t>153</w:t>
      </w:r>
      <w:r>
        <w:rPr>
          <w:noProof/>
        </w:rPr>
        <w:fldChar w:fldCharType="end"/>
      </w:r>
    </w:p>
    <w:p w14:paraId="2CE5537B" w14:textId="01FF53AD"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lang w:bidi="th-TH"/>
        </w:rPr>
        <w:t>8.5</w:t>
      </w:r>
      <w:r>
        <w:rPr>
          <w:rFonts w:asciiTheme="minorHAnsi" w:eastAsiaTheme="minorEastAsia" w:hAnsiTheme="minorHAnsi" w:cstheme="minorBidi"/>
          <w:noProof/>
          <w:lang w:eastAsia="en-AU"/>
        </w:rPr>
        <w:tab/>
      </w:r>
      <w:r>
        <w:rPr>
          <w:noProof/>
          <w:lang w:bidi="th-TH"/>
        </w:rPr>
        <w:t>Conclusions and recommendations</w:t>
      </w:r>
      <w:r>
        <w:rPr>
          <w:noProof/>
        </w:rPr>
        <w:tab/>
      </w:r>
      <w:r>
        <w:rPr>
          <w:noProof/>
        </w:rPr>
        <w:fldChar w:fldCharType="begin"/>
      </w:r>
      <w:r>
        <w:rPr>
          <w:noProof/>
        </w:rPr>
        <w:instrText xml:space="preserve"> PAGEREF _Toc31985526 \h </w:instrText>
      </w:r>
      <w:r>
        <w:rPr>
          <w:noProof/>
        </w:rPr>
      </w:r>
      <w:r>
        <w:rPr>
          <w:noProof/>
        </w:rPr>
        <w:fldChar w:fldCharType="separate"/>
      </w:r>
      <w:r w:rsidR="007F7607">
        <w:rPr>
          <w:noProof/>
        </w:rPr>
        <w:t>154</w:t>
      </w:r>
      <w:r>
        <w:rPr>
          <w:noProof/>
        </w:rPr>
        <w:fldChar w:fldCharType="end"/>
      </w:r>
    </w:p>
    <w:p w14:paraId="74C06315" w14:textId="3269EF49" w:rsidR="00DA5439" w:rsidRDefault="00DA5439">
      <w:pPr>
        <w:pStyle w:val="TOC1"/>
        <w:rPr>
          <w:rFonts w:asciiTheme="minorHAnsi" w:eastAsiaTheme="minorEastAsia" w:hAnsiTheme="minorHAnsi" w:cstheme="minorBidi"/>
          <w:b w:val="0"/>
          <w:color w:val="auto"/>
          <w:sz w:val="22"/>
          <w:szCs w:val="22"/>
          <w:lang w:eastAsia="en-AU"/>
        </w:rPr>
      </w:pPr>
      <w:r>
        <w:t>9</w:t>
      </w:r>
      <w:r>
        <w:rPr>
          <w:rFonts w:asciiTheme="minorHAnsi" w:eastAsiaTheme="minorEastAsia" w:hAnsiTheme="minorHAnsi" w:cstheme="minorBidi"/>
          <w:b w:val="0"/>
          <w:color w:val="auto"/>
          <w:sz w:val="22"/>
          <w:szCs w:val="22"/>
          <w:lang w:eastAsia="en-AU"/>
        </w:rPr>
        <w:tab/>
      </w:r>
      <w:r>
        <w:t>Vegetation</w:t>
      </w:r>
      <w:r>
        <w:tab/>
      </w:r>
      <w:r>
        <w:fldChar w:fldCharType="begin"/>
      </w:r>
      <w:r>
        <w:instrText xml:space="preserve"> PAGEREF _Toc31985527 \h </w:instrText>
      </w:r>
      <w:r>
        <w:fldChar w:fldCharType="separate"/>
      </w:r>
      <w:r w:rsidR="007F7607">
        <w:t>155</w:t>
      </w:r>
      <w:r>
        <w:fldChar w:fldCharType="end"/>
      </w:r>
    </w:p>
    <w:p w14:paraId="13A60ED3" w14:textId="14387CAB"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_Toc31985528 \h </w:instrText>
      </w:r>
      <w:r>
        <w:rPr>
          <w:noProof/>
        </w:rPr>
      </w:r>
      <w:r>
        <w:rPr>
          <w:noProof/>
        </w:rPr>
        <w:fldChar w:fldCharType="separate"/>
      </w:r>
      <w:r w:rsidR="007F7607">
        <w:rPr>
          <w:noProof/>
        </w:rPr>
        <w:t>155</w:t>
      </w:r>
      <w:r>
        <w:rPr>
          <w:noProof/>
        </w:rPr>
        <w:fldChar w:fldCharType="end"/>
      </w:r>
    </w:p>
    <w:p w14:paraId="6493613C" w14:textId="4291A7DF"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sidRPr="00A17E5B">
        <w:rPr>
          <w:noProof/>
        </w:rPr>
        <w:t>9.1.1</w:t>
      </w:r>
      <w:r>
        <w:rPr>
          <w:rFonts w:asciiTheme="minorHAnsi" w:eastAsiaTheme="minorEastAsia" w:hAnsiTheme="minorHAnsi" w:cstheme="minorBidi"/>
          <w:i w:val="0"/>
          <w:noProof/>
          <w:lang w:eastAsia="en-AU"/>
        </w:rPr>
        <w:tab/>
      </w:r>
      <w:r>
        <w:rPr>
          <w:noProof/>
        </w:rPr>
        <w:t>Selected area specific evaluation questions</w:t>
      </w:r>
      <w:r w:rsidRPr="00A17E5B">
        <w:rPr>
          <w:noProof/>
        </w:rPr>
        <w:t>:</w:t>
      </w:r>
      <w:r>
        <w:rPr>
          <w:noProof/>
        </w:rPr>
        <w:tab/>
      </w:r>
      <w:r>
        <w:rPr>
          <w:noProof/>
        </w:rPr>
        <w:fldChar w:fldCharType="begin"/>
      </w:r>
      <w:r>
        <w:rPr>
          <w:noProof/>
        </w:rPr>
        <w:instrText xml:space="preserve"> PAGEREF _Toc31985529 \h </w:instrText>
      </w:r>
      <w:r>
        <w:rPr>
          <w:noProof/>
        </w:rPr>
      </w:r>
      <w:r>
        <w:rPr>
          <w:noProof/>
        </w:rPr>
        <w:fldChar w:fldCharType="separate"/>
      </w:r>
      <w:r w:rsidR="007F7607">
        <w:rPr>
          <w:noProof/>
        </w:rPr>
        <w:t>157</w:t>
      </w:r>
      <w:r>
        <w:rPr>
          <w:noProof/>
        </w:rPr>
        <w:fldChar w:fldCharType="end"/>
      </w:r>
    </w:p>
    <w:p w14:paraId="05061790" w14:textId="3F288AF4"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_Toc31985530 \h </w:instrText>
      </w:r>
      <w:r>
        <w:rPr>
          <w:noProof/>
        </w:rPr>
      </w:r>
      <w:r>
        <w:rPr>
          <w:noProof/>
        </w:rPr>
        <w:fldChar w:fldCharType="separate"/>
      </w:r>
      <w:r w:rsidR="007F7607">
        <w:rPr>
          <w:noProof/>
        </w:rPr>
        <w:t>157</w:t>
      </w:r>
      <w:r>
        <w:rPr>
          <w:noProof/>
        </w:rPr>
        <w:fldChar w:fldCharType="end"/>
      </w:r>
    </w:p>
    <w:p w14:paraId="55C29DD8" w14:textId="4BFB2290"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9.2.1</w:t>
      </w:r>
      <w:r>
        <w:rPr>
          <w:rFonts w:asciiTheme="minorHAnsi" w:eastAsiaTheme="minorEastAsia" w:hAnsiTheme="minorHAnsi" w:cstheme="minorBidi"/>
          <w:i w:val="0"/>
          <w:noProof/>
          <w:lang w:eastAsia="en-AU"/>
        </w:rPr>
        <w:tab/>
      </w:r>
      <w:r>
        <w:rPr>
          <w:noProof/>
        </w:rPr>
        <w:t>Evaluation approach</w:t>
      </w:r>
      <w:r>
        <w:rPr>
          <w:noProof/>
        </w:rPr>
        <w:tab/>
      </w:r>
      <w:r>
        <w:rPr>
          <w:noProof/>
        </w:rPr>
        <w:fldChar w:fldCharType="begin"/>
      </w:r>
      <w:r>
        <w:rPr>
          <w:noProof/>
        </w:rPr>
        <w:instrText xml:space="preserve"> PAGEREF _Toc31985531 \h </w:instrText>
      </w:r>
      <w:r>
        <w:rPr>
          <w:noProof/>
        </w:rPr>
      </w:r>
      <w:r>
        <w:rPr>
          <w:noProof/>
        </w:rPr>
        <w:fldChar w:fldCharType="separate"/>
      </w:r>
      <w:r w:rsidR="007F7607">
        <w:rPr>
          <w:noProof/>
        </w:rPr>
        <w:t>162</w:t>
      </w:r>
      <w:r>
        <w:rPr>
          <w:noProof/>
        </w:rPr>
        <w:fldChar w:fldCharType="end"/>
      </w:r>
    </w:p>
    <w:p w14:paraId="262E3998" w14:textId="02050846"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9.2.2</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_Toc31985532 \h </w:instrText>
      </w:r>
      <w:r>
        <w:rPr>
          <w:noProof/>
        </w:rPr>
      </w:r>
      <w:r>
        <w:rPr>
          <w:noProof/>
        </w:rPr>
        <w:fldChar w:fldCharType="separate"/>
      </w:r>
      <w:r w:rsidR="007F7607">
        <w:rPr>
          <w:noProof/>
        </w:rPr>
        <w:t>166</w:t>
      </w:r>
      <w:r>
        <w:rPr>
          <w:noProof/>
        </w:rPr>
        <w:fldChar w:fldCharType="end"/>
      </w:r>
    </w:p>
    <w:p w14:paraId="566432B1" w14:textId="28D0CB5F"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_Toc31985533 \h </w:instrText>
      </w:r>
      <w:r>
        <w:rPr>
          <w:noProof/>
        </w:rPr>
      </w:r>
      <w:r>
        <w:rPr>
          <w:noProof/>
        </w:rPr>
        <w:fldChar w:fldCharType="separate"/>
      </w:r>
      <w:r w:rsidR="007F7607">
        <w:rPr>
          <w:noProof/>
        </w:rPr>
        <w:t>167</w:t>
      </w:r>
      <w:r>
        <w:rPr>
          <w:noProof/>
        </w:rPr>
        <w:fldChar w:fldCharType="end"/>
      </w:r>
    </w:p>
    <w:p w14:paraId="5CF98C29" w14:textId="1CCAB47C"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9.3.1</w:t>
      </w:r>
      <w:r>
        <w:rPr>
          <w:rFonts w:asciiTheme="minorHAnsi" w:eastAsiaTheme="minorEastAsia" w:hAnsiTheme="minorHAnsi" w:cstheme="minorBidi"/>
          <w:i w:val="0"/>
          <w:noProof/>
          <w:lang w:eastAsia="en-AU"/>
        </w:rPr>
        <w:tab/>
      </w:r>
      <w:r>
        <w:rPr>
          <w:noProof/>
        </w:rPr>
        <w:t>Vegetation species richness and diversity</w:t>
      </w:r>
      <w:r>
        <w:rPr>
          <w:noProof/>
        </w:rPr>
        <w:tab/>
      </w:r>
      <w:r>
        <w:rPr>
          <w:noProof/>
        </w:rPr>
        <w:fldChar w:fldCharType="begin"/>
      </w:r>
      <w:r>
        <w:rPr>
          <w:noProof/>
        </w:rPr>
        <w:instrText xml:space="preserve"> PAGEREF _Toc31985534 \h </w:instrText>
      </w:r>
      <w:r>
        <w:rPr>
          <w:noProof/>
        </w:rPr>
      </w:r>
      <w:r>
        <w:rPr>
          <w:noProof/>
        </w:rPr>
        <w:fldChar w:fldCharType="separate"/>
      </w:r>
      <w:r w:rsidR="007F7607">
        <w:rPr>
          <w:noProof/>
        </w:rPr>
        <w:t>167</w:t>
      </w:r>
      <w:r>
        <w:rPr>
          <w:noProof/>
        </w:rPr>
        <w:fldChar w:fldCharType="end"/>
      </w:r>
    </w:p>
    <w:p w14:paraId="6C82F541" w14:textId="2CF0AC09"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9.3.2</w:t>
      </w:r>
      <w:r>
        <w:rPr>
          <w:rFonts w:asciiTheme="minorHAnsi" w:eastAsiaTheme="minorEastAsia" w:hAnsiTheme="minorHAnsi" w:cstheme="minorBidi"/>
          <w:i w:val="0"/>
          <w:noProof/>
          <w:lang w:eastAsia="en-AU"/>
        </w:rPr>
        <w:tab/>
      </w:r>
      <w:r>
        <w:rPr>
          <w:noProof/>
        </w:rPr>
        <w:t>Vegetation community diversity</w:t>
      </w:r>
      <w:r>
        <w:rPr>
          <w:noProof/>
        </w:rPr>
        <w:tab/>
      </w:r>
      <w:r>
        <w:rPr>
          <w:noProof/>
        </w:rPr>
        <w:fldChar w:fldCharType="begin"/>
      </w:r>
      <w:r>
        <w:rPr>
          <w:noProof/>
        </w:rPr>
        <w:instrText xml:space="preserve"> PAGEREF _Toc31985535 \h </w:instrText>
      </w:r>
      <w:r>
        <w:rPr>
          <w:noProof/>
        </w:rPr>
      </w:r>
      <w:r>
        <w:rPr>
          <w:noProof/>
        </w:rPr>
        <w:fldChar w:fldCharType="separate"/>
      </w:r>
      <w:r w:rsidR="007F7607">
        <w:rPr>
          <w:noProof/>
        </w:rPr>
        <w:t>173</w:t>
      </w:r>
      <w:r>
        <w:rPr>
          <w:noProof/>
        </w:rPr>
        <w:fldChar w:fldCharType="end"/>
      </w:r>
    </w:p>
    <w:p w14:paraId="7707C22F" w14:textId="5600DF61"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9.3.3</w:t>
      </w:r>
      <w:r>
        <w:rPr>
          <w:rFonts w:asciiTheme="minorHAnsi" w:eastAsiaTheme="minorEastAsia" w:hAnsiTheme="minorHAnsi" w:cstheme="minorBidi"/>
          <w:i w:val="0"/>
          <w:noProof/>
          <w:lang w:eastAsia="en-AU"/>
        </w:rPr>
        <w:tab/>
      </w:r>
      <w:r>
        <w:rPr>
          <w:noProof/>
        </w:rPr>
        <w:t>Condition of floodplain and riparian trees</w:t>
      </w:r>
      <w:r>
        <w:rPr>
          <w:noProof/>
        </w:rPr>
        <w:tab/>
      </w:r>
      <w:r>
        <w:rPr>
          <w:noProof/>
        </w:rPr>
        <w:fldChar w:fldCharType="begin"/>
      </w:r>
      <w:r>
        <w:rPr>
          <w:noProof/>
        </w:rPr>
        <w:instrText xml:space="preserve"> PAGEREF _Toc31985536 \h </w:instrText>
      </w:r>
      <w:r>
        <w:rPr>
          <w:noProof/>
        </w:rPr>
      </w:r>
      <w:r>
        <w:rPr>
          <w:noProof/>
        </w:rPr>
        <w:fldChar w:fldCharType="separate"/>
      </w:r>
      <w:r w:rsidR="007F7607">
        <w:rPr>
          <w:noProof/>
        </w:rPr>
        <w:t>177</w:t>
      </w:r>
      <w:r>
        <w:rPr>
          <w:noProof/>
        </w:rPr>
        <w:fldChar w:fldCharType="end"/>
      </w:r>
    </w:p>
    <w:p w14:paraId="7FB183C6" w14:textId="1179D9C5"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9.3.4</w:t>
      </w:r>
      <w:r>
        <w:rPr>
          <w:rFonts w:asciiTheme="minorHAnsi" w:eastAsiaTheme="minorEastAsia" w:hAnsiTheme="minorHAnsi" w:cstheme="minorBidi"/>
          <w:i w:val="0"/>
          <w:noProof/>
          <w:lang w:eastAsia="en-AU"/>
        </w:rPr>
        <w:tab/>
      </w:r>
      <w:r>
        <w:rPr>
          <w:noProof/>
        </w:rPr>
        <w:t xml:space="preserve">Contributions to long lived </w:t>
      </w:r>
      <w:r w:rsidRPr="00A17E5B">
        <w:rPr>
          <w:noProof/>
        </w:rPr>
        <w:t>plants</w:t>
      </w:r>
      <w:r>
        <w:rPr>
          <w:noProof/>
        </w:rPr>
        <w:tab/>
      </w:r>
      <w:r>
        <w:rPr>
          <w:noProof/>
        </w:rPr>
        <w:fldChar w:fldCharType="begin"/>
      </w:r>
      <w:r>
        <w:rPr>
          <w:noProof/>
        </w:rPr>
        <w:instrText xml:space="preserve"> PAGEREF _Toc31985537 \h </w:instrText>
      </w:r>
      <w:r>
        <w:rPr>
          <w:noProof/>
        </w:rPr>
      </w:r>
      <w:r>
        <w:rPr>
          <w:noProof/>
        </w:rPr>
        <w:fldChar w:fldCharType="separate"/>
      </w:r>
      <w:r w:rsidR="007F7607">
        <w:rPr>
          <w:noProof/>
        </w:rPr>
        <w:t>179</w:t>
      </w:r>
      <w:r>
        <w:rPr>
          <w:noProof/>
        </w:rPr>
        <w:fldChar w:fldCharType="end"/>
      </w:r>
    </w:p>
    <w:p w14:paraId="58194920" w14:textId="50FB21D8"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_Toc31985538 \h </w:instrText>
      </w:r>
      <w:r>
        <w:rPr>
          <w:noProof/>
        </w:rPr>
      </w:r>
      <w:r>
        <w:rPr>
          <w:noProof/>
        </w:rPr>
        <w:fldChar w:fldCharType="separate"/>
      </w:r>
      <w:r w:rsidR="007F7607">
        <w:rPr>
          <w:noProof/>
        </w:rPr>
        <w:t>181</w:t>
      </w:r>
      <w:r>
        <w:rPr>
          <w:noProof/>
        </w:rPr>
        <w:fldChar w:fldCharType="end"/>
      </w:r>
    </w:p>
    <w:p w14:paraId="5D1736C0" w14:textId="4AEA3A2F"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9.4.1</w:t>
      </w:r>
      <w:r>
        <w:rPr>
          <w:rFonts w:asciiTheme="minorHAnsi" w:eastAsiaTheme="minorEastAsia" w:hAnsiTheme="minorHAnsi" w:cstheme="minorBidi"/>
          <w:i w:val="0"/>
          <w:noProof/>
          <w:lang w:eastAsia="en-AU"/>
        </w:rPr>
        <w:tab/>
      </w:r>
      <w:r>
        <w:rPr>
          <w:noProof/>
        </w:rPr>
        <w:t>What did Commonwealth environmental water contribute to native riparian and wetland vegetation communities?</w:t>
      </w:r>
      <w:r>
        <w:rPr>
          <w:noProof/>
        </w:rPr>
        <w:tab/>
      </w:r>
      <w:r>
        <w:rPr>
          <w:noProof/>
        </w:rPr>
        <w:fldChar w:fldCharType="begin"/>
      </w:r>
      <w:r>
        <w:rPr>
          <w:noProof/>
        </w:rPr>
        <w:instrText xml:space="preserve"> PAGEREF _Toc31985539 \h </w:instrText>
      </w:r>
      <w:r>
        <w:rPr>
          <w:noProof/>
        </w:rPr>
      </w:r>
      <w:r>
        <w:rPr>
          <w:noProof/>
        </w:rPr>
        <w:fldChar w:fldCharType="separate"/>
      </w:r>
      <w:r w:rsidR="007F7607">
        <w:rPr>
          <w:noProof/>
        </w:rPr>
        <w:t>183</w:t>
      </w:r>
      <w:r>
        <w:rPr>
          <w:noProof/>
        </w:rPr>
        <w:fldChar w:fldCharType="end"/>
      </w:r>
    </w:p>
    <w:p w14:paraId="5E9C53B1" w14:textId="69B643C8" w:rsidR="00DA5439" w:rsidRDefault="00DA5439">
      <w:pPr>
        <w:pStyle w:val="TOC3"/>
        <w:tabs>
          <w:tab w:val="left" w:pos="960"/>
          <w:tab w:val="right" w:leader="dot" w:pos="10188"/>
        </w:tabs>
        <w:rPr>
          <w:rFonts w:asciiTheme="minorHAnsi" w:eastAsiaTheme="minorEastAsia" w:hAnsiTheme="minorHAnsi" w:cstheme="minorBidi"/>
          <w:i w:val="0"/>
          <w:noProof/>
          <w:lang w:eastAsia="en-AU"/>
        </w:rPr>
      </w:pPr>
      <w:r>
        <w:rPr>
          <w:noProof/>
        </w:rPr>
        <w:t>9.4.2</w:t>
      </w:r>
      <w:r>
        <w:rPr>
          <w:rFonts w:asciiTheme="minorHAnsi" w:eastAsiaTheme="minorEastAsia" w:hAnsiTheme="minorHAnsi" w:cstheme="minorBidi"/>
          <w:i w:val="0"/>
          <w:noProof/>
          <w:lang w:eastAsia="en-AU"/>
        </w:rPr>
        <w:tab/>
      </w:r>
      <w:r>
        <w:rPr>
          <w:noProof/>
        </w:rPr>
        <w:t xml:space="preserve">Vegetation responses to </w:t>
      </w:r>
      <w:r w:rsidRPr="00A17E5B">
        <w:rPr>
          <w:noProof/>
        </w:rPr>
        <w:t>annual weather</w:t>
      </w:r>
      <w:r>
        <w:rPr>
          <w:noProof/>
        </w:rPr>
        <w:t xml:space="preserve"> and hydrological conditions</w:t>
      </w:r>
      <w:r>
        <w:rPr>
          <w:noProof/>
        </w:rPr>
        <w:tab/>
      </w:r>
      <w:r>
        <w:rPr>
          <w:noProof/>
        </w:rPr>
        <w:fldChar w:fldCharType="begin"/>
      </w:r>
      <w:r>
        <w:rPr>
          <w:noProof/>
        </w:rPr>
        <w:instrText xml:space="preserve"> PAGEREF _Toc31985540 \h </w:instrText>
      </w:r>
      <w:r>
        <w:rPr>
          <w:noProof/>
        </w:rPr>
      </w:r>
      <w:r>
        <w:rPr>
          <w:noProof/>
        </w:rPr>
        <w:fldChar w:fldCharType="separate"/>
      </w:r>
      <w:r w:rsidR="007F7607">
        <w:rPr>
          <w:noProof/>
        </w:rPr>
        <w:t>184</w:t>
      </w:r>
      <w:r>
        <w:rPr>
          <w:noProof/>
        </w:rPr>
        <w:fldChar w:fldCharType="end"/>
      </w:r>
    </w:p>
    <w:p w14:paraId="2E439561" w14:textId="64AD594D"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9.5</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_Toc31985541 \h </w:instrText>
      </w:r>
      <w:r>
        <w:rPr>
          <w:noProof/>
        </w:rPr>
      </w:r>
      <w:r>
        <w:rPr>
          <w:noProof/>
        </w:rPr>
        <w:fldChar w:fldCharType="separate"/>
      </w:r>
      <w:r w:rsidR="007F7607">
        <w:rPr>
          <w:noProof/>
        </w:rPr>
        <w:t>185</w:t>
      </w:r>
      <w:r>
        <w:rPr>
          <w:noProof/>
        </w:rPr>
        <w:fldChar w:fldCharType="end"/>
      </w:r>
    </w:p>
    <w:p w14:paraId="71C6692D" w14:textId="04581DE3"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9.6</w:t>
      </w:r>
      <w:r>
        <w:rPr>
          <w:rFonts w:asciiTheme="minorHAnsi" w:eastAsiaTheme="minorEastAsia" w:hAnsiTheme="minorHAnsi" w:cstheme="minorBidi"/>
          <w:noProof/>
          <w:lang w:eastAsia="en-AU"/>
        </w:rPr>
        <w:tab/>
      </w:r>
      <w:r>
        <w:rPr>
          <w:noProof/>
        </w:rPr>
        <w:t>Further comments and recommendations</w:t>
      </w:r>
      <w:r>
        <w:rPr>
          <w:noProof/>
        </w:rPr>
        <w:tab/>
      </w:r>
      <w:r>
        <w:rPr>
          <w:noProof/>
        </w:rPr>
        <w:fldChar w:fldCharType="begin"/>
      </w:r>
      <w:r>
        <w:rPr>
          <w:noProof/>
        </w:rPr>
        <w:instrText xml:space="preserve"> PAGEREF _Toc31985542 \h </w:instrText>
      </w:r>
      <w:r>
        <w:rPr>
          <w:noProof/>
        </w:rPr>
      </w:r>
      <w:r>
        <w:rPr>
          <w:noProof/>
        </w:rPr>
        <w:fldChar w:fldCharType="separate"/>
      </w:r>
      <w:r w:rsidR="007F7607">
        <w:rPr>
          <w:noProof/>
        </w:rPr>
        <w:t>186</w:t>
      </w:r>
      <w:r>
        <w:rPr>
          <w:noProof/>
        </w:rPr>
        <w:fldChar w:fldCharType="end"/>
      </w:r>
    </w:p>
    <w:p w14:paraId="63BDD35D" w14:textId="03FC6E73"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9.7</w:t>
      </w:r>
      <w:r>
        <w:rPr>
          <w:rFonts w:asciiTheme="minorHAnsi" w:eastAsiaTheme="minorEastAsia" w:hAnsiTheme="minorHAnsi" w:cstheme="minorBidi"/>
          <w:noProof/>
          <w:lang w:eastAsia="en-AU"/>
        </w:rPr>
        <w:tab/>
      </w:r>
      <w:r>
        <w:rPr>
          <w:noProof/>
        </w:rPr>
        <w:t>Appendix 1</w:t>
      </w:r>
      <w:r w:rsidRPr="00A17E5B">
        <w:rPr>
          <w:noProof/>
        </w:rPr>
        <w:t>:</w:t>
      </w:r>
      <w:r>
        <w:rPr>
          <w:noProof/>
        </w:rPr>
        <w:t xml:space="preserve">  Species list from non-tree and tree community sites from the 5 years of LTIM monitoring across all sites within the lower Lachlan river selected area.</w:t>
      </w:r>
      <w:r>
        <w:rPr>
          <w:noProof/>
        </w:rPr>
        <w:tab/>
      </w:r>
      <w:r>
        <w:rPr>
          <w:noProof/>
        </w:rPr>
        <w:fldChar w:fldCharType="begin"/>
      </w:r>
      <w:r>
        <w:rPr>
          <w:noProof/>
        </w:rPr>
        <w:instrText xml:space="preserve"> PAGEREF _Toc31985543 \h </w:instrText>
      </w:r>
      <w:r>
        <w:rPr>
          <w:noProof/>
        </w:rPr>
      </w:r>
      <w:r>
        <w:rPr>
          <w:noProof/>
        </w:rPr>
        <w:fldChar w:fldCharType="separate"/>
      </w:r>
      <w:r w:rsidR="007F7607">
        <w:rPr>
          <w:noProof/>
        </w:rPr>
        <w:t>190</w:t>
      </w:r>
      <w:r>
        <w:rPr>
          <w:noProof/>
        </w:rPr>
        <w:fldChar w:fldCharType="end"/>
      </w:r>
    </w:p>
    <w:p w14:paraId="046285E8" w14:textId="78D2A985" w:rsidR="00DA5439" w:rsidRDefault="00DA5439">
      <w:pPr>
        <w:pStyle w:val="TOC1"/>
        <w:rPr>
          <w:rFonts w:asciiTheme="minorHAnsi" w:eastAsiaTheme="minorEastAsia" w:hAnsiTheme="minorHAnsi" w:cstheme="minorBidi"/>
          <w:b w:val="0"/>
          <w:color w:val="auto"/>
          <w:sz w:val="22"/>
          <w:szCs w:val="22"/>
          <w:lang w:eastAsia="en-AU"/>
        </w:rPr>
      </w:pPr>
      <w:r w:rsidRPr="00A17E5B">
        <w:rPr>
          <w:lang w:val="en-US"/>
        </w:rPr>
        <w:t>10</w:t>
      </w:r>
      <w:r>
        <w:rPr>
          <w:rFonts w:asciiTheme="minorHAnsi" w:eastAsiaTheme="minorEastAsia" w:hAnsiTheme="minorHAnsi" w:cstheme="minorBidi"/>
          <w:b w:val="0"/>
          <w:color w:val="auto"/>
          <w:sz w:val="22"/>
          <w:szCs w:val="22"/>
          <w:lang w:eastAsia="en-AU"/>
        </w:rPr>
        <w:tab/>
      </w:r>
      <w:r w:rsidRPr="00A17E5B">
        <w:rPr>
          <w:lang w:val="en-US"/>
        </w:rPr>
        <w:t>Communication and Engagement</w:t>
      </w:r>
      <w:r>
        <w:tab/>
      </w:r>
      <w:r>
        <w:fldChar w:fldCharType="begin"/>
      </w:r>
      <w:r>
        <w:instrText xml:space="preserve"> PAGEREF _Toc31985544 \h </w:instrText>
      </w:r>
      <w:r>
        <w:fldChar w:fldCharType="separate"/>
      </w:r>
      <w:r w:rsidR="007F7607">
        <w:t>202</w:t>
      </w:r>
      <w:r>
        <w:fldChar w:fldCharType="end"/>
      </w:r>
    </w:p>
    <w:p w14:paraId="52B7D711" w14:textId="550FA1A1"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10.1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_Toc31985545 \h </w:instrText>
      </w:r>
      <w:r>
        <w:rPr>
          <w:noProof/>
        </w:rPr>
      </w:r>
      <w:r>
        <w:rPr>
          <w:noProof/>
        </w:rPr>
        <w:fldChar w:fldCharType="separate"/>
      </w:r>
      <w:r w:rsidR="007F7607">
        <w:rPr>
          <w:noProof/>
        </w:rPr>
        <w:t>202</w:t>
      </w:r>
      <w:r>
        <w:rPr>
          <w:noProof/>
        </w:rPr>
        <w:fldChar w:fldCharType="end"/>
      </w:r>
    </w:p>
    <w:p w14:paraId="71C29372" w14:textId="6A8F579A"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10.1.1</w:t>
      </w:r>
      <w:r>
        <w:rPr>
          <w:rFonts w:asciiTheme="minorHAnsi" w:eastAsiaTheme="minorEastAsia" w:hAnsiTheme="minorHAnsi" w:cstheme="minorBidi"/>
          <w:i w:val="0"/>
          <w:noProof/>
          <w:lang w:eastAsia="en-AU"/>
        </w:rPr>
        <w:tab/>
      </w:r>
      <w:r>
        <w:rPr>
          <w:noProof/>
        </w:rPr>
        <w:t>Internal project communication</w:t>
      </w:r>
      <w:r>
        <w:rPr>
          <w:noProof/>
        </w:rPr>
        <w:tab/>
      </w:r>
      <w:r>
        <w:rPr>
          <w:noProof/>
        </w:rPr>
        <w:fldChar w:fldCharType="begin"/>
      </w:r>
      <w:r>
        <w:rPr>
          <w:noProof/>
        </w:rPr>
        <w:instrText xml:space="preserve"> PAGEREF _Toc31985546 \h </w:instrText>
      </w:r>
      <w:r>
        <w:rPr>
          <w:noProof/>
        </w:rPr>
      </w:r>
      <w:r>
        <w:rPr>
          <w:noProof/>
        </w:rPr>
        <w:fldChar w:fldCharType="separate"/>
      </w:r>
      <w:r w:rsidR="007F7607">
        <w:rPr>
          <w:noProof/>
        </w:rPr>
        <w:t>202</w:t>
      </w:r>
      <w:r>
        <w:rPr>
          <w:noProof/>
        </w:rPr>
        <w:fldChar w:fldCharType="end"/>
      </w:r>
    </w:p>
    <w:p w14:paraId="509F684F" w14:textId="37B2C493"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10.1.2</w:t>
      </w:r>
      <w:r>
        <w:rPr>
          <w:rFonts w:asciiTheme="minorHAnsi" w:eastAsiaTheme="minorEastAsia" w:hAnsiTheme="minorHAnsi" w:cstheme="minorBidi"/>
          <w:i w:val="0"/>
          <w:noProof/>
          <w:lang w:eastAsia="en-AU"/>
        </w:rPr>
        <w:tab/>
      </w:r>
      <w:r>
        <w:rPr>
          <w:noProof/>
        </w:rPr>
        <w:t>External project communication</w:t>
      </w:r>
      <w:r>
        <w:rPr>
          <w:noProof/>
        </w:rPr>
        <w:tab/>
      </w:r>
      <w:r>
        <w:rPr>
          <w:noProof/>
        </w:rPr>
        <w:fldChar w:fldCharType="begin"/>
      </w:r>
      <w:r>
        <w:rPr>
          <w:noProof/>
        </w:rPr>
        <w:instrText xml:space="preserve"> PAGEREF _Toc31985547 \h </w:instrText>
      </w:r>
      <w:r>
        <w:rPr>
          <w:noProof/>
        </w:rPr>
      </w:r>
      <w:r>
        <w:rPr>
          <w:noProof/>
        </w:rPr>
        <w:fldChar w:fldCharType="separate"/>
      </w:r>
      <w:r w:rsidR="007F7607">
        <w:rPr>
          <w:noProof/>
        </w:rPr>
        <w:t>203</w:t>
      </w:r>
      <w:r>
        <w:rPr>
          <w:noProof/>
        </w:rPr>
        <w:fldChar w:fldCharType="end"/>
      </w:r>
    </w:p>
    <w:p w14:paraId="0E718E1F" w14:textId="147A313E"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lang w:val="en-US"/>
        </w:rPr>
        <w:t>10.2</w:t>
      </w:r>
      <w:r>
        <w:rPr>
          <w:rFonts w:asciiTheme="minorHAnsi" w:eastAsiaTheme="minorEastAsia" w:hAnsiTheme="minorHAnsi" w:cstheme="minorBidi"/>
          <w:noProof/>
          <w:lang w:eastAsia="en-AU"/>
        </w:rPr>
        <w:tab/>
      </w:r>
      <w:r w:rsidRPr="00A17E5B">
        <w:rPr>
          <w:noProof/>
          <w:lang w:val="en-US"/>
        </w:rPr>
        <w:t>Informing future Communication and engagement activities</w:t>
      </w:r>
      <w:r>
        <w:rPr>
          <w:noProof/>
        </w:rPr>
        <w:tab/>
      </w:r>
      <w:r>
        <w:rPr>
          <w:noProof/>
        </w:rPr>
        <w:fldChar w:fldCharType="begin"/>
      </w:r>
      <w:r>
        <w:rPr>
          <w:noProof/>
        </w:rPr>
        <w:instrText xml:space="preserve"> PAGEREF _Toc31985548 \h </w:instrText>
      </w:r>
      <w:r>
        <w:rPr>
          <w:noProof/>
        </w:rPr>
      </w:r>
      <w:r>
        <w:rPr>
          <w:noProof/>
        </w:rPr>
        <w:fldChar w:fldCharType="separate"/>
      </w:r>
      <w:r w:rsidR="007F7607">
        <w:rPr>
          <w:noProof/>
        </w:rPr>
        <w:t>213</w:t>
      </w:r>
      <w:r>
        <w:rPr>
          <w:noProof/>
        </w:rPr>
        <w:fldChar w:fldCharType="end"/>
      </w:r>
    </w:p>
    <w:p w14:paraId="3565F28F" w14:textId="12878663"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10.2.1</w:t>
      </w:r>
      <w:r>
        <w:rPr>
          <w:rFonts w:asciiTheme="minorHAnsi" w:eastAsiaTheme="minorEastAsia" w:hAnsiTheme="minorHAnsi" w:cstheme="minorBidi"/>
          <w:i w:val="0"/>
          <w:noProof/>
          <w:lang w:eastAsia="en-AU"/>
        </w:rPr>
        <w:tab/>
      </w:r>
      <w:r>
        <w:rPr>
          <w:noProof/>
        </w:rPr>
        <w:t>Reflections</w:t>
      </w:r>
      <w:r w:rsidRPr="00A17E5B">
        <w:rPr>
          <w:noProof/>
          <w:lang w:val="en-US"/>
        </w:rPr>
        <w:t xml:space="preserve"> from 2018-19</w:t>
      </w:r>
      <w:r>
        <w:rPr>
          <w:noProof/>
        </w:rPr>
        <w:tab/>
      </w:r>
      <w:r>
        <w:rPr>
          <w:noProof/>
        </w:rPr>
        <w:fldChar w:fldCharType="begin"/>
      </w:r>
      <w:r>
        <w:rPr>
          <w:noProof/>
        </w:rPr>
        <w:instrText xml:space="preserve"> PAGEREF _Toc31985549 \h </w:instrText>
      </w:r>
      <w:r>
        <w:rPr>
          <w:noProof/>
        </w:rPr>
      </w:r>
      <w:r>
        <w:rPr>
          <w:noProof/>
        </w:rPr>
        <w:fldChar w:fldCharType="separate"/>
      </w:r>
      <w:r w:rsidR="007F7607">
        <w:rPr>
          <w:noProof/>
        </w:rPr>
        <w:t>213</w:t>
      </w:r>
      <w:r>
        <w:rPr>
          <w:noProof/>
        </w:rPr>
        <w:fldChar w:fldCharType="end"/>
      </w:r>
    </w:p>
    <w:p w14:paraId="231733BD" w14:textId="1DFEA4E8"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10.2.2</w:t>
      </w:r>
      <w:r>
        <w:rPr>
          <w:rFonts w:asciiTheme="minorHAnsi" w:eastAsiaTheme="minorEastAsia" w:hAnsiTheme="minorHAnsi" w:cstheme="minorBidi"/>
          <w:i w:val="0"/>
          <w:noProof/>
          <w:lang w:eastAsia="en-AU"/>
        </w:rPr>
        <w:tab/>
      </w:r>
      <w:r>
        <w:rPr>
          <w:noProof/>
        </w:rPr>
        <w:t>Learning from the</w:t>
      </w:r>
      <w:r w:rsidRPr="00A17E5B">
        <w:rPr>
          <w:noProof/>
          <w:lang w:val="en-US"/>
        </w:rPr>
        <w:t xml:space="preserve"> 5 years of the</w:t>
      </w:r>
      <w:r>
        <w:rPr>
          <w:noProof/>
        </w:rPr>
        <w:t xml:space="preserve"> LTIM Project</w:t>
      </w:r>
      <w:r>
        <w:rPr>
          <w:noProof/>
        </w:rPr>
        <w:tab/>
      </w:r>
      <w:r>
        <w:rPr>
          <w:noProof/>
        </w:rPr>
        <w:fldChar w:fldCharType="begin"/>
      </w:r>
      <w:r>
        <w:rPr>
          <w:noProof/>
        </w:rPr>
        <w:instrText xml:space="preserve"> PAGEREF _Toc31985550 \h </w:instrText>
      </w:r>
      <w:r>
        <w:rPr>
          <w:noProof/>
        </w:rPr>
      </w:r>
      <w:r>
        <w:rPr>
          <w:noProof/>
        </w:rPr>
        <w:fldChar w:fldCharType="separate"/>
      </w:r>
      <w:r w:rsidR="007F7607">
        <w:rPr>
          <w:noProof/>
        </w:rPr>
        <w:t>213</w:t>
      </w:r>
      <w:r>
        <w:rPr>
          <w:noProof/>
        </w:rPr>
        <w:fldChar w:fldCharType="end"/>
      </w:r>
    </w:p>
    <w:p w14:paraId="4C28A0B1" w14:textId="72A13A47" w:rsidR="00DA5439" w:rsidRDefault="00DA5439">
      <w:pPr>
        <w:pStyle w:val="TOC1"/>
        <w:rPr>
          <w:rFonts w:asciiTheme="minorHAnsi" w:eastAsiaTheme="minorEastAsia" w:hAnsiTheme="minorHAnsi" w:cstheme="minorBidi"/>
          <w:b w:val="0"/>
          <w:color w:val="auto"/>
          <w:sz w:val="22"/>
          <w:szCs w:val="22"/>
          <w:lang w:eastAsia="en-AU"/>
        </w:rPr>
      </w:pPr>
      <w:r w:rsidRPr="00A17E5B">
        <w:rPr>
          <w:lang w:val="en-US"/>
        </w:rPr>
        <w:t>11</w:t>
      </w:r>
      <w:r>
        <w:rPr>
          <w:rFonts w:asciiTheme="minorHAnsi" w:eastAsiaTheme="minorEastAsia" w:hAnsiTheme="minorHAnsi" w:cstheme="minorBidi"/>
          <w:b w:val="0"/>
          <w:color w:val="auto"/>
          <w:sz w:val="22"/>
          <w:szCs w:val="22"/>
          <w:lang w:eastAsia="en-AU"/>
        </w:rPr>
        <w:tab/>
      </w:r>
      <w:r w:rsidRPr="00A17E5B">
        <w:rPr>
          <w:lang w:val="en-US"/>
        </w:rPr>
        <w:t>Five years of Commonwealth environmental water</w:t>
      </w:r>
      <w:r>
        <w:tab/>
      </w:r>
      <w:r>
        <w:fldChar w:fldCharType="begin"/>
      </w:r>
      <w:r>
        <w:instrText xml:space="preserve"> PAGEREF _Toc31985551 \h </w:instrText>
      </w:r>
      <w:r>
        <w:fldChar w:fldCharType="separate"/>
      </w:r>
      <w:r w:rsidR="007F7607">
        <w:t>215</w:t>
      </w:r>
      <w:r>
        <w:fldChar w:fldCharType="end"/>
      </w:r>
    </w:p>
    <w:p w14:paraId="4DA987A2" w14:textId="43A3068A"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11.1</w:t>
      </w:r>
      <w:r>
        <w:rPr>
          <w:rFonts w:asciiTheme="minorHAnsi" w:eastAsiaTheme="minorEastAsia" w:hAnsiTheme="minorHAnsi" w:cstheme="minorBidi"/>
          <w:noProof/>
          <w:lang w:eastAsia="en-AU"/>
        </w:rPr>
        <w:tab/>
      </w:r>
      <w:r>
        <w:rPr>
          <w:noProof/>
        </w:rPr>
        <w:t>Climate and water context</w:t>
      </w:r>
      <w:r>
        <w:rPr>
          <w:noProof/>
        </w:rPr>
        <w:tab/>
      </w:r>
      <w:r>
        <w:rPr>
          <w:noProof/>
        </w:rPr>
        <w:fldChar w:fldCharType="begin"/>
      </w:r>
      <w:r>
        <w:rPr>
          <w:noProof/>
        </w:rPr>
        <w:instrText xml:space="preserve"> PAGEREF _Toc31985552 \h </w:instrText>
      </w:r>
      <w:r>
        <w:rPr>
          <w:noProof/>
        </w:rPr>
      </w:r>
      <w:r>
        <w:rPr>
          <w:noProof/>
        </w:rPr>
        <w:fldChar w:fldCharType="separate"/>
      </w:r>
      <w:r w:rsidR="007F7607">
        <w:rPr>
          <w:noProof/>
        </w:rPr>
        <w:t>215</w:t>
      </w:r>
      <w:r>
        <w:rPr>
          <w:noProof/>
        </w:rPr>
        <w:fldChar w:fldCharType="end"/>
      </w:r>
    </w:p>
    <w:p w14:paraId="7BC529D0" w14:textId="5FBB4FEE"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11.2</w:t>
      </w:r>
      <w:r>
        <w:rPr>
          <w:rFonts w:asciiTheme="minorHAnsi" w:eastAsiaTheme="minorEastAsia" w:hAnsiTheme="minorHAnsi" w:cstheme="minorBidi"/>
          <w:noProof/>
          <w:lang w:eastAsia="en-AU"/>
        </w:rPr>
        <w:tab/>
      </w:r>
      <w:r>
        <w:rPr>
          <w:noProof/>
        </w:rPr>
        <w:t>Five years of watering actions</w:t>
      </w:r>
      <w:r>
        <w:rPr>
          <w:noProof/>
        </w:rPr>
        <w:tab/>
      </w:r>
      <w:r>
        <w:rPr>
          <w:noProof/>
        </w:rPr>
        <w:fldChar w:fldCharType="begin"/>
      </w:r>
      <w:r>
        <w:rPr>
          <w:noProof/>
        </w:rPr>
        <w:instrText xml:space="preserve"> PAGEREF _Toc31985553 \h </w:instrText>
      </w:r>
      <w:r>
        <w:rPr>
          <w:noProof/>
        </w:rPr>
      </w:r>
      <w:r>
        <w:rPr>
          <w:noProof/>
        </w:rPr>
        <w:fldChar w:fldCharType="separate"/>
      </w:r>
      <w:r w:rsidR="007F7607">
        <w:rPr>
          <w:noProof/>
        </w:rPr>
        <w:t>216</w:t>
      </w:r>
      <w:r>
        <w:rPr>
          <w:noProof/>
        </w:rPr>
        <w:fldChar w:fldCharType="end"/>
      </w:r>
    </w:p>
    <w:p w14:paraId="55E21A34" w14:textId="17494D64" w:rsidR="00DA5439" w:rsidRDefault="00DA5439">
      <w:pPr>
        <w:pStyle w:val="TOC2"/>
        <w:tabs>
          <w:tab w:val="left" w:pos="720"/>
          <w:tab w:val="right" w:leader="dot" w:pos="10188"/>
        </w:tabs>
        <w:rPr>
          <w:rFonts w:asciiTheme="minorHAnsi" w:eastAsiaTheme="minorEastAsia" w:hAnsiTheme="minorHAnsi" w:cstheme="minorBidi"/>
          <w:noProof/>
          <w:lang w:eastAsia="en-AU"/>
        </w:rPr>
      </w:pPr>
      <w:r w:rsidRPr="00A17E5B">
        <w:rPr>
          <w:noProof/>
          <w:lang w:val="en-US"/>
        </w:rPr>
        <w:t>11.3</w:t>
      </w:r>
      <w:r>
        <w:rPr>
          <w:rFonts w:asciiTheme="minorHAnsi" w:eastAsiaTheme="minorEastAsia" w:hAnsiTheme="minorHAnsi" w:cstheme="minorBidi"/>
          <w:noProof/>
          <w:lang w:eastAsia="en-AU"/>
        </w:rPr>
        <w:tab/>
      </w:r>
      <w:r w:rsidRPr="00A17E5B">
        <w:rPr>
          <w:noProof/>
          <w:lang w:val="en-US"/>
        </w:rPr>
        <w:t>Five years of river regulation</w:t>
      </w:r>
      <w:r>
        <w:rPr>
          <w:noProof/>
        </w:rPr>
        <w:tab/>
      </w:r>
      <w:r>
        <w:rPr>
          <w:noProof/>
        </w:rPr>
        <w:fldChar w:fldCharType="begin"/>
      </w:r>
      <w:r>
        <w:rPr>
          <w:noProof/>
        </w:rPr>
        <w:instrText xml:space="preserve"> PAGEREF _Toc31985554 \h </w:instrText>
      </w:r>
      <w:r>
        <w:rPr>
          <w:noProof/>
        </w:rPr>
      </w:r>
      <w:r>
        <w:rPr>
          <w:noProof/>
        </w:rPr>
        <w:fldChar w:fldCharType="separate"/>
      </w:r>
      <w:r w:rsidR="007F7607">
        <w:rPr>
          <w:noProof/>
        </w:rPr>
        <w:t>219</w:t>
      </w:r>
      <w:r>
        <w:rPr>
          <w:noProof/>
        </w:rPr>
        <w:fldChar w:fldCharType="end"/>
      </w:r>
    </w:p>
    <w:p w14:paraId="5E1430A7" w14:textId="6DBF68C9" w:rsidR="00DA5439" w:rsidRDefault="00DA5439">
      <w:pPr>
        <w:pStyle w:val="TOC2"/>
        <w:tabs>
          <w:tab w:val="left" w:pos="720"/>
          <w:tab w:val="right" w:leader="dot" w:pos="10188"/>
        </w:tabs>
        <w:rPr>
          <w:rFonts w:asciiTheme="minorHAnsi" w:eastAsiaTheme="minorEastAsia" w:hAnsiTheme="minorHAnsi" w:cstheme="minorBidi"/>
          <w:noProof/>
          <w:lang w:eastAsia="en-AU"/>
        </w:rPr>
      </w:pPr>
      <w:r>
        <w:rPr>
          <w:noProof/>
        </w:rPr>
        <w:t>11.4</w:t>
      </w:r>
      <w:r>
        <w:rPr>
          <w:rFonts w:asciiTheme="minorHAnsi" w:eastAsiaTheme="minorEastAsia" w:hAnsiTheme="minorHAnsi" w:cstheme="minorBidi"/>
          <w:noProof/>
          <w:lang w:eastAsia="en-AU"/>
        </w:rPr>
        <w:tab/>
      </w:r>
      <w:r>
        <w:rPr>
          <w:noProof/>
        </w:rPr>
        <w:t>Learning from the past five years</w:t>
      </w:r>
      <w:r>
        <w:rPr>
          <w:noProof/>
        </w:rPr>
        <w:tab/>
      </w:r>
      <w:r>
        <w:rPr>
          <w:noProof/>
        </w:rPr>
        <w:fldChar w:fldCharType="begin"/>
      </w:r>
      <w:r>
        <w:rPr>
          <w:noProof/>
        </w:rPr>
        <w:instrText xml:space="preserve"> PAGEREF _Toc31985555 \h </w:instrText>
      </w:r>
      <w:r>
        <w:rPr>
          <w:noProof/>
        </w:rPr>
      </w:r>
      <w:r>
        <w:rPr>
          <w:noProof/>
        </w:rPr>
        <w:fldChar w:fldCharType="separate"/>
      </w:r>
      <w:r w:rsidR="007F7607">
        <w:rPr>
          <w:noProof/>
        </w:rPr>
        <w:t>223</w:t>
      </w:r>
      <w:r>
        <w:rPr>
          <w:noProof/>
        </w:rPr>
        <w:fldChar w:fldCharType="end"/>
      </w:r>
    </w:p>
    <w:p w14:paraId="479B68DC" w14:textId="6FAFF263"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11.4.1</w:t>
      </w:r>
      <w:r>
        <w:rPr>
          <w:rFonts w:asciiTheme="minorHAnsi" w:eastAsiaTheme="minorEastAsia" w:hAnsiTheme="minorHAnsi" w:cstheme="minorBidi"/>
          <w:i w:val="0"/>
          <w:noProof/>
          <w:lang w:eastAsia="en-AU"/>
        </w:rPr>
        <w:tab/>
      </w:r>
      <w:r>
        <w:rPr>
          <w:noProof/>
        </w:rPr>
        <w:t>Delivering water for native fish</w:t>
      </w:r>
      <w:r>
        <w:rPr>
          <w:noProof/>
        </w:rPr>
        <w:tab/>
      </w:r>
      <w:r>
        <w:rPr>
          <w:noProof/>
        </w:rPr>
        <w:fldChar w:fldCharType="begin"/>
      </w:r>
      <w:r>
        <w:rPr>
          <w:noProof/>
        </w:rPr>
        <w:instrText xml:space="preserve"> PAGEREF _Toc31985556 \h </w:instrText>
      </w:r>
      <w:r>
        <w:rPr>
          <w:noProof/>
        </w:rPr>
      </w:r>
      <w:r>
        <w:rPr>
          <w:noProof/>
        </w:rPr>
        <w:fldChar w:fldCharType="separate"/>
      </w:r>
      <w:r w:rsidR="007F7607">
        <w:rPr>
          <w:noProof/>
        </w:rPr>
        <w:t>224</w:t>
      </w:r>
      <w:r>
        <w:rPr>
          <w:noProof/>
        </w:rPr>
        <w:fldChar w:fldCharType="end"/>
      </w:r>
    </w:p>
    <w:p w14:paraId="301292DE" w14:textId="39CEAE70"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11.4.2</w:t>
      </w:r>
      <w:r>
        <w:rPr>
          <w:rFonts w:asciiTheme="minorHAnsi" w:eastAsiaTheme="minorEastAsia" w:hAnsiTheme="minorHAnsi" w:cstheme="minorBidi"/>
          <w:i w:val="0"/>
          <w:noProof/>
          <w:lang w:eastAsia="en-AU"/>
        </w:rPr>
        <w:tab/>
      </w:r>
      <w:r>
        <w:rPr>
          <w:noProof/>
        </w:rPr>
        <w:t>Delivering water for stream productivity</w:t>
      </w:r>
      <w:r>
        <w:rPr>
          <w:noProof/>
        </w:rPr>
        <w:tab/>
      </w:r>
      <w:r>
        <w:rPr>
          <w:noProof/>
        </w:rPr>
        <w:fldChar w:fldCharType="begin"/>
      </w:r>
      <w:r>
        <w:rPr>
          <w:noProof/>
        </w:rPr>
        <w:instrText xml:space="preserve"> PAGEREF _Toc31985557 \h </w:instrText>
      </w:r>
      <w:r>
        <w:rPr>
          <w:noProof/>
        </w:rPr>
      </w:r>
      <w:r>
        <w:rPr>
          <w:noProof/>
        </w:rPr>
        <w:fldChar w:fldCharType="separate"/>
      </w:r>
      <w:r w:rsidR="007F7607">
        <w:rPr>
          <w:noProof/>
        </w:rPr>
        <w:t>226</w:t>
      </w:r>
      <w:r>
        <w:rPr>
          <w:noProof/>
        </w:rPr>
        <w:fldChar w:fldCharType="end"/>
      </w:r>
    </w:p>
    <w:p w14:paraId="53992B69" w14:textId="23B3C6FD"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11.4.3</w:t>
      </w:r>
      <w:r>
        <w:rPr>
          <w:rFonts w:asciiTheme="minorHAnsi" w:eastAsiaTheme="minorEastAsia" w:hAnsiTheme="minorHAnsi" w:cstheme="minorBidi"/>
          <w:i w:val="0"/>
          <w:noProof/>
          <w:lang w:eastAsia="en-AU"/>
        </w:rPr>
        <w:tab/>
      </w:r>
      <w:r w:rsidRPr="00A17E5B">
        <w:rPr>
          <w:noProof/>
          <w:lang w:val="en-US"/>
        </w:rPr>
        <w:t>Delivering water for vegetation</w:t>
      </w:r>
      <w:r>
        <w:rPr>
          <w:noProof/>
        </w:rPr>
        <w:tab/>
      </w:r>
      <w:r>
        <w:rPr>
          <w:noProof/>
        </w:rPr>
        <w:fldChar w:fldCharType="begin"/>
      </w:r>
      <w:r>
        <w:rPr>
          <w:noProof/>
        </w:rPr>
        <w:instrText xml:space="preserve"> PAGEREF _Toc31985558 \h </w:instrText>
      </w:r>
      <w:r>
        <w:rPr>
          <w:noProof/>
        </w:rPr>
      </w:r>
      <w:r>
        <w:rPr>
          <w:noProof/>
        </w:rPr>
        <w:fldChar w:fldCharType="separate"/>
      </w:r>
      <w:r w:rsidR="007F7607">
        <w:rPr>
          <w:noProof/>
        </w:rPr>
        <w:t>227</w:t>
      </w:r>
      <w:r>
        <w:rPr>
          <w:noProof/>
        </w:rPr>
        <w:fldChar w:fldCharType="end"/>
      </w:r>
    </w:p>
    <w:p w14:paraId="3623300A" w14:textId="7DBEE880"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11.4.4</w:t>
      </w:r>
      <w:r>
        <w:rPr>
          <w:rFonts w:asciiTheme="minorHAnsi" w:eastAsiaTheme="minorEastAsia" w:hAnsiTheme="minorHAnsi" w:cstheme="minorBidi"/>
          <w:i w:val="0"/>
          <w:noProof/>
          <w:lang w:eastAsia="en-AU"/>
        </w:rPr>
        <w:tab/>
      </w:r>
      <w:r>
        <w:rPr>
          <w:noProof/>
        </w:rPr>
        <w:t xml:space="preserve">Delivering water for </w:t>
      </w:r>
      <w:r w:rsidRPr="00A17E5B">
        <w:rPr>
          <w:noProof/>
          <w:lang w:val="en-US"/>
        </w:rPr>
        <w:t>water dependent vertebrates</w:t>
      </w:r>
      <w:r>
        <w:rPr>
          <w:noProof/>
        </w:rPr>
        <w:tab/>
      </w:r>
      <w:r>
        <w:rPr>
          <w:noProof/>
        </w:rPr>
        <w:fldChar w:fldCharType="begin"/>
      </w:r>
      <w:r>
        <w:rPr>
          <w:noProof/>
        </w:rPr>
        <w:instrText xml:space="preserve"> PAGEREF _Toc31985559 \h </w:instrText>
      </w:r>
      <w:r>
        <w:rPr>
          <w:noProof/>
        </w:rPr>
      </w:r>
      <w:r>
        <w:rPr>
          <w:noProof/>
        </w:rPr>
        <w:fldChar w:fldCharType="separate"/>
      </w:r>
      <w:r w:rsidR="007F7607">
        <w:rPr>
          <w:noProof/>
        </w:rPr>
        <w:t>227</w:t>
      </w:r>
      <w:r>
        <w:rPr>
          <w:noProof/>
        </w:rPr>
        <w:fldChar w:fldCharType="end"/>
      </w:r>
    </w:p>
    <w:p w14:paraId="7EF6C1C0" w14:textId="009C4BEF"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11.4.5</w:t>
      </w:r>
      <w:r>
        <w:rPr>
          <w:rFonts w:asciiTheme="minorHAnsi" w:eastAsiaTheme="minorEastAsia" w:hAnsiTheme="minorHAnsi" w:cstheme="minorBidi"/>
          <w:i w:val="0"/>
          <w:noProof/>
          <w:lang w:eastAsia="en-AU"/>
        </w:rPr>
        <w:tab/>
      </w:r>
      <w:r w:rsidRPr="00A17E5B">
        <w:rPr>
          <w:noProof/>
          <w:lang w:val="en-US"/>
        </w:rPr>
        <w:t>Informing</w:t>
      </w:r>
      <w:r>
        <w:rPr>
          <w:noProof/>
        </w:rPr>
        <w:t xml:space="preserve"> water delivery</w:t>
      </w:r>
      <w:r>
        <w:rPr>
          <w:noProof/>
        </w:rPr>
        <w:tab/>
      </w:r>
      <w:r>
        <w:rPr>
          <w:noProof/>
        </w:rPr>
        <w:fldChar w:fldCharType="begin"/>
      </w:r>
      <w:r>
        <w:rPr>
          <w:noProof/>
        </w:rPr>
        <w:instrText xml:space="preserve"> PAGEREF _Toc31985560 \h </w:instrText>
      </w:r>
      <w:r>
        <w:rPr>
          <w:noProof/>
        </w:rPr>
      </w:r>
      <w:r>
        <w:rPr>
          <w:noProof/>
        </w:rPr>
        <w:fldChar w:fldCharType="separate"/>
      </w:r>
      <w:r w:rsidR="007F7607">
        <w:rPr>
          <w:noProof/>
        </w:rPr>
        <w:t>227</w:t>
      </w:r>
      <w:r>
        <w:rPr>
          <w:noProof/>
        </w:rPr>
        <w:fldChar w:fldCharType="end"/>
      </w:r>
    </w:p>
    <w:p w14:paraId="5B73E5F3" w14:textId="00246CA5"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11.4.6</w:t>
      </w:r>
      <w:r>
        <w:rPr>
          <w:rFonts w:asciiTheme="minorHAnsi" w:eastAsiaTheme="minorEastAsia" w:hAnsiTheme="minorHAnsi" w:cstheme="minorBidi"/>
          <w:i w:val="0"/>
          <w:noProof/>
          <w:lang w:eastAsia="en-AU"/>
        </w:rPr>
        <w:tab/>
      </w:r>
      <w:r>
        <w:rPr>
          <w:noProof/>
        </w:rPr>
        <w:t>Accounting for the use of environmental water</w:t>
      </w:r>
      <w:r>
        <w:rPr>
          <w:noProof/>
        </w:rPr>
        <w:tab/>
      </w:r>
      <w:r>
        <w:rPr>
          <w:noProof/>
        </w:rPr>
        <w:fldChar w:fldCharType="begin"/>
      </w:r>
      <w:r>
        <w:rPr>
          <w:noProof/>
        </w:rPr>
        <w:instrText xml:space="preserve"> PAGEREF _Toc31985561 \h </w:instrText>
      </w:r>
      <w:r>
        <w:rPr>
          <w:noProof/>
        </w:rPr>
      </w:r>
      <w:r>
        <w:rPr>
          <w:noProof/>
        </w:rPr>
        <w:fldChar w:fldCharType="separate"/>
      </w:r>
      <w:r w:rsidR="007F7607">
        <w:rPr>
          <w:noProof/>
        </w:rPr>
        <w:t>229</w:t>
      </w:r>
      <w:r>
        <w:rPr>
          <w:noProof/>
        </w:rPr>
        <w:fldChar w:fldCharType="end"/>
      </w:r>
    </w:p>
    <w:p w14:paraId="08497738" w14:textId="19877780"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11.4.7</w:t>
      </w:r>
      <w:r>
        <w:rPr>
          <w:rFonts w:asciiTheme="minorHAnsi" w:eastAsiaTheme="minorEastAsia" w:hAnsiTheme="minorHAnsi" w:cstheme="minorBidi"/>
          <w:i w:val="0"/>
          <w:noProof/>
          <w:lang w:eastAsia="en-AU"/>
        </w:rPr>
        <w:tab/>
      </w:r>
      <w:r>
        <w:rPr>
          <w:noProof/>
        </w:rPr>
        <w:t>Informing future monitoring</w:t>
      </w:r>
      <w:r>
        <w:rPr>
          <w:noProof/>
        </w:rPr>
        <w:tab/>
      </w:r>
      <w:r>
        <w:rPr>
          <w:noProof/>
        </w:rPr>
        <w:fldChar w:fldCharType="begin"/>
      </w:r>
      <w:r>
        <w:rPr>
          <w:noProof/>
        </w:rPr>
        <w:instrText xml:space="preserve"> PAGEREF _Toc31985562 \h </w:instrText>
      </w:r>
      <w:r>
        <w:rPr>
          <w:noProof/>
        </w:rPr>
      </w:r>
      <w:r>
        <w:rPr>
          <w:noProof/>
        </w:rPr>
        <w:fldChar w:fldCharType="separate"/>
      </w:r>
      <w:r w:rsidR="007F7607">
        <w:rPr>
          <w:noProof/>
        </w:rPr>
        <w:t>229</w:t>
      </w:r>
      <w:r>
        <w:rPr>
          <w:noProof/>
        </w:rPr>
        <w:fldChar w:fldCharType="end"/>
      </w:r>
    </w:p>
    <w:p w14:paraId="056F4DF4" w14:textId="0B170D6D" w:rsidR="00DA5439" w:rsidRDefault="00DA5439">
      <w:pPr>
        <w:pStyle w:val="TOC3"/>
        <w:tabs>
          <w:tab w:val="left" w:pos="1200"/>
          <w:tab w:val="right" w:leader="dot" w:pos="10188"/>
        </w:tabs>
        <w:rPr>
          <w:rFonts w:asciiTheme="minorHAnsi" w:eastAsiaTheme="minorEastAsia" w:hAnsiTheme="minorHAnsi" w:cstheme="minorBidi"/>
          <w:i w:val="0"/>
          <w:noProof/>
          <w:lang w:eastAsia="en-AU"/>
        </w:rPr>
      </w:pPr>
      <w:r>
        <w:rPr>
          <w:noProof/>
        </w:rPr>
        <w:t>11.4.8</w:t>
      </w:r>
      <w:r>
        <w:rPr>
          <w:rFonts w:asciiTheme="minorHAnsi" w:eastAsiaTheme="minorEastAsia" w:hAnsiTheme="minorHAnsi" w:cstheme="minorBidi"/>
          <w:i w:val="0"/>
          <w:noProof/>
          <w:lang w:eastAsia="en-AU"/>
        </w:rPr>
        <w:tab/>
      </w:r>
      <w:r w:rsidRPr="00A17E5B">
        <w:rPr>
          <w:noProof/>
          <w:lang w:val="en-US"/>
        </w:rPr>
        <w:t>Understanding flow ecology relationships</w:t>
      </w:r>
      <w:r>
        <w:rPr>
          <w:noProof/>
        </w:rPr>
        <w:tab/>
      </w:r>
      <w:r>
        <w:rPr>
          <w:noProof/>
        </w:rPr>
        <w:fldChar w:fldCharType="begin"/>
      </w:r>
      <w:r>
        <w:rPr>
          <w:noProof/>
        </w:rPr>
        <w:instrText xml:space="preserve"> PAGEREF _Toc31985563 \h </w:instrText>
      </w:r>
      <w:r>
        <w:rPr>
          <w:noProof/>
        </w:rPr>
      </w:r>
      <w:r>
        <w:rPr>
          <w:noProof/>
        </w:rPr>
        <w:fldChar w:fldCharType="separate"/>
      </w:r>
      <w:r w:rsidR="007F7607">
        <w:rPr>
          <w:noProof/>
        </w:rPr>
        <w:t>230</w:t>
      </w:r>
      <w:r>
        <w:rPr>
          <w:noProof/>
        </w:rPr>
        <w:fldChar w:fldCharType="end"/>
      </w:r>
    </w:p>
    <w:p w14:paraId="1A0E3C5F" w14:textId="304268F9" w:rsidR="00DA5439" w:rsidRDefault="00DA5439">
      <w:pPr>
        <w:pStyle w:val="TOC1"/>
        <w:rPr>
          <w:rFonts w:asciiTheme="minorHAnsi" w:eastAsiaTheme="minorEastAsia" w:hAnsiTheme="minorHAnsi" w:cstheme="minorBidi"/>
          <w:b w:val="0"/>
          <w:color w:val="auto"/>
          <w:sz w:val="22"/>
          <w:szCs w:val="22"/>
          <w:lang w:eastAsia="en-AU"/>
        </w:rPr>
      </w:pPr>
      <w:r>
        <w:t>12</w:t>
      </w:r>
      <w:r>
        <w:rPr>
          <w:rFonts w:asciiTheme="minorHAnsi" w:eastAsiaTheme="minorEastAsia" w:hAnsiTheme="minorHAnsi" w:cstheme="minorBidi"/>
          <w:b w:val="0"/>
          <w:color w:val="auto"/>
          <w:sz w:val="22"/>
          <w:szCs w:val="22"/>
          <w:lang w:eastAsia="en-AU"/>
        </w:rPr>
        <w:tab/>
      </w:r>
      <w:r>
        <w:t>References</w:t>
      </w:r>
      <w:r>
        <w:tab/>
      </w:r>
      <w:r>
        <w:fldChar w:fldCharType="begin"/>
      </w:r>
      <w:r>
        <w:instrText xml:space="preserve"> PAGEREF _Toc31985564 \h </w:instrText>
      </w:r>
      <w:r>
        <w:fldChar w:fldCharType="separate"/>
      </w:r>
      <w:r w:rsidR="007F7607">
        <w:t>233</w:t>
      </w:r>
      <w:r>
        <w:fldChar w:fldCharType="end"/>
      </w:r>
    </w:p>
    <w:p w14:paraId="38DBBC83" w14:textId="2F2EBADD" w:rsidR="00F34FBE" w:rsidRPr="00F34FBE" w:rsidRDefault="00A544F8" w:rsidP="00F34FBE">
      <w:pPr>
        <w:pStyle w:val="TOC9"/>
      </w:pPr>
      <w:r>
        <w:rPr>
          <w:b/>
          <w:noProof/>
          <w:color w:val="009EDD"/>
          <w:sz w:val="24"/>
          <w:szCs w:val="24"/>
        </w:rPr>
        <w:fldChar w:fldCharType="end"/>
      </w:r>
    </w:p>
    <w:p w14:paraId="60DBCECF" w14:textId="77777777" w:rsidR="0074605D" w:rsidRPr="000D31F3" w:rsidRDefault="00E74AF0" w:rsidP="00111E52">
      <w:pPr>
        <w:pStyle w:val="Default"/>
        <w:outlineLvl w:val="0"/>
        <w:rPr>
          <w:b/>
          <w:bCs/>
          <w:color w:val="76923C"/>
          <w:sz w:val="32"/>
          <w:szCs w:val="32"/>
        </w:rPr>
      </w:pPr>
      <w:bookmarkStart w:id="8" w:name="_Toc417653090"/>
      <w:bookmarkStart w:id="9" w:name="_Toc417653241"/>
      <w:bookmarkStart w:id="10" w:name="_Toc419888421"/>
      <w:bookmarkStart w:id="11" w:name="_Toc417379725"/>
      <w:r>
        <w:rPr>
          <w:b/>
          <w:bCs/>
          <w:color w:val="76923C"/>
          <w:sz w:val="32"/>
          <w:szCs w:val="32"/>
        </w:rPr>
        <w:br w:type="page"/>
      </w:r>
      <w:r w:rsidR="00111E52" w:rsidRPr="000D31F3">
        <w:rPr>
          <w:b/>
          <w:bCs/>
          <w:color w:val="76923C"/>
          <w:sz w:val="32"/>
          <w:szCs w:val="32"/>
        </w:rPr>
        <w:t xml:space="preserve">LIST OF </w:t>
      </w:r>
      <w:r w:rsidR="00F62FB7" w:rsidRPr="000D31F3">
        <w:rPr>
          <w:b/>
          <w:bCs/>
          <w:color w:val="76923C"/>
          <w:sz w:val="32"/>
          <w:szCs w:val="32"/>
        </w:rPr>
        <w:t>FIGURES</w:t>
      </w:r>
      <w:bookmarkEnd w:id="8"/>
      <w:bookmarkEnd w:id="9"/>
      <w:bookmarkEnd w:id="10"/>
    </w:p>
    <w:p w14:paraId="7D91AE2A" w14:textId="76AADEA2" w:rsidR="00DA5439" w:rsidRDefault="00885DB8">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31985565" w:history="1">
        <w:r w:rsidR="00DA5439" w:rsidRPr="003A1466">
          <w:rPr>
            <w:rStyle w:val="Hyperlink"/>
            <w:noProof/>
          </w:rPr>
          <w:t>Figure 1. The Lower Lachlan river system showing the region for the LTIM Project.</w:t>
        </w:r>
        <w:r w:rsidR="00DA5439">
          <w:rPr>
            <w:noProof/>
            <w:webHidden/>
          </w:rPr>
          <w:tab/>
        </w:r>
        <w:r w:rsidR="00DA5439">
          <w:rPr>
            <w:noProof/>
            <w:webHidden/>
          </w:rPr>
          <w:fldChar w:fldCharType="begin"/>
        </w:r>
        <w:r w:rsidR="00DA5439">
          <w:rPr>
            <w:noProof/>
            <w:webHidden/>
          </w:rPr>
          <w:instrText xml:space="preserve"> PAGEREF _Toc31985565 \h </w:instrText>
        </w:r>
        <w:r w:rsidR="00DA5439">
          <w:rPr>
            <w:noProof/>
            <w:webHidden/>
          </w:rPr>
        </w:r>
        <w:r w:rsidR="00DA5439">
          <w:rPr>
            <w:noProof/>
            <w:webHidden/>
          </w:rPr>
          <w:fldChar w:fldCharType="separate"/>
        </w:r>
        <w:r w:rsidR="007F7607">
          <w:rPr>
            <w:noProof/>
            <w:webHidden/>
          </w:rPr>
          <w:t>19</w:t>
        </w:r>
        <w:r w:rsidR="00DA5439">
          <w:rPr>
            <w:noProof/>
            <w:webHidden/>
          </w:rPr>
          <w:fldChar w:fldCharType="end"/>
        </w:r>
      </w:hyperlink>
    </w:p>
    <w:p w14:paraId="58D37CE3" w14:textId="732F4F7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66" w:history="1">
        <w:r w:rsidR="00DA5439" w:rsidRPr="003A1466">
          <w:rPr>
            <w:rStyle w:val="Hyperlink"/>
            <w:noProof/>
          </w:rPr>
          <w:t>Figure 2. The mid Lachlan river system showing the region for the 2018-19 additional monitoring activities.</w:t>
        </w:r>
        <w:r w:rsidR="00DA5439">
          <w:rPr>
            <w:noProof/>
            <w:webHidden/>
          </w:rPr>
          <w:tab/>
        </w:r>
        <w:r w:rsidR="00DA5439">
          <w:rPr>
            <w:noProof/>
            <w:webHidden/>
          </w:rPr>
          <w:fldChar w:fldCharType="begin"/>
        </w:r>
        <w:r w:rsidR="00DA5439">
          <w:rPr>
            <w:noProof/>
            <w:webHidden/>
          </w:rPr>
          <w:instrText xml:space="preserve"> PAGEREF _Toc31985566 \h </w:instrText>
        </w:r>
        <w:r w:rsidR="00DA5439">
          <w:rPr>
            <w:noProof/>
            <w:webHidden/>
          </w:rPr>
        </w:r>
        <w:r w:rsidR="00DA5439">
          <w:rPr>
            <w:noProof/>
            <w:webHidden/>
          </w:rPr>
          <w:fldChar w:fldCharType="separate"/>
        </w:r>
        <w:r w:rsidR="007F7607">
          <w:rPr>
            <w:noProof/>
            <w:webHidden/>
          </w:rPr>
          <w:t>19</w:t>
        </w:r>
        <w:r w:rsidR="00DA5439">
          <w:rPr>
            <w:noProof/>
            <w:webHidden/>
          </w:rPr>
          <w:fldChar w:fldCharType="end"/>
        </w:r>
      </w:hyperlink>
    </w:p>
    <w:p w14:paraId="446B0594" w14:textId="5C38048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67" w:history="1">
        <w:r w:rsidR="00DA5439" w:rsidRPr="003A1466">
          <w:rPr>
            <w:rStyle w:val="Hyperlink"/>
            <w:noProof/>
          </w:rPr>
          <w:t>Figure 3. Monthly rainfall at a) Forbes Airport (065103), b) Hillston Airport (075032) and c) Booligal (075007) during 2018-19 compared with the mean and median rainfall for the entire period of record, and daily highest rainfall events per month.</w:t>
        </w:r>
        <w:r w:rsidR="00DA5439">
          <w:rPr>
            <w:noProof/>
            <w:webHidden/>
          </w:rPr>
          <w:tab/>
        </w:r>
        <w:r w:rsidR="00DA5439">
          <w:rPr>
            <w:noProof/>
            <w:webHidden/>
          </w:rPr>
          <w:fldChar w:fldCharType="begin"/>
        </w:r>
        <w:r w:rsidR="00DA5439">
          <w:rPr>
            <w:noProof/>
            <w:webHidden/>
          </w:rPr>
          <w:instrText xml:space="preserve"> PAGEREF _Toc31985567 \h </w:instrText>
        </w:r>
        <w:r w:rsidR="00DA5439">
          <w:rPr>
            <w:noProof/>
            <w:webHidden/>
          </w:rPr>
        </w:r>
        <w:r w:rsidR="00DA5439">
          <w:rPr>
            <w:noProof/>
            <w:webHidden/>
          </w:rPr>
          <w:fldChar w:fldCharType="separate"/>
        </w:r>
        <w:r w:rsidR="007F7607">
          <w:rPr>
            <w:noProof/>
            <w:webHidden/>
          </w:rPr>
          <w:t>21</w:t>
        </w:r>
        <w:r w:rsidR="00DA5439">
          <w:rPr>
            <w:noProof/>
            <w:webHidden/>
          </w:rPr>
          <w:fldChar w:fldCharType="end"/>
        </w:r>
      </w:hyperlink>
    </w:p>
    <w:p w14:paraId="58C1D4EF" w14:textId="0C50E4A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68" w:history="1">
        <w:r w:rsidR="00DA5439" w:rsidRPr="003A1466">
          <w:rPr>
            <w:rStyle w:val="Hyperlink"/>
            <w:noProof/>
          </w:rPr>
          <w:t>Figure 4. Monthly average daily maximum and minimum temperatures for a) Forbes Airport (065103), b) Hillston Airport (075032) during 2018-19 compared with the long-term average daily maximum and minimum temperatures.</w:t>
        </w:r>
        <w:r w:rsidR="00DA5439">
          <w:rPr>
            <w:noProof/>
            <w:webHidden/>
          </w:rPr>
          <w:tab/>
        </w:r>
        <w:r w:rsidR="00DA5439">
          <w:rPr>
            <w:noProof/>
            <w:webHidden/>
          </w:rPr>
          <w:fldChar w:fldCharType="begin"/>
        </w:r>
        <w:r w:rsidR="00DA5439">
          <w:rPr>
            <w:noProof/>
            <w:webHidden/>
          </w:rPr>
          <w:instrText xml:space="preserve"> PAGEREF _Toc31985568 \h </w:instrText>
        </w:r>
        <w:r w:rsidR="00DA5439">
          <w:rPr>
            <w:noProof/>
            <w:webHidden/>
          </w:rPr>
        </w:r>
        <w:r w:rsidR="00DA5439">
          <w:rPr>
            <w:noProof/>
            <w:webHidden/>
          </w:rPr>
          <w:fldChar w:fldCharType="separate"/>
        </w:r>
        <w:r w:rsidR="007F7607">
          <w:rPr>
            <w:noProof/>
            <w:webHidden/>
          </w:rPr>
          <w:t>22</w:t>
        </w:r>
        <w:r w:rsidR="00DA5439">
          <w:rPr>
            <w:noProof/>
            <w:webHidden/>
          </w:rPr>
          <w:fldChar w:fldCharType="end"/>
        </w:r>
      </w:hyperlink>
    </w:p>
    <w:p w14:paraId="1F12AA52" w14:textId="6F95F69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69" w:history="1">
        <w:r w:rsidR="00DA5439" w:rsidRPr="003A1466">
          <w:rPr>
            <w:rStyle w:val="Hyperlink"/>
            <w:noProof/>
          </w:rPr>
          <w:t>Figure 5. Conceptual hydrograph identifying key flow components to support Murray cod populations.</w:t>
        </w:r>
        <w:r w:rsidR="00DA5439">
          <w:rPr>
            <w:noProof/>
            <w:webHidden/>
          </w:rPr>
          <w:tab/>
        </w:r>
        <w:r w:rsidR="00DA5439">
          <w:rPr>
            <w:noProof/>
            <w:webHidden/>
          </w:rPr>
          <w:fldChar w:fldCharType="begin"/>
        </w:r>
        <w:r w:rsidR="00DA5439">
          <w:rPr>
            <w:noProof/>
            <w:webHidden/>
          </w:rPr>
          <w:instrText xml:space="preserve"> PAGEREF _Toc31985569 \h </w:instrText>
        </w:r>
        <w:r w:rsidR="00DA5439">
          <w:rPr>
            <w:noProof/>
            <w:webHidden/>
          </w:rPr>
        </w:r>
        <w:r w:rsidR="00DA5439">
          <w:rPr>
            <w:noProof/>
            <w:webHidden/>
          </w:rPr>
          <w:fldChar w:fldCharType="separate"/>
        </w:r>
        <w:r w:rsidR="007F7607">
          <w:rPr>
            <w:noProof/>
            <w:webHidden/>
          </w:rPr>
          <w:t>30</w:t>
        </w:r>
        <w:r w:rsidR="00DA5439">
          <w:rPr>
            <w:noProof/>
            <w:webHidden/>
          </w:rPr>
          <w:fldChar w:fldCharType="end"/>
        </w:r>
      </w:hyperlink>
    </w:p>
    <w:p w14:paraId="2A1CC8EF" w14:textId="00814AE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0" w:history="1">
        <w:r w:rsidR="00DA5439" w:rsidRPr="003A1466">
          <w:rPr>
            <w:rStyle w:val="Hyperlink"/>
            <w:noProof/>
          </w:rPr>
          <w:t>Figure 6. The location of relevant gauging stations in the Lower Lachlan river system.</w:t>
        </w:r>
        <w:r w:rsidR="00DA5439">
          <w:rPr>
            <w:noProof/>
            <w:webHidden/>
          </w:rPr>
          <w:tab/>
        </w:r>
        <w:r w:rsidR="00DA5439">
          <w:rPr>
            <w:noProof/>
            <w:webHidden/>
          </w:rPr>
          <w:fldChar w:fldCharType="begin"/>
        </w:r>
        <w:r w:rsidR="00DA5439">
          <w:rPr>
            <w:noProof/>
            <w:webHidden/>
          </w:rPr>
          <w:instrText xml:space="preserve"> PAGEREF _Toc31985570 \h </w:instrText>
        </w:r>
        <w:r w:rsidR="00DA5439">
          <w:rPr>
            <w:noProof/>
            <w:webHidden/>
          </w:rPr>
        </w:r>
        <w:r w:rsidR="00DA5439">
          <w:rPr>
            <w:noProof/>
            <w:webHidden/>
          </w:rPr>
          <w:fldChar w:fldCharType="separate"/>
        </w:r>
        <w:r w:rsidR="007F7607">
          <w:rPr>
            <w:noProof/>
            <w:webHidden/>
          </w:rPr>
          <w:t>34</w:t>
        </w:r>
        <w:r w:rsidR="00DA5439">
          <w:rPr>
            <w:noProof/>
            <w:webHidden/>
          </w:rPr>
          <w:fldChar w:fldCharType="end"/>
        </w:r>
      </w:hyperlink>
    </w:p>
    <w:p w14:paraId="2D5534B2" w14:textId="20C81F7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1" w:history="1">
        <w:r w:rsidR="00DA5439" w:rsidRPr="003A1466">
          <w:rPr>
            <w:rStyle w:val="Hyperlink"/>
            <w:noProof/>
          </w:rPr>
          <w:t>Figure 7. The location of relevant gauging stations in the mid Lachlan river system.</w:t>
        </w:r>
        <w:r w:rsidR="00DA5439">
          <w:rPr>
            <w:noProof/>
            <w:webHidden/>
          </w:rPr>
          <w:tab/>
        </w:r>
        <w:r w:rsidR="00DA5439">
          <w:rPr>
            <w:noProof/>
            <w:webHidden/>
          </w:rPr>
          <w:fldChar w:fldCharType="begin"/>
        </w:r>
        <w:r w:rsidR="00DA5439">
          <w:rPr>
            <w:noProof/>
            <w:webHidden/>
          </w:rPr>
          <w:instrText xml:space="preserve"> PAGEREF _Toc31985571 \h </w:instrText>
        </w:r>
        <w:r w:rsidR="00DA5439">
          <w:rPr>
            <w:noProof/>
            <w:webHidden/>
          </w:rPr>
        </w:r>
        <w:r w:rsidR="00DA5439">
          <w:rPr>
            <w:noProof/>
            <w:webHidden/>
          </w:rPr>
          <w:fldChar w:fldCharType="separate"/>
        </w:r>
        <w:r w:rsidR="007F7607">
          <w:rPr>
            <w:noProof/>
            <w:webHidden/>
          </w:rPr>
          <w:t>35</w:t>
        </w:r>
        <w:r w:rsidR="00DA5439">
          <w:rPr>
            <w:noProof/>
            <w:webHidden/>
          </w:rPr>
          <w:fldChar w:fldCharType="end"/>
        </w:r>
      </w:hyperlink>
    </w:p>
    <w:p w14:paraId="38D34929" w14:textId="1023E72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2" w:history="1">
        <w:r w:rsidR="00DA5439" w:rsidRPr="003A1466">
          <w:rPr>
            <w:rStyle w:val="Hyperlink"/>
            <w:noProof/>
          </w:rPr>
          <w:t>Figure 8. Flow (top) and estimated water level (bottom) at Cotton’s Weir (Forbes) for the period 1 July 2018 to 30 June 2019 showing Watering Actions 1 and 2.</w:t>
        </w:r>
        <w:r w:rsidR="00DA5439">
          <w:rPr>
            <w:noProof/>
            <w:webHidden/>
          </w:rPr>
          <w:tab/>
        </w:r>
        <w:r w:rsidR="00DA5439">
          <w:rPr>
            <w:noProof/>
            <w:webHidden/>
          </w:rPr>
          <w:fldChar w:fldCharType="begin"/>
        </w:r>
        <w:r w:rsidR="00DA5439">
          <w:rPr>
            <w:noProof/>
            <w:webHidden/>
          </w:rPr>
          <w:instrText xml:space="preserve"> PAGEREF _Toc31985572 \h </w:instrText>
        </w:r>
        <w:r w:rsidR="00DA5439">
          <w:rPr>
            <w:noProof/>
            <w:webHidden/>
          </w:rPr>
        </w:r>
        <w:r w:rsidR="00DA5439">
          <w:rPr>
            <w:noProof/>
            <w:webHidden/>
          </w:rPr>
          <w:fldChar w:fldCharType="separate"/>
        </w:r>
        <w:r w:rsidR="007F7607">
          <w:rPr>
            <w:noProof/>
            <w:webHidden/>
          </w:rPr>
          <w:t>37</w:t>
        </w:r>
        <w:r w:rsidR="00DA5439">
          <w:rPr>
            <w:noProof/>
            <w:webHidden/>
          </w:rPr>
          <w:fldChar w:fldCharType="end"/>
        </w:r>
      </w:hyperlink>
    </w:p>
    <w:p w14:paraId="1CAA8216" w14:textId="35F503F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3" w:history="1">
        <w:r w:rsidR="00DA5439" w:rsidRPr="003A1466">
          <w:rPr>
            <w:rStyle w:val="Hyperlink"/>
            <w:noProof/>
          </w:rPr>
          <w:t>Figure 9. Estimated water level at Iron Bridge (Forbes) for the period 1 July 2018 to 30 June 2019 showing Watering Actions 1 and 2.</w:t>
        </w:r>
        <w:r w:rsidR="00DA5439">
          <w:rPr>
            <w:noProof/>
            <w:webHidden/>
          </w:rPr>
          <w:tab/>
        </w:r>
        <w:r w:rsidR="00DA5439">
          <w:rPr>
            <w:noProof/>
            <w:webHidden/>
          </w:rPr>
          <w:fldChar w:fldCharType="begin"/>
        </w:r>
        <w:r w:rsidR="00DA5439">
          <w:rPr>
            <w:noProof/>
            <w:webHidden/>
          </w:rPr>
          <w:instrText xml:space="preserve"> PAGEREF _Toc31985573 \h </w:instrText>
        </w:r>
        <w:r w:rsidR="00DA5439">
          <w:rPr>
            <w:noProof/>
            <w:webHidden/>
          </w:rPr>
        </w:r>
        <w:r w:rsidR="00DA5439">
          <w:rPr>
            <w:noProof/>
            <w:webHidden/>
          </w:rPr>
          <w:fldChar w:fldCharType="separate"/>
        </w:r>
        <w:r w:rsidR="007F7607">
          <w:rPr>
            <w:noProof/>
            <w:webHidden/>
          </w:rPr>
          <w:t>38</w:t>
        </w:r>
        <w:r w:rsidR="00DA5439">
          <w:rPr>
            <w:noProof/>
            <w:webHidden/>
          </w:rPr>
          <w:fldChar w:fldCharType="end"/>
        </w:r>
      </w:hyperlink>
    </w:p>
    <w:p w14:paraId="544D57D0" w14:textId="0E128B7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4" w:history="1">
        <w:r w:rsidR="00DA5439" w:rsidRPr="003A1466">
          <w:rPr>
            <w:rStyle w:val="Hyperlink"/>
            <w:noProof/>
          </w:rPr>
          <w:t>Figure 10. Flow at Hillston Weir (top) and estimated water level (bottom) for the period 1 July 2018 to 30 June 2019 showing Commonwealth Watering Actions 1 and 2 as well as the approximate timing of Watering Action 4.</w:t>
        </w:r>
        <w:r w:rsidR="00DA5439">
          <w:rPr>
            <w:noProof/>
            <w:webHidden/>
          </w:rPr>
          <w:tab/>
        </w:r>
        <w:r w:rsidR="00DA5439">
          <w:rPr>
            <w:noProof/>
            <w:webHidden/>
          </w:rPr>
          <w:fldChar w:fldCharType="begin"/>
        </w:r>
        <w:r w:rsidR="00DA5439">
          <w:rPr>
            <w:noProof/>
            <w:webHidden/>
          </w:rPr>
          <w:instrText xml:space="preserve"> PAGEREF _Toc31985574 \h </w:instrText>
        </w:r>
        <w:r w:rsidR="00DA5439">
          <w:rPr>
            <w:noProof/>
            <w:webHidden/>
          </w:rPr>
        </w:r>
        <w:r w:rsidR="00DA5439">
          <w:rPr>
            <w:noProof/>
            <w:webHidden/>
          </w:rPr>
          <w:fldChar w:fldCharType="separate"/>
        </w:r>
        <w:r w:rsidR="007F7607">
          <w:rPr>
            <w:noProof/>
            <w:webHidden/>
          </w:rPr>
          <w:t>39</w:t>
        </w:r>
        <w:r w:rsidR="00DA5439">
          <w:rPr>
            <w:noProof/>
            <w:webHidden/>
          </w:rPr>
          <w:fldChar w:fldCharType="end"/>
        </w:r>
      </w:hyperlink>
    </w:p>
    <w:p w14:paraId="362EADE4" w14:textId="6BEEA6D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5" w:history="1">
        <w:r w:rsidR="00DA5439" w:rsidRPr="003A1466">
          <w:rPr>
            <w:rStyle w:val="Hyperlink"/>
            <w:noProof/>
          </w:rPr>
          <w:t>Figure 11. Estimated water level at Whealbah for the period 1 July 2018 to 30 June 2019 showing Commonwealth Watering Actions 1 and 2, along with the timing of Watering Action 4.</w:t>
        </w:r>
        <w:r w:rsidR="00DA5439">
          <w:rPr>
            <w:noProof/>
            <w:webHidden/>
          </w:rPr>
          <w:tab/>
        </w:r>
        <w:r w:rsidR="00DA5439">
          <w:rPr>
            <w:noProof/>
            <w:webHidden/>
          </w:rPr>
          <w:fldChar w:fldCharType="begin"/>
        </w:r>
        <w:r w:rsidR="00DA5439">
          <w:rPr>
            <w:noProof/>
            <w:webHidden/>
          </w:rPr>
          <w:instrText xml:space="preserve"> PAGEREF _Toc31985575 \h </w:instrText>
        </w:r>
        <w:r w:rsidR="00DA5439">
          <w:rPr>
            <w:noProof/>
            <w:webHidden/>
          </w:rPr>
        </w:r>
        <w:r w:rsidR="00DA5439">
          <w:rPr>
            <w:noProof/>
            <w:webHidden/>
          </w:rPr>
          <w:fldChar w:fldCharType="separate"/>
        </w:r>
        <w:r w:rsidR="007F7607">
          <w:rPr>
            <w:noProof/>
            <w:webHidden/>
          </w:rPr>
          <w:t>40</w:t>
        </w:r>
        <w:r w:rsidR="00DA5439">
          <w:rPr>
            <w:noProof/>
            <w:webHidden/>
          </w:rPr>
          <w:fldChar w:fldCharType="end"/>
        </w:r>
      </w:hyperlink>
    </w:p>
    <w:p w14:paraId="37D1C9D0" w14:textId="7B11C77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6" w:history="1">
        <w:r w:rsidR="00DA5439" w:rsidRPr="003A1466">
          <w:rPr>
            <w:rStyle w:val="Hyperlink"/>
            <w:noProof/>
          </w:rPr>
          <w:t>Figure 12. Flow at Booligal for the period 1 July 2018 to 30 June 2019 showing estimated Watering Actions 1 and 2 and accounted Watering Action 4.</w:t>
        </w:r>
        <w:r w:rsidR="00DA5439">
          <w:rPr>
            <w:noProof/>
            <w:webHidden/>
          </w:rPr>
          <w:tab/>
        </w:r>
        <w:r w:rsidR="00DA5439">
          <w:rPr>
            <w:noProof/>
            <w:webHidden/>
          </w:rPr>
          <w:fldChar w:fldCharType="begin"/>
        </w:r>
        <w:r w:rsidR="00DA5439">
          <w:rPr>
            <w:noProof/>
            <w:webHidden/>
          </w:rPr>
          <w:instrText xml:space="preserve"> PAGEREF _Toc31985576 \h </w:instrText>
        </w:r>
        <w:r w:rsidR="00DA5439">
          <w:rPr>
            <w:noProof/>
            <w:webHidden/>
          </w:rPr>
        </w:r>
        <w:r w:rsidR="00DA5439">
          <w:rPr>
            <w:noProof/>
            <w:webHidden/>
          </w:rPr>
          <w:fldChar w:fldCharType="separate"/>
        </w:r>
        <w:r w:rsidR="007F7607">
          <w:rPr>
            <w:noProof/>
            <w:webHidden/>
          </w:rPr>
          <w:t>41</w:t>
        </w:r>
        <w:r w:rsidR="00DA5439">
          <w:rPr>
            <w:noProof/>
            <w:webHidden/>
          </w:rPr>
          <w:fldChar w:fldCharType="end"/>
        </w:r>
      </w:hyperlink>
    </w:p>
    <w:p w14:paraId="0637FD11" w14:textId="1EA454B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7" w:history="1">
        <w:r w:rsidR="00DA5439" w:rsidRPr="003A1466">
          <w:rPr>
            <w:rStyle w:val="Hyperlink"/>
            <w:noProof/>
          </w:rPr>
          <w:t>Figure 13. Flow at Corrong (Four Mile) for the period 1 July 2018 to 30 June 2019.</w:t>
        </w:r>
        <w:r w:rsidR="00DA5439">
          <w:rPr>
            <w:noProof/>
            <w:webHidden/>
          </w:rPr>
          <w:tab/>
        </w:r>
        <w:r w:rsidR="00DA5439">
          <w:rPr>
            <w:noProof/>
            <w:webHidden/>
          </w:rPr>
          <w:fldChar w:fldCharType="begin"/>
        </w:r>
        <w:r w:rsidR="00DA5439">
          <w:rPr>
            <w:noProof/>
            <w:webHidden/>
          </w:rPr>
          <w:instrText xml:space="preserve"> PAGEREF _Toc31985577 \h </w:instrText>
        </w:r>
        <w:r w:rsidR="00DA5439">
          <w:rPr>
            <w:noProof/>
            <w:webHidden/>
          </w:rPr>
        </w:r>
        <w:r w:rsidR="00DA5439">
          <w:rPr>
            <w:noProof/>
            <w:webHidden/>
          </w:rPr>
          <w:fldChar w:fldCharType="separate"/>
        </w:r>
        <w:r w:rsidR="007F7607">
          <w:rPr>
            <w:noProof/>
            <w:webHidden/>
          </w:rPr>
          <w:t>41</w:t>
        </w:r>
        <w:r w:rsidR="00DA5439">
          <w:rPr>
            <w:noProof/>
            <w:webHidden/>
          </w:rPr>
          <w:fldChar w:fldCharType="end"/>
        </w:r>
      </w:hyperlink>
    </w:p>
    <w:p w14:paraId="2CF43A1C" w14:textId="70FA2C4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8" w:history="1">
        <w:r w:rsidR="00DA5439" w:rsidRPr="003A1466">
          <w:rPr>
            <w:rStyle w:val="Hyperlink"/>
            <w:noProof/>
          </w:rPr>
          <w:t>Figure 14. Sentinel imagery from the Great Cumbung Swamp prior to the arrival of environmental water (6</w:t>
        </w:r>
        <w:r w:rsidR="00DA5439" w:rsidRPr="003A1466">
          <w:rPr>
            <w:rStyle w:val="Hyperlink"/>
            <w:noProof/>
            <w:vertAlign w:val="superscript"/>
          </w:rPr>
          <w:t>th</w:t>
        </w:r>
        <w:r w:rsidR="00DA5439" w:rsidRPr="003A1466">
          <w:rPr>
            <w:rStyle w:val="Hyperlink"/>
            <w:noProof/>
          </w:rPr>
          <w:t xml:space="preserve"> October 2018, upper image), and at the peak of the spring/summer watering (21</w:t>
        </w:r>
        <w:r w:rsidR="00DA5439" w:rsidRPr="003A1466">
          <w:rPr>
            <w:rStyle w:val="Hyperlink"/>
            <w:noProof/>
            <w:vertAlign w:val="superscript"/>
          </w:rPr>
          <w:t>st</w:t>
        </w:r>
        <w:r w:rsidR="00DA5439" w:rsidRPr="003A1466">
          <w:rPr>
            <w:rStyle w:val="Hyperlink"/>
            <w:noProof/>
          </w:rPr>
          <w:t xml:space="preserve"> October 2018, lower image).</w:t>
        </w:r>
        <w:r w:rsidR="00DA5439">
          <w:rPr>
            <w:noProof/>
            <w:webHidden/>
          </w:rPr>
          <w:tab/>
        </w:r>
        <w:r w:rsidR="00DA5439">
          <w:rPr>
            <w:noProof/>
            <w:webHidden/>
          </w:rPr>
          <w:fldChar w:fldCharType="begin"/>
        </w:r>
        <w:r w:rsidR="00DA5439">
          <w:rPr>
            <w:noProof/>
            <w:webHidden/>
          </w:rPr>
          <w:instrText xml:space="preserve"> PAGEREF _Toc31985578 \h </w:instrText>
        </w:r>
        <w:r w:rsidR="00DA5439">
          <w:rPr>
            <w:noProof/>
            <w:webHidden/>
          </w:rPr>
        </w:r>
        <w:r w:rsidR="00DA5439">
          <w:rPr>
            <w:noProof/>
            <w:webHidden/>
          </w:rPr>
          <w:fldChar w:fldCharType="separate"/>
        </w:r>
        <w:r w:rsidR="007F7607">
          <w:rPr>
            <w:noProof/>
            <w:webHidden/>
          </w:rPr>
          <w:t>42</w:t>
        </w:r>
        <w:r w:rsidR="00DA5439">
          <w:rPr>
            <w:noProof/>
            <w:webHidden/>
          </w:rPr>
          <w:fldChar w:fldCharType="end"/>
        </w:r>
      </w:hyperlink>
    </w:p>
    <w:p w14:paraId="30662235" w14:textId="5969AD2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79" w:history="1">
        <w:r w:rsidR="00DA5439" w:rsidRPr="003A1466">
          <w:rPr>
            <w:rStyle w:val="Hyperlink"/>
            <w:noProof/>
          </w:rPr>
          <w:t>Figure 15. Map showing the location of Yarrabandai Lagoon (formerly known as Burrawang West Lagoon). Map by NSW DPIE.</w:t>
        </w:r>
        <w:r w:rsidR="00DA5439">
          <w:rPr>
            <w:noProof/>
            <w:webHidden/>
          </w:rPr>
          <w:tab/>
        </w:r>
        <w:r w:rsidR="00DA5439">
          <w:rPr>
            <w:noProof/>
            <w:webHidden/>
          </w:rPr>
          <w:fldChar w:fldCharType="begin"/>
        </w:r>
        <w:r w:rsidR="00DA5439">
          <w:rPr>
            <w:noProof/>
            <w:webHidden/>
          </w:rPr>
          <w:instrText xml:space="preserve"> PAGEREF _Toc31985579 \h </w:instrText>
        </w:r>
        <w:r w:rsidR="00DA5439">
          <w:rPr>
            <w:noProof/>
            <w:webHidden/>
          </w:rPr>
        </w:r>
        <w:r w:rsidR="00DA5439">
          <w:rPr>
            <w:noProof/>
            <w:webHidden/>
          </w:rPr>
          <w:fldChar w:fldCharType="separate"/>
        </w:r>
        <w:r w:rsidR="007F7607">
          <w:rPr>
            <w:noProof/>
            <w:webHidden/>
          </w:rPr>
          <w:t>43</w:t>
        </w:r>
        <w:r w:rsidR="00DA5439">
          <w:rPr>
            <w:noProof/>
            <w:webHidden/>
          </w:rPr>
          <w:fldChar w:fldCharType="end"/>
        </w:r>
      </w:hyperlink>
    </w:p>
    <w:p w14:paraId="593B2385" w14:textId="6B868B4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0" w:history="1">
        <w:r w:rsidR="00DA5439" w:rsidRPr="003A1466">
          <w:rPr>
            <w:rStyle w:val="Hyperlink"/>
            <w:noProof/>
          </w:rPr>
          <w:t>Figure 16. Sentinel imagery of Yarrabandai Lagoon area prior to the arrival of environmental water (1</w:t>
        </w:r>
        <w:r w:rsidR="00DA5439" w:rsidRPr="003A1466">
          <w:rPr>
            <w:rStyle w:val="Hyperlink"/>
            <w:noProof/>
            <w:vertAlign w:val="superscript"/>
          </w:rPr>
          <w:t>st</w:t>
        </w:r>
        <w:r w:rsidR="00DA5439" w:rsidRPr="003A1466">
          <w:rPr>
            <w:rStyle w:val="Hyperlink"/>
            <w:noProof/>
          </w:rPr>
          <w:t xml:space="preserve"> March 2019, upper image), and towards the peak of the watering (30</w:t>
        </w:r>
        <w:r w:rsidR="00DA5439" w:rsidRPr="003A1466">
          <w:rPr>
            <w:rStyle w:val="Hyperlink"/>
            <w:noProof/>
            <w:vertAlign w:val="superscript"/>
          </w:rPr>
          <w:t>th</w:t>
        </w:r>
        <w:r w:rsidR="00DA5439" w:rsidRPr="003A1466">
          <w:rPr>
            <w:rStyle w:val="Hyperlink"/>
            <w:noProof/>
          </w:rPr>
          <w:t xml:space="preserve"> May 2019, lower image).  Images sourced from https://www.sentinel-hub.com/explore/sentinel-playground</w:t>
        </w:r>
        <w:r w:rsidR="00DA5439">
          <w:rPr>
            <w:noProof/>
            <w:webHidden/>
          </w:rPr>
          <w:tab/>
        </w:r>
        <w:r w:rsidR="00DA5439">
          <w:rPr>
            <w:noProof/>
            <w:webHidden/>
          </w:rPr>
          <w:fldChar w:fldCharType="begin"/>
        </w:r>
        <w:r w:rsidR="00DA5439">
          <w:rPr>
            <w:noProof/>
            <w:webHidden/>
          </w:rPr>
          <w:instrText xml:space="preserve"> PAGEREF _Toc31985580 \h </w:instrText>
        </w:r>
        <w:r w:rsidR="00DA5439">
          <w:rPr>
            <w:noProof/>
            <w:webHidden/>
          </w:rPr>
        </w:r>
        <w:r w:rsidR="00DA5439">
          <w:rPr>
            <w:noProof/>
            <w:webHidden/>
          </w:rPr>
          <w:fldChar w:fldCharType="separate"/>
        </w:r>
        <w:r w:rsidR="007F7607">
          <w:rPr>
            <w:noProof/>
            <w:webHidden/>
          </w:rPr>
          <w:t>44</w:t>
        </w:r>
        <w:r w:rsidR="00DA5439">
          <w:rPr>
            <w:noProof/>
            <w:webHidden/>
          </w:rPr>
          <w:fldChar w:fldCharType="end"/>
        </w:r>
      </w:hyperlink>
    </w:p>
    <w:p w14:paraId="4CCE7E1B" w14:textId="0901AB9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1" w:history="1">
        <w:r w:rsidR="00DA5439" w:rsidRPr="003A1466">
          <w:rPr>
            <w:rStyle w:val="Hyperlink"/>
            <w:noProof/>
          </w:rPr>
          <w:t>Figure 17. Sentinel imagery from the Great Cumbung Swamp as the autumn/ winter pulse arrived (30</w:t>
        </w:r>
        <w:r w:rsidR="00DA5439" w:rsidRPr="003A1466">
          <w:rPr>
            <w:rStyle w:val="Hyperlink"/>
            <w:noProof/>
            <w:vertAlign w:val="superscript"/>
          </w:rPr>
          <w:t>th</w:t>
        </w:r>
        <w:r w:rsidR="00DA5439" w:rsidRPr="003A1466">
          <w:rPr>
            <w:rStyle w:val="Hyperlink"/>
            <w:noProof/>
          </w:rPr>
          <w:t xml:space="preserve"> June 2019, upper image), at maximum extent of inundation (10</w:t>
        </w:r>
        <w:r w:rsidR="00DA5439" w:rsidRPr="003A1466">
          <w:rPr>
            <w:rStyle w:val="Hyperlink"/>
            <w:noProof/>
            <w:vertAlign w:val="superscript"/>
          </w:rPr>
          <w:t>th</w:t>
        </w:r>
        <w:r w:rsidR="00DA5439" w:rsidRPr="003A1466">
          <w:rPr>
            <w:rStyle w:val="Hyperlink"/>
            <w:noProof/>
          </w:rPr>
          <w:t xml:space="preserve"> July 2019, middle image) and once the water had receded (17</w:t>
        </w:r>
        <w:r w:rsidR="00DA5439" w:rsidRPr="003A1466">
          <w:rPr>
            <w:rStyle w:val="Hyperlink"/>
            <w:noProof/>
            <w:vertAlign w:val="superscript"/>
          </w:rPr>
          <w:t>th</w:t>
        </w:r>
        <w:r w:rsidR="00DA5439" w:rsidRPr="003A1466">
          <w:rPr>
            <w:rStyle w:val="Hyperlink"/>
            <w:noProof/>
          </w:rPr>
          <w:t xml:space="preserve"> August 2019, lower image).</w:t>
        </w:r>
        <w:r w:rsidR="00DA5439">
          <w:rPr>
            <w:noProof/>
            <w:webHidden/>
          </w:rPr>
          <w:tab/>
        </w:r>
        <w:r w:rsidR="00DA5439">
          <w:rPr>
            <w:noProof/>
            <w:webHidden/>
          </w:rPr>
          <w:fldChar w:fldCharType="begin"/>
        </w:r>
        <w:r w:rsidR="00DA5439">
          <w:rPr>
            <w:noProof/>
            <w:webHidden/>
          </w:rPr>
          <w:instrText xml:space="preserve"> PAGEREF _Toc31985581 \h </w:instrText>
        </w:r>
        <w:r w:rsidR="00DA5439">
          <w:rPr>
            <w:noProof/>
            <w:webHidden/>
          </w:rPr>
        </w:r>
        <w:r w:rsidR="00DA5439">
          <w:rPr>
            <w:noProof/>
            <w:webHidden/>
          </w:rPr>
          <w:fldChar w:fldCharType="separate"/>
        </w:r>
        <w:r w:rsidR="007F7607">
          <w:rPr>
            <w:noProof/>
            <w:webHidden/>
          </w:rPr>
          <w:t>46</w:t>
        </w:r>
        <w:r w:rsidR="00DA5439">
          <w:rPr>
            <w:noProof/>
            <w:webHidden/>
          </w:rPr>
          <w:fldChar w:fldCharType="end"/>
        </w:r>
      </w:hyperlink>
    </w:p>
    <w:p w14:paraId="28C8B504" w14:textId="43837FE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2" w:history="1">
        <w:r w:rsidR="00DA5439" w:rsidRPr="003A1466">
          <w:rPr>
            <w:rStyle w:val="Hyperlink"/>
            <w:noProof/>
          </w:rPr>
          <w:t>Figure 18. Map of monitoring sites for fish, larval fish and stream metabolism in the Lower Lachlan River Zone L1.</w:t>
        </w:r>
        <w:r w:rsidR="00DA5439">
          <w:rPr>
            <w:noProof/>
            <w:webHidden/>
          </w:rPr>
          <w:tab/>
        </w:r>
        <w:r w:rsidR="00DA5439">
          <w:rPr>
            <w:noProof/>
            <w:webHidden/>
          </w:rPr>
          <w:fldChar w:fldCharType="begin"/>
        </w:r>
        <w:r w:rsidR="00DA5439">
          <w:rPr>
            <w:noProof/>
            <w:webHidden/>
          </w:rPr>
          <w:instrText xml:space="preserve"> PAGEREF _Toc31985582 \h </w:instrText>
        </w:r>
        <w:r w:rsidR="00DA5439">
          <w:rPr>
            <w:noProof/>
            <w:webHidden/>
          </w:rPr>
        </w:r>
        <w:r w:rsidR="00DA5439">
          <w:rPr>
            <w:noProof/>
            <w:webHidden/>
          </w:rPr>
          <w:fldChar w:fldCharType="separate"/>
        </w:r>
        <w:r w:rsidR="007F7607">
          <w:rPr>
            <w:noProof/>
            <w:webHidden/>
          </w:rPr>
          <w:t>50</w:t>
        </w:r>
        <w:r w:rsidR="00DA5439">
          <w:rPr>
            <w:noProof/>
            <w:webHidden/>
          </w:rPr>
          <w:fldChar w:fldCharType="end"/>
        </w:r>
      </w:hyperlink>
    </w:p>
    <w:p w14:paraId="36D520D0" w14:textId="554C26C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3" w:history="1">
        <w:r w:rsidR="00DA5439" w:rsidRPr="003A1466">
          <w:rPr>
            <w:rStyle w:val="Hyperlink"/>
            <w:noProof/>
          </w:rPr>
          <w:t>Figure 19. Map of monitoring sites for fish, larval fish and stream metabolism in the Mid Lachlan River Zone M1.</w:t>
        </w:r>
        <w:r w:rsidR="00DA5439">
          <w:rPr>
            <w:noProof/>
            <w:webHidden/>
          </w:rPr>
          <w:tab/>
        </w:r>
        <w:r w:rsidR="00DA5439">
          <w:rPr>
            <w:noProof/>
            <w:webHidden/>
          </w:rPr>
          <w:fldChar w:fldCharType="begin"/>
        </w:r>
        <w:r w:rsidR="00DA5439">
          <w:rPr>
            <w:noProof/>
            <w:webHidden/>
          </w:rPr>
          <w:instrText xml:space="preserve"> PAGEREF _Toc31985583 \h </w:instrText>
        </w:r>
        <w:r w:rsidR="00DA5439">
          <w:rPr>
            <w:noProof/>
            <w:webHidden/>
          </w:rPr>
        </w:r>
        <w:r w:rsidR="00DA5439">
          <w:rPr>
            <w:noProof/>
            <w:webHidden/>
          </w:rPr>
          <w:fldChar w:fldCharType="separate"/>
        </w:r>
        <w:r w:rsidR="007F7607">
          <w:rPr>
            <w:noProof/>
            <w:webHidden/>
          </w:rPr>
          <w:t>51</w:t>
        </w:r>
        <w:r w:rsidR="00DA5439">
          <w:rPr>
            <w:noProof/>
            <w:webHidden/>
          </w:rPr>
          <w:fldChar w:fldCharType="end"/>
        </w:r>
      </w:hyperlink>
    </w:p>
    <w:p w14:paraId="2958948B" w14:textId="6E5EF0C7"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4" w:history="1">
        <w:r w:rsidR="00DA5439" w:rsidRPr="003A1466">
          <w:rPr>
            <w:rStyle w:val="Hyperlink"/>
            <w:noProof/>
          </w:rPr>
          <w:t>Figure 20. Stream metabolism sites in the Lower Lachlan (top left to bottom: LB, WAL, WB (CC not shown but similar to LB).</w:t>
        </w:r>
        <w:r w:rsidR="00DA5439">
          <w:rPr>
            <w:noProof/>
            <w:webHidden/>
          </w:rPr>
          <w:tab/>
        </w:r>
        <w:r w:rsidR="00DA5439">
          <w:rPr>
            <w:noProof/>
            <w:webHidden/>
          </w:rPr>
          <w:fldChar w:fldCharType="begin"/>
        </w:r>
        <w:r w:rsidR="00DA5439">
          <w:rPr>
            <w:noProof/>
            <w:webHidden/>
          </w:rPr>
          <w:instrText xml:space="preserve"> PAGEREF _Toc31985584 \h </w:instrText>
        </w:r>
        <w:r w:rsidR="00DA5439">
          <w:rPr>
            <w:noProof/>
            <w:webHidden/>
          </w:rPr>
        </w:r>
        <w:r w:rsidR="00DA5439">
          <w:rPr>
            <w:noProof/>
            <w:webHidden/>
          </w:rPr>
          <w:fldChar w:fldCharType="separate"/>
        </w:r>
        <w:r w:rsidR="007F7607">
          <w:rPr>
            <w:noProof/>
            <w:webHidden/>
          </w:rPr>
          <w:t>51</w:t>
        </w:r>
        <w:r w:rsidR="00DA5439">
          <w:rPr>
            <w:noProof/>
            <w:webHidden/>
          </w:rPr>
          <w:fldChar w:fldCharType="end"/>
        </w:r>
      </w:hyperlink>
    </w:p>
    <w:p w14:paraId="46476F30" w14:textId="22360F1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5" w:history="1">
        <w:r w:rsidR="00DA5439" w:rsidRPr="003A1466">
          <w:rPr>
            <w:rStyle w:val="Hyperlink"/>
            <w:noProof/>
          </w:rPr>
          <w:t>Figure 21. Stream metabolism sites in the Mid Lachlan (top left to bottom right: MG, TH, EB, KP)</w:t>
        </w:r>
        <w:r w:rsidR="00DA5439">
          <w:rPr>
            <w:noProof/>
            <w:webHidden/>
          </w:rPr>
          <w:tab/>
        </w:r>
        <w:r w:rsidR="00DA5439">
          <w:rPr>
            <w:noProof/>
            <w:webHidden/>
          </w:rPr>
          <w:fldChar w:fldCharType="begin"/>
        </w:r>
        <w:r w:rsidR="00DA5439">
          <w:rPr>
            <w:noProof/>
            <w:webHidden/>
          </w:rPr>
          <w:instrText xml:space="preserve"> PAGEREF _Toc31985585 \h </w:instrText>
        </w:r>
        <w:r w:rsidR="00DA5439">
          <w:rPr>
            <w:noProof/>
            <w:webHidden/>
          </w:rPr>
        </w:r>
        <w:r w:rsidR="00DA5439">
          <w:rPr>
            <w:noProof/>
            <w:webHidden/>
          </w:rPr>
          <w:fldChar w:fldCharType="separate"/>
        </w:r>
        <w:r w:rsidR="007F7607">
          <w:rPr>
            <w:noProof/>
            <w:webHidden/>
          </w:rPr>
          <w:t>52</w:t>
        </w:r>
        <w:r w:rsidR="00DA5439">
          <w:rPr>
            <w:noProof/>
            <w:webHidden/>
          </w:rPr>
          <w:fldChar w:fldCharType="end"/>
        </w:r>
      </w:hyperlink>
    </w:p>
    <w:p w14:paraId="3D816459" w14:textId="5B4F654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6" w:history="1">
        <w:r w:rsidR="00DA5439" w:rsidRPr="003A1466">
          <w:rPr>
            <w:rStyle w:val="Hyperlink"/>
            <w:noProof/>
          </w:rPr>
          <w:t>Figure 22. Water temperature and dissolved oxygen for the four Lower Lachlan sites (Cowl Cowl, Lane’s Bridge, Wallanthery and Whealbah) over the sampling period 2018-19.</w:t>
        </w:r>
        <w:r w:rsidR="00DA5439">
          <w:rPr>
            <w:noProof/>
            <w:webHidden/>
          </w:rPr>
          <w:tab/>
        </w:r>
        <w:r w:rsidR="00DA5439">
          <w:rPr>
            <w:noProof/>
            <w:webHidden/>
          </w:rPr>
          <w:fldChar w:fldCharType="begin"/>
        </w:r>
        <w:r w:rsidR="00DA5439">
          <w:rPr>
            <w:noProof/>
            <w:webHidden/>
          </w:rPr>
          <w:instrText xml:space="preserve"> PAGEREF _Toc31985586 \h </w:instrText>
        </w:r>
        <w:r w:rsidR="00DA5439">
          <w:rPr>
            <w:noProof/>
            <w:webHidden/>
          </w:rPr>
        </w:r>
        <w:r w:rsidR="00DA5439">
          <w:rPr>
            <w:noProof/>
            <w:webHidden/>
          </w:rPr>
          <w:fldChar w:fldCharType="separate"/>
        </w:r>
        <w:r w:rsidR="007F7607">
          <w:rPr>
            <w:noProof/>
            <w:webHidden/>
          </w:rPr>
          <w:t>54</w:t>
        </w:r>
        <w:r w:rsidR="00DA5439">
          <w:rPr>
            <w:noProof/>
            <w:webHidden/>
          </w:rPr>
          <w:fldChar w:fldCharType="end"/>
        </w:r>
      </w:hyperlink>
    </w:p>
    <w:p w14:paraId="27F370FE" w14:textId="35E4635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7" w:history="1">
        <w:r w:rsidR="00DA5439" w:rsidRPr="003A1466">
          <w:rPr>
            <w:rStyle w:val="Hyperlink"/>
            <w:noProof/>
          </w:rPr>
          <w:t>Figure 23. Mean water quality measurements (± standard error) for the four Lower Lachlan sites (Cowl Cowl, Lane’s Bridge, Wallanthery and Whealbah) over the sampling period 2018-19: physico chemical attributes.</w:t>
        </w:r>
        <w:r w:rsidR="00DA5439">
          <w:rPr>
            <w:noProof/>
            <w:webHidden/>
          </w:rPr>
          <w:tab/>
        </w:r>
        <w:r w:rsidR="00DA5439">
          <w:rPr>
            <w:noProof/>
            <w:webHidden/>
          </w:rPr>
          <w:fldChar w:fldCharType="begin"/>
        </w:r>
        <w:r w:rsidR="00DA5439">
          <w:rPr>
            <w:noProof/>
            <w:webHidden/>
          </w:rPr>
          <w:instrText xml:space="preserve"> PAGEREF _Toc31985587 \h </w:instrText>
        </w:r>
        <w:r w:rsidR="00DA5439">
          <w:rPr>
            <w:noProof/>
            <w:webHidden/>
          </w:rPr>
        </w:r>
        <w:r w:rsidR="00DA5439">
          <w:rPr>
            <w:noProof/>
            <w:webHidden/>
          </w:rPr>
          <w:fldChar w:fldCharType="separate"/>
        </w:r>
        <w:r w:rsidR="007F7607">
          <w:rPr>
            <w:noProof/>
            <w:webHidden/>
          </w:rPr>
          <w:t>55</w:t>
        </w:r>
        <w:r w:rsidR="00DA5439">
          <w:rPr>
            <w:noProof/>
            <w:webHidden/>
          </w:rPr>
          <w:fldChar w:fldCharType="end"/>
        </w:r>
      </w:hyperlink>
    </w:p>
    <w:p w14:paraId="41427EC4" w14:textId="78320C0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8" w:history="1">
        <w:r w:rsidR="00DA5439" w:rsidRPr="003A1466">
          <w:rPr>
            <w:rStyle w:val="Hyperlink"/>
            <w:noProof/>
          </w:rPr>
          <w:t>Figure 24. Mean water quality measurements (± standard error) for the four Lower Lachlan sites (Cowl Cowl, Lane’s Bridge, Wallanthery and Whealbah) over the sampling period 2018-19: nutrients and chlorophyll a.</w:t>
        </w:r>
        <w:r w:rsidR="00DA5439">
          <w:rPr>
            <w:noProof/>
            <w:webHidden/>
          </w:rPr>
          <w:tab/>
        </w:r>
        <w:r w:rsidR="00DA5439">
          <w:rPr>
            <w:noProof/>
            <w:webHidden/>
          </w:rPr>
          <w:fldChar w:fldCharType="begin"/>
        </w:r>
        <w:r w:rsidR="00DA5439">
          <w:rPr>
            <w:noProof/>
            <w:webHidden/>
          </w:rPr>
          <w:instrText xml:space="preserve"> PAGEREF _Toc31985588 \h </w:instrText>
        </w:r>
        <w:r w:rsidR="00DA5439">
          <w:rPr>
            <w:noProof/>
            <w:webHidden/>
          </w:rPr>
        </w:r>
        <w:r w:rsidR="00DA5439">
          <w:rPr>
            <w:noProof/>
            <w:webHidden/>
          </w:rPr>
          <w:fldChar w:fldCharType="separate"/>
        </w:r>
        <w:r w:rsidR="007F7607">
          <w:rPr>
            <w:noProof/>
            <w:webHidden/>
          </w:rPr>
          <w:t>56</w:t>
        </w:r>
        <w:r w:rsidR="00DA5439">
          <w:rPr>
            <w:noProof/>
            <w:webHidden/>
          </w:rPr>
          <w:fldChar w:fldCharType="end"/>
        </w:r>
      </w:hyperlink>
    </w:p>
    <w:p w14:paraId="2F05EB6A" w14:textId="654E6C6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89" w:history="1">
        <w:r w:rsidR="00DA5439" w:rsidRPr="003A1466">
          <w:rPr>
            <w:rStyle w:val="Hyperlink"/>
            <w:noProof/>
          </w:rPr>
          <w:t>Figure 25. Water temperature and dissolved oxygen from the Mid Lachlan River for the four study sites each over the sampling period 2018-19</w:t>
        </w:r>
        <w:r w:rsidR="00DA5439">
          <w:rPr>
            <w:noProof/>
            <w:webHidden/>
          </w:rPr>
          <w:tab/>
        </w:r>
        <w:r w:rsidR="00DA5439">
          <w:rPr>
            <w:noProof/>
            <w:webHidden/>
          </w:rPr>
          <w:fldChar w:fldCharType="begin"/>
        </w:r>
        <w:r w:rsidR="00DA5439">
          <w:rPr>
            <w:noProof/>
            <w:webHidden/>
          </w:rPr>
          <w:instrText xml:space="preserve"> PAGEREF _Toc31985589 \h </w:instrText>
        </w:r>
        <w:r w:rsidR="00DA5439">
          <w:rPr>
            <w:noProof/>
            <w:webHidden/>
          </w:rPr>
        </w:r>
        <w:r w:rsidR="00DA5439">
          <w:rPr>
            <w:noProof/>
            <w:webHidden/>
          </w:rPr>
          <w:fldChar w:fldCharType="separate"/>
        </w:r>
        <w:r w:rsidR="007F7607">
          <w:rPr>
            <w:noProof/>
            <w:webHidden/>
          </w:rPr>
          <w:t>57</w:t>
        </w:r>
        <w:r w:rsidR="00DA5439">
          <w:rPr>
            <w:noProof/>
            <w:webHidden/>
          </w:rPr>
          <w:fldChar w:fldCharType="end"/>
        </w:r>
      </w:hyperlink>
    </w:p>
    <w:p w14:paraId="1124FC8E" w14:textId="0499E6C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0" w:history="1">
        <w:r w:rsidR="00DA5439" w:rsidRPr="003A1466">
          <w:rPr>
            <w:rStyle w:val="Hyperlink"/>
            <w:noProof/>
          </w:rPr>
          <w:t>Figure 26. Mean water quality measurements (± standard error) for four Mid Lachlan sites (Euabalong, Techam, Mulgutherie, Kirkup Park) over the sampling period 2018-19: physico chemical attributes.</w:t>
        </w:r>
        <w:r w:rsidR="00DA5439">
          <w:rPr>
            <w:noProof/>
            <w:webHidden/>
          </w:rPr>
          <w:tab/>
        </w:r>
        <w:r w:rsidR="00DA5439">
          <w:rPr>
            <w:noProof/>
            <w:webHidden/>
          </w:rPr>
          <w:fldChar w:fldCharType="begin"/>
        </w:r>
        <w:r w:rsidR="00DA5439">
          <w:rPr>
            <w:noProof/>
            <w:webHidden/>
          </w:rPr>
          <w:instrText xml:space="preserve"> PAGEREF _Toc31985590 \h </w:instrText>
        </w:r>
        <w:r w:rsidR="00DA5439">
          <w:rPr>
            <w:noProof/>
            <w:webHidden/>
          </w:rPr>
        </w:r>
        <w:r w:rsidR="00DA5439">
          <w:rPr>
            <w:noProof/>
            <w:webHidden/>
          </w:rPr>
          <w:fldChar w:fldCharType="separate"/>
        </w:r>
        <w:r w:rsidR="007F7607">
          <w:rPr>
            <w:noProof/>
            <w:webHidden/>
          </w:rPr>
          <w:t>58</w:t>
        </w:r>
        <w:r w:rsidR="00DA5439">
          <w:rPr>
            <w:noProof/>
            <w:webHidden/>
          </w:rPr>
          <w:fldChar w:fldCharType="end"/>
        </w:r>
      </w:hyperlink>
    </w:p>
    <w:p w14:paraId="52F98C28" w14:textId="0EECD74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1" w:history="1">
        <w:r w:rsidR="00DA5439" w:rsidRPr="003A1466">
          <w:rPr>
            <w:rStyle w:val="Hyperlink"/>
            <w:noProof/>
          </w:rPr>
          <w:t>Figure 27. Mean water quality measurements (± standard error) for the four Mid Lachlan sites (Euabalong, Techam, Mulgutherie, Kirkup Park) over the sampling period 2018-19: nutrients and chlorophyll a.</w:t>
        </w:r>
        <w:r w:rsidR="00DA5439">
          <w:rPr>
            <w:noProof/>
            <w:webHidden/>
          </w:rPr>
          <w:tab/>
        </w:r>
        <w:r w:rsidR="00DA5439">
          <w:rPr>
            <w:noProof/>
            <w:webHidden/>
          </w:rPr>
          <w:fldChar w:fldCharType="begin"/>
        </w:r>
        <w:r w:rsidR="00DA5439">
          <w:rPr>
            <w:noProof/>
            <w:webHidden/>
          </w:rPr>
          <w:instrText xml:space="preserve"> PAGEREF _Toc31985591 \h </w:instrText>
        </w:r>
        <w:r w:rsidR="00DA5439">
          <w:rPr>
            <w:noProof/>
            <w:webHidden/>
          </w:rPr>
        </w:r>
        <w:r w:rsidR="00DA5439">
          <w:rPr>
            <w:noProof/>
            <w:webHidden/>
          </w:rPr>
          <w:fldChar w:fldCharType="separate"/>
        </w:r>
        <w:r w:rsidR="007F7607">
          <w:rPr>
            <w:noProof/>
            <w:webHidden/>
          </w:rPr>
          <w:t>59</w:t>
        </w:r>
        <w:r w:rsidR="00DA5439">
          <w:rPr>
            <w:noProof/>
            <w:webHidden/>
          </w:rPr>
          <w:fldChar w:fldCharType="end"/>
        </w:r>
      </w:hyperlink>
    </w:p>
    <w:p w14:paraId="4A82B9B1" w14:textId="117D344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2" w:history="1">
        <w:r w:rsidR="00DA5439" w:rsidRPr="003A1466">
          <w:rPr>
            <w:rStyle w:val="Hyperlink"/>
            <w:noProof/>
          </w:rPr>
          <w:t>Figure 28. Water temperature and dissolved oxygen for the four study sites from the Lower Lachlan River (Cowl Cowl, Lane’s Bridge, Wallanthery and Whealbah) over the sampling period 2014-19.</w:t>
        </w:r>
        <w:r w:rsidR="00DA5439">
          <w:rPr>
            <w:noProof/>
            <w:webHidden/>
          </w:rPr>
          <w:tab/>
        </w:r>
        <w:r w:rsidR="00DA5439">
          <w:rPr>
            <w:noProof/>
            <w:webHidden/>
          </w:rPr>
          <w:fldChar w:fldCharType="begin"/>
        </w:r>
        <w:r w:rsidR="00DA5439">
          <w:rPr>
            <w:noProof/>
            <w:webHidden/>
          </w:rPr>
          <w:instrText xml:space="preserve"> PAGEREF _Toc31985592 \h </w:instrText>
        </w:r>
        <w:r w:rsidR="00DA5439">
          <w:rPr>
            <w:noProof/>
            <w:webHidden/>
          </w:rPr>
        </w:r>
        <w:r w:rsidR="00DA5439">
          <w:rPr>
            <w:noProof/>
            <w:webHidden/>
          </w:rPr>
          <w:fldChar w:fldCharType="separate"/>
        </w:r>
        <w:r w:rsidR="007F7607">
          <w:rPr>
            <w:noProof/>
            <w:webHidden/>
          </w:rPr>
          <w:t>61</w:t>
        </w:r>
        <w:r w:rsidR="00DA5439">
          <w:rPr>
            <w:noProof/>
            <w:webHidden/>
          </w:rPr>
          <w:fldChar w:fldCharType="end"/>
        </w:r>
      </w:hyperlink>
    </w:p>
    <w:p w14:paraId="141A8901" w14:textId="7723EF4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3" w:history="1">
        <w:r w:rsidR="00DA5439" w:rsidRPr="003A1466">
          <w:rPr>
            <w:rStyle w:val="Hyperlink"/>
            <w:noProof/>
          </w:rPr>
          <w:t>Figure 29. Mean water quality measurements (± standard error) for four Lower Lachlan sites (Cowl Cowl, Lane’s Bridge, Wallanthery and Whealbah) over the sampling period 2014-19: physico chemical attributes.</w:t>
        </w:r>
        <w:r w:rsidR="00DA5439">
          <w:rPr>
            <w:noProof/>
            <w:webHidden/>
          </w:rPr>
          <w:tab/>
        </w:r>
        <w:r w:rsidR="00DA5439">
          <w:rPr>
            <w:noProof/>
            <w:webHidden/>
          </w:rPr>
          <w:fldChar w:fldCharType="begin"/>
        </w:r>
        <w:r w:rsidR="00DA5439">
          <w:rPr>
            <w:noProof/>
            <w:webHidden/>
          </w:rPr>
          <w:instrText xml:space="preserve"> PAGEREF _Toc31985593 \h </w:instrText>
        </w:r>
        <w:r w:rsidR="00DA5439">
          <w:rPr>
            <w:noProof/>
            <w:webHidden/>
          </w:rPr>
        </w:r>
        <w:r w:rsidR="00DA5439">
          <w:rPr>
            <w:noProof/>
            <w:webHidden/>
          </w:rPr>
          <w:fldChar w:fldCharType="separate"/>
        </w:r>
        <w:r w:rsidR="007F7607">
          <w:rPr>
            <w:noProof/>
            <w:webHidden/>
          </w:rPr>
          <w:t>62</w:t>
        </w:r>
        <w:r w:rsidR="00DA5439">
          <w:rPr>
            <w:noProof/>
            <w:webHidden/>
          </w:rPr>
          <w:fldChar w:fldCharType="end"/>
        </w:r>
      </w:hyperlink>
    </w:p>
    <w:p w14:paraId="5906ACB3" w14:textId="436EFAC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4" w:history="1">
        <w:r w:rsidR="00DA5439" w:rsidRPr="003A1466">
          <w:rPr>
            <w:rStyle w:val="Hyperlink"/>
            <w:noProof/>
          </w:rPr>
          <w:t>Figure 30. Mean water quality measurements (± standard error) for the four Lower Lachlan sites (Cowl Cowl, Lane’s Bridge, Wallanthery and Whealbah) over the sampling period 2014-19: nutrients and chlorophyll a.</w:t>
        </w:r>
        <w:r w:rsidR="00DA5439">
          <w:rPr>
            <w:noProof/>
            <w:webHidden/>
          </w:rPr>
          <w:tab/>
        </w:r>
        <w:r w:rsidR="00DA5439">
          <w:rPr>
            <w:noProof/>
            <w:webHidden/>
          </w:rPr>
          <w:fldChar w:fldCharType="begin"/>
        </w:r>
        <w:r w:rsidR="00DA5439">
          <w:rPr>
            <w:noProof/>
            <w:webHidden/>
          </w:rPr>
          <w:instrText xml:space="preserve"> PAGEREF _Toc31985594 \h </w:instrText>
        </w:r>
        <w:r w:rsidR="00DA5439">
          <w:rPr>
            <w:noProof/>
            <w:webHidden/>
          </w:rPr>
        </w:r>
        <w:r w:rsidR="00DA5439">
          <w:rPr>
            <w:noProof/>
            <w:webHidden/>
          </w:rPr>
          <w:fldChar w:fldCharType="separate"/>
        </w:r>
        <w:r w:rsidR="007F7607">
          <w:rPr>
            <w:noProof/>
            <w:webHidden/>
          </w:rPr>
          <w:t>63</w:t>
        </w:r>
        <w:r w:rsidR="00DA5439">
          <w:rPr>
            <w:noProof/>
            <w:webHidden/>
          </w:rPr>
          <w:fldChar w:fldCharType="end"/>
        </w:r>
      </w:hyperlink>
    </w:p>
    <w:p w14:paraId="701C37D9" w14:textId="14DFCB57"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5" w:history="1">
        <w:r w:rsidR="00DA5439" w:rsidRPr="003A1466">
          <w:rPr>
            <w:rStyle w:val="Hyperlink"/>
            <w:noProof/>
          </w:rPr>
          <w:t>Figure 31. Gross primary production (GPP), Ecosystem respiration (ER), Reaeration (K) and the GPP/ ER ratio from Lane’s Bridge in the Lower Lachlan, July 2018 - June 2019</w:t>
        </w:r>
        <w:r w:rsidR="00DA5439">
          <w:rPr>
            <w:noProof/>
            <w:webHidden/>
          </w:rPr>
          <w:tab/>
        </w:r>
        <w:r w:rsidR="00DA5439">
          <w:rPr>
            <w:noProof/>
            <w:webHidden/>
          </w:rPr>
          <w:fldChar w:fldCharType="begin"/>
        </w:r>
        <w:r w:rsidR="00DA5439">
          <w:rPr>
            <w:noProof/>
            <w:webHidden/>
          </w:rPr>
          <w:instrText xml:space="preserve"> PAGEREF _Toc31985595 \h </w:instrText>
        </w:r>
        <w:r w:rsidR="00DA5439">
          <w:rPr>
            <w:noProof/>
            <w:webHidden/>
          </w:rPr>
        </w:r>
        <w:r w:rsidR="00DA5439">
          <w:rPr>
            <w:noProof/>
            <w:webHidden/>
          </w:rPr>
          <w:fldChar w:fldCharType="separate"/>
        </w:r>
        <w:r w:rsidR="007F7607">
          <w:rPr>
            <w:noProof/>
            <w:webHidden/>
          </w:rPr>
          <w:t>66</w:t>
        </w:r>
        <w:r w:rsidR="00DA5439">
          <w:rPr>
            <w:noProof/>
            <w:webHidden/>
          </w:rPr>
          <w:fldChar w:fldCharType="end"/>
        </w:r>
      </w:hyperlink>
    </w:p>
    <w:p w14:paraId="05978476" w14:textId="57605F8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6" w:history="1">
        <w:r w:rsidR="00DA5439" w:rsidRPr="003A1466">
          <w:rPr>
            <w:rStyle w:val="Hyperlink"/>
            <w:noProof/>
          </w:rPr>
          <w:t>Figure 32. Gross primary production (GPP), Ecosystem respiration (ER), Reaeration (K) and the GPP/ ER ratio from Techham in the Mid Lachlan, August 2018 - June 2019.</w:t>
        </w:r>
        <w:r w:rsidR="00DA5439">
          <w:rPr>
            <w:noProof/>
            <w:webHidden/>
          </w:rPr>
          <w:tab/>
        </w:r>
        <w:r w:rsidR="00DA5439">
          <w:rPr>
            <w:noProof/>
            <w:webHidden/>
          </w:rPr>
          <w:fldChar w:fldCharType="begin"/>
        </w:r>
        <w:r w:rsidR="00DA5439">
          <w:rPr>
            <w:noProof/>
            <w:webHidden/>
          </w:rPr>
          <w:instrText xml:space="preserve"> PAGEREF _Toc31985596 \h </w:instrText>
        </w:r>
        <w:r w:rsidR="00DA5439">
          <w:rPr>
            <w:noProof/>
            <w:webHidden/>
          </w:rPr>
        </w:r>
        <w:r w:rsidR="00DA5439">
          <w:rPr>
            <w:noProof/>
            <w:webHidden/>
          </w:rPr>
          <w:fldChar w:fldCharType="separate"/>
        </w:r>
        <w:r w:rsidR="007F7607">
          <w:rPr>
            <w:noProof/>
            <w:webHidden/>
          </w:rPr>
          <w:t>69</w:t>
        </w:r>
        <w:r w:rsidR="00DA5439">
          <w:rPr>
            <w:noProof/>
            <w:webHidden/>
          </w:rPr>
          <w:fldChar w:fldCharType="end"/>
        </w:r>
      </w:hyperlink>
    </w:p>
    <w:p w14:paraId="20C14377" w14:textId="22BC25E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7" w:history="1">
        <w:r w:rsidR="00DA5439" w:rsidRPr="003A1466">
          <w:rPr>
            <w:rStyle w:val="Hyperlink"/>
            <w:noProof/>
          </w:rPr>
          <w:t>Figure 33. In-stream structures at Whealbah.</w:t>
        </w:r>
        <w:r w:rsidR="00DA5439">
          <w:rPr>
            <w:noProof/>
            <w:webHidden/>
          </w:rPr>
          <w:tab/>
        </w:r>
        <w:r w:rsidR="00DA5439">
          <w:rPr>
            <w:noProof/>
            <w:webHidden/>
          </w:rPr>
          <w:fldChar w:fldCharType="begin"/>
        </w:r>
        <w:r w:rsidR="00DA5439">
          <w:rPr>
            <w:noProof/>
            <w:webHidden/>
          </w:rPr>
          <w:instrText xml:space="preserve"> PAGEREF _Toc31985597 \h </w:instrText>
        </w:r>
        <w:r w:rsidR="00DA5439">
          <w:rPr>
            <w:noProof/>
            <w:webHidden/>
          </w:rPr>
        </w:r>
        <w:r w:rsidR="00DA5439">
          <w:rPr>
            <w:noProof/>
            <w:webHidden/>
          </w:rPr>
          <w:fldChar w:fldCharType="separate"/>
        </w:r>
        <w:r w:rsidR="007F7607">
          <w:rPr>
            <w:noProof/>
            <w:webHidden/>
          </w:rPr>
          <w:t>70</w:t>
        </w:r>
        <w:r w:rsidR="00DA5439">
          <w:rPr>
            <w:noProof/>
            <w:webHidden/>
          </w:rPr>
          <w:fldChar w:fldCharType="end"/>
        </w:r>
      </w:hyperlink>
    </w:p>
    <w:p w14:paraId="3145E03B" w14:textId="3DB1D4B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8" w:history="1">
        <w:r w:rsidR="00DA5439" w:rsidRPr="003A1466">
          <w:rPr>
            <w:rStyle w:val="Hyperlink"/>
            <w:noProof/>
          </w:rPr>
          <w:t>Figure 34. Gross primary production (GPP), Ecosystem respiration (ER), Reaeration (K) and the GPP/ ER ratio from Lane’s Bridge in the Lower Lachlan, August 2014 - June 2019.</w:t>
        </w:r>
        <w:r w:rsidR="00DA5439">
          <w:rPr>
            <w:noProof/>
            <w:webHidden/>
          </w:rPr>
          <w:tab/>
        </w:r>
        <w:r w:rsidR="00DA5439">
          <w:rPr>
            <w:noProof/>
            <w:webHidden/>
          </w:rPr>
          <w:fldChar w:fldCharType="begin"/>
        </w:r>
        <w:r w:rsidR="00DA5439">
          <w:rPr>
            <w:noProof/>
            <w:webHidden/>
          </w:rPr>
          <w:instrText xml:space="preserve"> PAGEREF _Toc31985598 \h </w:instrText>
        </w:r>
        <w:r w:rsidR="00DA5439">
          <w:rPr>
            <w:noProof/>
            <w:webHidden/>
          </w:rPr>
        </w:r>
        <w:r w:rsidR="00DA5439">
          <w:rPr>
            <w:noProof/>
            <w:webHidden/>
          </w:rPr>
          <w:fldChar w:fldCharType="separate"/>
        </w:r>
        <w:r w:rsidR="007F7607">
          <w:rPr>
            <w:noProof/>
            <w:webHidden/>
          </w:rPr>
          <w:t>72</w:t>
        </w:r>
        <w:r w:rsidR="00DA5439">
          <w:rPr>
            <w:noProof/>
            <w:webHidden/>
          </w:rPr>
          <w:fldChar w:fldCharType="end"/>
        </w:r>
      </w:hyperlink>
    </w:p>
    <w:p w14:paraId="60B81385" w14:textId="73B36CE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599" w:history="1">
        <w:r w:rsidR="00DA5439" w:rsidRPr="003A1466">
          <w:rPr>
            <w:rStyle w:val="Hyperlink"/>
            <w:noProof/>
          </w:rPr>
          <w:t>Figure 35. Gross primary production (GPP) from Wallanthery, Cowl Cowl and Whealbah in the Lower Lachlan, June 2018 - June 2019.</w:t>
        </w:r>
        <w:r w:rsidR="00DA5439">
          <w:rPr>
            <w:noProof/>
            <w:webHidden/>
          </w:rPr>
          <w:tab/>
        </w:r>
        <w:r w:rsidR="00DA5439">
          <w:rPr>
            <w:noProof/>
            <w:webHidden/>
          </w:rPr>
          <w:fldChar w:fldCharType="begin"/>
        </w:r>
        <w:r w:rsidR="00DA5439">
          <w:rPr>
            <w:noProof/>
            <w:webHidden/>
          </w:rPr>
          <w:instrText xml:space="preserve"> PAGEREF _Toc31985599 \h </w:instrText>
        </w:r>
        <w:r w:rsidR="00DA5439">
          <w:rPr>
            <w:noProof/>
            <w:webHidden/>
          </w:rPr>
        </w:r>
        <w:r w:rsidR="00DA5439">
          <w:rPr>
            <w:noProof/>
            <w:webHidden/>
          </w:rPr>
          <w:fldChar w:fldCharType="separate"/>
        </w:r>
        <w:r w:rsidR="007F7607">
          <w:rPr>
            <w:noProof/>
            <w:webHidden/>
          </w:rPr>
          <w:t>76</w:t>
        </w:r>
        <w:r w:rsidR="00DA5439">
          <w:rPr>
            <w:noProof/>
            <w:webHidden/>
          </w:rPr>
          <w:fldChar w:fldCharType="end"/>
        </w:r>
      </w:hyperlink>
    </w:p>
    <w:p w14:paraId="10D1B83A" w14:textId="63FC8CB7"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0" w:history="1">
        <w:r w:rsidR="00DA5439" w:rsidRPr="003A1466">
          <w:rPr>
            <w:rStyle w:val="Hyperlink"/>
            <w:noProof/>
          </w:rPr>
          <w:t>Figure 36. Ecosystem respiration (ER) from Wallanthery, Cowl Cowl and Whealbah in the Lower Lachlan, June 2018 - June 2019.</w:t>
        </w:r>
        <w:r w:rsidR="00DA5439">
          <w:rPr>
            <w:noProof/>
            <w:webHidden/>
          </w:rPr>
          <w:tab/>
        </w:r>
        <w:r w:rsidR="00DA5439">
          <w:rPr>
            <w:noProof/>
            <w:webHidden/>
          </w:rPr>
          <w:fldChar w:fldCharType="begin"/>
        </w:r>
        <w:r w:rsidR="00DA5439">
          <w:rPr>
            <w:noProof/>
            <w:webHidden/>
          </w:rPr>
          <w:instrText xml:space="preserve"> PAGEREF _Toc31985600 \h </w:instrText>
        </w:r>
        <w:r w:rsidR="00DA5439">
          <w:rPr>
            <w:noProof/>
            <w:webHidden/>
          </w:rPr>
        </w:r>
        <w:r w:rsidR="00DA5439">
          <w:rPr>
            <w:noProof/>
            <w:webHidden/>
          </w:rPr>
          <w:fldChar w:fldCharType="separate"/>
        </w:r>
        <w:r w:rsidR="007F7607">
          <w:rPr>
            <w:noProof/>
            <w:webHidden/>
          </w:rPr>
          <w:t>77</w:t>
        </w:r>
        <w:r w:rsidR="00DA5439">
          <w:rPr>
            <w:noProof/>
            <w:webHidden/>
          </w:rPr>
          <w:fldChar w:fldCharType="end"/>
        </w:r>
      </w:hyperlink>
    </w:p>
    <w:p w14:paraId="5895338E" w14:textId="5E5C779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1" w:history="1">
        <w:r w:rsidR="00DA5439" w:rsidRPr="003A1466">
          <w:rPr>
            <w:rStyle w:val="Hyperlink"/>
            <w:noProof/>
          </w:rPr>
          <w:t>Figure 37. Reaeration (K) from Wallanthery, Cowl Cowl and Whealbah in the Lower Lachlan, June 2018 - June 2019.</w:t>
        </w:r>
        <w:r w:rsidR="00DA5439">
          <w:rPr>
            <w:noProof/>
            <w:webHidden/>
          </w:rPr>
          <w:tab/>
        </w:r>
        <w:r w:rsidR="00DA5439">
          <w:rPr>
            <w:noProof/>
            <w:webHidden/>
          </w:rPr>
          <w:fldChar w:fldCharType="begin"/>
        </w:r>
        <w:r w:rsidR="00DA5439">
          <w:rPr>
            <w:noProof/>
            <w:webHidden/>
          </w:rPr>
          <w:instrText xml:space="preserve"> PAGEREF _Toc31985601 \h </w:instrText>
        </w:r>
        <w:r w:rsidR="00DA5439">
          <w:rPr>
            <w:noProof/>
            <w:webHidden/>
          </w:rPr>
        </w:r>
        <w:r w:rsidR="00DA5439">
          <w:rPr>
            <w:noProof/>
            <w:webHidden/>
          </w:rPr>
          <w:fldChar w:fldCharType="separate"/>
        </w:r>
        <w:r w:rsidR="007F7607">
          <w:rPr>
            <w:noProof/>
            <w:webHidden/>
          </w:rPr>
          <w:t>78</w:t>
        </w:r>
        <w:r w:rsidR="00DA5439">
          <w:rPr>
            <w:noProof/>
            <w:webHidden/>
          </w:rPr>
          <w:fldChar w:fldCharType="end"/>
        </w:r>
      </w:hyperlink>
    </w:p>
    <w:p w14:paraId="6EE7A80C" w14:textId="59DB560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2" w:history="1">
        <w:r w:rsidR="00DA5439" w:rsidRPr="003A1466">
          <w:rPr>
            <w:rStyle w:val="Hyperlink"/>
            <w:noProof/>
          </w:rPr>
          <w:t>Figure 38. GPP/ ER ratio from Wallanthery, Cowl Cowl and Whealbah in the Lower Lachlan, June 2018 - June 2019.</w:t>
        </w:r>
        <w:r w:rsidR="00DA5439">
          <w:rPr>
            <w:noProof/>
            <w:webHidden/>
          </w:rPr>
          <w:tab/>
        </w:r>
        <w:r w:rsidR="00DA5439">
          <w:rPr>
            <w:noProof/>
            <w:webHidden/>
          </w:rPr>
          <w:fldChar w:fldCharType="begin"/>
        </w:r>
        <w:r w:rsidR="00DA5439">
          <w:rPr>
            <w:noProof/>
            <w:webHidden/>
          </w:rPr>
          <w:instrText xml:space="preserve"> PAGEREF _Toc31985602 \h </w:instrText>
        </w:r>
        <w:r w:rsidR="00DA5439">
          <w:rPr>
            <w:noProof/>
            <w:webHidden/>
          </w:rPr>
        </w:r>
        <w:r w:rsidR="00DA5439">
          <w:rPr>
            <w:noProof/>
            <w:webHidden/>
          </w:rPr>
          <w:fldChar w:fldCharType="separate"/>
        </w:r>
        <w:r w:rsidR="007F7607">
          <w:rPr>
            <w:noProof/>
            <w:webHidden/>
          </w:rPr>
          <w:t>79</w:t>
        </w:r>
        <w:r w:rsidR="00DA5439">
          <w:rPr>
            <w:noProof/>
            <w:webHidden/>
          </w:rPr>
          <w:fldChar w:fldCharType="end"/>
        </w:r>
      </w:hyperlink>
    </w:p>
    <w:p w14:paraId="4826CFEA" w14:textId="38B5524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3" w:history="1">
        <w:r w:rsidR="00DA5439" w:rsidRPr="003A1466">
          <w:rPr>
            <w:rStyle w:val="Hyperlink"/>
            <w:noProof/>
          </w:rPr>
          <w:t>Figure 39. Gross primary production (GPP) from Kirkup Park, Mulgutherie and Euabalong in the Mid Lachlan, August 2018 - June 2019.</w:t>
        </w:r>
        <w:r w:rsidR="00DA5439">
          <w:rPr>
            <w:noProof/>
            <w:webHidden/>
          </w:rPr>
          <w:tab/>
        </w:r>
        <w:r w:rsidR="00DA5439">
          <w:rPr>
            <w:noProof/>
            <w:webHidden/>
          </w:rPr>
          <w:fldChar w:fldCharType="begin"/>
        </w:r>
        <w:r w:rsidR="00DA5439">
          <w:rPr>
            <w:noProof/>
            <w:webHidden/>
          </w:rPr>
          <w:instrText xml:space="preserve"> PAGEREF _Toc31985603 \h </w:instrText>
        </w:r>
        <w:r w:rsidR="00DA5439">
          <w:rPr>
            <w:noProof/>
            <w:webHidden/>
          </w:rPr>
        </w:r>
        <w:r w:rsidR="00DA5439">
          <w:rPr>
            <w:noProof/>
            <w:webHidden/>
          </w:rPr>
          <w:fldChar w:fldCharType="separate"/>
        </w:r>
        <w:r w:rsidR="007F7607">
          <w:rPr>
            <w:noProof/>
            <w:webHidden/>
          </w:rPr>
          <w:t>80</w:t>
        </w:r>
        <w:r w:rsidR="00DA5439">
          <w:rPr>
            <w:noProof/>
            <w:webHidden/>
          </w:rPr>
          <w:fldChar w:fldCharType="end"/>
        </w:r>
      </w:hyperlink>
    </w:p>
    <w:p w14:paraId="14033215" w14:textId="2C0A555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4" w:history="1">
        <w:r w:rsidR="00DA5439" w:rsidRPr="003A1466">
          <w:rPr>
            <w:rStyle w:val="Hyperlink"/>
            <w:noProof/>
          </w:rPr>
          <w:t>Figure 40. Ecosystem respiration (ER) from Kirkup Park, Mulgutherie and Euabalong in the Mid Lachlan River, August 2018 - June 2019.</w:t>
        </w:r>
        <w:r w:rsidR="00DA5439">
          <w:rPr>
            <w:noProof/>
            <w:webHidden/>
          </w:rPr>
          <w:tab/>
        </w:r>
        <w:r w:rsidR="00DA5439">
          <w:rPr>
            <w:noProof/>
            <w:webHidden/>
          </w:rPr>
          <w:fldChar w:fldCharType="begin"/>
        </w:r>
        <w:r w:rsidR="00DA5439">
          <w:rPr>
            <w:noProof/>
            <w:webHidden/>
          </w:rPr>
          <w:instrText xml:space="preserve"> PAGEREF _Toc31985604 \h </w:instrText>
        </w:r>
        <w:r w:rsidR="00DA5439">
          <w:rPr>
            <w:noProof/>
            <w:webHidden/>
          </w:rPr>
        </w:r>
        <w:r w:rsidR="00DA5439">
          <w:rPr>
            <w:noProof/>
            <w:webHidden/>
          </w:rPr>
          <w:fldChar w:fldCharType="separate"/>
        </w:r>
        <w:r w:rsidR="007F7607">
          <w:rPr>
            <w:noProof/>
            <w:webHidden/>
          </w:rPr>
          <w:t>81</w:t>
        </w:r>
        <w:r w:rsidR="00DA5439">
          <w:rPr>
            <w:noProof/>
            <w:webHidden/>
          </w:rPr>
          <w:fldChar w:fldCharType="end"/>
        </w:r>
      </w:hyperlink>
    </w:p>
    <w:p w14:paraId="59A4FC96" w14:textId="165E488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5" w:history="1">
        <w:r w:rsidR="00DA5439" w:rsidRPr="003A1466">
          <w:rPr>
            <w:rStyle w:val="Hyperlink"/>
            <w:noProof/>
          </w:rPr>
          <w:t>Figure 41. Reaeration (K) from Kirkup Park, Mulgutherie and Euabalong in the Mid Lachlan River, August 2018 - June 2019.</w:t>
        </w:r>
        <w:r w:rsidR="00DA5439">
          <w:rPr>
            <w:noProof/>
            <w:webHidden/>
          </w:rPr>
          <w:tab/>
        </w:r>
        <w:r w:rsidR="00DA5439">
          <w:rPr>
            <w:noProof/>
            <w:webHidden/>
          </w:rPr>
          <w:fldChar w:fldCharType="begin"/>
        </w:r>
        <w:r w:rsidR="00DA5439">
          <w:rPr>
            <w:noProof/>
            <w:webHidden/>
          </w:rPr>
          <w:instrText xml:space="preserve"> PAGEREF _Toc31985605 \h </w:instrText>
        </w:r>
        <w:r w:rsidR="00DA5439">
          <w:rPr>
            <w:noProof/>
            <w:webHidden/>
          </w:rPr>
        </w:r>
        <w:r w:rsidR="00DA5439">
          <w:rPr>
            <w:noProof/>
            <w:webHidden/>
          </w:rPr>
          <w:fldChar w:fldCharType="separate"/>
        </w:r>
        <w:r w:rsidR="007F7607">
          <w:rPr>
            <w:noProof/>
            <w:webHidden/>
          </w:rPr>
          <w:t>82</w:t>
        </w:r>
        <w:r w:rsidR="00DA5439">
          <w:rPr>
            <w:noProof/>
            <w:webHidden/>
          </w:rPr>
          <w:fldChar w:fldCharType="end"/>
        </w:r>
      </w:hyperlink>
    </w:p>
    <w:p w14:paraId="297ADFBC" w14:textId="4D23DF7E"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6" w:history="1">
        <w:r w:rsidR="00DA5439" w:rsidRPr="003A1466">
          <w:rPr>
            <w:rStyle w:val="Hyperlink"/>
            <w:noProof/>
          </w:rPr>
          <w:t>Figure 42. GPP/ ER ratios from Kirkup Park, Mulgutherie and Euabalong in the Mid Lachlan River, August 2018 - June 2019.</w:t>
        </w:r>
        <w:r w:rsidR="00DA5439">
          <w:rPr>
            <w:noProof/>
            <w:webHidden/>
          </w:rPr>
          <w:tab/>
        </w:r>
        <w:r w:rsidR="00DA5439">
          <w:rPr>
            <w:noProof/>
            <w:webHidden/>
          </w:rPr>
          <w:fldChar w:fldCharType="begin"/>
        </w:r>
        <w:r w:rsidR="00DA5439">
          <w:rPr>
            <w:noProof/>
            <w:webHidden/>
          </w:rPr>
          <w:instrText xml:space="preserve"> PAGEREF _Toc31985606 \h </w:instrText>
        </w:r>
        <w:r w:rsidR="00DA5439">
          <w:rPr>
            <w:noProof/>
            <w:webHidden/>
          </w:rPr>
        </w:r>
        <w:r w:rsidR="00DA5439">
          <w:rPr>
            <w:noProof/>
            <w:webHidden/>
          </w:rPr>
          <w:fldChar w:fldCharType="separate"/>
        </w:r>
        <w:r w:rsidR="007F7607">
          <w:rPr>
            <w:noProof/>
            <w:webHidden/>
          </w:rPr>
          <w:t>83</w:t>
        </w:r>
        <w:r w:rsidR="00DA5439">
          <w:rPr>
            <w:noProof/>
            <w:webHidden/>
          </w:rPr>
          <w:fldChar w:fldCharType="end"/>
        </w:r>
      </w:hyperlink>
    </w:p>
    <w:p w14:paraId="69E5EF95" w14:textId="17D30EE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7" w:history="1">
        <w:r w:rsidR="00DA5439" w:rsidRPr="003A1466">
          <w:rPr>
            <w:rStyle w:val="Hyperlink"/>
            <w:noProof/>
          </w:rPr>
          <w:t>Figure 43. Gross primary production (GPP) from Wallanthery, Cowl Cowl and Whealbah in the Lower Lachlan, August 2014 - June 2019.</w:t>
        </w:r>
        <w:r w:rsidR="00DA5439">
          <w:rPr>
            <w:noProof/>
            <w:webHidden/>
          </w:rPr>
          <w:tab/>
        </w:r>
        <w:r w:rsidR="00DA5439">
          <w:rPr>
            <w:noProof/>
            <w:webHidden/>
          </w:rPr>
          <w:fldChar w:fldCharType="begin"/>
        </w:r>
        <w:r w:rsidR="00DA5439">
          <w:rPr>
            <w:noProof/>
            <w:webHidden/>
          </w:rPr>
          <w:instrText xml:space="preserve"> PAGEREF _Toc31985607 \h </w:instrText>
        </w:r>
        <w:r w:rsidR="00DA5439">
          <w:rPr>
            <w:noProof/>
            <w:webHidden/>
          </w:rPr>
        </w:r>
        <w:r w:rsidR="00DA5439">
          <w:rPr>
            <w:noProof/>
            <w:webHidden/>
          </w:rPr>
          <w:fldChar w:fldCharType="separate"/>
        </w:r>
        <w:r w:rsidR="007F7607">
          <w:rPr>
            <w:noProof/>
            <w:webHidden/>
          </w:rPr>
          <w:t>84</w:t>
        </w:r>
        <w:r w:rsidR="00DA5439">
          <w:rPr>
            <w:noProof/>
            <w:webHidden/>
          </w:rPr>
          <w:fldChar w:fldCharType="end"/>
        </w:r>
      </w:hyperlink>
    </w:p>
    <w:p w14:paraId="3525217D" w14:textId="5387533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8" w:history="1">
        <w:r w:rsidR="00DA5439" w:rsidRPr="003A1466">
          <w:rPr>
            <w:rStyle w:val="Hyperlink"/>
            <w:noProof/>
          </w:rPr>
          <w:t>Figure 44. Ecosystem respiration (ER) from Wallanthery, Cowl Cowl and Whealbah in the Lower Lachlan, August 2014 - June 2019.</w:t>
        </w:r>
        <w:r w:rsidR="00DA5439">
          <w:rPr>
            <w:noProof/>
            <w:webHidden/>
          </w:rPr>
          <w:tab/>
        </w:r>
        <w:r w:rsidR="00DA5439">
          <w:rPr>
            <w:noProof/>
            <w:webHidden/>
          </w:rPr>
          <w:fldChar w:fldCharType="begin"/>
        </w:r>
        <w:r w:rsidR="00DA5439">
          <w:rPr>
            <w:noProof/>
            <w:webHidden/>
          </w:rPr>
          <w:instrText xml:space="preserve"> PAGEREF _Toc31985608 \h </w:instrText>
        </w:r>
        <w:r w:rsidR="00DA5439">
          <w:rPr>
            <w:noProof/>
            <w:webHidden/>
          </w:rPr>
        </w:r>
        <w:r w:rsidR="00DA5439">
          <w:rPr>
            <w:noProof/>
            <w:webHidden/>
          </w:rPr>
          <w:fldChar w:fldCharType="separate"/>
        </w:r>
        <w:r w:rsidR="007F7607">
          <w:rPr>
            <w:noProof/>
            <w:webHidden/>
          </w:rPr>
          <w:t>85</w:t>
        </w:r>
        <w:r w:rsidR="00DA5439">
          <w:rPr>
            <w:noProof/>
            <w:webHidden/>
          </w:rPr>
          <w:fldChar w:fldCharType="end"/>
        </w:r>
      </w:hyperlink>
    </w:p>
    <w:p w14:paraId="6C8283A3" w14:textId="5B485D4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09" w:history="1">
        <w:r w:rsidR="00DA5439" w:rsidRPr="003A1466">
          <w:rPr>
            <w:rStyle w:val="Hyperlink"/>
            <w:noProof/>
          </w:rPr>
          <w:t>Figure 45. Reaeration (K) from Wallanthery, Cowl Cowl and Whealbah in the Lower Lachlan, August 2014 - June 2019.</w:t>
        </w:r>
        <w:r w:rsidR="00DA5439">
          <w:rPr>
            <w:noProof/>
            <w:webHidden/>
          </w:rPr>
          <w:tab/>
        </w:r>
        <w:r w:rsidR="00DA5439">
          <w:rPr>
            <w:noProof/>
            <w:webHidden/>
          </w:rPr>
          <w:fldChar w:fldCharType="begin"/>
        </w:r>
        <w:r w:rsidR="00DA5439">
          <w:rPr>
            <w:noProof/>
            <w:webHidden/>
          </w:rPr>
          <w:instrText xml:space="preserve"> PAGEREF _Toc31985609 \h </w:instrText>
        </w:r>
        <w:r w:rsidR="00DA5439">
          <w:rPr>
            <w:noProof/>
            <w:webHidden/>
          </w:rPr>
        </w:r>
        <w:r w:rsidR="00DA5439">
          <w:rPr>
            <w:noProof/>
            <w:webHidden/>
          </w:rPr>
          <w:fldChar w:fldCharType="separate"/>
        </w:r>
        <w:r w:rsidR="007F7607">
          <w:rPr>
            <w:noProof/>
            <w:webHidden/>
          </w:rPr>
          <w:t>86</w:t>
        </w:r>
        <w:r w:rsidR="00DA5439">
          <w:rPr>
            <w:noProof/>
            <w:webHidden/>
          </w:rPr>
          <w:fldChar w:fldCharType="end"/>
        </w:r>
      </w:hyperlink>
    </w:p>
    <w:p w14:paraId="6600EC23" w14:textId="426616CE"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0" w:history="1">
        <w:r w:rsidR="00DA5439" w:rsidRPr="003A1466">
          <w:rPr>
            <w:rStyle w:val="Hyperlink"/>
            <w:noProof/>
          </w:rPr>
          <w:t>Figure 46. GPP/ ER ratio from Wallanthery, Cowl Cowl and Whealbah in the Lower Lachlan, August 2014 - June 2019.</w:t>
        </w:r>
        <w:r w:rsidR="00DA5439">
          <w:rPr>
            <w:noProof/>
            <w:webHidden/>
          </w:rPr>
          <w:tab/>
        </w:r>
        <w:r w:rsidR="00DA5439">
          <w:rPr>
            <w:noProof/>
            <w:webHidden/>
          </w:rPr>
          <w:fldChar w:fldCharType="begin"/>
        </w:r>
        <w:r w:rsidR="00DA5439">
          <w:rPr>
            <w:noProof/>
            <w:webHidden/>
          </w:rPr>
          <w:instrText xml:space="preserve"> PAGEREF _Toc31985610 \h </w:instrText>
        </w:r>
        <w:r w:rsidR="00DA5439">
          <w:rPr>
            <w:noProof/>
            <w:webHidden/>
          </w:rPr>
        </w:r>
        <w:r w:rsidR="00DA5439">
          <w:rPr>
            <w:noProof/>
            <w:webHidden/>
          </w:rPr>
          <w:fldChar w:fldCharType="separate"/>
        </w:r>
        <w:r w:rsidR="007F7607">
          <w:rPr>
            <w:noProof/>
            <w:webHidden/>
          </w:rPr>
          <w:t>87</w:t>
        </w:r>
        <w:r w:rsidR="00DA5439">
          <w:rPr>
            <w:noProof/>
            <w:webHidden/>
          </w:rPr>
          <w:fldChar w:fldCharType="end"/>
        </w:r>
      </w:hyperlink>
    </w:p>
    <w:p w14:paraId="4C6FF885" w14:textId="5FA18BD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1" w:history="1">
        <w:r w:rsidR="00DA5439" w:rsidRPr="003A1466">
          <w:rPr>
            <w:rStyle w:val="Hyperlink"/>
            <w:noProof/>
          </w:rPr>
          <w:t>Figure 47</w:t>
        </w:r>
        <w:r w:rsidR="00DA5439" w:rsidRPr="003A1466">
          <w:rPr>
            <w:rStyle w:val="Hyperlink"/>
            <w:noProof/>
            <w:lang w:val="en-US"/>
          </w:rPr>
          <w:t>.</w:t>
        </w:r>
        <w:r w:rsidR="00DA5439" w:rsidRPr="003A1466">
          <w:rPr>
            <w:rStyle w:val="Hyperlink"/>
            <w:b/>
            <w:noProof/>
            <w:lang w:val="en-US"/>
          </w:rPr>
          <w:t xml:space="preserve"> </w:t>
        </w:r>
        <w:r w:rsidR="00DA5439" w:rsidRPr="003A1466">
          <w:rPr>
            <w:rStyle w:val="Hyperlink"/>
            <w:noProof/>
          </w:rPr>
          <w:t>Catch per site (number of fish; mean ± SE) of each fish species within the Lower Lachlan river system target reach, sampled from 2015-2019. Cumulative stacked bars separate the catch of juvenile (white bars) and non-juveniles (grey bars).</w:t>
        </w:r>
        <w:r w:rsidR="00DA5439">
          <w:rPr>
            <w:noProof/>
            <w:webHidden/>
          </w:rPr>
          <w:tab/>
        </w:r>
        <w:r w:rsidR="00DA5439">
          <w:rPr>
            <w:noProof/>
            <w:webHidden/>
          </w:rPr>
          <w:fldChar w:fldCharType="begin"/>
        </w:r>
        <w:r w:rsidR="00DA5439">
          <w:rPr>
            <w:noProof/>
            <w:webHidden/>
          </w:rPr>
          <w:instrText xml:space="preserve"> PAGEREF _Toc31985611 \h </w:instrText>
        </w:r>
        <w:r w:rsidR="00DA5439">
          <w:rPr>
            <w:noProof/>
            <w:webHidden/>
          </w:rPr>
        </w:r>
        <w:r w:rsidR="00DA5439">
          <w:rPr>
            <w:noProof/>
            <w:webHidden/>
          </w:rPr>
          <w:fldChar w:fldCharType="separate"/>
        </w:r>
        <w:r w:rsidR="007F7607">
          <w:rPr>
            <w:noProof/>
            <w:webHidden/>
          </w:rPr>
          <w:t>97</w:t>
        </w:r>
        <w:r w:rsidR="00DA5439">
          <w:rPr>
            <w:noProof/>
            <w:webHidden/>
          </w:rPr>
          <w:fldChar w:fldCharType="end"/>
        </w:r>
      </w:hyperlink>
    </w:p>
    <w:p w14:paraId="7E9DDF2E" w14:textId="337E0B4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2" w:history="1">
        <w:r w:rsidR="00DA5439" w:rsidRPr="003A1466">
          <w:rPr>
            <w:rStyle w:val="Hyperlink"/>
            <w:noProof/>
          </w:rPr>
          <w:t>Figure 48</w:t>
        </w:r>
        <w:r w:rsidR="00DA5439" w:rsidRPr="003A1466">
          <w:rPr>
            <w:rStyle w:val="Hyperlink"/>
            <w:noProof/>
            <w:lang w:val="en-US"/>
          </w:rPr>
          <w:t>.</w:t>
        </w:r>
        <w:r w:rsidR="00DA5439" w:rsidRPr="003A1466">
          <w:rPr>
            <w:rStyle w:val="Hyperlink"/>
            <w:b/>
            <w:noProof/>
            <w:lang w:val="en-US"/>
          </w:rPr>
          <w:t xml:space="preserve"> </w:t>
        </w:r>
        <w:r w:rsidR="00DA5439" w:rsidRPr="003A1466">
          <w:rPr>
            <w:rStyle w:val="Hyperlink"/>
            <w:noProof/>
          </w:rPr>
          <w:t>Biomass per site (g; mean ± SE) of each fish species within the Lower Lachlan river system target reach, sampled from 2015-2019.</w:t>
        </w:r>
        <w:r w:rsidR="00DA5439">
          <w:rPr>
            <w:noProof/>
            <w:webHidden/>
          </w:rPr>
          <w:tab/>
        </w:r>
        <w:r w:rsidR="00DA5439">
          <w:rPr>
            <w:noProof/>
            <w:webHidden/>
          </w:rPr>
          <w:fldChar w:fldCharType="begin"/>
        </w:r>
        <w:r w:rsidR="00DA5439">
          <w:rPr>
            <w:noProof/>
            <w:webHidden/>
          </w:rPr>
          <w:instrText xml:space="preserve"> PAGEREF _Toc31985612 \h </w:instrText>
        </w:r>
        <w:r w:rsidR="00DA5439">
          <w:rPr>
            <w:noProof/>
            <w:webHidden/>
          </w:rPr>
        </w:r>
        <w:r w:rsidR="00DA5439">
          <w:rPr>
            <w:noProof/>
            <w:webHidden/>
          </w:rPr>
          <w:fldChar w:fldCharType="separate"/>
        </w:r>
        <w:r w:rsidR="007F7607">
          <w:rPr>
            <w:noProof/>
            <w:webHidden/>
          </w:rPr>
          <w:t>98</w:t>
        </w:r>
        <w:r w:rsidR="00DA5439">
          <w:rPr>
            <w:noProof/>
            <w:webHidden/>
          </w:rPr>
          <w:fldChar w:fldCharType="end"/>
        </w:r>
      </w:hyperlink>
    </w:p>
    <w:p w14:paraId="0987D1E3" w14:textId="36AC430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3" w:history="1">
        <w:r w:rsidR="00DA5439" w:rsidRPr="003A1466">
          <w:rPr>
            <w:rStyle w:val="Hyperlink"/>
            <w:noProof/>
          </w:rPr>
          <w:t>Figure 49</w:t>
        </w:r>
        <w:r w:rsidR="00DA5439" w:rsidRPr="003A1466">
          <w:rPr>
            <w:rStyle w:val="Hyperlink"/>
            <w:noProof/>
            <w:lang w:val="en-US"/>
          </w:rPr>
          <w:t>. Proportionate length-frequencies of the six most abundant species captured in the Lachlan River from 2015–2019.</w:t>
        </w:r>
        <w:r w:rsidR="00DA5439">
          <w:rPr>
            <w:noProof/>
            <w:webHidden/>
          </w:rPr>
          <w:tab/>
        </w:r>
        <w:r w:rsidR="00DA5439">
          <w:rPr>
            <w:noProof/>
            <w:webHidden/>
          </w:rPr>
          <w:fldChar w:fldCharType="begin"/>
        </w:r>
        <w:r w:rsidR="00DA5439">
          <w:rPr>
            <w:noProof/>
            <w:webHidden/>
          </w:rPr>
          <w:instrText xml:space="preserve"> PAGEREF _Toc31985613 \h </w:instrText>
        </w:r>
        <w:r w:rsidR="00DA5439">
          <w:rPr>
            <w:noProof/>
            <w:webHidden/>
          </w:rPr>
        </w:r>
        <w:r w:rsidR="00DA5439">
          <w:rPr>
            <w:noProof/>
            <w:webHidden/>
          </w:rPr>
          <w:fldChar w:fldCharType="separate"/>
        </w:r>
        <w:r w:rsidR="007F7607">
          <w:rPr>
            <w:noProof/>
            <w:webHidden/>
          </w:rPr>
          <w:t>99</w:t>
        </w:r>
        <w:r w:rsidR="00DA5439">
          <w:rPr>
            <w:noProof/>
            <w:webHidden/>
          </w:rPr>
          <w:fldChar w:fldCharType="end"/>
        </w:r>
      </w:hyperlink>
    </w:p>
    <w:p w14:paraId="3A8BB3C7" w14:textId="2326FE7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4" w:history="1">
        <w:r w:rsidR="00DA5439" w:rsidRPr="003A1466">
          <w:rPr>
            <w:rStyle w:val="Hyperlink"/>
            <w:noProof/>
          </w:rPr>
          <w:t>Figure 50. SRA metrics (score out of 100, mean ± SE) for the Lower Lachlan River system target reach from 2015–2019.</w:t>
        </w:r>
        <w:r w:rsidR="00DA5439">
          <w:rPr>
            <w:noProof/>
            <w:webHidden/>
          </w:rPr>
          <w:tab/>
        </w:r>
        <w:r w:rsidR="00DA5439">
          <w:rPr>
            <w:noProof/>
            <w:webHidden/>
          </w:rPr>
          <w:fldChar w:fldCharType="begin"/>
        </w:r>
        <w:r w:rsidR="00DA5439">
          <w:rPr>
            <w:noProof/>
            <w:webHidden/>
          </w:rPr>
          <w:instrText xml:space="preserve"> PAGEREF _Toc31985614 \h </w:instrText>
        </w:r>
        <w:r w:rsidR="00DA5439">
          <w:rPr>
            <w:noProof/>
            <w:webHidden/>
          </w:rPr>
        </w:r>
        <w:r w:rsidR="00DA5439">
          <w:rPr>
            <w:noProof/>
            <w:webHidden/>
          </w:rPr>
          <w:fldChar w:fldCharType="separate"/>
        </w:r>
        <w:r w:rsidR="007F7607">
          <w:rPr>
            <w:noProof/>
            <w:webHidden/>
          </w:rPr>
          <w:t>100</w:t>
        </w:r>
        <w:r w:rsidR="00DA5439">
          <w:rPr>
            <w:noProof/>
            <w:webHidden/>
          </w:rPr>
          <w:fldChar w:fldCharType="end"/>
        </w:r>
      </w:hyperlink>
    </w:p>
    <w:p w14:paraId="1C7CA99E" w14:textId="730BA9B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5" w:history="1">
        <w:r w:rsidR="00DA5439" w:rsidRPr="003A1466">
          <w:rPr>
            <w:rStyle w:val="Hyperlink"/>
            <w:noProof/>
          </w:rPr>
          <w:t>Figure 51</w:t>
        </w:r>
        <w:r w:rsidR="00DA5439" w:rsidRPr="003A1466">
          <w:rPr>
            <w:rStyle w:val="Hyperlink"/>
            <w:noProof/>
            <w:lang w:val="en-US"/>
          </w:rPr>
          <w:t>.</w:t>
        </w:r>
        <w:r w:rsidR="00DA5439" w:rsidRPr="003A1466">
          <w:rPr>
            <w:rStyle w:val="Hyperlink"/>
            <w:b/>
            <w:noProof/>
            <w:lang w:val="en-US"/>
          </w:rPr>
          <w:t xml:space="preserve"> </w:t>
        </w:r>
        <w:r w:rsidR="00DA5439" w:rsidRPr="003A1466">
          <w:rPr>
            <w:rStyle w:val="Hyperlink"/>
            <w:noProof/>
          </w:rPr>
          <w:t>Catch per site (number of fish; mean ± SE) of each fish species within the mid-Lachlan river system sampled in 2019.</w:t>
        </w:r>
        <w:r w:rsidR="00DA5439">
          <w:rPr>
            <w:noProof/>
            <w:webHidden/>
          </w:rPr>
          <w:tab/>
        </w:r>
        <w:r w:rsidR="00DA5439">
          <w:rPr>
            <w:noProof/>
            <w:webHidden/>
          </w:rPr>
          <w:fldChar w:fldCharType="begin"/>
        </w:r>
        <w:r w:rsidR="00DA5439">
          <w:rPr>
            <w:noProof/>
            <w:webHidden/>
          </w:rPr>
          <w:instrText xml:space="preserve"> PAGEREF _Toc31985615 \h </w:instrText>
        </w:r>
        <w:r w:rsidR="00DA5439">
          <w:rPr>
            <w:noProof/>
            <w:webHidden/>
          </w:rPr>
        </w:r>
        <w:r w:rsidR="00DA5439">
          <w:rPr>
            <w:noProof/>
            <w:webHidden/>
          </w:rPr>
          <w:fldChar w:fldCharType="separate"/>
        </w:r>
        <w:r w:rsidR="007F7607">
          <w:rPr>
            <w:noProof/>
            <w:webHidden/>
          </w:rPr>
          <w:t>103</w:t>
        </w:r>
        <w:r w:rsidR="00DA5439">
          <w:rPr>
            <w:noProof/>
            <w:webHidden/>
          </w:rPr>
          <w:fldChar w:fldCharType="end"/>
        </w:r>
      </w:hyperlink>
    </w:p>
    <w:p w14:paraId="7583E172" w14:textId="6B194697"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6" w:history="1">
        <w:r w:rsidR="00DA5439" w:rsidRPr="003A1466">
          <w:rPr>
            <w:rStyle w:val="Hyperlink"/>
            <w:noProof/>
          </w:rPr>
          <w:t>Figure 52</w:t>
        </w:r>
        <w:r w:rsidR="00DA5439" w:rsidRPr="003A1466">
          <w:rPr>
            <w:rStyle w:val="Hyperlink"/>
            <w:noProof/>
            <w:lang w:val="en-US"/>
          </w:rPr>
          <w:t>.</w:t>
        </w:r>
        <w:r w:rsidR="00DA5439" w:rsidRPr="003A1466">
          <w:rPr>
            <w:rStyle w:val="Hyperlink"/>
            <w:b/>
            <w:noProof/>
            <w:lang w:val="en-US"/>
          </w:rPr>
          <w:t xml:space="preserve"> </w:t>
        </w:r>
        <w:r w:rsidR="00DA5439" w:rsidRPr="003A1466">
          <w:rPr>
            <w:rStyle w:val="Hyperlink"/>
            <w:noProof/>
          </w:rPr>
          <w:t>Biomass per site (g; mean ± SE) of each fish species within the mid-Lachlan river system sampled in 2019.</w:t>
        </w:r>
        <w:r w:rsidR="00DA5439">
          <w:rPr>
            <w:noProof/>
            <w:webHidden/>
          </w:rPr>
          <w:tab/>
        </w:r>
        <w:r w:rsidR="00DA5439">
          <w:rPr>
            <w:noProof/>
            <w:webHidden/>
          </w:rPr>
          <w:fldChar w:fldCharType="begin"/>
        </w:r>
        <w:r w:rsidR="00DA5439">
          <w:rPr>
            <w:noProof/>
            <w:webHidden/>
          </w:rPr>
          <w:instrText xml:space="preserve"> PAGEREF _Toc31985616 \h </w:instrText>
        </w:r>
        <w:r w:rsidR="00DA5439">
          <w:rPr>
            <w:noProof/>
            <w:webHidden/>
          </w:rPr>
        </w:r>
        <w:r w:rsidR="00DA5439">
          <w:rPr>
            <w:noProof/>
            <w:webHidden/>
          </w:rPr>
          <w:fldChar w:fldCharType="separate"/>
        </w:r>
        <w:r w:rsidR="007F7607">
          <w:rPr>
            <w:noProof/>
            <w:webHidden/>
          </w:rPr>
          <w:t>104</w:t>
        </w:r>
        <w:r w:rsidR="00DA5439">
          <w:rPr>
            <w:noProof/>
            <w:webHidden/>
          </w:rPr>
          <w:fldChar w:fldCharType="end"/>
        </w:r>
      </w:hyperlink>
    </w:p>
    <w:p w14:paraId="5F6CC474" w14:textId="3A3BA67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7" w:history="1">
        <w:r w:rsidR="00DA5439" w:rsidRPr="003A1466">
          <w:rPr>
            <w:rStyle w:val="Hyperlink"/>
            <w:noProof/>
          </w:rPr>
          <w:t>Figure 53</w:t>
        </w:r>
        <w:r w:rsidR="00DA5439" w:rsidRPr="003A1466">
          <w:rPr>
            <w:rStyle w:val="Hyperlink"/>
            <w:noProof/>
            <w:lang w:val="en-US"/>
          </w:rPr>
          <w:t>. Proportionate length-frequencies of the six most abundant species captured in the mid-Lachlan River in 2019.</w:t>
        </w:r>
        <w:r w:rsidR="00DA5439">
          <w:rPr>
            <w:noProof/>
            <w:webHidden/>
          </w:rPr>
          <w:tab/>
        </w:r>
        <w:r w:rsidR="00DA5439">
          <w:rPr>
            <w:noProof/>
            <w:webHidden/>
          </w:rPr>
          <w:fldChar w:fldCharType="begin"/>
        </w:r>
        <w:r w:rsidR="00DA5439">
          <w:rPr>
            <w:noProof/>
            <w:webHidden/>
          </w:rPr>
          <w:instrText xml:space="preserve"> PAGEREF _Toc31985617 \h </w:instrText>
        </w:r>
        <w:r w:rsidR="00DA5439">
          <w:rPr>
            <w:noProof/>
            <w:webHidden/>
          </w:rPr>
        </w:r>
        <w:r w:rsidR="00DA5439">
          <w:rPr>
            <w:noProof/>
            <w:webHidden/>
          </w:rPr>
          <w:fldChar w:fldCharType="separate"/>
        </w:r>
        <w:r w:rsidR="007F7607">
          <w:rPr>
            <w:noProof/>
            <w:webHidden/>
          </w:rPr>
          <w:t>105</w:t>
        </w:r>
        <w:r w:rsidR="00DA5439">
          <w:rPr>
            <w:noProof/>
            <w:webHidden/>
          </w:rPr>
          <w:fldChar w:fldCharType="end"/>
        </w:r>
      </w:hyperlink>
    </w:p>
    <w:p w14:paraId="6AB981A9" w14:textId="2657BF3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8" w:history="1">
        <w:r w:rsidR="00DA5439" w:rsidRPr="003A1466">
          <w:rPr>
            <w:rStyle w:val="Hyperlink"/>
            <w:noProof/>
          </w:rPr>
          <w:t>Figure 54</w:t>
        </w:r>
        <w:r w:rsidR="00DA5439" w:rsidRPr="003A1466">
          <w:rPr>
            <w:rStyle w:val="Hyperlink"/>
            <w:b/>
            <w:noProof/>
            <w:lang w:val="en-US"/>
          </w:rPr>
          <w:t xml:space="preserve">. </w:t>
        </w:r>
        <w:r w:rsidR="00DA5439" w:rsidRPr="003A1466">
          <w:rPr>
            <w:rStyle w:val="Hyperlink"/>
            <w:noProof/>
            <w:lang w:val="en-US"/>
          </w:rPr>
          <w:t>Example of mapped boat electrofishing units used for Category 1 fish community sampling in the Lachlan River. Each unit was sampled using 90 seconds of ‘on-time’.</w:t>
        </w:r>
        <w:r w:rsidR="00DA5439">
          <w:rPr>
            <w:noProof/>
            <w:webHidden/>
          </w:rPr>
          <w:tab/>
        </w:r>
        <w:r w:rsidR="00DA5439">
          <w:rPr>
            <w:noProof/>
            <w:webHidden/>
          </w:rPr>
          <w:fldChar w:fldCharType="begin"/>
        </w:r>
        <w:r w:rsidR="00DA5439">
          <w:rPr>
            <w:noProof/>
            <w:webHidden/>
          </w:rPr>
          <w:instrText xml:space="preserve"> PAGEREF _Toc31985618 \h </w:instrText>
        </w:r>
        <w:r w:rsidR="00DA5439">
          <w:rPr>
            <w:noProof/>
            <w:webHidden/>
          </w:rPr>
        </w:r>
        <w:r w:rsidR="00DA5439">
          <w:rPr>
            <w:noProof/>
            <w:webHidden/>
          </w:rPr>
          <w:fldChar w:fldCharType="separate"/>
        </w:r>
        <w:r w:rsidR="007F7607">
          <w:rPr>
            <w:noProof/>
            <w:webHidden/>
          </w:rPr>
          <w:t>113</w:t>
        </w:r>
        <w:r w:rsidR="00DA5439">
          <w:rPr>
            <w:noProof/>
            <w:webHidden/>
          </w:rPr>
          <w:fldChar w:fldCharType="end"/>
        </w:r>
      </w:hyperlink>
    </w:p>
    <w:p w14:paraId="69B02355" w14:textId="09A0273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19" w:history="1">
        <w:r w:rsidR="00DA5439" w:rsidRPr="003A1466">
          <w:rPr>
            <w:rStyle w:val="Hyperlink"/>
            <w:noProof/>
          </w:rPr>
          <w:t xml:space="preserve">Figure 55. </w:t>
        </w:r>
        <w:r w:rsidR="00DA5439" w:rsidRPr="003A1466">
          <w:rPr>
            <w:rStyle w:val="Hyperlink"/>
            <w:noProof/>
            <w:lang w:val="en-GB"/>
          </w:rPr>
          <w:t>Mean catch per unit effort (± standard error) of the commonly caught larval native fish for drift nets (left axis, white bars) and light traps (right axis, grey bars) per sampling event in spring summer 2018 in the lower Lachlan catchment.</w:t>
        </w:r>
        <w:r w:rsidR="00DA5439">
          <w:rPr>
            <w:noProof/>
            <w:webHidden/>
          </w:rPr>
          <w:tab/>
        </w:r>
        <w:r w:rsidR="00DA5439">
          <w:rPr>
            <w:noProof/>
            <w:webHidden/>
          </w:rPr>
          <w:fldChar w:fldCharType="begin"/>
        </w:r>
        <w:r w:rsidR="00DA5439">
          <w:rPr>
            <w:noProof/>
            <w:webHidden/>
          </w:rPr>
          <w:instrText xml:space="preserve"> PAGEREF _Toc31985619 \h </w:instrText>
        </w:r>
        <w:r w:rsidR="00DA5439">
          <w:rPr>
            <w:noProof/>
            <w:webHidden/>
          </w:rPr>
        </w:r>
        <w:r w:rsidR="00DA5439">
          <w:rPr>
            <w:noProof/>
            <w:webHidden/>
          </w:rPr>
          <w:fldChar w:fldCharType="separate"/>
        </w:r>
        <w:r w:rsidR="007F7607">
          <w:rPr>
            <w:noProof/>
            <w:webHidden/>
          </w:rPr>
          <w:t>118</w:t>
        </w:r>
        <w:r w:rsidR="00DA5439">
          <w:rPr>
            <w:noProof/>
            <w:webHidden/>
          </w:rPr>
          <w:fldChar w:fldCharType="end"/>
        </w:r>
      </w:hyperlink>
    </w:p>
    <w:p w14:paraId="25486626" w14:textId="7F240F4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0" w:history="1">
        <w:r w:rsidR="00DA5439" w:rsidRPr="003A1466">
          <w:rPr>
            <w:rStyle w:val="Hyperlink"/>
            <w:noProof/>
          </w:rPr>
          <w:t xml:space="preserve">Figure 56. </w:t>
        </w:r>
        <w:r w:rsidR="00DA5439" w:rsidRPr="003A1466">
          <w:rPr>
            <w:rStyle w:val="Hyperlink"/>
            <w:noProof/>
            <w:lang w:val="en-GB"/>
          </w:rPr>
          <w:t>Length frequency histograms for each sampling event of commonly captured larval native fish species with site (n = 3) and sampling technique (n = 2) combined for 2018.</w:t>
        </w:r>
        <w:r w:rsidR="00DA5439">
          <w:rPr>
            <w:noProof/>
            <w:webHidden/>
          </w:rPr>
          <w:tab/>
        </w:r>
        <w:r w:rsidR="00DA5439">
          <w:rPr>
            <w:noProof/>
            <w:webHidden/>
          </w:rPr>
          <w:fldChar w:fldCharType="begin"/>
        </w:r>
        <w:r w:rsidR="00DA5439">
          <w:rPr>
            <w:noProof/>
            <w:webHidden/>
          </w:rPr>
          <w:instrText xml:space="preserve"> PAGEREF _Toc31985620 \h </w:instrText>
        </w:r>
        <w:r w:rsidR="00DA5439">
          <w:rPr>
            <w:noProof/>
            <w:webHidden/>
          </w:rPr>
        </w:r>
        <w:r w:rsidR="00DA5439">
          <w:rPr>
            <w:noProof/>
            <w:webHidden/>
          </w:rPr>
          <w:fldChar w:fldCharType="separate"/>
        </w:r>
        <w:r w:rsidR="007F7607">
          <w:rPr>
            <w:noProof/>
            <w:webHidden/>
          </w:rPr>
          <w:t>119</w:t>
        </w:r>
        <w:r w:rsidR="00DA5439">
          <w:rPr>
            <w:noProof/>
            <w:webHidden/>
          </w:rPr>
          <w:fldChar w:fldCharType="end"/>
        </w:r>
      </w:hyperlink>
    </w:p>
    <w:p w14:paraId="6583735A" w14:textId="6DFACE8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1" w:history="1">
        <w:r w:rsidR="00DA5439" w:rsidRPr="003A1466">
          <w:rPr>
            <w:rStyle w:val="Hyperlink"/>
            <w:noProof/>
          </w:rPr>
          <w:t>Figure 57. Mean catch per unit effort (± standard error) of larval fish species captured in light traps (CPUE = catch-per-hour, top) and drift nets (CPUE = individuals capture per m</w:t>
        </w:r>
        <w:r w:rsidR="00DA5439" w:rsidRPr="003A1466">
          <w:rPr>
            <w:rStyle w:val="Hyperlink"/>
            <w:noProof/>
            <w:vertAlign w:val="superscript"/>
          </w:rPr>
          <w:t>3</w:t>
        </w:r>
        <w:r w:rsidR="00DA5439" w:rsidRPr="003A1466">
          <w:rPr>
            <w:rStyle w:val="Hyperlink"/>
            <w:noProof/>
          </w:rPr>
          <w:t xml:space="preserve"> of water sampled; bottom) from spring – summer 2014 – 2018.</w:t>
        </w:r>
        <w:r w:rsidR="00DA5439">
          <w:rPr>
            <w:noProof/>
            <w:webHidden/>
          </w:rPr>
          <w:tab/>
        </w:r>
        <w:r w:rsidR="00DA5439">
          <w:rPr>
            <w:noProof/>
            <w:webHidden/>
          </w:rPr>
          <w:fldChar w:fldCharType="begin"/>
        </w:r>
        <w:r w:rsidR="00DA5439">
          <w:rPr>
            <w:noProof/>
            <w:webHidden/>
          </w:rPr>
          <w:instrText xml:space="preserve"> PAGEREF _Toc31985621 \h </w:instrText>
        </w:r>
        <w:r w:rsidR="00DA5439">
          <w:rPr>
            <w:noProof/>
            <w:webHidden/>
          </w:rPr>
        </w:r>
        <w:r w:rsidR="00DA5439">
          <w:rPr>
            <w:noProof/>
            <w:webHidden/>
          </w:rPr>
          <w:fldChar w:fldCharType="separate"/>
        </w:r>
        <w:r w:rsidR="007F7607">
          <w:rPr>
            <w:noProof/>
            <w:webHidden/>
          </w:rPr>
          <w:t>121</w:t>
        </w:r>
        <w:r w:rsidR="00DA5439">
          <w:rPr>
            <w:noProof/>
            <w:webHidden/>
          </w:rPr>
          <w:fldChar w:fldCharType="end"/>
        </w:r>
      </w:hyperlink>
    </w:p>
    <w:p w14:paraId="7EED42B2" w14:textId="0116394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2" w:history="1">
        <w:r w:rsidR="00DA5439" w:rsidRPr="003A1466">
          <w:rPr>
            <w:rStyle w:val="Hyperlink"/>
            <w:noProof/>
            <w:lang w:val="en-GB"/>
          </w:rPr>
          <w:t>Figure 58. Annual larval fish community composition per site (plotted in multidimensional space via principal component analysis ordination) captured from the lower Lachlan River Selected Area using drift nets and light traps from spring/summer 2014 – 2018.</w:t>
        </w:r>
        <w:r w:rsidR="00DA5439">
          <w:rPr>
            <w:noProof/>
            <w:webHidden/>
          </w:rPr>
          <w:tab/>
        </w:r>
        <w:r w:rsidR="00DA5439">
          <w:rPr>
            <w:noProof/>
            <w:webHidden/>
          </w:rPr>
          <w:fldChar w:fldCharType="begin"/>
        </w:r>
        <w:r w:rsidR="00DA5439">
          <w:rPr>
            <w:noProof/>
            <w:webHidden/>
          </w:rPr>
          <w:instrText xml:space="preserve"> PAGEREF _Toc31985622 \h </w:instrText>
        </w:r>
        <w:r w:rsidR="00DA5439">
          <w:rPr>
            <w:noProof/>
            <w:webHidden/>
          </w:rPr>
        </w:r>
        <w:r w:rsidR="00DA5439">
          <w:rPr>
            <w:noProof/>
            <w:webHidden/>
          </w:rPr>
          <w:fldChar w:fldCharType="separate"/>
        </w:r>
        <w:r w:rsidR="007F7607">
          <w:rPr>
            <w:noProof/>
            <w:webHidden/>
          </w:rPr>
          <w:t>122</w:t>
        </w:r>
        <w:r w:rsidR="00DA5439">
          <w:rPr>
            <w:noProof/>
            <w:webHidden/>
          </w:rPr>
          <w:fldChar w:fldCharType="end"/>
        </w:r>
      </w:hyperlink>
    </w:p>
    <w:p w14:paraId="6F24A24B" w14:textId="474DBB0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3" w:history="1">
        <w:r w:rsidR="00DA5439" w:rsidRPr="003A1466">
          <w:rPr>
            <w:rStyle w:val="Hyperlink"/>
            <w:noProof/>
          </w:rPr>
          <w:t xml:space="preserve">Figure 59. </w:t>
        </w:r>
        <w:r w:rsidR="00DA5439" w:rsidRPr="003A1466">
          <w:rPr>
            <w:rStyle w:val="Hyperlink"/>
            <w:noProof/>
            <w:lang w:val="en-GB"/>
          </w:rPr>
          <w:t>Mean catch per unit effort (± standard error) of the commonly caught larval native fish for drift nets (left axis, white bars) and light traps (right axis, grey bars) per sampling event in spring summer 2018 in the mid-Lachlan River catchment.</w:t>
        </w:r>
        <w:r w:rsidR="00DA5439">
          <w:rPr>
            <w:noProof/>
            <w:webHidden/>
          </w:rPr>
          <w:tab/>
        </w:r>
        <w:r w:rsidR="00DA5439">
          <w:rPr>
            <w:noProof/>
            <w:webHidden/>
          </w:rPr>
          <w:fldChar w:fldCharType="begin"/>
        </w:r>
        <w:r w:rsidR="00DA5439">
          <w:rPr>
            <w:noProof/>
            <w:webHidden/>
          </w:rPr>
          <w:instrText xml:space="preserve"> PAGEREF _Toc31985623 \h </w:instrText>
        </w:r>
        <w:r w:rsidR="00DA5439">
          <w:rPr>
            <w:noProof/>
            <w:webHidden/>
          </w:rPr>
        </w:r>
        <w:r w:rsidR="00DA5439">
          <w:rPr>
            <w:noProof/>
            <w:webHidden/>
          </w:rPr>
          <w:fldChar w:fldCharType="separate"/>
        </w:r>
        <w:r w:rsidR="007F7607">
          <w:rPr>
            <w:noProof/>
            <w:webHidden/>
          </w:rPr>
          <w:t>124</w:t>
        </w:r>
        <w:r w:rsidR="00DA5439">
          <w:rPr>
            <w:noProof/>
            <w:webHidden/>
          </w:rPr>
          <w:fldChar w:fldCharType="end"/>
        </w:r>
      </w:hyperlink>
    </w:p>
    <w:p w14:paraId="6B730C5B" w14:textId="01244B9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4" w:history="1">
        <w:r w:rsidR="00DA5439" w:rsidRPr="003A1466">
          <w:rPr>
            <w:rStyle w:val="Hyperlink"/>
            <w:noProof/>
          </w:rPr>
          <w:t xml:space="preserve">Figure 60. </w:t>
        </w:r>
        <w:r w:rsidR="00DA5439" w:rsidRPr="003A1466">
          <w:rPr>
            <w:rStyle w:val="Hyperlink"/>
            <w:noProof/>
            <w:lang w:val="en-GB"/>
          </w:rPr>
          <w:t>Length frequency histograms for each sampling event of commonly captured larval native fish species with site (n = 3) and sampling technique (n = 2) combined for 2018 in the mid-Lachlan River catchment.</w:t>
        </w:r>
        <w:r w:rsidR="00DA5439">
          <w:rPr>
            <w:noProof/>
            <w:webHidden/>
          </w:rPr>
          <w:tab/>
        </w:r>
        <w:r w:rsidR="00DA5439">
          <w:rPr>
            <w:noProof/>
            <w:webHidden/>
          </w:rPr>
          <w:fldChar w:fldCharType="begin"/>
        </w:r>
        <w:r w:rsidR="00DA5439">
          <w:rPr>
            <w:noProof/>
            <w:webHidden/>
          </w:rPr>
          <w:instrText xml:space="preserve"> PAGEREF _Toc31985624 \h </w:instrText>
        </w:r>
        <w:r w:rsidR="00DA5439">
          <w:rPr>
            <w:noProof/>
            <w:webHidden/>
          </w:rPr>
        </w:r>
        <w:r w:rsidR="00DA5439">
          <w:rPr>
            <w:noProof/>
            <w:webHidden/>
          </w:rPr>
          <w:fldChar w:fldCharType="separate"/>
        </w:r>
        <w:r w:rsidR="007F7607">
          <w:rPr>
            <w:noProof/>
            <w:webHidden/>
          </w:rPr>
          <w:t>125</w:t>
        </w:r>
        <w:r w:rsidR="00DA5439">
          <w:rPr>
            <w:noProof/>
            <w:webHidden/>
          </w:rPr>
          <w:fldChar w:fldCharType="end"/>
        </w:r>
      </w:hyperlink>
    </w:p>
    <w:p w14:paraId="37ADFBAA" w14:textId="34DE2FD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5" w:history="1">
        <w:r w:rsidR="00DA5439" w:rsidRPr="003A1466">
          <w:rPr>
            <w:rStyle w:val="Hyperlink"/>
            <w:noProof/>
          </w:rPr>
          <w:t xml:space="preserve">Figure 61. </w:t>
        </w:r>
        <w:r w:rsidR="00DA5439" w:rsidRPr="003A1466">
          <w:rPr>
            <w:rStyle w:val="Hyperlink"/>
            <w:noProof/>
            <w:lang w:val="en-GB"/>
          </w:rPr>
          <w:t>Discharge at Cottons Weir Forbes (solid black line) measured against the minimum discharge target of 800 ML Day</w:t>
        </w:r>
        <w:r w:rsidR="00DA5439" w:rsidRPr="003A1466">
          <w:rPr>
            <w:rStyle w:val="Hyperlink"/>
            <w:noProof/>
            <w:vertAlign w:val="superscript"/>
            <w:lang w:val="en-GB"/>
          </w:rPr>
          <w:t>-1</w:t>
        </w:r>
        <w:r w:rsidR="00DA5439" w:rsidRPr="003A1466">
          <w:rPr>
            <w:rStyle w:val="Hyperlink"/>
            <w:noProof/>
            <w:lang w:val="en-GB"/>
          </w:rPr>
          <w:t xml:space="preserve"> (dashed grey line) from the 17</w:t>
        </w:r>
        <w:r w:rsidR="00DA5439" w:rsidRPr="003A1466">
          <w:rPr>
            <w:rStyle w:val="Hyperlink"/>
            <w:noProof/>
            <w:vertAlign w:val="superscript"/>
            <w:lang w:val="en-GB"/>
          </w:rPr>
          <w:t>th</w:t>
        </w:r>
        <w:r w:rsidR="00DA5439" w:rsidRPr="003A1466">
          <w:rPr>
            <w:rStyle w:val="Hyperlink"/>
            <w:noProof/>
            <w:lang w:val="en-GB"/>
          </w:rPr>
          <w:t xml:space="preserve"> October to the 3</w:t>
        </w:r>
        <w:r w:rsidR="00DA5439" w:rsidRPr="003A1466">
          <w:rPr>
            <w:rStyle w:val="Hyperlink"/>
            <w:noProof/>
            <w:vertAlign w:val="superscript"/>
            <w:lang w:val="en-GB"/>
          </w:rPr>
          <w:t>rd</w:t>
        </w:r>
        <w:r w:rsidR="00DA5439" w:rsidRPr="003A1466">
          <w:rPr>
            <w:rStyle w:val="Hyperlink"/>
            <w:noProof/>
            <w:lang w:val="en-GB"/>
          </w:rPr>
          <w:t xml:space="preserve"> December.</w:t>
        </w:r>
        <w:r w:rsidR="00DA5439">
          <w:rPr>
            <w:noProof/>
            <w:webHidden/>
          </w:rPr>
          <w:tab/>
        </w:r>
        <w:r w:rsidR="00DA5439">
          <w:rPr>
            <w:noProof/>
            <w:webHidden/>
          </w:rPr>
          <w:fldChar w:fldCharType="begin"/>
        </w:r>
        <w:r w:rsidR="00DA5439">
          <w:rPr>
            <w:noProof/>
            <w:webHidden/>
          </w:rPr>
          <w:instrText xml:space="preserve"> PAGEREF _Toc31985625 \h </w:instrText>
        </w:r>
        <w:r w:rsidR="00DA5439">
          <w:rPr>
            <w:noProof/>
            <w:webHidden/>
          </w:rPr>
        </w:r>
        <w:r w:rsidR="00DA5439">
          <w:rPr>
            <w:noProof/>
            <w:webHidden/>
          </w:rPr>
          <w:fldChar w:fldCharType="separate"/>
        </w:r>
        <w:r w:rsidR="007F7607">
          <w:rPr>
            <w:noProof/>
            <w:webHidden/>
          </w:rPr>
          <w:t>132</w:t>
        </w:r>
        <w:r w:rsidR="00DA5439">
          <w:rPr>
            <w:noProof/>
            <w:webHidden/>
          </w:rPr>
          <w:fldChar w:fldCharType="end"/>
        </w:r>
      </w:hyperlink>
    </w:p>
    <w:p w14:paraId="289C854C" w14:textId="50D5DB0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6" w:history="1">
        <w:r w:rsidR="00DA5439" w:rsidRPr="003A1466">
          <w:rPr>
            <w:rStyle w:val="Hyperlink"/>
            <w:noProof/>
          </w:rPr>
          <w:t xml:space="preserve">Figure 62. </w:t>
        </w:r>
        <w:r w:rsidR="00DA5439" w:rsidRPr="003A1466">
          <w:rPr>
            <w:rStyle w:val="Hyperlink"/>
            <w:noProof/>
            <w:lang w:val="en-GB"/>
          </w:rPr>
          <w:t>Estimated spawning date frequency (grey bars) and associated discharge and temperature for larval native fish species captured in the lower-Lachlan River in 2018.</w:t>
        </w:r>
        <w:r w:rsidR="00DA5439">
          <w:rPr>
            <w:noProof/>
            <w:webHidden/>
          </w:rPr>
          <w:tab/>
        </w:r>
        <w:r w:rsidR="00DA5439">
          <w:rPr>
            <w:noProof/>
            <w:webHidden/>
          </w:rPr>
          <w:fldChar w:fldCharType="begin"/>
        </w:r>
        <w:r w:rsidR="00DA5439">
          <w:rPr>
            <w:noProof/>
            <w:webHidden/>
          </w:rPr>
          <w:instrText xml:space="preserve"> PAGEREF _Toc31985626 \h </w:instrText>
        </w:r>
        <w:r w:rsidR="00DA5439">
          <w:rPr>
            <w:noProof/>
            <w:webHidden/>
          </w:rPr>
        </w:r>
        <w:r w:rsidR="00DA5439">
          <w:rPr>
            <w:noProof/>
            <w:webHidden/>
          </w:rPr>
          <w:fldChar w:fldCharType="separate"/>
        </w:r>
        <w:r w:rsidR="007F7607">
          <w:rPr>
            <w:noProof/>
            <w:webHidden/>
          </w:rPr>
          <w:t>136</w:t>
        </w:r>
        <w:r w:rsidR="00DA5439">
          <w:rPr>
            <w:noProof/>
            <w:webHidden/>
          </w:rPr>
          <w:fldChar w:fldCharType="end"/>
        </w:r>
      </w:hyperlink>
    </w:p>
    <w:p w14:paraId="17B2749A" w14:textId="28B6E1B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7" w:history="1">
        <w:r w:rsidR="00DA5439" w:rsidRPr="003A1466">
          <w:rPr>
            <w:rStyle w:val="Hyperlink"/>
            <w:noProof/>
          </w:rPr>
          <w:t xml:space="preserve">Figure 63. </w:t>
        </w:r>
        <w:r w:rsidR="00DA5439" w:rsidRPr="003A1466">
          <w:rPr>
            <w:rStyle w:val="Hyperlink"/>
            <w:noProof/>
            <w:lang w:val="en-GB"/>
          </w:rPr>
          <w:t>Estimated spawning date frequency (grey bars) and associated discharge and temperature for larval native fish species capture in the mid-Lachlan River in 2018.</w:t>
        </w:r>
        <w:r w:rsidR="00DA5439">
          <w:rPr>
            <w:noProof/>
            <w:webHidden/>
          </w:rPr>
          <w:tab/>
        </w:r>
        <w:r w:rsidR="00DA5439">
          <w:rPr>
            <w:noProof/>
            <w:webHidden/>
          </w:rPr>
          <w:fldChar w:fldCharType="begin"/>
        </w:r>
        <w:r w:rsidR="00DA5439">
          <w:rPr>
            <w:noProof/>
            <w:webHidden/>
          </w:rPr>
          <w:instrText xml:space="preserve"> PAGEREF _Toc31985627 \h </w:instrText>
        </w:r>
        <w:r w:rsidR="00DA5439">
          <w:rPr>
            <w:noProof/>
            <w:webHidden/>
          </w:rPr>
        </w:r>
        <w:r w:rsidR="00DA5439">
          <w:rPr>
            <w:noProof/>
            <w:webHidden/>
          </w:rPr>
          <w:fldChar w:fldCharType="separate"/>
        </w:r>
        <w:r w:rsidR="007F7607">
          <w:rPr>
            <w:noProof/>
            <w:webHidden/>
          </w:rPr>
          <w:t>137</w:t>
        </w:r>
        <w:r w:rsidR="00DA5439">
          <w:rPr>
            <w:noProof/>
            <w:webHidden/>
          </w:rPr>
          <w:fldChar w:fldCharType="end"/>
        </w:r>
      </w:hyperlink>
    </w:p>
    <w:p w14:paraId="342FF011" w14:textId="2C2B560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8" w:history="1">
        <w:r w:rsidR="00DA5439" w:rsidRPr="003A1466">
          <w:rPr>
            <w:rStyle w:val="Hyperlink"/>
            <w:noProof/>
            <w:lang w:val="en-US"/>
          </w:rPr>
          <w:t>Figure 64. A sagittal otolith from an 8.87 mm long Murray cod larvae with an estimated age of 11 days (Photo: Fish aging services).</w:t>
        </w:r>
        <w:r w:rsidR="00DA5439">
          <w:rPr>
            <w:noProof/>
            <w:webHidden/>
          </w:rPr>
          <w:tab/>
        </w:r>
        <w:r w:rsidR="00DA5439">
          <w:rPr>
            <w:noProof/>
            <w:webHidden/>
          </w:rPr>
          <w:fldChar w:fldCharType="begin"/>
        </w:r>
        <w:r w:rsidR="00DA5439">
          <w:rPr>
            <w:noProof/>
            <w:webHidden/>
          </w:rPr>
          <w:instrText xml:space="preserve"> PAGEREF _Toc31985628 \h </w:instrText>
        </w:r>
        <w:r w:rsidR="00DA5439">
          <w:rPr>
            <w:noProof/>
            <w:webHidden/>
          </w:rPr>
        </w:r>
        <w:r w:rsidR="00DA5439">
          <w:rPr>
            <w:noProof/>
            <w:webHidden/>
          </w:rPr>
          <w:fldChar w:fldCharType="separate"/>
        </w:r>
        <w:r w:rsidR="007F7607">
          <w:rPr>
            <w:noProof/>
            <w:webHidden/>
          </w:rPr>
          <w:t>143</w:t>
        </w:r>
        <w:r w:rsidR="00DA5439">
          <w:rPr>
            <w:noProof/>
            <w:webHidden/>
          </w:rPr>
          <w:fldChar w:fldCharType="end"/>
        </w:r>
      </w:hyperlink>
    </w:p>
    <w:p w14:paraId="2E1997E4" w14:textId="77EA6C8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29" w:history="1">
        <w:r w:rsidR="00DA5439" w:rsidRPr="003A1466">
          <w:rPr>
            <w:rStyle w:val="Hyperlink"/>
            <w:noProof/>
          </w:rPr>
          <w:t>Figure 65</w:t>
        </w:r>
        <w:r w:rsidR="00DA5439" w:rsidRPr="003A1466">
          <w:rPr>
            <w:rStyle w:val="Hyperlink"/>
            <w:noProof/>
            <w:lang w:val="en-US"/>
          </w:rPr>
          <w:t>. Relationship between standard length (mm) and estimated ages (days) for Australian smelt predicted by the Von Bertalanffy model (dashed line), Gompertz model (solid line) and linear model (dotted line). Open circles indicate actual length age data.</w:t>
        </w:r>
        <w:r w:rsidR="00DA5439">
          <w:rPr>
            <w:noProof/>
            <w:webHidden/>
          </w:rPr>
          <w:tab/>
        </w:r>
        <w:r w:rsidR="00DA5439">
          <w:rPr>
            <w:noProof/>
            <w:webHidden/>
          </w:rPr>
          <w:fldChar w:fldCharType="begin"/>
        </w:r>
        <w:r w:rsidR="00DA5439">
          <w:rPr>
            <w:noProof/>
            <w:webHidden/>
          </w:rPr>
          <w:instrText xml:space="preserve"> PAGEREF _Toc31985629 \h </w:instrText>
        </w:r>
        <w:r w:rsidR="00DA5439">
          <w:rPr>
            <w:noProof/>
            <w:webHidden/>
          </w:rPr>
        </w:r>
        <w:r w:rsidR="00DA5439">
          <w:rPr>
            <w:noProof/>
            <w:webHidden/>
          </w:rPr>
          <w:fldChar w:fldCharType="separate"/>
        </w:r>
        <w:r w:rsidR="007F7607">
          <w:rPr>
            <w:noProof/>
            <w:webHidden/>
          </w:rPr>
          <w:t>145</w:t>
        </w:r>
        <w:r w:rsidR="00DA5439">
          <w:rPr>
            <w:noProof/>
            <w:webHidden/>
          </w:rPr>
          <w:fldChar w:fldCharType="end"/>
        </w:r>
      </w:hyperlink>
    </w:p>
    <w:p w14:paraId="26E4C5E5" w14:textId="1383F97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0" w:history="1">
        <w:r w:rsidR="00DA5439" w:rsidRPr="003A1466">
          <w:rPr>
            <w:rStyle w:val="Hyperlink"/>
            <w:noProof/>
            <w:lang w:val="en-US"/>
          </w:rPr>
          <w:t>Figure 66. Frequency histogram of error (days) in the estimated age of Australian smelt larvae between existing predictive linear model and newly derived Von Bertalanffy growth model compared with known age of samples (Dark grey = existing age estimate model, light grey indicates newly developed Von Bertalanffy growth model).</w:t>
        </w:r>
        <w:r w:rsidR="00DA5439">
          <w:rPr>
            <w:noProof/>
            <w:webHidden/>
          </w:rPr>
          <w:tab/>
        </w:r>
        <w:r w:rsidR="00DA5439">
          <w:rPr>
            <w:noProof/>
            <w:webHidden/>
          </w:rPr>
          <w:fldChar w:fldCharType="begin"/>
        </w:r>
        <w:r w:rsidR="00DA5439">
          <w:rPr>
            <w:noProof/>
            <w:webHidden/>
          </w:rPr>
          <w:instrText xml:space="preserve"> PAGEREF _Toc31985630 \h </w:instrText>
        </w:r>
        <w:r w:rsidR="00DA5439">
          <w:rPr>
            <w:noProof/>
            <w:webHidden/>
          </w:rPr>
        </w:r>
        <w:r w:rsidR="00DA5439">
          <w:rPr>
            <w:noProof/>
            <w:webHidden/>
          </w:rPr>
          <w:fldChar w:fldCharType="separate"/>
        </w:r>
        <w:r w:rsidR="007F7607">
          <w:rPr>
            <w:noProof/>
            <w:webHidden/>
          </w:rPr>
          <w:t>145</w:t>
        </w:r>
        <w:r w:rsidR="00DA5439">
          <w:rPr>
            <w:noProof/>
            <w:webHidden/>
          </w:rPr>
          <w:fldChar w:fldCharType="end"/>
        </w:r>
      </w:hyperlink>
    </w:p>
    <w:p w14:paraId="3188A148" w14:textId="0CD90A3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1" w:history="1">
        <w:r w:rsidR="00DA5439" w:rsidRPr="003A1466">
          <w:rPr>
            <w:rStyle w:val="Hyperlink"/>
            <w:noProof/>
            <w:lang w:val="en-US"/>
          </w:rPr>
          <w:t>Figure 67. Relationship between standard length and known age for Murray cod (red = 2014, green = 2015, blue = 2017, purple = 2018).</w:t>
        </w:r>
        <w:r w:rsidR="00DA5439">
          <w:rPr>
            <w:noProof/>
            <w:webHidden/>
          </w:rPr>
          <w:tab/>
        </w:r>
        <w:r w:rsidR="00DA5439">
          <w:rPr>
            <w:noProof/>
            <w:webHidden/>
          </w:rPr>
          <w:fldChar w:fldCharType="begin"/>
        </w:r>
        <w:r w:rsidR="00DA5439">
          <w:rPr>
            <w:noProof/>
            <w:webHidden/>
          </w:rPr>
          <w:instrText xml:space="preserve"> PAGEREF _Toc31985631 \h </w:instrText>
        </w:r>
        <w:r w:rsidR="00DA5439">
          <w:rPr>
            <w:noProof/>
            <w:webHidden/>
          </w:rPr>
        </w:r>
        <w:r w:rsidR="00DA5439">
          <w:rPr>
            <w:noProof/>
            <w:webHidden/>
          </w:rPr>
          <w:fldChar w:fldCharType="separate"/>
        </w:r>
        <w:r w:rsidR="007F7607">
          <w:rPr>
            <w:noProof/>
            <w:webHidden/>
          </w:rPr>
          <w:t>146</w:t>
        </w:r>
        <w:r w:rsidR="00DA5439">
          <w:rPr>
            <w:noProof/>
            <w:webHidden/>
          </w:rPr>
          <w:fldChar w:fldCharType="end"/>
        </w:r>
      </w:hyperlink>
    </w:p>
    <w:p w14:paraId="61A01EBF" w14:textId="0681D5D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2" w:history="1">
        <w:r w:rsidR="00DA5439" w:rsidRPr="003A1466">
          <w:rPr>
            <w:rStyle w:val="Hyperlink"/>
            <w:noProof/>
            <w:lang w:val="en-US"/>
          </w:rPr>
          <w:t>Figure 68. Frequency histogram of error (days) in the estimated age of Murray cod larvae between existing predictive model and newly derived linear model compared with known age of samples (Dark grey = existing age estimate model, light grey indicates newly developed linear model).</w:t>
        </w:r>
        <w:r w:rsidR="00DA5439">
          <w:rPr>
            <w:noProof/>
            <w:webHidden/>
          </w:rPr>
          <w:tab/>
        </w:r>
        <w:r w:rsidR="00DA5439">
          <w:rPr>
            <w:noProof/>
            <w:webHidden/>
          </w:rPr>
          <w:fldChar w:fldCharType="begin"/>
        </w:r>
        <w:r w:rsidR="00DA5439">
          <w:rPr>
            <w:noProof/>
            <w:webHidden/>
          </w:rPr>
          <w:instrText xml:space="preserve"> PAGEREF _Toc31985632 \h </w:instrText>
        </w:r>
        <w:r w:rsidR="00DA5439">
          <w:rPr>
            <w:noProof/>
            <w:webHidden/>
          </w:rPr>
        </w:r>
        <w:r w:rsidR="00DA5439">
          <w:rPr>
            <w:noProof/>
            <w:webHidden/>
          </w:rPr>
          <w:fldChar w:fldCharType="separate"/>
        </w:r>
        <w:r w:rsidR="007F7607">
          <w:rPr>
            <w:noProof/>
            <w:webHidden/>
          </w:rPr>
          <w:t>147</w:t>
        </w:r>
        <w:r w:rsidR="00DA5439">
          <w:rPr>
            <w:noProof/>
            <w:webHidden/>
          </w:rPr>
          <w:fldChar w:fldCharType="end"/>
        </w:r>
      </w:hyperlink>
    </w:p>
    <w:p w14:paraId="56C86C30" w14:textId="1BE8CB9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3" w:history="1">
        <w:r w:rsidR="00DA5439" w:rsidRPr="003A1466">
          <w:rPr>
            <w:rStyle w:val="Hyperlink"/>
            <w:noProof/>
            <w:lang w:val="en-US"/>
          </w:rPr>
          <w:t>Figure 69. Spawning density estimates for each age model for Australian smelt for each year (red = known age, blue = Von Bertalanffy Growth Model, green = existing linear model).</w:t>
        </w:r>
        <w:r w:rsidR="00DA5439">
          <w:rPr>
            <w:noProof/>
            <w:webHidden/>
          </w:rPr>
          <w:tab/>
        </w:r>
        <w:r w:rsidR="00DA5439">
          <w:rPr>
            <w:noProof/>
            <w:webHidden/>
          </w:rPr>
          <w:fldChar w:fldCharType="begin"/>
        </w:r>
        <w:r w:rsidR="00DA5439">
          <w:rPr>
            <w:noProof/>
            <w:webHidden/>
          </w:rPr>
          <w:instrText xml:space="preserve"> PAGEREF _Toc31985633 \h </w:instrText>
        </w:r>
        <w:r w:rsidR="00DA5439">
          <w:rPr>
            <w:noProof/>
            <w:webHidden/>
          </w:rPr>
        </w:r>
        <w:r w:rsidR="00DA5439">
          <w:rPr>
            <w:noProof/>
            <w:webHidden/>
          </w:rPr>
          <w:fldChar w:fldCharType="separate"/>
        </w:r>
        <w:r w:rsidR="007F7607">
          <w:rPr>
            <w:noProof/>
            <w:webHidden/>
          </w:rPr>
          <w:t>148</w:t>
        </w:r>
        <w:r w:rsidR="00DA5439">
          <w:rPr>
            <w:noProof/>
            <w:webHidden/>
          </w:rPr>
          <w:fldChar w:fldCharType="end"/>
        </w:r>
      </w:hyperlink>
    </w:p>
    <w:p w14:paraId="61EB4F5E" w14:textId="522FA49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4" w:history="1">
        <w:r w:rsidR="00DA5439" w:rsidRPr="003A1466">
          <w:rPr>
            <w:rStyle w:val="Hyperlink"/>
            <w:noProof/>
            <w:lang w:val="en-US"/>
          </w:rPr>
          <w:t>Figure 70. Spawning density estimates for each age model for Murray cod for each year (red = known age, blue = newly constructed linear model, green = existing linear model).</w:t>
        </w:r>
        <w:r w:rsidR="00DA5439">
          <w:rPr>
            <w:noProof/>
            <w:webHidden/>
          </w:rPr>
          <w:tab/>
        </w:r>
        <w:r w:rsidR="00DA5439">
          <w:rPr>
            <w:noProof/>
            <w:webHidden/>
          </w:rPr>
          <w:fldChar w:fldCharType="begin"/>
        </w:r>
        <w:r w:rsidR="00DA5439">
          <w:rPr>
            <w:noProof/>
            <w:webHidden/>
          </w:rPr>
          <w:instrText xml:space="preserve"> PAGEREF _Toc31985634 \h </w:instrText>
        </w:r>
        <w:r w:rsidR="00DA5439">
          <w:rPr>
            <w:noProof/>
            <w:webHidden/>
          </w:rPr>
        </w:r>
        <w:r w:rsidR="00DA5439">
          <w:rPr>
            <w:noProof/>
            <w:webHidden/>
          </w:rPr>
          <w:fldChar w:fldCharType="separate"/>
        </w:r>
        <w:r w:rsidR="007F7607">
          <w:rPr>
            <w:noProof/>
            <w:webHidden/>
          </w:rPr>
          <w:t>149</w:t>
        </w:r>
        <w:r w:rsidR="00DA5439">
          <w:rPr>
            <w:noProof/>
            <w:webHidden/>
          </w:rPr>
          <w:fldChar w:fldCharType="end"/>
        </w:r>
      </w:hyperlink>
    </w:p>
    <w:p w14:paraId="1B50B280" w14:textId="3888E4C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5" w:history="1">
        <w:r w:rsidR="00DA5439" w:rsidRPr="003A1466">
          <w:rPr>
            <w:rStyle w:val="Hyperlink"/>
            <w:noProof/>
            <w:lang w:val="en-US"/>
          </w:rPr>
          <w:t>Figure 71. Relationship between standard length (mm) and age (days) for Australian smelt for each monitoring year. Red = 2014, Green = 2015, Blue = 2017 and Purple = 2018.</w:t>
        </w:r>
        <w:r w:rsidR="00DA5439">
          <w:rPr>
            <w:noProof/>
            <w:webHidden/>
          </w:rPr>
          <w:tab/>
        </w:r>
        <w:r w:rsidR="00DA5439">
          <w:rPr>
            <w:noProof/>
            <w:webHidden/>
          </w:rPr>
          <w:fldChar w:fldCharType="begin"/>
        </w:r>
        <w:r w:rsidR="00DA5439">
          <w:rPr>
            <w:noProof/>
            <w:webHidden/>
          </w:rPr>
          <w:instrText xml:space="preserve"> PAGEREF _Toc31985635 \h </w:instrText>
        </w:r>
        <w:r w:rsidR="00DA5439">
          <w:rPr>
            <w:noProof/>
            <w:webHidden/>
          </w:rPr>
        </w:r>
        <w:r w:rsidR="00DA5439">
          <w:rPr>
            <w:noProof/>
            <w:webHidden/>
          </w:rPr>
          <w:fldChar w:fldCharType="separate"/>
        </w:r>
        <w:r w:rsidR="007F7607">
          <w:rPr>
            <w:noProof/>
            <w:webHidden/>
          </w:rPr>
          <w:t>150</w:t>
        </w:r>
        <w:r w:rsidR="00DA5439">
          <w:rPr>
            <w:noProof/>
            <w:webHidden/>
          </w:rPr>
          <w:fldChar w:fldCharType="end"/>
        </w:r>
      </w:hyperlink>
    </w:p>
    <w:p w14:paraId="01DC9AD1" w14:textId="0DC78E3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6" w:history="1">
        <w:r w:rsidR="00DA5439" w:rsidRPr="003A1466">
          <w:rPr>
            <w:rStyle w:val="Hyperlink"/>
            <w:noProof/>
            <w:lang w:val="en-US"/>
          </w:rPr>
          <w:t>Figure 72. Relationships between Australian smelt daily increment width (daily growth) and rolling mean lag of gross primary productivity in the Lachlan River. (GPP3 = rolling mean lag of GPP for the past 3 days, GPP5 = rolling mean lag of GPP for the past 5 days, GPP7 = rolling mean lag of GPP for the past 7 days). Blue line indicates linear model with dark grey shading indicating 95% confidence intervals.</w:t>
        </w:r>
        <w:r w:rsidR="00DA5439">
          <w:rPr>
            <w:noProof/>
            <w:webHidden/>
          </w:rPr>
          <w:tab/>
        </w:r>
        <w:r w:rsidR="00DA5439">
          <w:rPr>
            <w:noProof/>
            <w:webHidden/>
          </w:rPr>
          <w:fldChar w:fldCharType="begin"/>
        </w:r>
        <w:r w:rsidR="00DA5439">
          <w:rPr>
            <w:noProof/>
            <w:webHidden/>
          </w:rPr>
          <w:instrText xml:space="preserve"> PAGEREF _Toc31985636 \h </w:instrText>
        </w:r>
        <w:r w:rsidR="00DA5439">
          <w:rPr>
            <w:noProof/>
            <w:webHidden/>
          </w:rPr>
        </w:r>
        <w:r w:rsidR="00DA5439">
          <w:rPr>
            <w:noProof/>
            <w:webHidden/>
          </w:rPr>
          <w:fldChar w:fldCharType="separate"/>
        </w:r>
        <w:r w:rsidR="007F7607">
          <w:rPr>
            <w:noProof/>
            <w:webHidden/>
          </w:rPr>
          <w:t>150</w:t>
        </w:r>
        <w:r w:rsidR="00DA5439">
          <w:rPr>
            <w:noProof/>
            <w:webHidden/>
          </w:rPr>
          <w:fldChar w:fldCharType="end"/>
        </w:r>
      </w:hyperlink>
    </w:p>
    <w:p w14:paraId="072BEDE4" w14:textId="2E44FA9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7" w:history="1">
        <w:r w:rsidR="00DA5439" w:rsidRPr="003A1466">
          <w:rPr>
            <w:rStyle w:val="Hyperlink"/>
            <w:noProof/>
            <w:lang w:val="en-US"/>
          </w:rPr>
          <w:t>Figure 73. Frequency histogram of length age ratios for larval Murray cod between sampling years.</w:t>
        </w:r>
        <w:r w:rsidR="00DA5439">
          <w:rPr>
            <w:noProof/>
            <w:webHidden/>
          </w:rPr>
          <w:tab/>
        </w:r>
        <w:r w:rsidR="00DA5439">
          <w:rPr>
            <w:noProof/>
            <w:webHidden/>
          </w:rPr>
          <w:fldChar w:fldCharType="begin"/>
        </w:r>
        <w:r w:rsidR="00DA5439">
          <w:rPr>
            <w:noProof/>
            <w:webHidden/>
          </w:rPr>
          <w:instrText xml:space="preserve"> PAGEREF _Toc31985637 \h </w:instrText>
        </w:r>
        <w:r w:rsidR="00DA5439">
          <w:rPr>
            <w:noProof/>
            <w:webHidden/>
          </w:rPr>
        </w:r>
        <w:r w:rsidR="00DA5439">
          <w:rPr>
            <w:noProof/>
            <w:webHidden/>
          </w:rPr>
          <w:fldChar w:fldCharType="separate"/>
        </w:r>
        <w:r w:rsidR="007F7607">
          <w:rPr>
            <w:noProof/>
            <w:webHidden/>
          </w:rPr>
          <w:t>151</w:t>
        </w:r>
        <w:r w:rsidR="00DA5439">
          <w:rPr>
            <w:noProof/>
            <w:webHidden/>
          </w:rPr>
          <w:fldChar w:fldCharType="end"/>
        </w:r>
      </w:hyperlink>
    </w:p>
    <w:p w14:paraId="3B51EC84" w14:textId="21576FF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8" w:history="1">
        <w:r w:rsidR="00DA5439" w:rsidRPr="003A1466">
          <w:rPr>
            <w:rStyle w:val="Hyperlink"/>
            <w:noProof/>
            <w:lang w:val="en-US"/>
          </w:rPr>
          <w:t>Figure 74. Relationships between Murray cod daily increment width (daily growth) and rolling mean lag of gross primary productivity in the Lachlan River. (GPP3 = rolling mean lag of GPP for the past 3 days, GPP5 = rolling mean lag of GPP for the past 5 days, GPP7 = rolling mean lag of GPP for the past 7 days). Blue line indicates linear model with dark grey shading indicating 95% confidence intervals.</w:t>
        </w:r>
        <w:r w:rsidR="00DA5439">
          <w:rPr>
            <w:noProof/>
            <w:webHidden/>
          </w:rPr>
          <w:tab/>
        </w:r>
        <w:r w:rsidR="00DA5439">
          <w:rPr>
            <w:noProof/>
            <w:webHidden/>
          </w:rPr>
          <w:fldChar w:fldCharType="begin"/>
        </w:r>
        <w:r w:rsidR="00DA5439">
          <w:rPr>
            <w:noProof/>
            <w:webHidden/>
          </w:rPr>
          <w:instrText xml:space="preserve"> PAGEREF _Toc31985638 \h </w:instrText>
        </w:r>
        <w:r w:rsidR="00DA5439">
          <w:rPr>
            <w:noProof/>
            <w:webHidden/>
          </w:rPr>
        </w:r>
        <w:r w:rsidR="00DA5439">
          <w:rPr>
            <w:noProof/>
            <w:webHidden/>
          </w:rPr>
          <w:fldChar w:fldCharType="separate"/>
        </w:r>
        <w:r w:rsidR="007F7607">
          <w:rPr>
            <w:noProof/>
            <w:webHidden/>
          </w:rPr>
          <w:t>152</w:t>
        </w:r>
        <w:r w:rsidR="00DA5439">
          <w:rPr>
            <w:noProof/>
            <w:webHidden/>
          </w:rPr>
          <w:fldChar w:fldCharType="end"/>
        </w:r>
      </w:hyperlink>
    </w:p>
    <w:p w14:paraId="50EB66A0" w14:textId="6E9BA33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39" w:history="1">
        <w:r w:rsidR="00DA5439" w:rsidRPr="003A1466">
          <w:rPr>
            <w:rStyle w:val="Hyperlink"/>
            <w:noProof/>
          </w:rPr>
          <w:t>Figure 75. Redgum woodland monitoring site at Whealbah on the 19</w:t>
        </w:r>
        <w:r w:rsidR="00DA5439" w:rsidRPr="003A1466">
          <w:rPr>
            <w:rStyle w:val="Hyperlink"/>
            <w:noProof/>
            <w:vertAlign w:val="superscript"/>
          </w:rPr>
          <w:t>th</w:t>
        </w:r>
        <w:r w:rsidR="00DA5439" w:rsidRPr="003A1466">
          <w:rPr>
            <w:rStyle w:val="Hyperlink"/>
            <w:noProof/>
          </w:rPr>
          <w:t xml:space="preserve"> of June 2019. Photo: Yasmin Cross.</w:t>
        </w:r>
        <w:r w:rsidR="00DA5439">
          <w:rPr>
            <w:noProof/>
            <w:webHidden/>
          </w:rPr>
          <w:tab/>
        </w:r>
        <w:r w:rsidR="00DA5439">
          <w:rPr>
            <w:noProof/>
            <w:webHidden/>
          </w:rPr>
          <w:fldChar w:fldCharType="begin"/>
        </w:r>
        <w:r w:rsidR="00DA5439">
          <w:rPr>
            <w:noProof/>
            <w:webHidden/>
          </w:rPr>
          <w:instrText xml:space="preserve"> PAGEREF _Toc31985639 \h </w:instrText>
        </w:r>
        <w:r w:rsidR="00DA5439">
          <w:rPr>
            <w:noProof/>
            <w:webHidden/>
          </w:rPr>
        </w:r>
        <w:r w:rsidR="00DA5439">
          <w:rPr>
            <w:noProof/>
            <w:webHidden/>
          </w:rPr>
          <w:fldChar w:fldCharType="separate"/>
        </w:r>
        <w:r w:rsidR="007F7607">
          <w:rPr>
            <w:noProof/>
            <w:webHidden/>
          </w:rPr>
          <w:t>156</w:t>
        </w:r>
        <w:r w:rsidR="00DA5439">
          <w:rPr>
            <w:noProof/>
            <w:webHidden/>
          </w:rPr>
          <w:fldChar w:fldCharType="end"/>
        </w:r>
      </w:hyperlink>
    </w:p>
    <w:p w14:paraId="71CCDB25" w14:textId="036FFDB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0" w:history="1">
        <w:r w:rsidR="00DA5439" w:rsidRPr="003A1466">
          <w:rPr>
            <w:rStyle w:val="Hyperlink"/>
            <w:noProof/>
          </w:rPr>
          <w:t>Figure 76. Photo of part of the central reedbed of the Great Cumbung Swamp taken 30 July 2019 following an environmental watering action in June/July 2019. Photo by Will Higgisson.</w:t>
        </w:r>
        <w:r w:rsidR="00DA5439">
          <w:rPr>
            <w:noProof/>
            <w:webHidden/>
          </w:rPr>
          <w:tab/>
        </w:r>
        <w:r w:rsidR="00DA5439">
          <w:rPr>
            <w:noProof/>
            <w:webHidden/>
          </w:rPr>
          <w:fldChar w:fldCharType="begin"/>
        </w:r>
        <w:r w:rsidR="00DA5439">
          <w:rPr>
            <w:noProof/>
            <w:webHidden/>
          </w:rPr>
          <w:instrText xml:space="preserve"> PAGEREF _Toc31985640 \h </w:instrText>
        </w:r>
        <w:r w:rsidR="00DA5439">
          <w:rPr>
            <w:noProof/>
            <w:webHidden/>
          </w:rPr>
        </w:r>
        <w:r w:rsidR="00DA5439">
          <w:rPr>
            <w:noProof/>
            <w:webHidden/>
          </w:rPr>
          <w:fldChar w:fldCharType="separate"/>
        </w:r>
        <w:r w:rsidR="007F7607">
          <w:rPr>
            <w:noProof/>
            <w:webHidden/>
          </w:rPr>
          <w:t>162</w:t>
        </w:r>
        <w:r w:rsidR="00DA5439">
          <w:rPr>
            <w:noProof/>
            <w:webHidden/>
          </w:rPr>
          <w:fldChar w:fldCharType="end"/>
        </w:r>
      </w:hyperlink>
    </w:p>
    <w:p w14:paraId="5AFFFE2B" w14:textId="17E0827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1" w:history="1">
        <w:r w:rsidR="00DA5439" w:rsidRPr="003A1466">
          <w:rPr>
            <w:rStyle w:val="Hyperlink"/>
            <w:noProof/>
          </w:rPr>
          <w:t>Figure 77. Photo of the intermittent river red gum floodplain swamp south of the Great Cumbung Swamp taken 29 July 2019 following an environmental watering action in June/July 2019. Photo by Will Higgisson.</w:t>
        </w:r>
        <w:r w:rsidR="00DA5439">
          <w:rPr>
            <w:noProof/>
            <w:webHidden/>
          </w:rPr>
          <w:tab/>
        </w:r>
        <w:r w:rsidR="00DA5439">
          <w:rPr>
            <w:noProof/>
            <w:webHidden/>
          </w:rPr>
          <w:fldChar w:fldCharType="begin"/>
        </w:r>
        <w:r w:rsidR="00DA5439">
          <w:rPr>
            <w:noProof/>
            <w:webHidden/>
          </w:rPr>
          <w:instrText xml:space="preserve"> PAGEREF _Toc31985641 \h </w:instrText>
        </w:r>
        <w:r w:rsidR="00DA5439">
          <w:rPr>
            <w:noProof/>
            <w:webHidden/>
          </w:rPr>
        </w:r>
        <w:r w:rsidR="00DA5439">
          <w:rPr>
            <w:noProof/>
            <w:webHidden/>
          </w:rPr>
          <w:fldChar w:fldCharType="separate"/>
        </w:r>
        <w:r w:rsidR="007F7607">
          <w:rPr>
            <w:noProof/>
            <w:webHidden/>
          </w:rPr>
          <w:t>163</w:t>
        </w:r>
        <w:r w:rsidR="00DA5439">
          <w:rPr>
            <w:noProof/>
            <w:webHidden/>
          </w:rPr>
          <w:fldChar w:fldCharType="end"/>
        </w:r>
      </w:hyperlink>
    </w:p>
    <w:p w14:paraId="29C6AED5" w14:textId="52713AEE"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2" w:history="1">
        <w:r w:rsidR="00DA5439" w:rsidRPr="003A1466">
          <w:rPr>
            <w:rStyle w:val="Hyperlink"/>
            <w:noProof/>
          </w:rPr>
          <w:t>Figure 78. Conceptualisation of recent watering history categories (defined in Table 28).</w:t>
        </w:r>
        <w:r w:rsidR="00DA5439">
          <w:rPr>
            <w:noProof/>
            <w:webHidden/>
          </w:rPr>
          <w:tab/>
        </w:r>
        <w:r w:rsidR="00DA5439">
          <w:rPr>
            <w:noProof/>
            <w:webHidden/>
          </w:rPr>
          <w:fldChar w:fldCharType="begin"/>
        </w:r>
        <w:r w:rsidR="00DA5439">
          <w:rPr>
            <w:noProof/>
            <w:webHidden/>
          </w:rPr>
          <w:instrText xml:space="preserve"> PAGEREF _Toc31985642 \h </w:instrText>
        </w:r>
        <w:r w:rsidR="00DA5439">
          <w:rPr>
            <w:noProof/>
            <w:webHidden/>
          </w:rPr>
        </w:r>
        <w:r w:rsidR="00DA5439">
          <w:rPr>
            <w:noProof/>
            <w:webHidden/>
          </w:rPr>
          <w:fldChar w:fldCharType="separate"/>
        </w:r>
        <w:r w:rsidR="007F7607">
          <w:rPr>
            <w:noProof/>
            <w:webHidden/>
          </w:rPr>
          <w:t>164</w:t>
        </w:r>
        <w:r w:rsidR="00DA5439">
          <w:rPr>
            <w:noProof/>
            <w:webHidden/>
          </w:rPr>
          <w:fldChar w:fldCharType="end"/>
        </w:r>
      </w:hyperlink>
    </w:p>
    <w:p w14:paraId="462DFAD8" w14:textId="47F79A6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3" w:history="1">
        <w:r w:rsidR="00DA5439" w:rsidRPr="003A1466">
          <w:rPr>
            <w:rStyle w:val="Hyperlink"/>
            <w:noProof/>
          </w:rPr>
          <w:t>Figure 79. Map of the vegetation monitoring sites categorised according to watering history.</w:t>
        </w:r>
        <w:r w:rsidR="00DA5439">
          <w:rPr>
            <w:noProof/>
            <w:webHidden/>
          </w:rPr>
          <w:tab/>
        </w:r>
        <w:r w:rsidR="00DA5439">
          <w:rPr>
            <w:noProof/>
            <w:webHidden/>
          </w:rPr>
          <w:fldChar w:fldCharType="begin"/>
        </w:r>
        <w:r w:rsidR="00DA5439">
          <w:rPr>
            <w:noProof/>
            <w:webHidden/>
          </w:rPr>
          <w:instrText xml:space="preserve"> PAGEREF _Toc31985643 \h </w:instrText>
        </w:r>
        <w:r w:rsidR="00DA5439">
          <w:rPr>
            <w:noProof/>
            <w:webHidden/>
          </w:rPr>
        </w:r>
        <w:r w:rsidR="00DA5439">
          <w:rPr>
            <w:noProof/>
            <w:webHidden/>
          </w:rPr>
          <w:fldChar w:fldCharType="separate"/>
        </w:r>
        <w:r w:rsidR="007F7607">
          <w:rPr>
            <w:noProof/>
            <w:webHidden/>
          </w:rPr>
          <w:t>165</w:t>
        </w:r>
        <w:r w:rsidR="00DA5439">
          <w:rPr>
            <w:noProof/>
            <w:webHidden/>
          </w:rPr>
          <w:fldChar w:fldCharType="end"/>
        </w:r>
      </w:hyperlink>
    </w:p>
    <w:p w14:paraId="6CFD05A9" w14:textId="75EF71E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4" w:history="1">
        <w:r w:rsidR="00DA5439" w:rsidRPr="003A1466">
          <w:rPr>
            <w:rStyle w:val="Hyperlink"/>
            <w:noProof/>
          </w:rPr>
          <w:t>Figure 80. Comparison of groundcover vegetation diversity in the non-tree community between seasons and years using Simpson’s diversity index (D).</w:t>
        </w:r>
        <w:r w:rsidR="00DA5439">
          <w:rPr>
            <w:noProof/>
            <w:webHidden/>
          </w:rPr>
          <w:tab/>
        </w:r>
        <w:r w:rsidR="00DA5439">
          <w:rPr>
            <w:noProof/>
            <w:webHidden/>
          </w:rPr>
          <w:fldChar w:fldCharType="begin"/>
        </w:r>
        <w:r w:rsidR="00DA5439">
          <w:rPr>
            <w:noProof/>
            <w:webHidden/>
          </w:rPr>
          <w:instrText xml:space="preserve"> PAGEREF _Toc31985644 \h </w:instrText>
        </w:r>
        <w:r w:rsidR="00DA5439">
          <w:rPr>
            <w:noProof/>
            <w:webHidden/>
          </w:rPr>
        </w:r>
        <w:r w:rsidR="00DA5439">
          <w:rPr>
            <w:noProof/>
            <w:webHidden/>
          </w:rPr>
          <w:fldChar w:fldCharType="separate"/>
        </w:r>
        <w:r w:rsidR="007F7607">
          <w:rPr>
            <w:noProof/>
            <w:webHidden/>
          </w:rPr>
          <w:t>168</w:t>
        </w:r>
        <w:r w:rsidR="00DA5439">
          <w:rPr>
            <w:noProof/>
            <w:webHidden/>
          </w:rPr>
          <w:fldChar w:fldCharType="end"/>
        </w:r>
      </w:hyperlink>
    </w:p>
    <w:p w14:paraId="41CF1264" w14:textId="1F8E207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5" w:history="1">
        <w:r w:rsidR="00DA5439" w:rsidRPr="003A1466">
          <w:rPr>
            <w:rStyle w:val="Hyperlink"/>
            <w:noProof/>
          </w:rPr>
          <w:t>Figure 81. Comparison of cumulative species richness within the non-tree communities according to the site watering categories.</w:t>
        </w:r>
        <w:r w:rsidR="00DA5439">
          <w:rPr>
            <w:noProof/>
            <w:webHidden/>
          </w:rPr>
          <w:tab/>
        </w:r>
        <w:r w:rsidR="00DA5439">
          <w:rPr>
            <w:noProof/>
            <w:webHidden/>
          </w:rPr>
          <w:fldChar w:fldCharType="begin"/>
        </w:r>
        <w:r w:rsidR="00DA5439">
          <w:rPr>
            <w:noProof/>
            <w:webHidden/>
          </w:rPr>
          <w:instrText xml:space="preserve"> PAGEREF _Toc31985645 \h </w:instrText>
        </w:r>
        <w:r w:rsidR="00DA5439">
          <w:rPr>
            <w:noProof/>
            <w:webHidden/>
          </w:rPr>
        </w:r>
        <w:r w:rsidR="00DA5439">
          <w:rPr>
            <w:noProof/>
            <w:webHidden/>
          </w:rPr>
          <w:fldChar w:fldCharType="separate"/>
        </w:r>
        <w:r w:rsidR="007F7607">
          <w:rPr>
            <w:noProof/>
            <w:webHidden/>
          </w:rPr>
          <w:t>170</w:t>
        </w:r>
        <w:r w:rsidR="00DA5439">
          <w:rPr>
            <w:noProof/>
            <w:webHidden/>
          </w:rPr>
          <w:fldChar w:fldCharType="end"/>
        </w:r>
      </w:hyperlink>
    </w:p>
    <w:p w14:paraId="400152AE" w14:textId="17AB341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6" w:history="1">
        <w:r w:rsidR="00DA5439" w:rsidRPr="003A1466">
          <w:rPr>
            <w:rStyle w:val="Hyperlink"/>
            <w:noProof/>
          </w:rPr>
          <w:t>Figure 82. Comparison of groundcover vegetation diversity in the tree community between seasons and years using Simpson’s diversity index (D).</w:t>
        </w:r>
        <w:r w:rsidR="00DA5439">
          <w:rPr>
            <w:noProof/>
            <w:webHidden/>
          </w:rPr>
          <w:tab/>
        </w:r>
        <w:r w:rsidR="00DA5439">
          <w:rPr>
            <w:noProof/>
            <w:webHidden/>
          </w:rPr>
          <w:fldChar w:fldCharType="begin"/>
        </w:r>
        <w:r w:rsidR="00DA5439">
          <w:rPr>
            <w:noProof/>
            <w:webHidden/>
          </w:rPr>
          <w:instrText xml:space="preserve"> PAGEREF _Toc31985646 \h </w:instrText>
        </w:r>
        <w:r w:rsidR="00DA5439">
          <w:rPr>
            <w:noProof/>
            <w:webHidden/>
          </w:rPr>
        </w:r>
        <w:r w:rsidR="00DA5439">
          <w:rPr>
            <w:noProof/>
            <w:webHidden/>
          </w:rPr>
          <w:fldChar w:fldCharType="separate"/>
        </w:r>
        <w:r w:rsidR="007F7607">
          <w:rPr>
            <w:noProof/>
            <w:webHidden/>
          </w:rPr>
          <w:t>172</w:t>
        </w:r>
        <w:r w:rsidR="00DA5439">
          <w:rPr>
            <w:noProof/>
            <w:webHidden/>
          </w:rPr>
          <w:fldChar w:fldCharType="end"/>
        </w:r>
      </w:hyperlink>
    </w:p>
    <w:p w14:paraId="0DCDBA93" w14:textId="3B725BD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7" w:history="1">
        <w:r w:rsidR="00DA5439" w:rsidRPr="003A1466">
          <w:rPr>
            <w:rStyle w:val="Hyperlink"/>
            <w:noProof/>
          </w:rPr>
          <w:t>Figure 83. Cumulative species richness of amphibious species in the tree communities at sites within the watering category A (floods only ) (top figure) and watering category B (one environmental watering) (bottom figure) across the five years of monitoring.</w:t>
        </w:r>
        <w:r w:rsidR="00DA5439">
          <w:rPr>
            <w:noProof/>
            <w:webHidden/>
          </w:rPr>
          <w:tab/>
        </w:r>
        <w:r w:rsidR="00DA5439">
          <w:rPr>
            <w:noProof/>
            <w:webHidden/>
          </w:rPr>
          <w:fldChar w:fldCharType="begin"/>
        </w:r>
        <w:r w:rsidR="00DA5439">
          <w:rPr>
            <w:noProof/>
            <w:webHidden/>
          </w:rPr>
          <w:instrText xml:space="preserve"> PAGEREF _Toc31985647 \h </w:instrText>
        </w:r>
        <w:r w:rsidR="00DA5439">
          <w:rPr>
            <w:noProof/>
            <w:webHidden/>
          </w:rPr>
        </w:r>
        <w:r w:rsidR="00DA5439">
          <w:rPr>
            <w:noProof/>
            <w:webHidden/>
          </w:rPr>
          <w:fldChar w:fldCharType="separate"/>
        </w:r>
        <w:r w:rsidR="007F7607">
          <w:rPr>
            <w:noProof/>
            <w:webHidden/>
          </w:rPr>
          <w:t>173</w:t>
        </w:r>
        <w:r w:rsidR="00DA5439">
          <w:rPr>
            <w:noProof/>
            <w:webHidden/>
          </w:rPr>
          <w:fldChar w:fldCharType="end"/>
        </w:r>
      </w:hyperlink>
    </w:p>
    <w:p w14:paraId="287B5951" w14:textId="0A08A66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8" w:history="1">
        <w:r w:rsidR="00DA5439" w:rsidRPr="003A1466">
          <w:rPr>
            <w:rStyle w:val="Hyperlink"/>
            <w:noProof/>
          </w:rPr>
          <w:t>Figure 84. Average percent cover of terrestrial and amphibious species within the non-tree community for sites from each watering history over the sampling period.</w:t>
        </w:r>
        <w:r w:rsidR="00DA5439">
          <w:rPr>
            <w:noProof/>
            <w:webHidden/>
          </w:rPr>
          <w:tab/>
        </w:r>
        <w:r w:rsidR="00DA5439">
          <w:rPr>
            <w:noProof/>
            <w:webHidden/>
          </w:rPr>
          <w:fldChar w:fldCharType="begin"/>
        </w:r>
        <w:r w:rsidR="00DA5439">
          <w:rPr>
            <w:noProof/>
            <w:webHidden/>
          </w:rPr>
          <w:instrText xml:space="preserve"> PAGEREF _Toc31985648 \h </w:instrText>
        </w:r>
        <w:r w:rsidR="00DA5439">
          <w:rPr>
            <w:noProof/>
            <w:webHidden/>
          </w:rPr>
        </w:r>
        <w:r w:rsidR="00DA5439">
          <w:rPr>
            <w:noProof/>
            <w:webHidden/>
          </w:rPr>
          <w:fldChar w:fldCharType="separate"/>
        </w:r>
        <w:r w:rsidR="007F7607">
          <w:rPr>
            <w:noProof/>
            <w:webHidden/>
          </w:rPr>
          <w:t>174</w:t>
        </w:r>
        <w:r w:rsidR="00DA5439">
          <w:rPr>
            <w:noProof/>
            <w:webHidden/>
          </w:rPr>
          <w:fldChar w:fldCharType="end"/>
        </w:r>
      </w:hyperlink>
    </w:p>
    <w:p w14:paraId="1F1E4FF2" w14:textId="63556E0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49" w:history="1">
        <w:r w:rsidR="00DA5439" w:rsidRPr="003A1466">
          <w:rPr>
            <w:rStyle w:val="Hyperlink"/>
            <w:noProof/>
          </w:rPr>
          <w:t>Figure 85. Average percent cover of native and exotic species for the non-tree communities for sites from each watering history over the sampling period.</w:t>
        </w:r>
        <w:r w:rsidR="00DA5439">
          <w:rPr>
            <w:noProof/>
            <w:webHidden/>
          </w:rPr>
          <w:tab/>
        </w:r>
        <w:r w:rsidR="00DA5439">
          <w:rPr>
            <w:noProof/>
            <w:webHidden/>
          </w:rPr>
          <w:fldChar w:fldCharType="begin"/>
        </w:r>
        <w:r w:rsidR="00DA5439">
          <w:rPr>
            <w:noProof/>
            <w:webHidden/>
          </w:rPr>
          <w:instrText xml:space="preserve"> PAGEREF _Toc31985649 \h </w:instrText>
        </w:r>
        <w:r w:rsidR="00DA5439">
          <w:rPr>
            <w:noProof/>
            <w:webHidden/>
          </w:rPr>
        </w:r>
        <w:r w:rsidR="00DA5439">
          <w:rPr>
            <w:noProof/>
            <w:webHidden/>
          </w:rPr>
          <w:fldChar w:fldCharType="separate"/>
        </w:r>
        <w:r w:rsidR="007F7607">
          <w:rPr>
            <w:noProof/>
            <w:webHidden/>
          </w:rPr>
          <w:t>175</w:t>
        </w:r>
        <w:r w:rsidR="00DA5439">
          <w:rPr>
            <w:noProof/>
            <w:webHidden/>
          </w:rPr>
          <w:fldChar w:fldCharType="end"/>
        </w:r>
      </w:hyperlink>
    </w:p>
    <w:p w14:paraId="68EDB062" w14:textId="2F98CBE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0" w:history="1">
        <w:r w:rsidR="00DA5439" w:rsidRPr="003A1466">
          <w:rPr>
            <w:rStyle w:val="Hyperlink"/>
            <w:noProof/>
          </w:rPr>
          <w:t>Figure 86. Average percent cover of terrestrial and amphibious species within the tree community for sites from each watering history over the sampling period.</w:t>
        </w:r>
        <w:r w:rsidR="00DA5439">
          <w:rPr>
            <w:noProof/>
            <w:webHidden/>
          </w:rPr>
          <w:tab/>
        </w:r>
        <w:r w:rsidR="00DA5439">
          <w:rPr>
            <w:noProof/>
            <w:webHidden/>
          </w:rPr>
          <w:fldChar w:fldCharType="begin"/>
        </w:r>
        <w:r w:rsidR="00DA5439">
          <w:rPr>
            <w:noProof/>
            <w:webHidden/>
          </w:rPr>
          <w:instrText xml:space="preserve"> PAGEREF _Toc31985650 \h </w:instrText>
        </w:r>
        <w:r w:rsidR="00DA5439">
          <w:rPr>
            <w:noProof/>
            <w:webHidden/>
          </w:rPr>
        </w:r>
        <w:r w:rsidR="00DA5439">
          <w:rPr>
            <w:noProof/>
            <w:webHidden/>
          </w:rPr>
          <w:fldChar w:fldCharType="separate"/>
        </w:r>
        <w:r w:rsidR="007F7607">
          <w:rPr>
            <w:noProof/>
            <w:webHidden/>
          </w:rPr>
          <w:t>176</w:t>
        </w:r>
        <w:r w:rsidR="00DA5439">
          <w:rPr>
            <w:noProof/>
            <w:webHidden/>
          </w:rPr>
          <w:fldChar w:fldCharType="end"/>
        </w:r>
      </w:hyperlink>
    </w:p>
    <w:p w14:paraId="019485A8" w14:textId="003D169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1" w:history="1">
        <w:r w:rsidR="00DA5439" w:rsidRPr="003A1466">
          <w:rPr>
            <w:rStyle w:val="Hyperlink"/>
            <w:noProof/>
          </w:rPr>
          <w:t>Figure 87. Average percent cover of native and exotic species for the tree communities for sites from each watering history over the sampling period.</w:t>
        </w:r>
        <w:r w:rsidR="00DA5439">
          <w:rPr>
            <w:noProof/>
            <w:webHidden/>
          </w:rPr>
          <w:tab/>
        </w:r>
        <w:r w:rsidR="00DA5439">
          <w:rPr>
            <w:noProof/>
            <w:webHidden/>
          </w:rPr>
          <w:fldChar w:fldCharType="begin"/>
        </w:r>
        <w:r w:rsidR="00DA5439">
          <w:rPr>
            <w:noProof/>
            <w:webHidden/>
          </w:rPr>
          <w:instrText xml:space="preserve"> PAGEREF _Toc31985651 \h </w:instrText>
        </w:r>
        <w:r w:rsidR="00DA5439">
          <w:rPr>
            <w:noProof/>
            <w:webHidden/>
          </w:rPr>
        </w:r>
        <w:r w:rsidR="00DA5439">
          <w:rPr>
            <w:noProof/>
            <w:webHidden/>
          </w:rPr>
          <w:fldChar w:fldCharType="separate"/>
        </w:r>
        <w:r w:rsidR="007F7607">
          <w:rPr>
            <w:noProof/>
            <w:webHidden/>
          </w:rPr>
          <w:t>177</w:t>
        </w:r>
        <w:r w:rsidR="00DA5439">
          <w:rPr>
            <w:noProof/>
            <w:webHidden/>
          </w:rPr>
          <w:fldChar w:fldCharType="end"/>
        </w:r>
      </w:hyperlink>
    </w:p>
    <w:p w14:paraId="39D840A5" w14:textId="4C441EF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2" w:history="1">
        <w:r w:rsidR="00DA5439" w:rsidRPr="003A1466">
          <w:rPr>
            <w:rStyle w:val="Hyperlink"/>
            <w:noProof/>
          </w:rPr>
          <w:t>Figure 88. The percent foliage cover over the four monitoring seasons for the woodland vegetation community sites from the two different watering categories.</w:t>
        </w:r>
        <w:r w:rsidR="00DA5439">
          <w:rPr>
            <w:noProof/>
            <w:webHidden/>
          </w:rPr>
          <w:tab/>
        </w:r>
        <w:r w:rsidR="00DA5439">
          <w:rPr>
            <w:noProof/>
            <w:webHidden/>
          </w:rPr>
          <w:fldChar w:fldCharType="begin"/>
        </w:r>
        <w:r w:rsidR="00DA5439">
          <w:rPr>
            <w:noProof/>
            <w:webHidden/>
          </w:rPr>
          <w:instrText xml:space="preserve"> PAGEREF _Toc31985652 \h </w:instrText>
        </w:r>
        <w:r w:rsidR="00DA5439">
          <w:rPr>
            <w:noProof/>
            <w:webHidden/>
          </w:rPr>
        </w:r>
        <w:r w:rsidR="00DA5439">
          <w:rPr>
            <w:noProof/>
            <w:webHidden/>
          </w:rPr>
          <w:fldChar w:fldCharType="separate"/>
        </w:r>
        <w:r w:rsidR="007F7607">
          <w:rPr>
            <w:noProof/>
            <w:webHidden/>
          </w:rPr>
          <w:t>178</w:t>
        </w:r>
        <w:r w:rsidR="00DA5439">
          <w:rPr>
            <w:noProof/>
            <w:webHidden/>
          </w:rPr>
          <w:fldChar w:fldCharType="end"/>
        </w:r>
      </w:hyperlink>
    </w:p>
    <w:p w14:paraId="3834BFC7" w14:textId="794966A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3" w:history="1">
        <w:r w:rsidR="00DA5439" w:rsidRPr="003A1466">
          <w:rPr>
            <w:rStyle w:val="Hyperlink"/>
            <w:noProof/>
          </w:rPr>
          <w:t>Figure 89. Average % foliage cover within river red gum sites (top figure) and black box sites (bottom figure).</w:t>
        </w:r>
        <w:r w:rsidR="00DA5439">
          <w:rPr>
            <w:noProof/>
            <w:webHidden/>
          </w:rPr>
          <w:tab/>
        </w:r>
        <w:r w:rsidR="00DA5439">
          <w:rPr>
            <w:noProof/>
            <w:webHidden/>
          </w:rPr>
          <w:fldChar w:fldCharType="begin"/>
        </w:r>
        <w:r w:rsidR="00DA5439">
          <w:rPr>
            <w:noProof/>
            <w:webHidden/>
          </w:rPr>
          <w:instrText xml:space="preserve"> PAGEREF _Toc31985653 \h </w:instrText>
        </w:r>
        <w:r w:rsidR="00DA5439">
          <w:rPr>
            <w:noProof/>
            <w:webHidden/>
          </w:rPr>
        </w:r>
        <w:r w:rsidR="00DA5439">
          <w:rPr>
            <w:noProof/>
            <w:webHidden/>
          </w:rPr>
          <w:fldChar w:fldCharType="separate"/>
        </w:r>
        <w:r w:rsidR="007F7607">
          <w:rPr>
            <w:noProof/>
            <w:webHidden/>
          </w:rPr>
          <w:t>179</w:t>
        </w:r>
        <w:r w:rsidR="00DA5439">
          <w:rPr>
            <w:noProof/>
            <w:webHidden/>
          </w:rPr>
          <w:fldChar w:fldCharType="end"/>
        </w:r>
      </w:hyperlink>
    </w:p>
    <w:p w14:paraId="5AADFF52" w14:textId="149D18D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4" w:history="1">
        <w:r w:rsidR="00DA5439" w:rsidRPr="003A1466">
          <w:rPr>
            <w:rStyle w:val="Hyperlink"/>
            <w:noProof/>
          </w:rPr>
          <w:t xml:space="preserve">Figure 90. The mean number of recruits per site, within grazing and nature conservation land use categories. Error bars represent </w:t>
        </w:r>
        <w:r w:rsidR="00DA5439" w:rsidRPr="003A1466">
          <w:rPr>
            <w:rStyle w:val="Hyperlink"/>
            <w:rFonts w:cs="Calibri"/>
            <w:noProof/>
          </w:rPr>
          <w:t>±</w:t>
        </w:r>
        <w:r w:rsidR="00DA5439" w:rsidRPr="003A1466">
          <w:rPr>
            <w:rStyle w:val="Hyperlink"/>
            <w:noProof/>
          </w:rPr>
          <w:t>1 SE.</w:t>
        </w:r>
        <w:r w:rsidR="00DA5439">
          <w:rPr>
            <w:noProof/>
            <w:webHidden/>
          </w:rPr>
          <w:tab/>
        </w:r>
        <w:r w:rsidR="00DA5439">
          <w:rPr>
            <w:noProof/>
            <w:webHidden/>
          </w:rPr>
          <w:fldChar w:fldCharType="begin"/>
        </w:r>
        <w:r w:rsidR="00DA5439">
          <w:rPr>
            <w:noProof/>
            <w:webHidden/>
          </w:rPr>
          <w:instrText xml:space="preserve"> PAGEREF _Toc31985654 \h </w:instrText>
        </w:r>
        <w:r w:rsidR="00DA5439">
          <w:rPr>
            <w:noProof/>
            <w:webHidden/>
          </w:rPr>
        </w:r>
        <w:r w:rsidR="00DA5439">
          <w:rPr>
            <w:noProof/>
            <w:webHidden/>
          </w:rPr>
          <w:fldChar w:fldCharType="separate"/>
        </w:r>
        <w:r w:rsidR="007F7607">
          <w:rPr>
            <w:noProof/>
            <w:webHidden/>
          </w:rPr>
          <w:t>181</w:t>
        </w:r>
        <w:r w:rsidR="00DA5439">
          <w:rPr>
            <w:noProof/>
            <w:webHidden/>
          </w:rPr>
          <w:fldChar w:fldCharType="end"/>
        </w:r>
      </w:hyperlink>
    </w:p>
    <w:p w14:paraId="6028D84F" w14:textId="45C2D76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5" w:history="1">
        <w:r w:rsidR="00DA5439" w:rsidRPr="003A1466">
          <w:rPr>
            <w:rStyle w:val="Hyperlink"/>
            <w:noProof/>
          </w:rPr>
          <w:t>Figure 91. Photo taken of the Great Cumbung Swamp, central reedbeds on 31</w:t>
        </w:r>
        <w:r w:rsidR="00DA5439" w:rsidRPr="003A1466">
          <w:rPr>
            <w:rStyle w:val="Hyperlink"/>
            <w:noProof/>
            <w:vertAlign w:val="superscript"/>
          </w:rPr>
          <w:t>st</w:t>
        </w:r>
        <w:r w:rsidR="00DA5439" w:rsidRPr="003A1466">
          <w:rPr>
            <w:rStyle w:val="Hyperlink"/>
            <w:noProof/>
          </w:rPr>
          <w:t xml:space="preserve"> August. Photo by Will Higgisson.</w:t>
        </w:r>
        <w:r w:rsidR="00DA5439">
          <w:rPr>
            <w:noProof/>
            <w:webHidden/>
          </w:rPr>
          <w:tab/>
        </w:r>
        <w:r w:rsidR="00DA5439">
          <w:rPr>
            <w:noProof/>
            <w:webHidden/>
          </w:rPr>
          <w:fldChar w:fldCharType="begin"/>
        </w:r>
        <w:r w:rsidR="00DA5439">
          <w:rPr>
            <w:noProof/>
            <w:webHidden/>
          </w:rPr>
          <w:instrText xml:space="preserve"> PAGEREF _Toc31985655 \h </w:instrText>
        </w:r>
        <w:r w:rsidR="00DA5439">
          <w:rPr>
            <w:noProof/>
            <w:webHidden/>
          </w:rPr>
        </w:r>
        <w:r w:rsidR="00DA5439">
          <w:rPr>
            <w:noProof/>
            <w:webHidden/>
          </w:rPr>
          <w:fldChar w:fldCharType="separate"/>
        </w:r>
        <w:r w:rsidR="007F7607">
          <w:rPr>
            <w:noProof/>
            <w:webHidden/>
          </w:rPr>
          <w:t>183</w:t>
        </w:r>
        <w:r w:rsidR="00DA5439">
          <w:rPr>
            <w:noProof/>
            <w:webHidden/>
          </w:rPr>
          <w:fldChar w:fldCharType="end"/>
        </w:r>
      </w:hyperlink>
    </w:p>
    <w:p w14:paraId="19FF41A4" w14:textId="211688DA"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6" w:history="1">
        <w:r w:rsidR="00DA5439" w:rsidRPr="003A1466">
          <w:rPr>
            <w:rStyle w:val="Hyperlink"/>
            <w:noProof/>
          </w:rPr>
          <w:t>Figure 92. Photo taken of the Great Cumbung Swamp, river red gum floodplain swamp on the 30</w:t>
        </w:r>
        <w:r w:rsidR="00DA5439" w:rsidRPr="003A1466">
          <w:rPr>
            <w:rStyle w:val="Hyperlink"/>
            <w:noProof/>
            <w:vertAlign w:val="superscript"/>
          </w:rPr>
          <w:t>th </w:t>
        </w:r>
        <w:r w:rsidR="00DA5439" w:rsidRPr="003A1466">
          <w:rPr>
            <w:rStyle w:val="Hyperlink"/>
            <w:noProof/>
          </w:rPr>
          <w:t>August. Photo by Damian McRae.</w:t>
        </w:r>
        <w:r w:rsidR="00DA5439">
          <w:rPr>
            <w:noProof/>
            <w:webHidden/>
          </w:rPr>
          <w:tab/>
        </w:r>
        <w:r w:rsidR="00DA5439">
          <w:rPr>
            <w:noProof/>
            <w:webHidden/>
          </w:rPr>
          <w:fldChar w:fldCharType="begin"/>
        </w:r>
        <w:r w:rsidR="00DA5439">
          <w:rPr>
            <w:noProof/>
            <w:webHidden/>
          </w:rPr>
          <w:instrText xml:space="preserve"> PAGEREF _Toc31985656 \h </w:instrText>
        </w:r>
        <w:r w:rsidR="00DA5439">
          <w:rPr>
            <w:noProof/>
            <w:webHidden/>
          </w:rPr>
        </w:r>
        <w:r w:rsidR="00DA5439">
          <w:rPr>
            <w:noProof/>
            <w:webHidden/>
          </w:rPr>
          <w:fldChar w:fldCharType="separate"/>
        </w:r>
        <w:r w:rsidR="007F7607">
          <w:rPr>
            <w:noProof/>
            <w:webHidden/>
          </w:rPr>
          <w:t>184</w:t>
        </w:r>
        <w:r w:rsidR="00DA5439">
          <w:rPr>
            <w:noProof/>
            <w:webHidden/>
          </w:rPr>
          <w:fldChar w:fldCharType="end"/>
        </w:r>
      </w:hyperlink>
    </w:p>
    <w:p w14:paraId="7085FC7A" w14:textId="4CF91749"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7" w:history="1">
        <w:r w:rsidR="00DA5439" w:rsidRPr="003A1466">
          <w:rPr>
            <w:rStyle w:val="Hyperlink"/>
            <w:noProof/>
          </w:rPr>
          <w:t>Figure 93. Lake News newspaper article from the 29</w:t>
        </w:r>
        <w:r w:rsidR="00DA5439" w:rsidRPr="003A1466">
          <w:rPr>
            <w:rStyle w:val="Hyperlink"/>
            <w:noProof/>
            <w:vertAlign w:val="superscript"/>
          </w:rPr>
          <w:t>th</w:t>
        </w:r>
        <w:r w:rsidR="00DA5439" w:rsidRPr="003A1466">
          <w:rPr>
            <w:rStyle w:val="Hyperlink"/>
            <w:noProof/>
          </w:rPr>
          <w:t xml:space="preserve"> of March 2019</w:t>
        </w:r>
        <w:r w:rsidR="00DA5439">
          <w:rPr>
            <w:noProof/>
            <w:webHidden/>
          </w:rPr>
          <w:tab/>
        </w:r>
        <w:r w:rsidR="00DA5439">
          <w:rPr>
            <w:noProof/>
            <w:webHidden/>
          </w:rPr>
          <w:fldChar w:fldCharType="begin"/>
        </w:r>
        <w:r w:rsidR="00DA5439">
          <w:rPr>
            <w:noProof/>
            <w:webHidden/>
          </w:rPr>
          <w:instrText xml:space="preserve"> PAGEREF _Toc31985657 \h </w:instrText>
        </w:r>
        <w:r w:rsidR="00DA5439">
          <w:rPr>
            <w:noProof/>
            <w:webHidden/>
          </w:rPr>
        </w:r>
        <w:r w:rsidR="00DA5439">
          <w:rPr>
            <w:noProof/>
            <w:webHidden/>
          </w:rPr>
          <w:fldChar w:fldCharType="separate"/>
        </w:r>
        <w:r w:rsidR="007F7607">
          <w:rPr>
            <w:noProof/>
            <w:webHidden/>
          </w:rPr>
          <w:t>204</w:t>
        </w:r>
        <w:r w:rsidR="00DA5439">
          <w:rPr>
            <w:noProof/>
            <w:webHidden/>
          </w:rPr>
          <w:fldChar w:fldCharType="end"/>
        </w:r>
      </w:hyperlink>
    </w:p>
    <w:p w14:paraId="5F33D499" w14:textId="7732642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8" w:history="1">
        <w:r w:rsidR="00DA5439" w:rsidRPr="003A1466">
          <w:rPr>
            <w:rStyle w:val="Hyperlink"/>
            <w:noProof/>
          </w:rPr>
          <w:t>Figure 94. Lake News newspaper article from the 12th of June 2019.</w:t>
        </w:r>
        <w:r w:rsidR="00DA5439">
          <w:rPr>
            <w:noProof/>
            <w:webHidden/>
          </w:rPr>
          <w:tab/>
        </w:r>
        <w:r w:rsidR="00DA5439">
          <w:rPr>
            <w:noProof/>
            <w:webHidden/>
          </w:rPr>
          <w:fldChar w:fldCharType="begin"/>
        </w:r>
        <w:r w:rsidR="00DA5439">
          <w:rPr>
            <w:noProof/>
            <w:webHidden/>
          </w:rPr>
          <w:instrText xml:space="preserve"> PAGEREF _Toc31985658 \h </w:instrText>
        </w:r>
        <w:r w:rsidR="00DA5439">
          <w:rPr>
            <w:noProof/>
            <w:webHidden/>
          </w:rPr>
        </w:r>
        <w:r w:rsidR="00DA5439">
          <w:rPr>
            <w:noProof/>
            <w:webHidden/>
          </w:rPr>
          <w:fldChar w:fldCharType="separate"/>
        </w:r>
        <w:r w:rsidR="007F7607">
          <w:rPr>
            <w:noProof/>
            <w:webHidden/>
          </w:rPr>
          <w:t>205</w:t>
        </w:r>
        <w:r w:rsidR="00DA5439">
          <w:rPr>
            <w:noProof/>
            <w:webHidden/>
          </w:rPr>
          <w:fldChar w:fldCharType="end"/>
        </w:r>
      </w:hyperlink>
    </w:p>
    <w:p w14:paraId="626FCA38" w14:textId="17BA90C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59" w:history="1">
        <w:r w:rsidR="00DA5439" w:rsidRPr="003A1466">
          <w:rPr>
            <w:rStyle w:val="Hyperlink"/>
            <w:noProof/>
          </w:rPr>
          <w:t>Figure 95. Dr Fiona Dyer's LTIM Vegetation Tweets during November 2018 promoting the Lachlan LTIM Project.</w:t>
        </w:r>
        <w:r w:rsidR="00DA5439">
          <w:rPr>
            <w:noProof/>
            <w:webHidden/>
          </w:rPr>
          <w:tab/>
        </w:r>
        <w:r w:rsidR="00DA5439">
          <w:rPr>
            <w:noProof/>
            <w:webHidden/>
          </w:rPr>
          <w:fldChar w:fldCharType="begin"/>
        </w:r>
        <w:r w:rsidR="00DA5439">
          <w:rPr>
            <w:noProof/>
            <w:webHidden/>
          </w:rPr>
          <w:instrText xml:space="preserve"> PAGEREF _Toc31985659 \h </w:instrText>
        </w:r>
        <w:r w:rsidR="00DA5439">
          <w:rPr>
            <w:noProof/>
            <w:webHidden/>
          </w:rPr>
        </w:r>
        <w:r w:rsidR="00DA5439">
          <w:rPr>
            <w:noProof/>
            <w:webHidden/>
          </w:rPr>
          <w:fldChar w:fldCharType="separate"/>
        </w:r>
        <w:r w:rsidR="007F7607">
          <w:rPr>
            <w:noProof/>
            <w:webHidden/>
          </w:rPr>
          <w:t>206</w:t>
        </w:r>
        <w:r w:rsidR="00DA5439">
          <w:rPr>
            <w:noProof/>
            <w:webHidden/>
          </w:rPr>
          <w:fldChar w:fldCharType="end"/>
        </w:r>
      </w:hyperlink>
    </w:p>
    <w:p w14:paraId="75ADC1F9" w14:textId="7F82E877"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0" w:history="1">
        <w:r w:rsidR="00DA5439" w:rsidRPr="003A1466">
          <w:rPr>
            <w:rStyle w:val="Hyperlink"/>
            <w:noProof/>
          </w:rPr>
          <w:t>Figure 96. Tweet from @theCEWH noting the capture of the threatened silver perch at one of the LTIM sites</w:t>
        </w:r>
        <w:r w:rsidR="00DA5439">
          <w:rPr>
            <w:noProof/>
            <w:webHidden/>
          </w:rPr>
          <w:tab/>
        </w:r>
        <w:r w:rsidR="00DA5439">
          <w:rPr>
            <w:noProof/>
            <w:webHidden/>
          </w:rPr>
          <w:fldChar w:fldCharType="begin"/>
        </w:r>
        <w:r w:rsidR="00DA5439">
          <w:rPr>
            <w:noProof/>
            <w:webHidden/>
          </w:rPr>
          <w:instrText xml:space="preserve"> PAGEREF _Toc31985660 \h </w:instrText>
        </w:r>
        <w:r w:rsidR="00DA5439">
          <w:rPr>
            <w:noProof/>
            <w:webHidden/>
          </w:rPr>
        </w:r>
        <w:r w:rsidR="00DA5439">
          <w:rPr>
            <w:noProof/>
            <w:webHidden/>
          </w:rPr>
          <w:fldChar w:fldCharType="separate"/>
        </w:r>
        <w:r w:rsidR="007F7607">
          <w:rPr>
            <w:noProof/>
            <w:webHidden/>
          </w:rPr>
          <w:t>206</w:t>
        </w:r>
        <w:r w:rsidR="00DA5439">
          <w:rPr>
            <w:noProof/>
            <w:webHidden/>
          </w:rPr>
          <w:fldChar w:fldCharType="end"/>
        </w:r>
      </w:hyperlink>
    </w:p>
    <w:p w14:paraId="25F7626C" w14:textId="64A5B59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1" w:history="1">
        <w:r w:rsidR="00DA5439" w:rsidRPr="003A1466">
          <w:rPr>
            <w:rStyle w:val="Hyperlink"/>
            <w:noProof/>
          </w:rPr>
          <w:t>Figure 97. Hillston Hook, Line and Sinker fishing festival with threatened species display, which featured species such as the olive perchlet (Ambassis agassizii) as the Hillston region has the only known population in the Lachlan, as well as freshwater catfish, which LTIM confirmed breed in the area (Photo: Jo Lenehan).</w:t>
        </w:r>
        <w:r w:rsidR="00DA5439">
          <w:rPr>
            <w:noProof/>
            <w:webHidden/>
          </w:rPr>
          <w:tab/>
        </w:r>
        <w:r w:rsidR="00DA5439">
          <w:rPr>
            <w:noProof/>
            <w:webHidden/>
          </w:rPr>
          <w:fldChar w:fldCharType="begin"/>
        </w:r>
        <w:r w:rsidR="00DA5439">
          <w:rPr>
            <w:noProof/>
            <w:webHidden/>
          </w:rPr>
          <w:instrText xml:space="preserve"> PAGEREF _Toc31985661 \h </w:instrText>
        </w:r>
        <w:r w:rsidR="00DA5439">
          <w:rPr>
            <w:noProof/>
            <w:webHidden/>
          </w:rPr>
        </w:r>
        <w:r w:rsidR="00DA5439">
          <w:rPr>
            <w:noProof/>
            <w:webHidden/>
          </w:rPr>
          <w:fldChar w:fldCharType="separate"/>
        </w:r>
        <w:r w:rsidR="007F7607">
          <w:rPr>
            <w:noProof/>
            <w:webHidden/>
          </w:rPr>
          <w:t>210</w:t>
        </w:r>
        <w:r w:rsidR="00DA5439">
          <w:rPr>
            <w:noProof/>
            <w:webHidden/>
          </w:rPr>
          <w:fldChar w:fldCharType="end"/>
        </w:r>
      </w:hyperlink>
    </w:p>
    <w:p w14:paraId="1E87918B" w14:textId="05CB1C6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2" w:history="1">
        <w:r w:rsidR="00DA5439" w:rsidRPr="003A1466">
          <w:rPr>
            <w:rStyle w:val="Hyperlink"/>
            <w:noProof/>
          </w:rPr>
          <w:t>Figure 98. Engaged Angler Graeme May in foreground inspecting a larval sample with Ben Broadhurst and Casey Proctor (Central Tablelands LLS) in the background; and right is Tweet associated with event. (Photo:  Mal Carnegie, Lake Cowal Foundation).</w:t>
        </w:r>
        <w:r w:rsidR="00DA5439">
          <w:rPr>
            <w:noProof/>
            <w:webHidden/>
          </w:rPr>
          <w:tab/>
        </w:r>
        <w:r w:rsidR="00DA5439">
          <w:rPr>
            <w:noProof/>
            <w:webHidden/>
          </w:rPr>
          <w:fldChar w:fldCharType="begin"/>
        </w:r>
        <w:r w:rsidR="00DA5439">
          <w:rPr>
            <w:noProof/>
            <w:webHidden/>
          </w:rPr>
          <w:instrText xml:space="preserve"> PAGEREF _Toc31985662 \h </w:instrText>
        </w:r>
        <w:r w:rsidR="00DA5439">
          <w:rPr>
            <w:noProof/>
            <w:webHidden/>
          </w:rPr>
        </w:r>
        <w:r w:rsidR="00DA5439">
          <w:rPr>
            <w:noProof/>
            <w:webHidden/>
          </w:rPr>
          <w:fldChar w:fldCharType="separate"/>
        </w:r>
        <w:r w:rsidR="007F7607">
          <w:rPr>
            <w:noProof/>
            <w:webHidden/>
          </w:rPr>
          <w:t>211</w:t>
        </w:r>
        <w:r w:rsidR="00DA5439">
          <w:rPr>
            <w:noProof/>
            <w:webHidden/>
          </w:rPr>
          <w:fldChar w:fldCharType="end"/>
        </w:r>
      </w:hyperlink>
    </w:p>
    <w:p w14:paraId="51E73FD6" w14:textId="242BB8B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3" w:history="1">
        <w:r w:rsidR="00DA5439" w:rsidRPr="003A1466">
          <w:rPr>
            <w:rStyle w:val="Hyperlink"/>
            <w:noProof/>
          </w:rPr>
          <w:t>Figure 99. Commercial carp removal from Lake Brewster with Keith Bell Fisheries and Feral fisherman (Photo:  Mal Carnegie, Lake Cowal Foundation).</w:t>
        </w:r>
        <w:r w:rsidR="00DA5439">
          <w:rPr>
            <w:noProof/>
            <w:webHidden/>
          </w:rPr>
          <w:tab/>
        </w:r>
        <w:r w:rsidR="00DA5439">
          <w:rPr>
            <w:noProof/>
            <w:webHidden/>
          </w:rPr>
          <w:fldChar w:fldCharType="begin"/>
        </w:r>
        <w:r w:rsidR="00DA5439">
          <w:rPr>
            <w:noProof/>
            <w:webHidden/>
          </w:rPr>
          <w:instrText xml:space="preserve"> PAGEREF _Toc31985663 \h </w:instrText>
        </w:r>
        <w:r w:rsidR="00DA5439">
          <w:rPr>
            <w:noProof/>
            <w:webHidden/>
          </w:rPr>
        </w:r>
        <w:r w:rsidR="00DA5439">
          <w:rPr>
            <w:noProof/>
            <w:webHidden/>
          </w:rPr>
          <w:fldChar w:fldCharType="separate"/>
        </w:r>
        <w:r w:rsidR="007F7607">
          <w:rPr>
            <w:noProof/>
            <w:webHidden/>
          </w:rPr>
          <w:t>212</w:t>
        </w:r>
        <w:r w:rsidR="00DA5439">
          <w:rPr>
            <w:noProof/>
            <w:webHidden/>
          </w:rPr>
          <w:fldChar w:fldCharType="end"/>
        </w:r>
      </w:hyperlink>
    </w:p>
    <w:p w14:paraId="2F88D361" w14:textId="5F8AC63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4" w:history="1">
        <w:r w:rsidR="00DA5439" w:rsidRPr="003A1466">
          <w:rPr>
            <w:rStyle w:val="Hyperlink"/>
            <w:noProof/>
          </w:rPr>
          <w:t>Figure 100. Hydrographs for the Lachlan River at Booligal illustrating the variability in flow in the river.</w:t>
        </w:r>
        <w:r w:rsidR="00DA5439">
          <w:rPr>
            <w:noProof/>
            <w:webHidden/>
          </w:rPr>
          <w:tab/>
        </w:r>
        <w:r w:rsidR="00DA5439">
          <w:rPr>
            <w:noProof/>
            <w:webHidden/>
          </w:rPr>
          <w:fldChar w:fldCharType="begin"/>
        </w:r>
        <w:r w:rsidR="00DA5439">
          <w:rPr>
            <w:noProof/>
            <w:webHidden/>
          </w:rPr>
          <w:instrText xml:space="preserve"> PAGEREF _Toc31985664 \h </w:instrText>
        </w:r>
        <w:r w:rsidR="00DA5439">
          <w:rPr>
            <w:noProof/>
            <w:webHidden/>
          </w:rPr>
        </w:r>
        <w:r w:rsidR="00DA5439">
          <w:rPr>
            <w:noProof/>
            <w:webHidden/>
          </w:rPr>
          <w:fldChar w:fldCharType="separate"/>
        </w:r>
        <w:r w:rsidR="007F7607">
          <w:rPr>
            <w:noProof/>
            <w:webHidden/>
          </w:rPr>
          <w:t>215</w:t>
        </w:r>
        <w:r w:rsidR="00DA5439">
          <w:rPr>
            <w:noProof/>
            <w:webHidden/>
          </w:rPr>
          <w:fldChar w:fldCharType="end"/>
        </w:r>
      </w:hyperlink>
    </w:p>
    <w:p w14:paraId="2F21F386" w14:textId="37FDD53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5" w:history="1">
        <w:r w:rsidR="00DA5439" w:rsidRPr="003A1466">
          <w:rPr>
            <w:rStyle w:val="Hyperlink"/>
            <w:noProof/>
          </w:rPr>
          <w:t>Figure 101. Hydrological conditions in the Lachlan river system between 2014 and 2019 combined with the corresponding volumes of environmental water and generalised objectives.</w:t>
        </w:r>
        <w:r w:rsidR="00DA5439">
          <w:rPr>
            <w:noProof/>
            <w:webHidden/>
          </w:rPr>
          <w:tab/>
        </w:r>
        <w:r w:rsidR="00DA5439">
          <w:rPr>
            <w:noProof/>
            <w:webHidden/>
          </w:rPr>
          <w:fldChar w:fldCharType="begin"/>
        </w:r>
        <w:r w:rsidR="00DA5439">
          <w:rPr>
            <w:noProof/>
            <w:webHidden/>
          </w:rPr>
          <w:instrText xml:space="preserve"> PAGEREF _Toc31985665 \h </w:instrText>
        </w:r>
        <w:r w:rsidR="00DA5439">
          <w:rPr>
            <w:noProof/>
            <w:webHidden/>
          </w:rPr>
        </w:r>
        <w:r w:rsidR="00DA5439">
          <w:rPr>
            <w:noProof/>
            <w:webHidden/>
          </w:rPr>
          <w:fldChar w:fldCharType="separate"/>
        </w:r>
        <w:r w:rsidR="007F7607">
          <w:rPr>
            <w:noProof/>
            <w:webHidden/>
          </w:rPr>
          <w:t>218</w:t>
        </w:r>
        <w:r w:rsidR="00DA5439">
          <w:rPr>
            <w:noProof/>
            <w:webHidden/>
          </w:rPr>
          <w:fldChar w:fldCharType="end"/>
        </w:r>
      </w:hyperlink>
    </w:p>
    <w:p w14:paraId="448839DD" w14:textId="099CA6CE"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6" w:history="1">
        <w:r w:rsidR="00DA5439" w:rsidRPr="003A1466">
          <w:rPr>
            <w:rStyle w:val="Hyperlink"/>
            <w:noProof/>
          </w:rPr>
          <w:t xml:space="preserve">Figure 102. a) </w:t>
        </w:r>
        <w:r w:rsidR="00DA5439" w:rsidRPr="003A1466">
          <w:rPr>
            <w:rStyle w:val="Hyperlink"/>
            <w:noProof/>
            <w:lang w:val="en-US" w:eastAsia="x-none"/>
          </w:rPr>
          <w:t>Modelled natural flow (ML/day) (grey hydrograph) and actual river flow (black hydrograph) of the Lachlan River at Booligal river gauge from 1 July 2014 to 30 June 2019. The dashed horizontal line represents the CTF value (2500 ML/day) required to connect the Booligal Swamp to the river by flooding. b) shows the modelled natural flow (top figure) and actual river flow (bottom) under low flow conditions (i.e. &lt;500 ML/day).</w:t>
        </w:r>
        <w:r w:rsidR="00DA5439">
          <w:rPr>
            <w:noProof/>
            <w:webHidden/>
          </w:rPr>
          <w:tab/>
        </w:r>
        <w:r w:rsidR="00DA5439">
          <w:rPr>
            <w:noProof/>
            <w:webHidden/>
          </w:rPr>
          <w:fldChar w:fldCharType="begin"/>
        </w:r>
        <w:r w:rsidR="00DA5439">
          <w:rPr>
            <w:noProof/>
            <w:webHidden/>
          </w:rPr>
          <w:instrText xml:space="preserve"> PAGEREF _Toc31985666 \h </w:instrText>
        </w:r>
        <w:r w:rsidR="00DA5439">
          <w:rPr>
            <w:noProof/>
            <w:webHidden/>
          </w:rPr>
        </w:r>
        <w:r w:rsidR="00DA5439">
          <w:rPr>
            <w:noProof/>
            <w:webHidden/>
          </w:rPr>
          <w:fldChar w:fldCharType="separate"/>
        </w:r>
        <w:r w:rsidR="007F7607">
          <w:rPr>
            <w:noProof/>
            <w:webHidden/>
          </w:rPr>
          <w:t>221</w:t>
        </w:r>
        <w:r w:rsidR="00DA5439">
          <w:rPr>
            <w:noProof/>
            <w:webHidden/>
          </w:rPr>
          <w:fldChar w:fldCharType="end"/>
        </w:r>
      </w:hyperlink>
    </w:p>
    <w:p w14:paraId="3920B97D" w14:textId="7EFCC50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7" w:history="1">
        <w:r w:rsidR="00DA5439" w:rsidRPr="003A1466">
          <w:rPr>
            <w:rStyle w:val="Hyperlink"/>
            <w:noProof/>
          </w:rPr>
          <w:t xml:space="preserve">Figure 103. </w:t>
        </w:r>
        <w:r w:rsidR="00DA5439" w:rsidRPr="003A1466">
          <w:rPr>
            <w:rStyle w:val="Hyperlink"/>
            <w:noProof/>
            <w:lang w:val="en-US" w:eastAsia="x-none"/>
          </w:rPr>
          <w:t>a) Modelled natural flow (ML/day) (grey hydrograph) and actual river flow (black hydrograph) of the Lachlan River at Corrong river gauge from 1 July 2014 to 30 June 2019. The dashed horizontal line represents the CTF value (350 ML/day) required to connect Nooran Lake to the river by flooding. b) shows the modelled natural flow (top figure) and actual river flow (bottom) under low flow conditions (i.e. &lt;200 ML/day).</w:t>
        </w:r>
        <w:r w:rsidR="00DA5439">
          <w:rPr>
            <w:noProof/>
            <w:webHidden/>
          </w:rPr>
          <w:tab/>
        </w:r>
        <w:r w:rsidR="00DA5439">
          <w:rPr>
            <w:noProof/>
            <w:webHidden/>
          </w:rPr>
          <w:fldChar w:fldCharType="begin"/>
        </w:r>
        <w:r w:rsidR="00DA5439">
          <w:rPr>
            <w:noProof/>
            <w:webHidden/>
          </w:rPr>
          <w:instrText xml:space="preserve"> PAGEREF _Toc31985667 \h </w:instrText>
        </w:r>
        <w:r w:rsidR="00DA5439">
          <w:rPr>
            <w:noProof/>
            <w:webHidden/>
          </w:rPr>
        </w:r>
        <w:r w:rsidR="00DA5439">
          <w:rPr>
            <w:noProof/>
            <w:webHidden/>
          </w:rPr>
          <w:fldChar w:fldCharType="separate"/>
        </w:r>
        <w:r w:rsidR="007F7607">
          <w:rPr>
            <w:noProof/>
            <w:webHidden/>
          </w:rPr>
          <w:t>222</w:t>
        </w:r>
        <w:r w:rsidR="00DA5439">
          <w:rPr>
            <w:noProof/>
            <w:webHidden/>
          </w:rPr>
          <w:fldChar w:fldCharType="end"/>
        </w:r>
      </w:hyperlink>
    </w:p>
    <w:p w14:paraId="7A7CCE84" w14:textId="3778C0F5" w:rsidR="00CD6EDA" w:rsidRDefault="00885DB8" w:rsidP="00D271BC">
      <w:r>
        <w:fldChar w:fldCharType="end"/>
      </w:r>
      <w:bookmarkStart w:id="12" w:name="_Toc417653091"/>
      <w:bookmarkStart w:id="13" w:name="_Toc417653242"/>
      <w:bookmarkStart w:id="14" w:name="_Toc419888422"/>
    </w:p>
    <w:p w14:paraId="4F9DA47F" w14:textId="58495F2A" w:rsidR="0074605D" w:rsidRPr="000D31F3" w:rsidRDefault="00111E52" w:rsidP="00E14E19">
      <w:pPr>
        <w:rPr>
          <w:b/>
          <w:bCs/>
          <w:color w:val="76923C"/>
          <w:sz w:val="32"/>
          <w:szCs w:val="32"/>
        </w:rPr>
      </w:pPr>
      <w:r w:rsidRPr="000D31F3">
        <w:rPr>
          <w:b/>
          <w:bCs/>
          <w:color w:val="76923C"/>
          <w:sz w:val="32"/>
          <w:szCs w:val="32"/>
        </w:rPr>
        <w:t xml:space="preserve">LIST OF </w:t>
      </w:r>
      <w:r w:rsidR="007B29D5" w:rsidRPr="000D31F3">
        <w:rPr>
          <w:b/>
          <w:bCs/>
          <w:color w:val="76923C"/>
          <w:sz w:val="32"/>
          <w:szCs w:val="32"/>
        </w:rPr>
        <w:t>TABLES</w:t>
      </w:r>
      <w:bookmarkEnd w:id="12"/>
      <w:bookmarkEnd w:id="13"/>
      <w:bookmarkEnd w:id="14"/>
    </w:p>
    <w:p w14:paraId="7CE9DE8C" w14:textId="574E9C5E" w:rsidR="00DA5439" w:rsidRDefault="004F7AB5">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31985668" w:history="1">
        <w:r w:rsidR="00DA5439" w:rsidRPr="001A3363">
          <w:rPr>
            <w:rStyle w:val="Hyperlink"/>
            <w:noProof/>
          </w:rPr>
          <w:t>Table 1. Environmental water holdings in the Lachlan River Valley as at 1 July 2018.</w:t>
        </w:r>
        <w:r w:rsidR="00DA5439">
          <w:rPr>
            <w:noProof/>
            <w:webHidden/>
          </w:rPr>
          <w:tab/>
        </w:r>
        <w:r w:rsidR="00DA5439">
          <w:rPr>
            <w:noProof/>
            <w:webHidden/>
          </w:rPr>
          <w:fldChar w:fldCharType="begin"/>
        </w:r>
        <w:r w:rsidR="00DA5439">
          <w:rPr>
            <w:noProof/>
            <w:webHidden/>
          </w:rPr>
          <w:instrText xml:space="preserve"> PAGEREF _Toc31985668 \h </w:instrText>
        </w:r>
        <w:r w:rsidR="00DA5439">
          <w:rPr>
            <w:noProof/>
            <w:webHidden/>
          </w:rPr>
        </w:r>
        <w:r w:rsidR="00DA5439">
          <w:rPr>
            <w:noProof/>
            <w:webHidden/>
          </w:rPr>
          <w:fldChar w:fldCharType="separate"/>
        </w:r>
        <w:r w:rsidR="007F7607">
          <w:rPr>
            <w:noProof/>
            <w:webHidden/>
          </w:rPr>
          <w:t>23</w:t>
        </w:r>
        <w:r w:rsidR="00DA5439">
          <w:rPr>
            <w:noProof/>
            <w:webHidden/>
          </w:rPr>
          <w:fldChar w:fldCharType="end"/>
        </w:r>
      </w:hyperlink>
    </w:p>
    <w:p w14:paraId="330B9094" w14:textId="71A6F90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69" w:history="1">
        <w:r w:rsidR="00DA5439" w:rsidRPr="001A3363">
          <w:rPr>
            <w:rStyle w:val="Hyperlink"/>
            <w:noProof/>
          </w:rPr>
          <w:t>Table 2. The 2018-19 Commonwealth environmental watering actions.</w:t>
        </w:r>
        <w:r w:rsidR="00DA5439">
          <w:rPr>
            <w:noProof/>
            <w:webHidden/>
          </w:rPr>
          <w:tab/>
        </w:r>
        <w:r w:rsidR="00DA5439">
          <w:rPr>
            <w:noProof/>
            <w:webHidden/>
          </w:rPr>
          <w:fldChar w:fldCharType="begin"/>
        </w:r>
        <w:r w:rsidR="00DA5439">
          <w:rPr>
            <w:noProof/>
            <w:webHidden/>
          </w:rPr>
          <w:instrText xml:space="preserve"> PAGEREF _Toc31985669 \h </w:instrText>
        </w:r>
        <w:r w:rsidR="00DA5439">
          <w:rPr>
            <w:noProof/>
            <w:webHidden/>
          </w:rPr>
        </w:r>
        <w:r w:rsidR="00DA5439">
          <w:rPr>
            <w:noProof/>
            <w:webHidden/>
          </w:rPr>
          <w:fldChar w:fldCharType="separate"/>
        </w:r>
        <w:r w:rsidR="007F7607">
          <w:rPr>
            <w:noProof/>
            <w:webHidden/>
          </w:rPr>
          <w:t>26</w:t>
        </w:r>
        <w:r w:rsidR="00DA5439">
          <w:rPr>
            <w:noProof/>
            <w:webHidden/>
          </w:rPr>
          <w:fldChar w:fldCharType="end"/>
        </w:r>
      </w:hyperlink>
    </w:p>
    <w:p w14:paraId="5DB65102" w14:textId="69D8CD2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0" w:history="1">
        <w:r w:rsidR="00DA5439" w:rsidRPr="001A3363">
          <w:rPr>
            <w:rStyle w:val="Hyperlink"/>
            <w:noProof/>
          </w:rPr>
          <w:t>Table 3. The 2018-19 NSW environmental watering actions.</w:t>
        </w:r>
        <w:r w:rsidR="00DA5439">
          <w:rPr>
            <w:noProof/>
            <w:webHidden/>
          </w:rPr>
          <w:tab/>
        </w:r>
        <w:r w:rsidR="00DA5439">
          <w:rPr>
            <w:noProof/>
            <w:webHidden/>
          </w:rPr>
          <w:fldChar w:fldCharType="begin"/>
        </w:r>
        <w:r w:rsidR="00DA5439">
          <w:rPr>
            <w:noProof/>
            <w:webHidden/>
          </w:rPr>
          <w:instrText xml:space="preserve"> PAGEREF _Toc31985670 \h </w:instrText>
        </w:r>
        <w:r w:rsidR="00DA5439">
          <w:rPr>
            <w:noProof/>
            <w:webHidden/>
          </w:rPr>
        </w:r>
        <w:r w:rsidR="00DA5439">
          <w:rPr>
            <w:noProof/>
            <w:webHidden/>
          </w:rPr>
          <w:fldChar w:fldCharType="separate"/>
        </w:r>
        <w:r w:rsidR="007F7607">
          <w:rPr>
            <w:noProof/>
            <w:webHidden/>
          </w:rPr>
          <w:t>28</w:t>
        </w:r>
        <w:r w:rsidR="00DA5439">
          <w:rPr>
            <w:noProof/>
            <w:webHidden/>
          </w:rPr>
          <w:fldChar w:fldCharType="end"/>
        </w:r>
      </w:hyperlink>
    </w:p>
    <w:p w14:paraId="364EB25D" w14:textId="4C7DFD7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1" w:history="1">
        <w:r w:rsidR="00DA5439" w:rsidRPr="001A3363">
          <w:rPr>
            <w:rStyle w:val="Hyperlink"/>
            <w:iCs/>
            <w:noProof/>
          </w:rPr>
          <w:t xml:space="preserve">Table </w:t>
        </w:r>
        <w:r w:rsidR="00DA5439" w:rsidRPr="001A3363">
          <w:rPr>
            <w:rStyle w:val="Hyperlink"/>
            <w:noProof/>
          </w:rPr>
          <w:t>4</w:t>
        </w:r>
        <w:r w:rsidR="00DA5439" w:rsidRPr="001A3363">
          <w:rPr>
            <w:rStyle w:val="Hyperlink"/>
            <w:iCs/>
            <w:noProof/>
          </w:rPr>
          <w:t>. The 2018-19 Commonwealth environmental watering actions in the Lower Lachlan river system and their hydrological objectives</w:t>
        </w:r>
        <w:r w:rsidR="00DA5439" w:rsidRPr="001A3363">
          <w:rPr>
            <w:rStyle w:val="Hyperlink"/>
            <w:noProof/>
          </w:rPr>
          <w:t>.</w:t>
        </w:r>
        <w:r w:rsidR="00DA5439">
          <w:rPr>
            <w:noProof/>
            <w:webHidden/>
          </w:rPr>
          <w:tab/>
        </w:r>
        <w:r w:rsidR="00DA5439">
          <w:rPr>
            <w:noProof/>
            <w:webHidden/>
          </w:rPr>
          <w:fldChar w:fldCharType="begin"/>
        </w:r>
        <w:r w:rsidR="00DA5439">
          <w:rPr>
            <w:noProof/>
            <w:webHidden/>
          </w:rPr>
          <w:instrText xml:space="preserve"> PAGEREF _Toc31985671 \h </w:instrText>
        </w:r>
        <w:r w:rsidR="00DA5439">
          <w:rPr>
            <w:noProof/>
            <w:webHidden/>
          </w:rPr>
        </w:r>
        <w:r w:rsidR="00DA5439">
          <w:rPr>
            <w:noProof/>
            <w:webHidden/>
          </w:rPr>
          <w:fldChar w:fldCharType="separate"/>
        </w:r>
        <w:r w:rsidR="007F7607">
          <w:rPr>
            <w:noProof/>
            <w:webHidden/>
          </w:rPr>
          <w:t>33</w:t>
        </w:r>
        <w:r w:rsidR="00DA5439">
          <w:rPr>
            <w:noProof/>
            <w:webHidden/>
          </w:rPr>
          <w:fldChar w:fldCharType="end"/>
        </w:r>
      </w:hyperlink>
    </w:p>
    <w:p w14:paraId="041D5E33" w14:textId="7A3FDBF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2" w:history="1">
        <w:r w:rsidR="00DA5439" w:rsidRPr="001A3363">
          <w:rPr>
            <w:rStyle w:val="Hyperlink"/>
            <w:noProof/>
          </w:rPr>
          <w:t>Table 5. The 2018-19 accounted Commonwealth environmental water in the Lower Lachlan river system.</w:t>
        </w:r>
        <w:r w:rsidR="00DA5439">
          <w:rPr>
            <w:noProof/>
            <w:webHidden/>
          </w:rPr>
          <w:tab/>
        </w:r>
        <w:r w:rsidR="00DA5439">
          <w:rPr>
            <w:noProof/>
            <w:webHidden/>
          </w:rPr>
          <w:fldChar w:fldCharType="begin"/>
        </w:r>
        <w:r w:rsidR="00DA5439">
          <w:rPr>
            <w:noProof/>
            <w:webHidden/>
          </w:rPr>
          <w:instrText xml:space="preserve"> PAGEREF _Toc31985672 \h </w:instrText>
        </w:r>
        <w:r w:rsidR="00DA5439">
          <w:rPr>
            <w:noProof/>
            <w:webHidden/>
          </w:rPr>
        </w:r>
        <w:r w:rsidR="00DA5439">
          <w:rPr>
            <w:noProof/>
            <w:webHidden/>
          </w:rPr>
          <w:fldChar w:fldCharType="separate"/>
        </w:r>
        <w:r w:rsidR="007F7607">
          <w:rPr>
            <w:noProof/>
            <w:webHidden/>
          </w:rPr>
          <w:t>35</w:t>
        </w:r>
        <w:r w:rsidR="00DA5439">
          <w:rPr>
            <w:noProof/>
            <w:webHidden/>
          </w:rPr>
          <w:fldChar w:fldCharType="end"/>
        </w:r>
      </w:hyperlink>
    </w:p>
    <w:p w14:paraId="75B377C8" w14:textId="04B00E60"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3" w:history="1">
        <w:r w:rsidR="00DA5439" w:rsidRPr="001A3363">
          <w:rPr>
            <w:rStyle w:val="Hyperlink"/>
            <w:noProof/>
          </w:rPr>
          <w:t>Table 6. Stream metabolism data obtained from the four sites in the Lower Lachlan river system during the sampling period 2018-19.</w:t>
        </w:r>
        <w:r w:rsidR="00DA5439">
          <w:rPr>
            <w:noProof/>
            <w:webHidden/>
          </w:rPr>
          <w:tab/>
        </w:r>
        <w:r w:rsidR="00DA5439">
          <w:rPr>
            <w:noProof/>
            <w:webHidden/>
          </w:rPr>
          <w:fldChar w:fldCharType="begin"/>
        </w:r>
        <w:r w:rsidR="00DA5439">
          <w:rPr>
            <w:noProof/>
            <w:webHidden/>
          </w:rPr>
          <w:instrText xml:space="preserve"> PAGEREF _Toc31985673 \h </w:instrText>
        </w:r>
        <w:r w:rsidR="00DA5439">
          <w:rPr>
            <w:noProof/>
            <w:webHidden/>
          </w:rPr>
        </w:r>
        <w:r w:rsidR="00DA5439">
          <w:rPr>
            <w:noProof/>
            <w:webHidden/>
          </w:rPr>
          <w:fldChar w:fldCharType="separate"/>
        </w:r>
        <w:r w:rsidR="007F7607">
          <w:rPr>
            <w:noProof/>
            <w:webHidden/>
          </w:rPr>
          <w:t>64</w:t>
        </w:r>
        <w:r w:rsidR="00DA5439">
          <w:rPr>
            <w:noProof/>
            <w:webHidden/>
          </w:rPr>
          <w:fldChar w:fldCharType="end"/>
        </w:r>
      </w:hyperlink>
    </w:p>
    <w:p w14:paraId="010728C6" w14:textId="133C509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4" w:history="1">
        <w:r w:rsidR="00DA5439" w:rsidRPr="001A3363">
          <w:rPr>
            <w:rStyle w:val="Hyperlink"/>
            <w:noProof/>
          </w:rPr>
          <w:t>Table 7. Stream metabolism data obtained from the four sites in the Mid Lachlan river system during the sampling period 2018-19.</w:t>
        </w:r>
        <w:r w:rsidR="00DA5439">
          <w:rPr>
            <w:noProof/>
            <w:webHidden/>
          </w:rPr>
          <w:tab/>
        </w:r>
        <w:r w:rsidR="00DA5439">
          <w:rPr>
            <w:noProof/>
            <w:webHidden/>
          </w:rPr>
          <w:fldChar w:fldCharType="begin"/>
        </w:r>
        <w:r w:rsidR="00DA5439">
          <w:rPr>
            <w:noProof/>
            <w:webHidden/>
          </w:rPr>
          <w:instrText xml:space="preserve"> PAGEREF _Toc31985674 \h </w:instrText>
        </w:r>
        <w:r w:rsidR="00DA5439">
          <w:rPr>
            <w:noProof/>
            <w:webHidden/>
          </w:rPr>
        </w:r>
        <w:r w:rsidR="00DA5439">
          <w:rPr>
            <w:noProof/>
            <w:webHidden/>
          </w:rPr>
          <w:fldChar w:fldCharType="separate"/>
        </w:r>
        <w:r w:rsidR="007F7607">
          <w:rPr>
            <w:noProof/>
            <w:webHidden/>
          </w:rPr>
          <w:t>67</w:t>
        </w:r>
        <w:r w:rsidR="00DA5439">
          <w:rPr>
            <w:noProof/>
            <w:webHidden/>
          </w:rPr>
          <w:fldChar w:fldCharType="end"/>
        </w:r>
      </w:hyperlink>
    </w:p>
    <w:p w14:paraId="0AB3E3D0" w14:textId="766D1F5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5" w:history="1">
        <w:r w:rsidR="00DA5439" w:rsidRPr="001A3363">
          <w:rPr>
            <w:rStyle w:val="Hyperlink"/>
            <w:noProof/>
          </w:rPr>
          <w:t>Table 8. Stream metabolism data obtained from the four sites in the Lower Lachlan river system during the whole sampling period 2014-19.</w:t>
        </w:r>
        <w:r w:rsidR="00DA5439">
          <w:rPr>
            <w:noProof/>
            <w:webHidden/>
          </w:rPr>
          <w:tab/>
        </w:r>
        <w:r w:rsidR="00DA5439">
          <w:rPr>
            <w:noProof/>
            <w:webHidden/>
          </w:rPr>
          <w:fldChar w:fldCharType="begin"/>
        </w:r>
        <w:r w:rsidR="00DA5439">
          <w:rPr>
            <w:noProof/>
            <w:webHidden/>
          </w:rPr>
          <w:instrText xml:space="preserve"> PAGEREF _Toc31985675 \h </w:instrText>
        </w:r>
        <w:r w:rsidR="00DA5439">
          <w:rPr>
            <w:noProof/>
            <w:webHidden/>
          </w:rPr>
        </w:r>
        <w:r w:rsidR="00DA5439">
          <w:rPr>
            <w:noProof/>
            <w:webHidden/>
          </w:rPr>
          <w:fldChar w:fldCharType="separate"/>
        </w:r>
        <w:r w:rsidR="007F7607">
          <w:rPr>
            <w:noProof/>
            <w:webHidden/>
          </w:rPr>
          <w:t>71</w:t>
        </w:r>
        <w:r w:rsidR="00DA5439">
          <w:rPr>
            <w:noProof/>
            <w:webHidden/>
          </w:rPr>
          <w:fldChar w:fldCharType="end"/>
        </w:r>
      </w:hyperlink>
    </w:p>
    <w:p w14:paraId="323758AA" w14:textId="1F03314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6" w:history="1">
        <w:r w:rsidR="00DA5439" w:rsidRPr="001A3363">
          <w:rPr>
            <w:rStyle w:val="Hyperlink"/>
            <w:noProof/>
          </w:rPr>
          <w:t>Table 9. Stream metabolism data averages for all four variables and all four Lower Lachlan River sites over the sampling period 2014-2019</w:t>
        </w:r>
        <w:r w:rsidR="00DA5439">
          <w:rPr>
            <w:noProof/>
            <w:webHidden/>
          </w:rPr>
          <w:tab/>
        </w:r>
        <w:r w:rsidR="00DA5439">
          <w:rPr>
            <w:noProof/>
            <w:webHidden/>
          </w:rPr>
          <w:fldChar w:fldCharType="begin"/>
        </w:r>
        <w:r w:rsidR="00DA5439">
          <w:rPr>
            <w:noProof/>
            <w:webHidden/>
          </w:rPr>
          <w:instrText xml:space="preserve"> PAGEREF _Toc31985676 \h </w:instrText>
        </w:r>
        <w:r w:rsidR="00DA5439">
          <w:rPr>
            <w:noProof/>
            <w:webHidden/>
          </w:rPr>
        </w:r>
        <w:r w:rsidR="00DA5439">
          <w:rPr>
            <w:noProof/>
            <w:webHidden/>
          </w:rPr>
          <w:fldChar w:fldCharType="separate"/>
        </w:r>
        <w:r w:rsidR="007F7607">
          <w:rPr>
            <w:noProof/>
            <w:webHidden/>
          </w:rPr>
          <w:t>71</w:t>
        </w:r>
        <w:r w:rsidR="00DA5439">
          <w:rPr>
            <w:noProof/>
            <w:webHidden/>
          </w:rPr>
          <w:fldChar w:fldCharType="end"/>
        </w:r>
      </w:hyperlink>
    </w:p>
    <w:p w14:paraId="10513648" w14:textId="4EBA1A2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7" w:history="1">
        <w:r w:rsidR="00DA5439" w:rsidRPr="001A3363">
          <w:rPr>
            <w:rStyle w:val="Hyperlink"/>
            <w:noProof/>
          </w:rPr>
          <w:t>Table 10. Size limits used to distinguish new recruits for each species. Values represent the length at one year of age for longer-lived species or the age at sexual maturity for species that reach maturity within one year.</w:t>
        </w:r>
        <w:r w:rsidR="00DA5439">
          <w:rPr>
            <w:noProof/>
            <w:webHidden/>
          </w:rPr>
          <w:tab/>
        </w:r>
        <w:r w:rsidR="00DA5439">
          <w:rPr>
            <w:noProof/>
            <w:webHidden/>
          </w:rPr>
          <w:fldChar w:fldCharType="begin"/>
        </w:r>
        <w:r w:rsidR="00DA5439">
          <w:rPr>
            <w:noProof/>
            <w:webHidden/>
          </w:rPr>
          <w:instrText xml:space="preserve"> PAGEREF _Toc31985677 \h </w:instrText>
        </w:r>
        <w:r w:rsidR="00DA5439">
          <w:rPr>
            <w:noProof/>
            <w:webHidden/>
          </w:rPr>
        </w:r>
        <w:r w:rsidR="00DA5439">
          <w:rPr>
            <w:noProof/>
            <w:webHidden/>
          </w:rPr>
          <w:fldChar w:fldCharType="separate"/>
        </w:r>
        <w:r w:rsidR="007F7607">
          <w:rPr>
            <w:noProof/>
            <w:webHidden/>
          </w:rPr>
          <w:t>91</w:t>
        </w:r>
        <w:r w:rsidR="00DA5439">
          <w:rPr>
            <w:noProof/>
            <w:webHidden/>
          </w:rPr>
          <w:fldChar w:fldCharType="end"/>
        </w:r>
      </w:hyperlink>
    </w:p>
    <w:p w14:paraId="169C330D" w14:textId="0005470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8" w:history="1">
        <w:r w:rsidR="00DA5439" w:rsidRPr="001A3363">
          <w:rPr>
            <w:rStyle w:val="Hyperlink"/>
            <w:noProof/>
          </w:rPr>
          <w:t>Table 11. Total (non-standardised) catch from the Lower Lachlan river system target reach. Sampling was undertaken in autumn 2019 using a combination of five sampling gear types.</w:t>
        </w:r>
        <w:r w:rsidR="00DA5439">
          <w:rPr>
            <w:noProof/>
            <w:webHidden/>
          </w:rPr>
          <w:tab/>
        </w:r>
        <w:r w:rsidR="00DA5439">
          <w:rPr>
            <w:noProof/>
            <w:webHidden/>
          </w:rPr>
          <w:fldChar w:fldCharType="begin"/>
        </w:r>
        <w:r w:rsidR="00DA5439">
          <w:rPr>
            <w:noProof/>
            <w:webHidden/>
          </w:rPr>
          <w:instrText xml:space="preserve"> PAGEREF _Toc31985678 \h </w:instrText>
        </w:r>
        <w:r w:rsidR="00DA5439">
          <w:rPr>
            <w:noProof/>
            <w:webHidden/>
          </w:rPr>
        </w:r>
        <w:r w:rsidR="00DA5439">
          <w:rPr>
            <w:noProof/>
            <w:webHidden/>
          </w:rPr>
          <w:fldChar w:fldCharType="separate"/>
        </w:r>
        <w:r w:rsidR="007F7607">
          <w:rPr>
            <w:noProof/>
            <w:webHidden/>
          </w:rPr>
          <w:t>94</w:t>
        </w:r>
        <w:r w:rsidR="00DA5439">
          <w:rPr>
            <w:noProof/>
            <w:webHidden/>
          </w:rPr>
          <w:fldChar w:fldCharType="end"/>
        </w:r>
      </w:hyperlink>
    </w:p>
    <w:p w14:paraId="015F2F1D" w14:textId="520F643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79" w:history="1">
        <w:r w:rsidR="00DA5439" w:rsidRPr="001A3363">
          <w:rPr>
            <w:rStyle w:val="Hyperlink"/>
            <w:noProof/>
          </w:rPr>
          <w:t>Table 12. Summary of SRA fish indices over the five LTIM sampling years in the Lower Lachlan River.</w:t>
        </w:r>
        <w:r w:rsidR="00DA5439">
          <w:rPr>
            <w:noProof/>
            <w:webHidden/>
          </w:rPr>
          <w:tab/>
        </w:r>
        <w:r w:rsidR="00DA5439">
          <w:rPr>
            <w:noProof/>
            <w:webHidden/>
          </w:rPr>
          <w:fldChar w:fldCharType="begin"/>
        </w:r>
        <w:r w:rsidR="00DA5439">
          <w:rPr>
            <w:noProof/>
            <w:webHidden/>
          </w:rPr>
          <w:instrText xml:space="preserve"> PAGEREF _Toc31985679 \h </w:instrText>
        </w:r>
        <w:r w:rsidR="00DA5439">
          <w:rPr>
            <w:noProof/>
            <w:webHidden/>
          </w:rPr>
        </w:r>
        <w:r w:rsidR="00DA5439">
          <w:rPr>
            <w:noProof/>
            <w:webHidden/>
          </w:rPr>
          <w:fldChar w:fldCharType="separate"/>
        </w:r>
        <w:r w:rsidR="007F7607">
          <w:rPr>
            <w:noProof/>
            <w:webHidden/>
          </w:rPr>
          <w:t>94</w:t>
        </w:r>
        <w:r w:rsidR="00DA5439">
          <w:rPr>
            <w:noProof/>
            <w:webHidden/>
          </w:rPr>
          <w:fldChar w:fldCharType="end"/>
        </w:r>
      </w:hyperlink>
    </w:p>
    <w:p w14:paraId="3B9F1BE7" w14:textId="19BC3D4D"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0" w:history="1">
        <w:r w:rsidR="00DA5439" w:rsidRPr="001A3363">
          <w:rPr>
            <w:rStyle w:val="Hyperlink"/>
            <w:noProof/>
          </w:rPr>
          <w:t>Table 13. Contributions of fish species abundance to variability among years in the Lower Lachlan River, determined through SIMPER analysis.</w:t>
        </w:r>
        <w:r w:rsidR="00DA5439">
          <w:rPr>
            <w:noProof/>
            <w:webHidden/>
          </w:rPr>
          <w:tab/>
        </w:r>
        <w:r w:rsidR="00DA5439">
          <w:rPr>
            <w:noProof/>
            <w:webHidden/>
          </w:rPr>
          <w:fldChar w:fldCharType="begin"/>
        </w:r>
        <w:r w:rsidR="00DA5439">
          <w:rPr>
            <w:noProof/>
            <w:webHidden/>
          </w:rPr>
          <w:instrText xml:space="preserve"> PAGEREF _Toc31985680 \h </w:instrText>
        </w:r>
        <w:r w:rsidR="00DA5439">
          <w:rPr>
            <w:noProof/>
            <w:webHidden/>
          </w:rPr>
        </w:r>
        <w:r w:rsidR="00DA5439">
          <w:rPr>
            <w:noProof/>
            <w:webHidden/>
          </w:rPr>
          <w:fldChar w:fldCharType="separate"/>
        </w:r>
        <w:r w:rsidR="007F7607">
          <w:rPr>
            <w:noProof/>
            <w:webHidden/>
          </w:rPr>
          <w:t>95</w:t>
        </w:r>
        <w:r w:rsidR="00DA5439">
          <w:rPr>
            <w:noProof/>
            <w:webHidden/>
          </w:rPr>
          <w:fldChar w:fldCharType="end"/>
        </w:r>
      </w:hyperlink>
    </w:p>
    <w:p w14:paraId="61FE3D21" w14:textId="3C5660E2"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1" w:history="1">
        <w:r w:rsidR="00DA5439" w:rsidRPr="001A3363">
          <w:rPr>
            <w:rStyle w:val="Hyperlink"/>
            <w:noProof/>
          </w:rPr>
          <w:t>Table 14. Contributions of fish species biomass to variability among years in the Lower Lachlan River, determined through SIMPER analysis.</w:t>
        </w:r>
        <w:r w:rsidR="00DA5439">
          <w:rPr>
            <w:noProof/>
            <w:webHidden/>
          </w:rPr>
          <w:tab/>
        </w:r>
        <w:r w:rsidR="00DA5439">
          <w:rPr>
            <w:noProof/>
            <w:webHidden/>
          </w:rPr>
          <w:fldChar w:fldCharType="begin"/>
        </w:r>
        <w:r w:rsidR="00DA5439">
          <w:rPr>
            <w:noProof/>
            <w:webHidden/>
          </w:rPr>
          <w:instrText xml:space="preserve"> PAGEREF _Toc31985681 \h </w:instrText>
        </w:r>
        <w:r w:rsidR="00DA5439">
          <w:rPr>
            <w:noProof/>
            <w:webHidden/>
          </w:rPr>
        </w:r>
        <w:r w:rsidR="00DA5439">
          <w:rPr>
            <w:noProof/>
            <w:webHidden/>
          </w:rPr>
          <w:fldChar w:fldCharType="separate"/>
        </w:r>
        <w:r w:rsidR="007F7607">
          <w:rPr>
            <w:noProof/>
            <w:webHidden/>
          </w:rPr>
          <w:t>96</w:t>
        </w:r>
        <w:r w:rsidR="00DA5439">
          <w:rPr>
            <w:noProof/>
            <w:webHidden/>
          </w:rPr>
          <w:fldChar w:fldCharType="end"/>
        </w:r>
      </w:hyperlink>
    </w:p>
    <w:p w14:paraId="717BFE44" w14:textId="2C24EB5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2" w:history="1">
        <w:r w:rsidR="00DA5439" w:rsidRPr="001A3363">
          <w:rPr>
            <w:rStyle w:val="Hyperlink"/>
            <w:noProof/>
          </w:rPr>
          <w:t>Table 15. Summary of SRA fish indices for each SRA altitudinal zone and a mean of all sites within the mid-Lachlan River in 2019 (n = number of sites sampled with each zone).</w:t>
        </w:r>
        <w:r w:rsidR="00DA5439">
          <w:rPr>
            <w:noProof/>
            <w:webHidden/>
          </w:rPr>
          <w:tab/>
        </w:r>
        <w:r w:rsidR="00DA5439">
          <w:rPr>
            <w:noProof/>
            <w:webHidden/>
          </w:rPr>
          <w:fldChar w:fldCharType="begin"/>
        </w:r>
        <w:r w:rsidR="00DA5439">
          <w:rPr>
            <w:noProof/>
            <w:webHidden/>
          </w:rPr>
          <w:instrText xml:space="preserve"> PAGEREF _Toc31985682 \h </w:instrText>
        </w:r>
        <w:r w:rsidR="00DA5439">
          <w:rPr>
            <w:noProof/>
            <w:webHidden/>
          </w:rPr>
        </w:r>
        <w:r w:rsidR="00DA5439">
          <w:rPr>
            <w:noProof/>
            <w:webHidden/>
          </w:rPr>
          <w:fldChar w:fldCharType="separate"/>
        </w:r>
        <w:r w:rsidR="007F7607">
          <w:rPr>
            <w:noProof/>
            <w:webHidden/>
          </w:rPr>
          <w:t>101</w:t>
        </w:r>
        <w:r w:rsidR="00DA5439">
          <w:rPr>
            <w:noProof/>
            <w:webHidden/>
          </w:rPr>
          <w:fldChar w:fldCharType="end"/>
        </w:r>
      </w:hyperlink>
    </w:p>
    <w:p w14:paraId="3CD66A65" w14:textId="7C424765"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3" w:history="1">
        <w:r w:rsidR="00DA5439" w:rsidRPr="001A3363">
          <w:rPr>
            <w:rStyle w:val="Hyperlink"/>
            <w:noProof/>
          </w:rPr>
          <w:t>Table 16. Total (non-standardised) catch from the mid-Lachlan River. Sampling was undertaken in autumn 2019 using a combination of five sampling gear types.</w:t>
        </w:r>
        <w:r w:rsidR="00DA5439">
          <w:rPr>
            <w:noProof/>
            <w:webHidden/>
          </w:rPr>
          <w:tab/>
        </w:r>
        <w:r w:rsidR="00DA5439">
          <w:rPr>
            <w:noProof/>
            <w:webHidden/>
          </w:rPr>
          <w:fldChar w:fldCharType="begin"/>
        </w:r>
        <w:r w:rsidR="00DA5439">
          <w:rPr>
            <w:noProof/>
            <w:webHidden/>
          </w:rPr>
          <w:instrText xml:space="preserve"> PAGEREF _Toc31985683 \h </w:instrText>
        </w:r>
        <w:r w:rsidR="00DA5439">
          <w:rPr>
            <w:noProof/>
            <w:webHidden/>
          </w:rPr>
        </w:r>
        <w:r w:rsidR="00DA5439">
          <w:rPr>
            <w:noProof/>
            <w:webHidden/>
          </w:rPr>
          <w:fldChar w:fldCharType="separate"/>
        </w:r>
        <w:r w:rsidR="007F7607">
          <w:rPr>
            <w:noProof/>
            <w:webHidden/>
          </w:rPr>
          <w:t>102</w:t>
        </w:r>
        <w:r w:rsidR="00DA5439">
          <w:rPr>
            <w:noProof/>
            <w:webHidden/>
          </w:rPr>
          <w:fldChar w:fldCharType="end"/>
        </w:r>
      </w:hyperlink>
    </w:p>
    <w:p w14:paraId="08BC698E" w14:textId="19ABB32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4" w:history="1">
        <w:r w:rsidR="00DA5439" w:rsidRPr="001A3363">
          <w:rPr>
            <w:rStyle w:val="Hyperlink"/>
            <w:noProof/>
          </w:rPr>
          <w:t>Table 17. Pre-European (PERCH = Pre-European Reference Condition for fisH) list of the expected native fish species present in the lowland Lachlan Basin, their associated rarity and subsequent detection during the LTIM 2016 census.</w:t>
        </w:r>
        <w:r w:rsidR="00DA5439">
          <w:rPr>
            <w:noProof/>
            <w:webHidden/>
          </w:rPr>
          <w:tab/>
        </w:r>
        <w:r w:rsidR="00DA5439">
          <w:rPr>
            <w:noProof/>
            <w:webHidden/>
          </w:rPr>
          <w:fldChar w:fldCharType="begin"/>
        </w:r>
        <w:r w:rsidR="00DA5439">
          <w:rPr>
            <w:noProof/>
            <w:webHidden/>
          </w:rPr>
          <w:instrText xml:space="preserve"> PAGEREF _Toc31985684 \h </w:instrText>
        </w:r>
        <w:r w:rsidR="00DA5439">
          <w:rPr>
            <w:noProof/>
            <w:webHidden/>
          </w:rPr>
        </w:r>
        <w:r w:rsidR="00DA5439">
          <w:rPr>
            <w:noProof/>
            <w:webHidden/>
          </w:rPr>
          <w:fldChar w:fldCharType="separate"/>
        </w:r>
        <w:r w:rsidR="007F7607">
          <w:rPr>
            <w:noProof/>
            <w:webHidden/>
          </w:rPr>
          <w:t>113</w:t>
        </w:r>
        <w:r w:rsidR="00DA5439">
          <w:rPr>
            <w:noProof/>
            <w:webHidden/>
          </w:rPr>
          <w:fldChar w:fldCharType="end"/>
        </w:r>
      </w:hyperlink>
    </w:p>
    <w:p w14:paraId="3F2A1D4A" w14:textId="22F480C1"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5" w:history="1">
        <w:r w:rsidR="00DA5439" w:rsidRPr="001A3363">
          <w:rPr>
            <w:rStyle w:val="Hyperlink"/>
            <w:noProof/>
          </w:rPr>
          <w:t xml:space="preserve">Table 18. </w:t>
        </w:r>
        <w:r w:rsidR="00DA5439" w:rsidRPr="001A3363">
          <w:rPr>
            <w:rStyle w:val="Hyperlink"/>
            <w:noProof/>
            <w:lang w:val="en-GB"/>
          </w:rPr>
          <w:t>Capture summary of larval fish from sampling conducted between mid-October to mid-December 2018 in the Lower Lachlan River system Selected Area.</w:t>
        </w:r>
        <w:r w:rsidR="00DA5439">
          <w:rPr>
            <w:noProof/>
            <w:webHidden/>
          </w:rPr>
          <w:tab/>
        </w:r>
        <w:r w:rsidR="00DA5439">
          <w:rPr>
            <w:noProof/>
            <w:webHidden/>
          </w:rPr>
          <w:fldChar w:fldCharType="begin"/>
        </w:r>
        <w:r w:rsidR="00DA5439">
          <w:rPr>
            <w:noProof/>
            <w:webHidden/>
          </w:rPr>
          <w:instrText xml:space="preserve"> PAGEREF _Toc31985685 \h </w:instrText>
        </w:r>
        <w:r w:rsidR="00DA5439">
          <w:rPr>
            <w:noProof/>
            <w:webHidden/>
          </w:rPr>
        </w:r>
        <w:r w:rsidR="00DA5439">
          <w:rPr>
            <w:noProof/>
            <w:webHidden/>
          </w:rPr>
          <w:fldChar w:fldCharType="separate"/>
        </w:r>
        <w:r w:rsidR="007F7607">
          <w:rPr>
            <w:noProof/>
            <w:webHidden/>
          </w:rPr>
          <w:t>117</w:t>
        </w:r>
        <w:r w:rsidR="00DA5439">
          <w:rPr>
            <w:noProof/>
            <w:webHidden/>
          </w:rPr>
          <w:fldChar w:fldCharType="end"/>
        </w:r>
      </w:hyperlink>
    </w:p>
    <w:p w14:paraId="4DB27C45" w14:textId="1DA4DAE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6" w:history="1">
        <w:r w:rsidR="00DA5439" w:rsidRPr="001A3363">
          <w:rPr>
            <w:rStyle w:val="Hyperlink"/>
            <w:noProof/>
            <w:lang w:val="en-GB"/>
          </w:rPr>
          <w:t>Table 19. Results of PERMANOVA analysis of larval fish captures (fourth-root transformed numerical data from drift net and light traps combined) in the Lower Lachlan River selected area 2014 – 2018.</w:t>
        </w:r>
        <w:r w:rsidR="00DA5439">
          <w:rPr>
            <w:noProof/>
            <w:webHidden/>
          </w:rPr>
          <w:tab/>
        </w:r>
        <w:r w:rsidR="00DA5439">
          <w:rPr>
            <w:noProof/>
            <w:webHidden/>
          </w:rPr>
          <w:fldChar w:fldCharType="begin"/>
        </w:r>
        <w:r w:rsidR="00DA5439">
          <w:rPr>
            <w:noProof/>
            <w:webHidden/>
          </w:rPr>
          <w:instrText xml:space="preserve"> PAGEREF _Toc31985686 \h </w:instrText>
        </w:r>
        <w:r w:rsidR="00DA5439">
          <w:rPr>
            <w:noProof/>
            <w:webHidden/>
          </w:rPr>
        </w:r>
        <w:r w:rsidR="00DA5439">
          <w:rPr>
            <w:noProof/>
            <w:webHidden/>
          </w:rPr>
          <w:fldChar w:fldCharType="separate"/>
        </w:r>
        <w:r w:rsidR="007F7607">
          <w:rPr>
            <w:noProof/>
            <w:webHidden/>
          </w:rPr>
          <w:t>120</w:t>
        </w:r>
        <w:r w:rsidR="00DA5439">
          <w:rPr>
            <w:noProof/>
            <w:webHidden/>
          </w:rPr>
          <w:fldChar w:fldCharType="end"/>
        </w:r>
      </w:hyperlink>
    </w:p>
    <w:p w14:paraId="53563B7B" w14:textId="10A55B5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7" w:history="1">
        <w:r w:rsidR="00DA5439" w:rsidRPr="001A3363">
          <w:rPr>
            <w:rStyle w:val="Hyperlink"/>
            <w:noProof/>
          </w:rPr>
          <w:t xml:space="preserve">Table 20. </w:t>
        </w:r>
        <w:r w:rsidR="00DA5439" w:rsidRPr="001A3363">
          <w:rPr>
            <w:rStyle w:val="Hyperlink"/>
            <w:noProof/>
            <w:lang w:val="en-GB"/>
          </w:rPr>
          <w:t>Capture summary of larval fish from sampling conducted between mid-October to mid-December 2018 in the mid-Lachlan River system.</w:t>
        </w:r>
        <w:r w:rsidR="00DA5439">
          <w:rPr>
            <w:noProof/>
            <w:webHidden/>
          </w:rPr>
          <w:tab/>
        </w:r>
        <w:r w:rsidR="00DA5439">
          <w:rPr>
            <w:noProof/>
            <w:webHidden/>
          </w:rPr>
          <w:fldChar w:fldCharType="begin"/>
        </w:r>
        <w:r w:rsidR="00DA5439">
          <w:rPr>
            <w:noProof/>
            <w:webHidden/>
          </w:rPr>
          <w:instrText xml:space="preserve"> PAGEREF _Toc31985687 \h </w:instrText>
        </w:r>
        <w:r w:rsidR="00DA5439">
          <w:rPr>
            <w:noProof/>
            <w:webHidden/>
          </w:rPr>
        </w:r>
        <w:r w:rsidR="00DA5439">
          <w:rPr>
            <w:noProof/>
            <w:webHidden/>
          </w:rPr>
          <w:fldChar w:fldCharType="separate"/>
        </w:r>
        <w:r w:rsidR="007F7607">
          <w:rPr>
            <w:noProof/>
            <w:webHidden/>
          </w:rPr>
          <w:t>123</w:t>
        </w:r>
        <w:r w:rsidR="00DA5439">
          <w:rPr>
            <w:noProof/>
            <w:webHidden/>
          </w:rPr>
          <w:fldChar w:fldCharType="end"/>
        </w:r>
      </w:hyperlink>
    </w:p>
    <w:p w14:paraId="2E34C469" w14:textId="37E3EE8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8" w:history="1">
        <w:r w:rsidR="00DA5439" w:rsidRPr="001A3363">
          <w:rPr>
            <w:rStyle w:val="Hyperlink"/>
            <w:noProof/>
          </w:rPr>
          <w:t>Table 21. Results of Similarity percentage analysis (SIMPER) of annual differences in the larval fish community in the Lower Lachlan River selected area.</w:t>
        </w:r>
        <w:r w:rsidR="00DA5439">
          <w:rPr>
            <w:noProof/>
            <w:webHidden/>
          </w:rPr>
          <w:tab/>
        </w:r>
        <w:r w:rsidR="00DA5439">
          <w:rPr>
            <w:noProof/>
            <w:webHidden/>
          </w:rPr>
          <w:fldChar w:fldCharType="begin"/>
        </w:r>
        <w:r w:rsidR="00DA5439">
          <w:rPr>
            <w:noProof/>
            <w:webHidden/>
          </w:rPr>
          <w:instrText xml:space="preserve"> PAGEREF _Toc31985688 \h </w:instrText>
        </w:r>
        <w:r w:rsidR="00DA5439">
          <w:rPr>
            <w:noProof/>
            <w:webHidden/>
          </w:rPr>
        </w:r>
        <w:r w:rsidR="00DA5439">
          <w:rPr>
            <w:noProof/>
            <w:webHidden/>
          </w:rPr>
          <w:fldChar w:fldCharType="separate"/>
        </w:r>
        <w:r w:rsidR="007F7607">
          <w:rPr>
            <w:noProof/>
            <w:webHidden/>
          </w:rPr>
          <w:t>138</w:t>
        </w:r>
        <w:r w:rsidR="00DA5439">
          <w:rPr>
            <w:noProof/>
            <w:webHidden/>
          </w:rPr>
          <w:fldChar w:fldCharType="end"/>
        </w:r>
      </w:hyperlink>
    </w:p>
    <w:p w14:paraId="395FCB1C" w14:textId="157B83F4"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89" w:history="1">
        <w:r w:rsidR="00DA5439" w:rsidRPr="001A3363">
          <w:rPr>
            <w:rStyle w:val="Hyperlink"/>
            <w:noProof/>
            <w:lang w:val="en-US"/>
          </w:rPr>
          <w:t>Table 22. Estimated spawning window on Australian smelt based on known age, new linear model and existing linear model for each year (n = 30 per year).</w:t>
        </w:r>
        <w:r w:rsidR="00DA5439">
          <w:rPr>
            <w:noProof/>
            <w:webHidden/>
          </w:rPr>
          <w:tab/>
        </w:r>
        <w:r w:rsidR="00DA5439">
          <w:rPr>
            <w:noProof/>
            <w:webHidden/>
          </w:rPr>
          <w:fldChar w:fldCharType="begin"/>
        </w:r>
        <w:r w:rsidR="00DA5439">
          <w:rPr>
            <w:noProof/>
            <w:webHidden/>
          </w:rPr>
          <w:instrText xml:space="preserve"> PAGEREF _Toc31985689 \h </w:instrText>
        </w:r>
        <w:r w:rsidR="00DA5439">
          <w:rPr>
            <w:noProof/>
            <w:webHidden/>
          </w:rPr>
        </w:r>
        <w:r w:rsidR="00DA5439">
          <w:rPr>
            <w:noProof/>
            <w:webHidden/>
          </w:rPr>
          <w:fldChar w:fldCharType="separate"/>
        </w:r>
        <w:r w:rsidR="007F7607">
          <w:rPr>
            <w:noProof/>
            <w:webHidden/>
          </w:rPr>
          <w:t>147</w:t>
        </w:r>
        <w:r w:rsidR="00DA5439">
          <w:rPr>
            <w:noProof/>
            <w:webHidden/>
          </w:rPr>
          <w:fldChar w:fldCharType="end"/>
        </w:r>
      </w:hyperlink>
    </w:p>
    <w:p w14:paraId="2AFFB848" w14:textId="1A96F35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0" w:history="1">
        <w:r w:rsidR="00DA5439" w:rsidRPr="001A3363">
          <w:rPr>
            <w:rStyle w:val="Hyperlink"/>
            <w:noProof/>
            <w:lang w:val="en-US"/>
          </w:rPr>
          <w:t>Table 23. Estimated spawning window on Murray cod based on known age, new linear model and existing linear model for each year.</w:t>
        </w:r>
        <w:r w:rsidR="00DA5439">
          <w:rPr>
            <w:noProof/>
            <w:webHidden/>
          </w:rPr>
          <w:tab/>
        </w:r>
        <w:r w:rsidR="00DA5439">
          <w:rPr>
            <w:noProof/>
            <w:webHidden/>
          </w:rPr>
          <w:fldChar w:fldCharType="begin"/>
        </w:r>
        <w:r w:rsidR="00DA5439">
          <w:rPr>
            <w:noProof/>
            <w:webHidden/>
          </w:rPr>
          <w:instrText xml:space="preserve"> PAGEREF _Toc31985690 \h </w:instrText>
        </w:r>
        <w:r w:rsidR="00DA5439">
          <w:rPr>
            <w:noProof/>
            <w:webHidden/>
          </w:rPr>
        </w:r>
        <w:r w:rsidR="00DA5439">
          <w:rPr>
            <w:noProof/>
            <w:webHidden/>
          </w:rPr>
          <w:fldChar w:fldCharType="separate"/>
        </w:r>
        <w:r w:rsidR="007F7607">
          <w:rPr>
            <w:noProof/>
            <w:webHidden/>
          </w:rPr>
          <w:t>148</w:t>
        </w:r>
        <w:r w:rsidR="00DA5439">
          <w:rPr>
            <w:noProof/>
            <w:webHidden/>
          </w:rPr>
          <w:fldChar w:fldCharType="end"/>
        </w:r>
      </w:hyperlink>
    </w:p>
    <w:p w14:paraId="2F4D6418" w14:textId="6B93188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1" w:history="1">
        <w:r w:rsidR="00DA5439" w:rsidRPr="001A3363">
          <w:rPr>
            <w:rStyle w:val="Hyperlink"/>
            <w:noProof/>
            <w:lang w:val="en-US"/>
          </w:rPr>
          <w:t>Table 24. Daily growth of Australian smelt (indicated by slope of linear model) as a function of the linear model between daily growth and rolling lag mean of GPP for rolling lags of 3, 5 and 7 days, for each monitoring year.</w:t>
        </w:r>
        <w:r w:rsidR="00DA5439">
          <w:rPr>
            <w:noProof/>
            <w:webHidden/>
          </w:rPr>
          <w:tab/>
        </w:r>
        <w:r w:rsidR="00DA5439">
          <w:rPr>
            <w:noProof/>
            <w:webHidden/>
          </w:rPr>
          <w:fldChar w:fldCharType="begin"/>
        </w:r>
        <w:r w:rsidR="00DA5439">
          <w:rPr>
            <w:noProof/>
            <w:webHidden/>
          </w:rPr>
          <w:instrText xml:space="preserve"> PAGEREF _Toc31985691 \h </w:instrText>
        </w:r>
        <w:r w:rsidR="00DA5439">
          <w:rPr>
            <w:noProof/>
            <w:webHidden/>
          </w:rPr>
        </w:r>
        <w:r w:rsidR="00DA5439">
          <w:rPr>
            <w:noProof/>
            <w:webHidden/>
          </w:rPr>
          <w:fldChar w:fldCharType="separate"/>
        </w:r>
        <w:r w:rsidR="007F7607">
          <w:rPr>
            <w:noProof/>
            <w:webHidden/>
          </w:rPr>
          <w:t>151</w:t>
        </w:r>
        <w:r w:rsidR="00DA5439">
          <w:rPr>
            <w:noProof/>
            <w:webHidden/>
          </w:rPr>
          <w:fldChar w:fldCharType="end"/>
        </w:r>
      </w:hyperlink>
    </w:p>
    <w:p w14:paraId="4705C090" w14:textId="5D7F39D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2" w:history="1">
        <w:r w:rsidR="00DA5439" w:rsidRPr="001A3363">
          <w:rPr>
            <w:rStyle w:val="Hyperlink"/>
            <w:noProof/>
            <w:lang w:val="en-US"/>
          </w:rPr>
          <w:t>Table 25. Daily growth of Murray cod (indicated by slope of linear model) as a function of the linear model between daily growth and rolling lag mean of GPP for rolling lags of 3, 5 and 7 days, for each monitoring year.</w:t>
        </w:r>
        <w:r w:rsidR="00DA5439">
          <w:rPr>
            <w:noProof/>
            <w:webHidden/>
          </w:rPr>
          <w:tab/>
        </w:r>
        <w:r w:rsidR="00DA5439">
          <w:rPr>
            <w:noProof/>
            <w:webHidden/>
          </w:rPr>
          <w:fldChar w:fldCharType="begin"/>
        </w:r>
        <w:r w:rsidR="00DA5439">
          <w:rPr>
            <w:noProof/>
            <w:webHidden/>
          </w:rPr>
          <w:instrText xml:space="preserve"> PAGEREF _Toc31985692 \h </w:instrText>
        </w:r>
        <w:r w:rsidR="00DA5439">
          <w:rPr>
            <w:noProof/>
            <w:webHidden/>
          </w:rPr>
        </w:r>
        <w:r w:rsidR="00DA5439">
          <w:rPr>
            <w:noProof/>
            <w:webHidden/>
          </w:rPr>
          <w:fldChar w:fldCharType="separate"/>
        </w:r>
        <w:r w:rsidR="007F7607">
          <w:rPr>
            <w:noProof/>
            <w:webHidden/>
          </w:rPr>
          <w:t>152</w:t>
        </w:r>
        <w:r w:rsidR="00DA5439">
          <w:rPr>
            <w:noProof/>
            <w:webHidden/>
          </w:rPr>
          <w:fldChar w:fldCharType="end"/>
        </w:r>
      </w:hyperlink>
    </w:p>
    <w:p w14:paraId="42B937F8" w14:textId="1F6CD676"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3" w:history="1">
        <w:r w:rsidR="00DA5439" w:rsidRPr="001A3363">
          <w:rPr>
            <w:rStyle w:val="Hyperlink"/>
            <w:noProof/>
          </w:rPr>
          <w:t>Table 26. Summary of vegetation monitoring sites.</w:t>
        </w:r>
        <w:r w:rsidR="00DA5439">
          <w:rPr>
            <w:noProof/>
            <w:webHidden/>
          </w:rPr>
          <w:tab/>
        </w:r>
        <w:r w:rsidR="00DA5439">
          <w:rPr>
            <w:noProof/>
            <w:webHidden/>
          </w:rPr>
          <w:fldChar w:fldCharType="begin"/>
        </w:r>
        <w:r w:rsidR="00DA5439">
          <w:rPr>
            <w:noProof/>
            <w:webHidden/>
          </w:rPr>
          <w:instrText xml:space="preserve"> PAGEREF _Toc31985693 \h </w:instrText>
        </w:r>
        <w:r w:rsidR="00DA5439">
          <w:rPr>
            <w:noProof/>
            <w:webHidden/>
          </w:rPr>
        </w:r>
        <w:r w:rsidR="00DA5439">
          <w:rPr>
            <w:noProof/>
            <w:webHidden/>
          </w:rPr>
          <w:fldChar w:fldCharType="separate"/>
        </w:r>
        <w:r w:rsidR="007F7607">
          <w:rPr>
            <w:noProof/>
            <w:webHidden/>
          </w:rPr>
          <w:t>159</w:t>
        </w:r>
        <w:r w:rsidR="00DA5439">
          <w:rPr>
            <w:noProof/>
            <w:webHidden/>
          </w:rPr>
          <w:fldChar w:fldCharType="end"/>
        </w:r>
      </w:hyperlink>
    </w:p>
    <w:p w14:paraId="56A4EEE6" w14:textId="2AB1042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4" w:history="1">
        <w:r w:rsidR="00DA5439" w:rsidRPr="001A3363">
          <w:rPr>
            <w:rStyle w:val="Hyperlink"/>
            <w:noProof/>
          </w:rPr>
          <w:t>Table 27. Wetland sampling dates and observations 2018-19.</w:t>
        </w:r>
        <w:r w:rsidR="00DA5439">
          <w:rPr>
            <w:noProof/>
            <w:webHidden/>
          </w:rPr>
          <w:tab/>
        </w:r>
        <w:r w:rsidR="00DA5439">
          <w:rPr>
            <w:noProof/>
            <w:webHidden/>
          </w:rPr>
          <w:fldChar w:fldCharType="begin"/>
        </w:r>
        <w:r w:rsidR="00DA5439">
          <w:rPr>
            <w:noProof/>
            <w:webHidden/>
          </w:rPr>
          <w:instrText xml:space="preserve"> PAGEREF _Toc31985694 \h </w:instrText>
        </w:r>
        <w:r w:rsidR="00DA5439">
          <w:rPr>
            <w:noProof/>
            <w:webHidden/>
          </w:rPr>
        </w:r>
        <w:r w:rsidR="00DA5439">
          <w:rPr>
            <w:noProof/>
            <w:webHidden/>
          </w:rPr>
          <w:fldChar w:fldCharType="separate"/>
        </w:r>
        <w:r w:rsidR="007F7607">
          <w:rPr>
            <w:noProof/>
            <w:webHidden/>
          </w:rPr>
          <w:t>161</w:t>
        </w:r>
        <w:r w:rsidR="00DA5439">
          <w:rPr>
            <w:noProof/>
            <w:webHidden/>
          </w:rPr>
          <w:fldChar w:fldCharType="end"/>
        </w:r>
      </w:hyperlink>
    </w:p>
    <w:p w14:paraId="106DC42D" w14:textId="6B0E0B8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5" w:history="1">
        <w:r w:rsidR="00DA5439" w:rsidRPr="001A3363">
          <w:rPr>
            <w:rStyle w:val="Hyperlink"/>
            <w:noProof/>
          </w:rPr>
          <w:t>Table 28. Watering history used to structure analysis of vegetation data.</w:t>
        </w:r>
        <w:r w:rsidR="00DA5439">
          <w:rPr>
            <w:noProof/>
            <w:webHidden/>
          </w:rPr>
          <w:tab/>
        </w:r>
        <w:r w:rsidR="00DA5439">
          <w:rPr>
            <w:noProof/>
            <w:webHidden/>
          </w:rPr>
          <w:fldChar w:fldCharType="begin"/>
        </w:r>
        <w:r w:rsidR="00DA5439">
          <w:rPr>
            <w:noProof/>
            <w:webHidden/>
          </w:rPr>
          <w:instrText xml:space="preserve"> PAGEREF _Toc31985695 \h </w:instrText>
        </w:r>
        <w:r w:rsidR="00DA5439">
          <w:rPr>
            <w:noProof/>
            <w:webHidden/>
          </w:rPr>
        </w:r>
        <w:r w:rsidR="00DA5439">
          <w:rPr>
            <w:noProof/>
            <w:webHidden/>
          </w:rPr>
          <w:fldChar w:fldCharType="separate"/>
        </w:r>
        <w:r w:rsidR="007F7607">
          <w:rPr>
            <w:noProof/>
            <w:webHidden/>
          </w:rPr>
          <w:t>163</w:t>
        </w:r>
        <w:r w:rsidR="00DA5439">
          <w:rPr>
            <w:noProof/>
            <w:webHidden/>
          </w:rPr>
          <w:fldChar w:fldCharType="end"/>
        </w:r>
      </w:hyperlink>
    </w:p>
    <w:p w14:paraId="5E0BA4EC" w14:textId="211A1D3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6" w:history="1">
        <w:r w:rsidR="00DA5439" w:rsidRPr="001A3363">
          <w:rPr>
            <w:rStyle w:val="Hyperlink"/>
            <w:noProof/>
          </w:rPr>
          <w:t>Table 29. Plant functional group classifications of Brock and Casanova (1997) and Casanova (2011).</w:t>
        </w:r>
        <w:r w:rsidR="00DA5439">
          <w:rPr>
            <w:noProof/>
            <w:webHidden/>
          </w:rPr>
          <w:tab/>
        </w:r>
        <w:r w:rsidR="00DA5439">
          <w:rPr>
            <w:noProof/>
            <w:webHidden/>
          </w:rPr>
          <w:fldChar w:fldCharType="begin"/>
        </w:r>
        <w:r w:rsidR="00DA5439">
          <w:rPr>
            <w:noProof/>
            <w:webHidden/>
          </w:rPr>
          <w:instrText xml:space="preserve"> PAGEREF _Toc31985696 \h </w:instrText>
        </w:r>
        <w:r w:rsidR="00DA5439">
          <w:rPr>
            <w:noProof/>
            <w:webHidden/>
          </w:rPr>
        </w:r>
        <w:r w:rsidR="00DA5439">
          <w:rPr>
            <w:noProof/>
            <w:webHidden/>
          </w:rPr>
          <w:fldChar w:fldCharType="separate"/>
        </w:r>
        <w:r w:rsidR="007F7607">
          <w:rPr>
            <w:noProof/>
            <w:webHidden/>
          </w:rPr>
          <w:t>166</w:t>
        </w:r>
        <w:r w:rsidR="00DA5439">
          <w:rPr>
            <w:noProof/>
            <w:webHidden/>
          </w:rPr>
          <w:fldChar w:fldCharType="end"/>
        </w:r>
      </w:hyperlink>
    </w:p>
    <w:p w14:paraId="7FC2E2DF" w14:textId="7E0668F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7" w:history="1">
        <w:r w:rsidR="00DA5439" w:rsidRPr="001A3363">
          <w:rPr>
            <w:rStyle w:val="Hyperlink"/>
            <w:noProof/>
          </w:rPr>
          <w:t>Table 30. The average number of seedlings and saplings per site. All numbers reported are from Autumn sampling events.</w:t>
        </w:r>
        <w:r w:rsidR="00DA5439">
          <w:rPr>
            <w:noProof/>
            <w:webHidden/>
          </w:rPr>
          <w:tab/>
        </w:r>
        <w:r w:rsidR="00DA5439">
          <w:rPr>
            <w:noProof/>
            <w:webHidden/>
          </w:rPr>
          <w:fldChar w:fldCharType="begin"/>
        </w:r>
        <w:r w:rsidR="00DA5439">
          <w:rPr>
            <w:noProof/>
            <w:webHidden/>
          </w:rPr>
          <w:instrText xml:space="preserve"> PAGEREF _Toc31985697 \h </w:instrText>
        </w:r>
        <w:r w:rsidR="00DA5439">
          <w:rPr>
            <w:noProof/>
            <w:webHidden/>
          </w:rPr>
        </w:r>
        <w:r w:rsidR="00DA5439">
          <w:rPr>
            <w:noProof/>
            <w:webHidden/>
          </w:rPr>
          <w:fldChar w:fldCharType="separate"/>
        </w:r>
        <w:r w:rsidR="007F7607">
          <w:rPr>
            <w:noProof/>
            <w:webHidden/>
          </w:rPr>
          <w:t>180</w:t>
        </w:r>
        <w:r w:rsidR="00DA5439">
          <w:rPr>
            <w:noProof/>
            <w:webHidden/>
          </w:rPr>
          <w:fldChar w:fldCharType="end"/>
        </w:r>
      </w:hyperlink>
    </w:p>
    <w:p w14:paraId="72868FDA" w14:textId="43496A7C"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8" w:history="1">
        <w:r w:rsidR="00DA5439" w:rsidRPr="001A3363">
          <w:rPr>
            <w:rStyle w:val="Hyperlink"/>
            <w:noProof/>
          </w:rPr>
          <w:t>Table 31. Species list from non-tree community sites over 5 years of LTIM monitoring across all sites within the lower Lachlan River (A-Z)</w:t>
        </w:r>
        <w:r w:rsidR="00DA5439">
          <w:rPr>
            <w:noProof/>
            <w:webHidden/>
          </w:rPr>
          <w:tab/>
        </w:r>
        <w:r w:rsidR="00DA5439">
          <w:rPr>
            <w:noProof/>
            <w:webHidden/>
          </w:rPr>
          <w:fldChar w:fldCharType="begin"/>
        </w:r>
        <w:r w:rsidR="00DA5439">
          <w:rPr>
            <w:noProof/>
            <w:webHidden/>
          </w:rPr>
          <w:instrText xml:space="preserve"> PAGEREF _Toc31985698 \h </w:instrText>
        </w:r>
        <w:r w:rsidR="00DA5439">
          <w:rPr>
            <w:noProof/>
            <w:webHidden/>
          </w:rPr>
        </w:r>
        <w:r w:rsidR="00DA5439">
          <w:rPr>
            <w:noProof/>
            <w:webHidden/>
          </w:rPr>
          <w:fldChar w:fldCharType="separate"/>
        </w:r>
        <w:r w:rsidR="007F7607">
          <w:rPr>
            <w:noProof/>
            <w:webHidden/>
          </w:rPr>
          <w:t>190</w:t>
        </w:r>
        <w:r w:rsidR="00DA5439">
          <w:rPr>
            <w:noProof/>
            <w:webHidden/>
          </w:rPr>
          <w:fldChar w:fldCharType="end"/>
        </w:r>
      </w:hyperlink>
    </w:p>
    <w:p w14:paraId="2F498E5D" w14:textId="3ECE1AE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699" w:history="1">
        <w:r w:rsidR="00DA5439" w:rsidRPr="001A3363">
          <w:rPr>
            <w:rStyle w:val="Hyperlink"/>
            <w:noProof/>
          </w:rPr>
          <w:t>Table 32. Species list from tree community sites over 5 years of LTIM monitoring across all sites within the lower Lachlan River (A-Z)</w:t>
        </w:r>
        <w:r w:rsidR="00DA5439">
          <w:rPr>
            <w:noProof/>
            <w:webHidden/>
          </w:rPr>
          <w:tab/>
        </w:r>
        <w:r w:rsidR="00DA5439">
          <w:rPr>
            <w:noProof/>
            <w:webHidden/>
          </w:rPr>
          <w:fldChar w:fldCharType="begin"/>
        </w:r>
        <w:r w:rsidR="00DA5439">
          <w:rPr>
            <w:noProof/>
            <w:webHidden/>
          </w:rPr>
          <w:instrText xml:space="preserve"> PAGEREF _Toc31985699 \h </w:instrText>
        </w:r>
        <w:r w:rsidR="00DA5439">
          <w:rPr>
            <w:noProof/>
            <w:webHidden/>
          </w:rPr>
        </w:r>
        <w:r w:rsidR="00DA5439">
          <w:rPr>
            <w:noProof/>
            <w:webHidden/>
          </w:rPr>
          <w:fldChar w:fldCharType="separate"/>
        </w:r>
        <w:r w:rsidR="007F7607">
          <w:rPr>
            <w:noProof/>
            <w:webHidden/>
          </w:rPr>
          <w:t>195</w:t>
        </w:r>
        <w:r w:rsidR="00DA5439">
          <w:rPr>
            <w:noProof/>
            <w:webHidden/>
          </w:rPr>
          <w:fldChar w:fldCharType="end"/>
        </w:r>
      </w:hyperlink>
    </w:p>
    <w:p w14:paraId="33E75C7A" w14:textId="4D0C698B"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700" w:history="1">
        <w:r w:rsidR="00DA5439" w:rsidRPr="001A3363">
          <w:rPr>
            <w:rStyle w:val="Hyperlink"/>
            <w:noProof/>
          </w:rPr>
          <w:t>Table 33. Scientific presentations from 2018-19 for the LTIM Project and associated research.</w:t>
        </w:r>
        <w:r w:rsidR="00DA5439">
          <w:rPr>
            <w:noProof/>
            <w:webHidden/>
          </w:rPr>
          <w:tab/>
        </w:r>
        <w:r w:rsidR="00DA5439">
          <w:rPr>
            <w:noProof/>
            <w:webHidden/>
          </w:rPr>
          <w:fldChar w:fldCharType="begin"/>
        </w:r>
        <w:r w:rsidR="00DA5439">
          <w:rPr>
            <w:noProof/>
            <w:webHidden/>
          </w:rPr>
          <w:instrText xml:space="preserve"> PAGEREF _Toc31985700 \h </w:instrText>
        </w:r>
        <w:r w:rsidR="00DA5439">
          <w:rPr>
            <w:noProof/>
            <w:webHidden/>
          </w:rPr>
        </w:r>
        <w:r w:rsidR="00DA5439">
          <w:rPr>
            <w:noProof/>
            <w:webHidden/>
          </w:rPr>
          <w:fldChar w:fldCharType="separate"/>
        </w:r>
        <w:r w:rsidR="007F7607">
          <w:rPr>
            <w:noProof/>
            <w:webHidden/>
          </w:rPr>
          <w:t>208</w:t>
        </w:r>
        <w:r w:rsidR="00DA5439">
          <w:rPr>
            <w:noProof/>
            <w:webHidden/>
          </w:rPr>
          <w:fldChar w:fldCharType="end"/>
        </w:r>
      </w:hyperlink>
    </w:p>
    <w:p w14:paraId="4DD3943A" w14:textId="7886B838"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701" w:history="1">
        <w:r w:rsidR="00DA5439" w:rsidRPr="001A3363">
          <w:rPr>
            <w:rStyle w:val="Hyperlink"/>
            <w:noProof/>
          </w:rPr>
          <w:t xml:space="preserve">Table 34. </w:t>
        </w:r>
        <w:r w:rsidR="00DA5439" w:rsidRPr="001A3363">
          <w:rPr>
            <w:rStyle w:val="Hyperlink"/>
            <w:noProof/>
            <w:lang w:val="en-US" w:eastAsia="x-none"/>
          </w:rPr>
          <w:t>Publications arising from the LTIM Project and associated research</w:t>
        </w:r>
        <w:r w:rsidR="00DA5439">
          <w:rPr>
            <w:noProof/>
            <w:webHidden/>
          </w:rPr>
          <w:tab/>
        </w:r>
        <w:r w:rsidR="00DA5439">
          <w:rPr>
            <w:noProof/>
            <w:webHidden/>
          </w:rPr>
          <w:fldChar w:fldCharType="begin"/>
        </w:r>
        <w:r w:rsidR="00DA5439">
          <w:rPr>
            <w:noProof/>
            <w:webHidden/>
          </w:rPr>
          <w:instrText xml:space="preserve"> PAGEREF _Toc31985701 \h </w:instrText>
        </w:r>
        <w:r w:rsidR="00DA5439">
          <w:rPr>
            <w:noProof/>
            <w:webHidden/>
          </w:rPr>
        </w:r>
        <w:r w:rsidR="00DA5439">
          <w:rPr>
            <w:noProof/>
            <w:webHidden/>
          </w:rPr>
          <w:fldChar w:fldCharType="separate"/>
        </w:r>
        <w:r w:rsidR="007F7607">
          <w:rPr>
            <w:noProof/>
            <w:webHidden/>
          </w:rPr>
          <w:t>209</w:t>
        </w:r>
        <w:r w:rsidR="00DA5439">
          <w:rPr>
            <w:noProof/>
            <w:webHidden/>
          </w:rPr>
          <w:fldChar w:fldCharType="end"/>
        </w:r>
      </w:hyperlink>
    </w:p>
    <w:p w14:paraId="48EA6217" w14:textId="7A97C40E"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702" w:history="1">
        <w:r w:rsidR="00DA5439" w:rsidRPr="001A3363">
          <w:rPr>
            <w:rStyle w:val="Hyperlink"/>
            <w:noProof/>
          </w:rPr>
          <w:t>Table 35. Summary of the environmental water use in the Lachlan River system during the 5 years of the LTIM Project.</w:t>
        </w:r>
        <w:r w:rsidR="00DA5439">
          <w:rPr>
            <w:noProof/>
            <w:webHidden/>
          </w:rPr>
          <w:tab/>
        </w:r>
        <w:r w:rsidR="00DA5439">
          <w:rPr>
            <w:noProof/>
            <w:webHidden/>
          </w:rPr>
          <w:fldChar w:fldCharType="begin"/>
        </w:r>
        <w:r w:rsidR="00DA5439">
          <w:rPr>
            <w:noProof/>
            <w:webHidden/>
          </w:rPr>
          <w:instrText xml:space="preserve"> PAGEREF _Toc31985702 \h </w:instrText>
        </w:r>
        <w:r w:rsidR="00DA5439">
          <w:rPr>
            <w:noProof/>
            <w:webHidden/>
          </w:rPr>
        </w:r>
        <w:r w:rsidR="00DA5439">
          <w:rPr>
            <w:noProof/>
            <w:webHidden/>
          </w:rPr>
          <w:fldChar w:fldCharType="separate"/>
        </w:r>
        <w:r w:rsidR="007F7607">
          <w:rPr>
            <w:noProof/>
            <w:webHidden/>
          </w:rPr>
          <w:t>217</w:t>
        </w:r>
        <w:r w:rsidR="00DA5439">
          <w:rPr>
            <w:noProof/>
            <w:webHidden/>
          </w:rPr>
          <w:fldChar w:fldCharType="end"/>
        </w:r>
      </w:hyperlink>
    </w:p>
    <w:p w14:paraId="62C1F135" w14:textId="37AAF03F"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703" w:history="1">
        <w:r w:rsidR="00DA5439" w:rsidRPr="001A3363">
          <w:rPr>
            <w:rStyle w:val="Hyperlink"/>
            <w:noProof/>
          </w:rPr>
          <w:t>Table 36.</w:t>
        </w:r>
        <w:r w:rsidR="00DA5439" w:rsidRPr="001A3363">
          <w:rPr>
            <w:rStyle w:val="Hyperlink"/>
            <w:noProof/>
            <w:lang w:val="en-US" w:eastAsia="x-none"/>
          </w:rPr>
          <w:t xml:space="preserve"> River – floodplain connection metrics for Booligal Swamp under modelled natural flow conditions (N) and current flow conditions (C). CTF value for Booligal Swamp is 2500 ML/day at Booligal river gauge.</w:t>
        </w:r>
        <w:r w:rsidR="00DA5439">
          <w:rPr>
            <w:noProof/>
            <w:webHidden/>
          </w:rPr>
          <w:tab/>
        </w:r>
        <w:r w:rsidR="00DA5439">
          <w:rPr>
            <w:noProof/>
            <w:webHidden/>
          </w:rPr>
          <w:fldChar w:fldCharType="begin"/>
        </w:r>
        <w:r w:rsidR="00DA5439">
          <w:rPr>
            <w:noProof/>
            <w:webHidden/>
          </w:rPr>
          <w:instrText xml:space="preserve"> PAGEREF _Toc31985703 \h </w:instrText>
        </w:r>
        <w:r w:rsidR="00DA5439">
          <w:rPr>
            <w:noProof/>
            <w:webHidden/>
          </w:rPr>
        </w:r>
        <w:r w:rsidR="00DA5439">
          <w:rPr>
            <w:noProof/>
            <w:webHidden/>
          </w:rPr>
          <w:fldChar w:fldCharType="separate"/>
        </w:r>
        <w:r w:rsidR="007F7607">
          <w:rPr>
            <w:noProof/>
            <w:webHidden/>
          </w:rPr>
          <w:t>223</w:t>
        </w:r>
        <w:r w:rsidR="00DA5439">
          <w:rPr>
            <w:noProof/>
            <w:webHidden/>
          </w:rPr>
          <w:fldChar w:fldCharType="end"/>
        </w:r>
      </w:hyperlink>
    </w:p>
    <w:p w14:paraId="454F6AD3" w14:textId="38C6AD33" w:rsidR="00DA5439" w:rsidRDefault="00B42707">
      <w:pPr>
        <w:pStyle w:val="TableofFigures"/>
        <w:tabs>
          <w:tab w:val="right" w:leader="dot" w:pos="10188"/>
        </w:tabs>
        <w:rPr>
          <w:rFonts w:asciiTheme="minorHAnsi" w:eastAsiaTheme="minorEastAsia" w:hAnsiTheme="minorHAnsi" w:cstheme="minorBidi"/>
          <w:noProof/>
          <w:sz w:val="22"/>
          <w:szCs w:val="22"/>
          <w:lang w:eastAsia="en-AU"/>
        </w:rPr>
      </w:pPr>
      <w:hyperlink w:anchor="_Toc31985704" w:history="1">
        <w:r w:rsidR="00DA5439" w:rsidRPr="001A3363">
          <w:rPr>
            <w:rStyle w:val="Hyperlink"/>
            <w:noProof/>
          </w:rPr>
          <w:t>Table 37.</w:t>
        </w:r>
        <w:r w:rsidR="00DA5439" w:rsidRPr="001A3363">
          <w:rPr>
            <w:rStyle w:val="Hyperlink"/>
            <w:noProof/>
            <w:lang w:val="en-US" w:eastAsia="x-none"/>
          </w:rPr>
          <w:t xml:space="preserve"> River – floodplain connection metrics for Nooran Lake under modelled natural flow conditions (N) and current flow conditions (C). CTF value for Nooran Lake is 350 ML/day at Corrong river gauge.</w:t>
        </w:r>
        <w:r w:rsidR="00DA5439">
          <w:rPr>
            <w:noProof/>
            <w:webHidden/>
          </w:rPr>
          <w:tab/>
        </w:r>
        <w:r w:rsidR="00DA5439">
          <w:rPr>
            <w:noProof/>
            <w:webHidden/>
          </w:rPr>
          <w:fldChar w:fldCharType="begin"/>
        </w:r>
        <w:r w:rsidR="00DA5439">
          <w:rPr>
            <w:noProof/>
            <w:webHidden/>
          </w:rPr>
          <w:instrText xml:space="preserve"> PAGEREF _Toc31985704 \h </w:instrText>
        </w:r>
        <w:r w:rsidR="00DA5439">
          <w:rPr>
            <w:noProof/>
            <w:webHidden/>
          </w:rPr>
        </w:r>
        <w:r w:rsidR="00DA5439">
          <w:rPr>
            <w:noProof/>
            <w:webHidden/>
          </w:rPr>
          <w:fldChar w:fldCharType="separate"/>
        </w:r>
        <w:r w:rsidR="007F7607">
          <w:rPr>
            <w:noProof/>
            <w:webHidden/>
          </w:rPr>
          <w:t>223</w:t>
        </w:r>
        <w:r w:rsidR="00DA5439">
          <w:rPr>
            <w:noProof/>
            <w:webHidden/>
          </w:rPr>
          <w:fldChar w:fldCharType="end"/>
        </w:r>
      </w:hyperlink>
    </w:p>
    <w:p w14:paraId="773C6761" w14:textId="12C20210" w:rsidR="00F62FB7" w:rsidRDefault="004F7AB5" w:rsidP="00A544F8">
      <w:pPr>
        <w:spacing w:before="0" w:after="0"/>
        <w:ind w:left="567" w:hanging="567"/>
      </w:pPr>
      <w:r>
        <w:fldChar w:fldCharType="end"/>
      </w:r>
      <w:r w:rsidR="00E11442">
        <w:br w:type="page"/>
      </w:r>
    </w:p>
    <w:p w14:paraId="6356DF3C" w14:textId="77777777" w:rsidR="00F62FB7" w:rsidRPr="000D31F3" w:rsidRDefault="007B29D5" w:rsidP="00111E52">
      <w:pPr>
        <w:pStyle w:val="Default"/>
        <w:outlineLvl w:val="0"/>
        <w:rPr>
          <w:b/>
          <w:bCs/>
          <w:color w:val="76923C"/>
          <w:sz w:val="32"/>
          <w:szCs w:val="32"/>
        </w:rPr>
      </w:pPr>
      <w:bookmarkStart w:id="15" w:name="_Toc440827248"/>
      <w:r w:rsidRPr="000D31F3">
        <w:rPr>
          <w:b/>
          <w:bCs/>
          <w:color w:val="76923C"/>
          <w:sz w:val="32"/>
          <w:szCs w:val="32"/>
        </w:rPr>
        <w:t>ACRONYMS AND ABBREVIATIONS</w:t>
      </w:r>
      <w:bookmarkEnd w:id="15"/>
    </w:p>
    <w:p w14:paraId="3E99D64C" w14:textId="77777777" w:rsidR="00F62FB7" w:rsidRDefault="00F62FB7" w:rsidP="00F62FB7"/>
    <w:tbl>
      <w:tblPr>
        <w:tblW w:w="8340"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117"/>
        <w:gridCol w:w="6223"/>
      </w:tblGrid>
      <w:tr w:rsidR="00DF4FDA" w:rsidRPr="0069729A" w14:paraId="662C6960" w14:textId="77777777" w:rsidTr="0069729A">
        <w:trPr>
          <w:trHeight w:val="163"/>
          <w:jc w:val="center"/>
        </w:trPr>
        <w:tc>
          <w:tcPr>
            <w:tcW w:w="2117" w:type="dxa"/>
          </w:tcPr>
          <w:p w14:paraId="2C68C25E"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b/>
                <w:bCs/>
                <w:color w:val="000000" w:themeColor="text1"/>
                <w:sz w:val="20"/>
                <w:szCs w:val="20"/>
              </w:rPr>
              <w:t>Accepted Acronym</w:t>
            </w:r>
          </w:p>
        </w:tc>
        <w:tc>
          <w:tcPr>
            <w:tcW w:w="6223" w:type="dxa"/>
          </w:tcPr>
          <w:p w14:paraId="49F564E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b/>
                <w:bCs/>
                <w:color w:val="000000" w:themeColor="text1"/>
                <w:sz w:val="20"/>
                <w:szCs w:val="20"/>
              </w:rPr>
              <w:t>Standard Term (capitalisation as specified)</w:t>
            </w:r>
          </w:p>
        </w:tc>
      </w:tr>
      <w:tr w:rsidR="00DF4FDA" w:rsidRPr="0069729A" w14:paraId="4F162EC6" w14:textId="77777777" w:rsidTr="0069729A">
        <w:trPr>
          <w:trHeight w:val="255"/>
          <w:jc w:val="center"/>
        </w:trPr>
        <w:tc>
          <w:tcPr>
            <w:tcW w:w="2117" w:type="dxa"/>
          </w:tcPr>
          <w:p w14:paraId="7DA052EB"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ANAE</w:t>
            </w:r>
          </w:p>
        </w:tc>
        <w:tc>
          <w:tcPr>
            <w:tcW w:w="6223" w:type="dxa"/>
          </w:tcPr>
          <w:p w14:paraId="0A99F34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Australian National Aquatic Ecosystem</w:t>
            </w:r>
          </w:p>
        </w:tc>
      </w:tr>
      <w:tr w:rsidR="00DF4FDA" w:rsidRPr="0069729A" w14:paraId="10910D3C" w14:textId="77777777" w:rsidTr="0069729A">
        <w:trPr>
          <w:trHeight w:val="163"/>
          <w:jc w:val="center"/>
        </w:trPr>
        <w:tc>
          <w:tcPr>
            <w:tcW w:w="2117" w:type="dxa"/>
          </w:tcPr>
          <w:p w14:paraId="210D4F2D"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sz w:val="20"/>
                <w:szCs w:val="20"/>
              </w:rPr>
              <w:t>BASE</w:t>
            </w:r>
          </w:p>
        </w:tc>
        <w:tc>
          <w:tcPr>
            <w:tcW w:w="6223" w:type="dxa"/>
          </w:tcPr>
          <w:p w14:paraId="16A344BF"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sz w:val="20"/>
                <w:szCs w:val="20"/>
              </w:rPr>
              <w:t>Bayesian Single-station Estimation</w:t>
            </w:r>
          </w:p>
        </w:tc>
      </w:tr>
      <w:tr w:rsidR="00DF4FDA" w:rsidRPr="0069729A" w14:paraId="12DCA728" w14:textId="77777777" w:rsidTr="0069729A">
        <w:trPr>
          <w:trHeight w:val="163"/>
          <w:jc w:val="center"/>
        </w:trPr>
        <w:tc>
          <w:tcPr>
            <w:tcW w:w="2117" w:type="dxa"/>
          </w:tcPr>
          <w:p w14:paraId="27B572F7"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CEWH</w:t>
            </w:r>
          </w:p>
        </w:tc>
        <w:tc>
          <w:tcPr>
            <w:tcW w:w="6223" w:type="dxa"/>
          </w:tcPr>
          <w:p w14:paraId="77084219"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Commonwealth Environmental Water Holder</w:t>
            </w:r>
          </w:p>
        </w:tc>
      </w:tr>
      <w:tr w:rsidR="00DF4FDA" w:rsidRPr="0069729A" w14:paraId="188B7ADA" w14:textId="77777777" w:rsidTr="0069729A">
        <w:trPr>
          <w:trHeight w:val="163"/>
          <w:jc w:val="center"/>
        </w:trPr>
        <w:tc>
          <w:tcPr>
            <w:tcW w:w="2117" w:type="dxa"/>
          </w:tcPr>
          <w:p w14:paraId="36055690"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CEWO</w:t>
            </w:r>
          </w:p>
        </w:tc>
        <w:tc>
          <w:tcPr>
            <w:tcW w:w="6223" w:type="dxa"/>
          </w:tcPr>
          <w:p w14:paraId="05D6B286"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Commonwealth Environmental Water Office</w:t>
            </w:r>
          </w:p>
        </w:tc>
      </w:tr>
      <w:tr w:rsidR="00DF4FDA" w:rsidRPr="0069729A" w14:paraId="37A20DE7" w14:textId="77777777" w:rsidTr="0069729A">
        <w:trPr>
          <w:trHeight w:val="163"/>
          <w:jc w:val="center"/>
        </w:trPr>
        <w:tc>
          <w:tcPr>
            <w:tcW w:w="2117" w:type="dxa"/>
          </w:tcPr>
          <w:p w14:paraId="39F4AB3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CPUE</w:t>
            </w:r>
          </w:p>
        </w:tc>
        <w:tc>
          <w:tcPr>
            <w:tcW w:w="6223" w:type="dxa"/>
          </w:tcPr>
          <w:p w14:paraId="7A58B198"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Catch per unit effort</w:t>
            </w:r>
          </w:p>
        </w:tc>
      </w:tr>
      <w:tr w:rsidR="00227E27" w:rsidRPr="0069729A" w14:paraId="6246118C" w14:textId="77777777" w:rsidTr="0069729A">
        <w:trPr>
          <w:trHeight w:val="163"/>
          <w:jc w:val="center"/>
        </w:trPr>
        <w:tc>
          <w:tcPr>
            <w:tcW w:w="2117" w:type="dxa"/>
          </w:tcPr>
          <w:p w14:paraId="36988031" w14:textId="6E759F30" w:rsidR="00227E27" w:rsidRPr="0069729A" w:rsidRDefault="00227E27"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CTF</w:t>
            </w:r>
          </w:p>
        </w:tc>
        <w:tc>
          <w:tcPr>
            <w:tcW w:w="6223" w:type="dxa"/>
          </w:tcPr>
          <w:p w14:paraId="137A9F83" w14:textId="72DB361C" w:rsidR="00227E27" w:rsidRPr="0069729A" w:rsidRDefault="00227E27"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commence to fill</w:t>
            </w:r>
          </w:p>
        </w:tc>
      </w:tr>
      <w:tr w:rsidR="00355D31" w:rsidRPr="0069729A" w14:paraId="202DE92C" w14:textId="77777777" w:rsidTr="0069729A">
        <w:trPr>
          <w:trHeight w:val="163"/>
          <w:jc w:val="center"/>
        </w:trPr>
        <w:tc>
          <w:tcPr>
            <w:tcW w:w="2117" w:type="dxa"/>
          </w:tcPr>
          <w:p w14:paraId="1B0BA648" w14:textId="32BC1DEA" w:rsidR="00355D31" w:rsidRPr="0069729A" w:rsidRDefault="00355D31"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DPI</w:t>
            </w:r>
          </w:p>
        </w:tc>
        <w:tc>
          <w:tcPr>
            <w:tcW w:w="6223" w:type="dxa"/>
          </w:tcPr>
          <w:p w14:paraId="28F6D3F3" w14:textId="0F66FE17" w:rsidR="00355D31" w:rsidRPr="0069729A" w:rsidRDefault="00355D31"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Department of Primary Industries</w:t>
            </w:r>
          </w:p>
        </w:tc>
      </w:tr>
      <w:tr w:rsidR="00355D31" w:rsidRPr="0069729A" w14:paraId="5DF1C28E" w14:textId="77777777" w:rsidTr="0069729A">
        <w:trPr>
          <w:trHeight w:val="163"/>
          <w:jc w:val="center"/>
        </w:trPr>
        <w:tc>
          <w:tcPr>
            <w:tcW w:w="2117" w:type="dxa"/>
          </w:tcPr>
          <w:p w14:paraId="75E8AB73" w14:textId="56B8CCDF" w:rsidR="00355D31" w:rsidRPr="0069729A" w:rsidRDefault="00355D31"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DoPIE</w:t>
            </w:r>
          </w:p>
        </w:tc>
        <w:tc>
          <w:tcPr>
            <w:tcW w:w="6223" w:type="dxa"/>
          </w:tcPr>
          <w:p w14:paraId="7A06477F" w14:textId="37500DC2" w:rsidR="00355D31" w:rsidRPr="0069729A" w:rsidRDefault="00355D31"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Department of Planning, Industry and Environment</w:t>
            </w:r>
          </w:p>
        </w:tc>
      </w:tr>
      <w:tr w:rsidR="00DF4FDA" w:rsidRPr="0069729A" w14:paraId="5260C011" w14:textId="77777777" w:rsidTr="0069729A">
        <w:trPr>
          <w:trHeight w:val="163"/>
          <w:jc w:val="center"/>
        </w:trPr>
        <w:tc>
          <w:tcPr>
            <w:tcW w:w="2117" w:type="dxa"/>
          </w:tcPr>
          <w:p w14:paraId="5EFC3028"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EPBC Act</w:t>
            </w:r>
          </w:p>
        </w:tc>
        <w:tc>
          <w:tcPr>
            <w:tcW w:w="6223" w:type="dxa"/>
          </w:tcPr>
          <w:p w14:paraId="0BD05530"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Environment Protection and Biodiversity Conservation Act 1999</w:t>
            </w:r>
          </w:p>
        </w:tc>
      </w:tr>
      <w:tr w:rsidR="00DF4FDA" w:rsidRPr="0069729A" w14:paraId="234D795B" w14:textId="77777777" w:rsidTr="0069729A">
        <w:trPr>
          <w:trHeight w:val="163"/>
          <w:jc w:val="center"/>
        </w:trPr>
        <w:tc>
          <w:tcPr>
            <w:tcW w:w="2117" w:type="dxa"/>
          </w:tcPr>
          <w:p w14:paraId="64B53DC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ER</w:t>
            </w:r>
          </w:p>
        </w:tc>
        <w:tc>
          <w:tcPr>
            <w:tcW w:w="6223" w:type="dxa"/>
          </w:tcPr>
          <w:p w14:paraId="180F7022"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Ecosystem Respiration</w:t>
            </w:r>
          </w:p>
        </w:tc>
      </w:tr>
      <w:tr w:rsidR="00DF4FDA" w:rsidRPr="0069729A" w14:paraId="7A779AD9" w14:textId="77777777" w:rsidTr="0069729A">
        <w:trPr>
          <w:trHeight w:val="163"/>
          <w:jc w:val="center"/>
        </w:trPr>
        <w:tc>
          <w:tcPr>
            <w:tcW w:w="2117" w:type="dxa"/>
          </w:tcPr>
          <w:p w14:paraId="092CEF9A"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GPP</w:t>
            </w:r>
          </w:p>
        </w:tc>
        <w:tc>
          <w:tcPr>
            <w:tcW w:w="6223" w:type="dxa"/>
          </w:tcPr>
          <w:p w14:paraId="1BF0A85C"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Gross Primary Production</w:t>
            </w:r>
          </w:p>
        </w:tc>
      </w:tr>
      <w:tr w:rsidR="00DF4FDA" w:rsidRPr="0069729A" w14:paraId="32432F60" w14:textId="77777777" w:rsidTr="0069729A">
        <w:trPr>
          <w:trHeight w:val="163"/>
          <w:jc w:val="center"/>
        </w:trPr>
        <w:tc>
          <w:tcPr>
            <w:tcW w:w="2117" w:type="dxa"/>
          </w:tcPr>
          <w:p w14:paraId="597C7755"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K</w:t>
            </w:r>
          </w:p>
        </w:tc>
        <w:tc>
          <w:tcPr>
            <w:tcW w:w="6223" w:type="dxa"/>
          </w:tcPr>
          <w:p w14:paraId="16FAE580"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lang w:val="en-GB"/>
              </w:rPr>
              <w:t>Reaeration</w:t>
            </w:r>
          </w:p>
        </w:tc>
      </w:tr>
      <w:tr w:rsidR="00DF4FDA" w:rsidRPr="0069729A" w14:paraId="7658A754" w14:textId="77777777" w:rsidTr="0069729A">
        <w:trPr>
          <w:trHeight w:val="163"/>
          <w:jc w:val="center"/>
        </w:trPr>
        <w:tc>
          <w:tcPr>
            <w:tcW w:w="2117" w:type="dxa"/>
          </w:tcPr>
          <w:p w14:paraId="567D417A" w14:textId="662F4B66"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 xml:space="preserve">LTIM </w:t>
            </w:r>
          </w:p>
        </w:tc>
        <w:tc>
          <w:tcPr>
            <w:tcW w:w="6223" w:type="dxa"/>
          </w:tcPr>
          <w:p w14:paraId="1E45C9BA" w14:textId="5EAE779B"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 xml:space="preserve">Long Term Intervention Monitoring </w:t>
            </w:r>
          </w:p>
        </w:tc>
      </w:tr>
      <w:tr w:rsidR="00DF4FDA" w:rsidRPr="0069729A" w14:paraId="5F6B3CF0" w14:textId="77777777" w:rsidTr="0069729A">
        <w:trPr>
          <w:trHeight w:val="255"/>
          <w:jc w:val="center"/>
        </w:trPr>
        <w:tc>
          <w:tcPr>
            <w:tcW w:w="2117" w:type="dxa"/>
          </w:tcPr>
          <w:p w14:paraId="42183BA6"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sz w:val="20"/>
                <w:szCs w:val="20"/>
              </w:rPr>
              <w:t>MDBA</w:t>
            </w:r>
          </w:p>
        </w:tc>
        <w:tc>
          <w:tcPr>
            <w:tcW w:w="6223" w:type="dxa"/>
          </w:tcPr>
          <w:p w14:paraId="36B52C2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sz w:val="20"/>
                <w:szCs w:val="20"/>
              </w:rPr>
              <w:t>Murray-Darling Basin Authority</w:t>
            </w:r>
          </w:p>
        </w:tc>
      </w:tr>
      <w:tr w:rsidR="00DF4FDA" w:rsidRPr="0069729A" w14:paraId="660A6FAA" w14:textId="77777777" w:rsidTr="0069729A">
        <w:trPr>
          <w:trHeight w:val="255"/>
          <w:jc w:val="center"/>
        </w:trPr>
        <w:tc>
          <w:tcPr>
            <w:tcW w:w="2117" w:type="dxa"/>
          </w:tcPr>
          <w:p w14:paraId="300DB78D" w14:textId="77777777" w:rsidR="00DF4FDA" w:rsidRPr="0069729A" w:rsidRDefault="00DF4FDA" w:rsidP="00373C7A">
            <w:pPr>
              <w:autoSpaceDE w:val="0"/>
              <w:autoSpaceDN w:val="0"/>
              <w:adjustRightInd w:val="0"/>
              <w:spacing w:before="40" w:after="40"/>
              <w:rPr>
                <w:sz w:val="20"/>
                <w:szCs w:val="20"/>
              </w:rPr>
            </w:pPr>
            <w:r w:rsidRPr="0069729A">
              <w:rPr>
                <w:sz w:val="20"/>
                <w:szCs w:val="20"/>
              </w:rPr>
              <w:t>MDFRC</w:t>
            </w:r>
          </w:p>
        </w:tc>
        <w:tc>
          <w:tcPr>
            <w:tcW w:w="6223" w:type="dxa"/>
          </w:tcPr>
          <w:p w14:paraId="19477970" w14:textId="77777777" w:rsidR="00DF4FDA" w:rsidRPr="0069729A" w:rsidRDefault="00DF4FDA" w:rsidP="00373C7A">
            <w:pPr>
              <w:autoSpaceDE w:val="0"/>
              <w:autoSpaceDN w:val="0"/>
              <w:adjustRightInd w:val="0"/>
              <w:spacing w:before="40" w:after="40"/>
              <w:rPr>
                <w:sz w:val="20"/>
                <w:szCs w:val="20"/>
              </w:rPr>
            </w:pPr>
            <w:r w:rsidRPr="0069729A">
              <w:rPr>
                <w:sz w:val="20"/>
                <w:szCs w:val="20"/>
              </w:rPr>
              <w:t>Murray-Darling Freshwater Research Centre</w:t>
            </w:r>
          </w:p>
        </w:tc>
      </w:tr>
      <w:tr w:rsidR="00DF4FDA" w:rsidRPr="0069729A" w14:paraId="7871FD5D" w14:textId="77777777" w:rsidTr="0069729A">
        <w:trPr>
          <w:trHeight w:val="163"/>
          <w:jc w:val="center"/>
        </w:trPr>
        <w:tc>
          <w:tcPr>
            <w:tcW w:w="2117" w:type="dxa"/>
          </w:tcPr>
          <w:p w14:paraId="396AAC8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OEH</w:t>
            </w:r>
          </w:p>
        </w:tc>
        <w:tc>
          <w:tcPr>
            <w:tcW w:w="6223" w:type="dxa"/>
          </w:tcPr>
          <w:p w14:paraId="4C692309"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Office of Environment and Heritage</w:t>
            </w:r>
          </w:p>
        </w:tc>
      </w:tr>
      <w:tr w:rsidR="00DF4FDA" w:rsidRPr="0069729A" w14:paraId="44001221" w14:textId="77777777" w:rsidTr="0069729A">
        <w:trPr>
          <w:trHeight w:val="163"/>
          <w:jc w:val="center"/>
        </w:trPr>
        <w:tc>
          <w:tcPr>
            <w:tcW w:w="2117" w:type="dxa"/>
          </w:tcPr>
          <w:p w14:paraId="4811C49B"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SRA</w:t>
            </w:r>
          </w:p>
        </w:tc>
        <w:tc>
          <w:tcPr>
            <w:tcW w:w="6223" w:type="dxa"/>
          </w:tcPr>
          <w:p w14:paraId="6CB056D5"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Sustainable Rivers Audit</w:t>
            </w:r>
          </w:p>
        </w:tc>
      </w:tr>
      <w:tr w:rsidR="003845C1" w:rsidRPr="003845C1" w14:paraId="7D6584EE" w14:textId="77777777" w:rsidTr="0069729A">
        <w:trPr>
          <w:trHeight w:val="163"/>
          <w:jc w:val="center"/>
        </w:trPr>
        <w:tc>
          <w:tcPr>
            <w:tcW w:w="2117" w:type="dxa"/>
          </w:tcPr>
          <w:p w14:paraId="5CC78686" w14:textId="5B37C5EB" w:rsidR="003845C1" w:rsidRPr="003845C1" w:rsidRDefault="003845C1" w:rsidP="00373C7A">
            <w:pPr>
              <w:autoSpaceDE w:val="0"/>
              <w:autoSpaceDN w:val="0"/>
              <w:adjustRightInd w:val="0"/>
              <w:spacing w:before="40" w:after="40"/>
              <w:rPr>
                <w:rFonts w:eastAsia="Calibri" w:cs="Calibri"/>
                <w:color w:val="000000" w:themeColor="text1"/>
                <w:sz w:val="20"/>
                <w:szCs w:val="20"/>
              </w:rPr>
            </w:pPr>
            <w:r w:rsidRPr="003845C1">
              <w:rPr>
                <w:sz w:val="20"/>
                <w:szCs w:val="20"/>
                <w:lang w:val="en-US"/>
              </w:rPr>
              <w:t>VBGM</w:t>
            </w:r>
          </w:p>
        </w:tc>
        <w:tc>
          <w:tcPr>
            <w:tcW w:w="6223" w:type="dxa"/>
          </w:tcPr>
          <w:p w14:paraId="6D80B325" w14:textId="2EADDFC5" w:rsidR="003845C1" w:rsidRPr="003845C1" w:rsidRDefault="003845C1" w:rsidP="00373C7A">
            <w:pPr>
              <w:autoSpaceDE w:val="0"/>
              <w:autoSpaceDN w:val="0"/>
              <w:adjustRightInd w:val="0"/>
              <w:spacing w:before="40" w:after="40"/>
              <w:rPr>
                <w:rFonts w:eastAsia="Calibri" w:cs="Calibri"/>
                <w:color w:val="000000" w:themeColor="text1"/>
                <w:sz w:val="20"/>
                <w:szCs w:val="20"/>
              </w:rPr>
            </w:pPr>
            <w:r w:rsidRPr="003845C1">
              <w:rPr>
                <w:sz w:val="20"/>
                <w:szCs w:val="20"/>
                <w:lang w:val="en-US"/>
              </w:rPr>
              <w:t>Von Bertalanffy growth model</w:t>
            </w:r>
          </w:p>
        </w:tc>
      </w:tr>
      <w:tr w:rsidR="00DF4FDA" w:rsidRPr="0069729A" w14:paraId="60B837D3" w14:textId="77777777" w:rsidTr="0069729A">
        <w:trPr>
          <w:trHeight w:val="163"/>
          <w:jc w:val="center"/>
        </w:trPr>
        <w:tc>
          <w:tcPr>
            <w:tcW w:w="2117" w:type="dxa"/>
          </w:tcPr>
          <w:p w14:paraId="51C4536E"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WQA</w:t>
            </w:r>
          </w:p>
        </w:tc>
        <w:tc>
          <w:tcPr>
            <w:tcW w:w="6223" w:type="dxa"/>
          </w:tcPr>
          <w:p w14:paraId="73C17BD3"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Water quality allowance</w:t>
            </w:r>
          </w:p>
        </w:tc>
      </w:tr>
      <w:tr w:rsidR="00DF4FDA" w:rsidRPr="0069729A" w14:paraId="4ABD2728" w14:textId="77777777" w:rsidTr="0069729A">
        <w:trPr>
          <w:trHeight w:val="163"/>
          <w:jc w:val="center"/>
        </w:trPr>
        <w:tc>
          <w:tcPr>
            <w:tcW w:w="2117" w:type="dxa"/>
          </w:tcPr>
          <w:p w14:paraId="16428254"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WUM</w:t>
            </w:r>
          </w:p>
        </w:tc>
        <w:tc>
          <w:tcPr>
            <w:tcW w:w="6223" w:type="dxa"/>
          </w:tcPr>
          <w:p w14:paraId="108EA0D8" w14:textId="77777777" w:rsidR="00DF4FDA" w:rsidRPr="0069729A" w:rsidRDefault="00DF4FDA" w:rsidP="00373C7A">
            <w:pPr>
              <w:autoSpaceDE w:val="0"/>
              <w:autoSpaceDN w:val="0"/>
              <w:adjustRightInd w:val="0"/>
              <w:spacing w:before="40" w:after="40"/>
              <w:rPr>
                <w:rFonts w:eastAsia="Calibri" w:cs="Calibri"/>
                <w:color w:val="000000" w:themeColor="text1"/>
                <w:sz w:val="20"/>
                <w:szCs w:val="20"/>
              </w:rPr>
            </w:pPr>
            <w:r w:rsidRPr="0069729A">
              <w:rPr>
                <w:rFonts w:eastAsia="Calibri" w:cs="Calibri"/>
                <w:color w:val="000000" w:themeColor="text1"/>
                <w:sz w:val="20"/>
                <w:szCs w:val="20"/>
              </w:rPr>
              <w:t>Water Use Minute</w:t>
            </w:r>
          </w:p>
        </w:tc>
      </w:tr>
    </w:tbl>
    <w:p w14:paraId="4DB5B257" w14:textId="77777777" w:rsidR="00373C7A" w:rsidRDefault="00373C7A">
      <w:pPr>
        <w:spacing w:before="0" w:after="0"/>
        <w:rPr>
          <w:rFonts w:eastAsia="Times New Roman" w:cs="Calibri"/>
          <w:b/>
          <w:bCs/>
          <w:color w:val="76923C"/>
          <w:sz w:val="32"/>
          <w:szCs w:val="32"/>
          <w:lang w:eastAsia="en-AU"/>
        </w:rPr>
      </w:pPr>
      <w:bookmarkStart w:id="16" w:name="_Toc440827249"/>
      <w:r>
        <w:rPr>
          <w:b/>
          <w:bCs/>
          <w:color w:val="76923C"/>
          <w:sz w:val="32"/>
          <w:szCs w:val="32"/>
        </w:rPr>
        <w:br w:type="page"/>
      </w:r>
    </w:p>
    <w:p w14:paraId="2EBEE725" w14:textId="433119C0" w:rsidR="00F62FB7" w:rsidRDefault="00F62FB7" w:rsidP="00111E52">
      <w:pPr>
        <w:pStyle w:val="Default"/>
        <w:outlineLvl w:val="0"/>
        <w:rPr>
          <w:b/>
          <w:bCs/>
          <w:color w:val="76923C"/>
          <w:sz w:val="32"/>
          <w:szCs w:val="32"/>
        </w:rPr>
      </w:pPr>
      <w:r w:rsidRPr="000D31F3">
        <w:rPr>
          <w:b/>
          <w:bCs/>
          <w:color w:val="76923C"/>
          <w:sz w:val="32"/>
          <w:szCs w:val="32"/>
        </w:rPr>
        <w:t>ACKNOWLEDGMENTS</w:t>
      </w:r>
      <w:bookmarkEnd w:id="16"/>
    </w:p>
    <w:p w14:paraId="6CB63F7E" w14:textId="3DE7BC6F" w:rsidR="00F57FFA" w:rsidRDefault="00F57FFA" w:rsidP="00F57FFA">
      <w:pPr>
        <w:rPr>
          <w:color w:val="000000"/>
        </w:rPr>
      </w:pPr>
      <w:bookmarkStart w:id="17" w:name="_Hlk531207156"/>
      <w:r>
        <w:rPr>
          <w:color w:val="000000"/>
        </w:rPr>
        <w:t>The project team</w:t>
      </w:r>
      <w:r>
        <w:t xml:space="preserve"> as well as the Commonwealth Environmental Water Office </w:t>
      </w:r>
      <w:r w:rsidR="00DC4F64">
        <w:t xml:space="preserve">(CEWO) </w:t>
      </w:r>
      <w:r>
        <w:t>respectfully acknowledge the traditional owners</w:t>
      </w:r>
      <w:r w:rsidR="00AD2168">
        <w:t xml:space="preserve"> of the land on which this work is conducted</w:t>
      </w:r>
      <w:r>
        <w:t>, their Elders past and present, their Nations of the Murray-Darling Basin, and their cultural, social, environmental, spiritual and economic</w:t>
      </w:r>
      <w:r>
        <w:rPr>
          <w:color w:val="000000"/>
        </w:rPr>
        <w:t xml:space="preserve"> connection to their lands and waters.</w:t>
      </w:r>
      <w:r>
        <w:rPr>
          <w:i/>
          <w:iCs/>
          <w:color w:val="000000"/>
        </w:rPr>
        <w:t xml:space="preserve"> </w:t>
      </w:r>
      <w:r>
        <w:rPr>
          <w:color w:val="000000"/>
        </w:rPr>
        <w:t>In particular</w:t>
      </w:r>
      <w:r w:rsidR="00726EB9">
        <w:rPr>
          <w:color w:val="000000"/>
        </w:rPr>
        <w:t>,</w:t>
      </w:r>
      <w:r>
        <w:rPr>
          <w:color w:val="000000"/>
        </w:rPr>
        <w:t xml:space="preserve"> </w:t>
      </w:r>
      <w:r w:rsidR="00AD2168">
        <w:rPr>
          <w:color w:val="000000"/>
        </w:rPr>
        <w:t xml:space="preserve">in the Lower Lachlan river system Selected Area we acknowledge </w:t>
      </w:r>
      <w:r>
        <w:rPr>
          <w:color w:val="000000"/>
        </w:rPr>
        <w:t xml:space="preserve">the </w:t>
      </w:r>
      <w:r w:rsidR="00280AF2" w:rsidRPr="00280AF2">
        <w:t>Wiradjuri</w:t>
      </w:r>
      <w:r>
        <w:rPr>
          <w:color w:val="000000"/>
        </w:rPr>
        <w:t xml:space="preserve"> peoples, traditional owners of the land on which this publication is focused. </w:t>
      </w:r>
    </w:p>
    <w:p w14:paraId="608B7BF1" w14:textId="77777777" w:rsidR="00595913" w:rsidRDefault="00D611F3" w:rsidP="00D611F3">
      <w:bookmarkStart w:id="18" w:name="_Hlk23785344"/>
      <w:r w:rsidRPr="00962663">
        <w:t>The project team also thank the team of people who contributed to the</w:t>
      </w:r>
      <w:r w:rsidR="00253EEF">
        <w:t xml:space="preserve"> five years of</w:t>
      </w:r>
      <w:r w:rsidRPr="00962663">
        <w:t xml:space="preserve"> project delivery including: Rhian Clear, </w:t>
      </w:r>
      <w:r>
        <w:t xml:space="preserve">Damian McRae, Francis Horacek, </w:t>
      </w:r>
      <w:r w:rsidR="00253EEF">
        <w:t xml:space="preserve">Ebony Mullin, Bruce Campbell, </w:t>
      </w:r>
      <w:r w:rsidRPr="00962663">
        <w:t xml:space="preserve">Paul Packard, </w:t>
      </w:r>
      <w:r>
        <w:t xml:space="preserve">Joanne Lenehan, </w:t>
      </w:r>
      <w:r w:rsidRPr="00962663">
        <w:t xml:space="preserve">Ugyen Lhendup, Hugh Allen, Mark Lintermans, Yasmin Cross, </w:t>
      </w:r>
      <w:r>
        <w:t xml:space="preserve">Kyle McGrath, </w:t>
      </w:r>
      <w:r w:rsidR="00A25D64">
        <w:t xml:space="preserve">Joseph O’Connell, </w:t>
      </w:r>
      <w:r w:rsidR="00A25D64" w:rsidRPr="00A25D64">
        <w:t>Adam Cotterill, Dennis</w:t>
      </w:r>
      <w:r w:rsidR="00A25D64">
        <w:t xml:space="preserve"> Ryan, </w:t>
      </w:r>
      <w:r>
        <w:t>Patrick Driver, Sharon Bowen, Joel Honeysett and Daniel Scherrer</w:t>
      </w:r>
      <w:r w:rsidRPr="00962663">
        <w:t>.</w:t>
      </w:r>
    </w:p>
    <w:p w14:paraId="10755442" w14:textId="77777777" w:rsidR="00595913" w:rsidRDefault="00A25D64" w:rsidP="00D611F3">
      <w:r w:rsidRPr="00253EEF">
        <w:t xml:space="preserve">The following volunteers are thanked for their assistance with larval fish sampling: </w:t>
      </w:r>
      <w:r w:rsidR="00253EEF" w:rsidRPr="00253EEF">
        <w:t>Mark Lintermans, Hugh Allan, Max Mallett, Tim Kaminskas, Karl Moy, Max Clear, Liam Allan, Emily Belton, Sally Hatton, Pat Ross-Magee, Blake Galley, Emily Sprague, Kat Cheshire, Nickey Van Der Meyer, Jackie O'Sullivan, Chris Keogh, Jessica Sharpe, Andy Lowes, Hannah Belnick, Katie Ryan, Laura Caffrey and Daniel Wright.</w:t>
      </w:r>
    </w:p>
    <w:p w14:paraId="716DCE1E" w14:textId="17722154" w:rsidR="00D611F3" w:rsidRPr="00107FDD" w:rsidRDefault="00D611F3" w:rsidP="00D611F3">
      <w:pPr>
        <w:rPr>
          <w:highlight w:val="yellow"/>
        </w:rPr>
      </w:pPr>
      <w:r w:rsidRPr="00962663">
        <w:rPr>
          <w:color w:val="000000"/>
        </w:rPr>
        <w:t>The</w:t>
      </w:r>
      <w:r>
        <w:rPr>
          <w:color w:val="000000"/>
        </w:rPr>
        <w:t xml:space="preserve"> following DPI Fisheries staff assisted with field data collection and laboratory processing: </w:t>
      </w:r>
      <w:r>
        <w:t>Allen Brooks, Tom Butterfield, Jonathan Doyle, Jarryd McGowan, Nicholas O’Brien, Rohan Rehwinkel, Bridget Smith, Christopher Smith, and Sarah Talbot.</w:t>
      </w:r>
      <w:r>
        <w:rPr>
          <w:color w:val="000000"/>
        </w:rPr>
        <w:t xml:space="preserve"> </w:t>
      </w:r>
    </w:p>
    <w:p w14:paraId="1C894FDC" w14:textId="77777777" w:rsidR="00D611F3" w:rsidRPr="00962663" w:rsidRDefault="00D611F3" w:rsidP="00D611F3">
      <w:r w:rsidRPr="00962663">
        <w:t>The landholders who granted us access to sites are thanked for their interest, cooperation and support.</w:t>
      </w:r>
    </w:p>
    <w:p w14:paraId="573117B6" w14:textId="1C26EA96" w:rsidR="00A86191" w:rsidRPr="00A86191" w:rsidRDefault="00D611F3" w:rsidP="003D1FEA">
      <w:r w:rsidRPr="00A86191">
        <w:t>Vegetation sampling was conducted under NSW Scientific License SL 102011.</w:t>
      </w:r>
      <w:r w:rsidR="00A25D64" w:rsidRPr="00A86191">
        <w:t xml:space="preserve"> </w:t>
      </w:r>
      <w:bookmarkStart w:id="19" w:name="_Hlk23830045"/>
      <w:r w:rsidR="00A86191" w:rsidRPr="00A86191">
        <w:t>Fish sampling was conducted under Fisheries NSW Animal Care and Ethics permit 14/10 and scientific collection permit P01/0059(A)-4.0. Larval fish sampling was conducted under NSW DPI permit No: P14/0022-2.0 and under approval from the University of Canberra Animal Ethics Committee (AEC 17-23).</w:t>
      </w:r>
    </w:p>
    <w:p w14:paraId="0C95217E" w14:textId="789BE1A8" w:rsidR="007F45AC" w:rsidRPr="00E05735" w:rsidRDefault="007F45AC" w:rsidP="00A25D64">
      <w:pPr>
        <w:pStyle w:val="Default"/>
      </w:pPr>
    </w:p>
    <w:bookmarkEnd w:id="17"/>
    <w:bookmarkEnd w:id="18"/>
    <w:bookmarkEnd w:id="19"/>
    <w:p w14:paraId="6B273D05" w14:textId="77777777" w:rsidR="0074605D" w:rsidRDefault="0074605D">
      <w:pPr>
        <w:spacing w:before="0" w:after="0"/>
      </w:pPr>
    </w:p>
    <w:p w14:paraId="5B5CEB6A" w14:textId="77777777" w:rsidR="00885DB8" w:rsidRDefault="00885DB8">
      <w:pPr>
        <w:spacing w:before="0" w:after="0"/>
        <w:sectPr w:rsidR="00885DB8" w:rsidSect="006E0321">
          <w:headerReference w:type="first" r:id="rId22"/>
          <w:footerReference w:type="first" r:id="rId23"/>
          <w:pgSz w:w="11900" w:h="16840"/>
          <w:pgMar w:top="1672" w:right="851" w:bottom="1418" w:left="851" w:header="708" w:footer="708" w:gutter="0"/>
          <w:pgNumType w:fmt="lowerRoman"/>
          <w:cols w:space="284"/>
          <w:docGrid w:linePitch="360"/>
        </w:sectPr>
      </w:pPr>
    </w:p>
    <w:p w14:paraId="16C0326D" w14:textId="77777777" w:rsidR="002C7626" w:rsidRPr="00111E52" w:rsidRDefault="002C7626" w:rsidP="002C7626">
      <w:pPr>
        <w:pStyle w:val="Heading1"/>
      </w:pPr>
      <w:bookmarkStart w:id="20" w:name="_Toc390697715"/>
      <w:bookmarkStart w:id="21" w:name="_Toc31985437"/>
      <w:r w:rsidRPr="00111E52">
        <w:t>I</w:t>
      </w:r>
      <w:bookmarkEnd w:id="20"/>
      <w:r>
        <w:rPr>
          <w:lang w:val="en-AU"/>
        </w:rPr>
        <w:t>ntroduction</w:t>
      </w:r>
      <w:bookmarkEnd w:id="21"/>
    </w:p>
    <w:p w14:paraId="5D622BF9" w14:textId="5C02F37E" w:rsidR="000E63AB" w:rsidRDefault="00903E0C" w:rsidP="000E63AB">
      <w:pPr>
        <w:rPr>
          <w:lang w:eastAsia="x-none"/>
        </w:rPr>
      </w:pPr>
      <w:r>
        <w:rPr>
          <w:lang w:eastAsia="x-none"/>
        </w:rPr>
        <w:t>Dry conditions prevailed across the Lachlan catchment in 2018-19, with below average annual rainfall and higher than average temperatures</w:t>
      </w:r>
      <w:r w:rsidR="00FE4E42">
        <w:rPr>
          <w:lang w:eastAsia="x-none"/>
        </w:rPr>
        <w:t xml:space="preserve"> combining to produce rapidly declining water resource availability. The effects of the widespread flooding of </w:t>
      </w:r>
      <w:r w:rsidR="000E63AB">
        <w:rPr>
          <w:lang w:eastAsia="x-none"/>
        </w:rPr>
        <w:t xml:space="preserve">2016-17 </w:t>
      </w:r>
      <w:r w:rsidR="00FE4E42">
        <w:rPr>
          <w:lang w:eastAsia="x-none"/>
        </w:rPr>
        <w:t xml:space="preserve">were still evident in the sustained tree condition across wetland sites, which meant that </w:t>
      </w:r>
      <w:r w:rsidR="000E63AB">
        <w:rPr>
          <w:lang w:eastAsia="x-none"/>
        </w:rPr>
        <w:t xml:space="preserve">environmental watering actions focussed on </w:t>
      </w:r>
      <w:r w:rsidR="00FE4E42">
        <w:rPr>
          <w:lang w:eastAsia="x-none"/>
        </w:rPr>
        <w:t xml:space="preserve">continuing to support </w:t>
      </w:r>
      <w:r w:rsidR="000E63AB">
        <w:rPr>
          <w:lang w:eastAsia="x-none"/>
        </w:rPr>
        <w:t>the recovery of instream biota</w:t>
      </w:r>
      <w:r w:rsidR="00FE4E42">
        <w:rPr>
          <w:lang w:eastAsia="x-none"/>
        </w:rPr>
        <w:t>, maintaining connectivity</w:t>
      </w:r>
      <w:r w:rsidR="000E63AB">
        <w:rPr>
          <w:lang w:eastAsia="x-none"/>
        </w:rPr>
        <w:t xml:space="preserve"> </w:t>
      </w:r>
      <w:r w:rsidR="00FE4E42">
        <w:rPr>
          <w:lang w:eastAsia="x-none"/>
        </w:rPr>
        <w:t>and building resilience as the conditions continued to dry</w:t>
      </w:r>
      <w:r w:rsidR="000E63AB">
        <w:rPr>
          <w:lang w:eastAsia="x-none"/>
        </w:rPr>
        <w:t>.</w:t>
      </w:r>
    </w:p>
    <w:p w14:paraId="23541143" w14:textId="168C8DF6" w:rsidR="00E45952" w:rsidRDefault="00FE4E42" w:rsidP="000E63AB">
      <w:pPr>
        <w:rPr>
          <w:lang w:eastAsia="x-none"/>
        </w:rPr>
      </w:pPr>
      <w:r>
        <w:rPr>
          <w:lang w:eastAsia="x-none"/>
        </w:rPr>
        <w:t>Four</w:t>
      </w:r>
      <w:r w:rsidR="000E63AB">
        <w:rPr>
          <w:lang w:eastAsia="x-none"/>
        </w:rPr>
        <w:t xml:space="preserve"> Commonwealth environmental watering actions were delivered to the Lachlan river system in 201</w:t>
      </w:r>
      <w:r>
        <w:rPr>
          <w:lang w:eastAsia="x-none"/>
        </w:rPr>
        <w:t>8</w:t>
      </w:r>
      <w:r w:rsidR="000E63AB">
        <w:rPr>
          <w:lang w:eastAsia="x-none"/>
        </w:rPr>
        <w:t>-1</w:t>
      </w:r>
      <w:r>
        <w:rPr>
          <w:lang w:eastAsia="x-none"/>
        </w:rPr>
        <w:t>9, targeting multiple location and ecological objectives</w:t>
      </w:r>
      <w:r w:rsidR="000E63AB">
        <w:rPr>
          <w:lang w:eastAsia="x-none"/>
        </w:rPr>
        <w:t xml:space="preserve">. </w:t>
      </w:r>
      <w:r w:rsidR="007B7FC3">
        <w:rPr>
          <w:lang w:eastAsia="x-none"/>
        </w:rPr>
        <w:t xml:space="preserve">The first two watering actions targeted native fish and stream productivity outcomes across the mid and </w:t>
      </w:r>
      <w:r w:rsidR="00E45952">
        <w:rPr>
          <w:lang w:eastAsia="x-none"/>
        </w:rPr>
        <w:t>l</w:t>
      </w:r>
      <w:r w:rsidR="007B7FC3">
        <w:rPr>
          <w:lang w:eastAsia="x-none"/>
        </w:rPr>
        <w:t xml:space="preserve">ower Lachlan </w:t>
      </w:r>
      <w:r w:rsidR="00E45952">
        <w:rPr>
          <w:lang w:eastAsia="x-none"/>
        </w:rPr>
        <w:t>R</w:t>
      </w:r>
      <w:r w:rsidR="007B7FC3">
        <w:rPr>
          <w:lang w:eastAsia="x-none"/>
        </w:rPr>
        <w:t>iver. The first watering action was a spring fresh and commenced with r</w:t>
      </w:r>
      <w:r w:rsidR="000E63AB">
        <w:rPr>
          <w:lang w:eastAsia="x-none"/>
        </w:rPr>
        <w:t xml:space="preserve">eleases from Wyangala dam on the </w:t>
      </w:r>
      <w:r>
        <w:rPr>
          <w:lang w:eastAsia="x-none"/>
        </w:rPr>
        <w:t>29</w:t>
      </w:r>
      <w:r w:rsidRPr="00FE4E42">
        <w:rPr>
          <w:vertAlign w:val="superscript"/>
          <w:lang w:eastAsia="x-none"/>
        </w:rPr>
        <w:t>th</w:t>
      </w:r>
      <w:r>
        <w:rPr>
          <w:lang w:eastAsia="x-none"/>
        </w:rPr>
        <w:t xml:space="preserve"> August 2018</w:t>
      </w:r>
      <w:r w:rsidR="002311A9">
        <w:rPr>
          <w:lang w:eastAsia="x-none"/>
        </w:rPr>
        <w:t>,</w:t>
      </w:r>
      <w:r w:rsidR="007B7FC3">
        <w:rPr>
          <w:lang w:eastAsia="x-none"/>
        </w:rPr>
        <w:t xml:space="preserve"> </w:t>
      </w:r>
      <w:r w:rsidR="002311A9">
        <w:rPr>
          <w:lang w:eastAsia="x-none"/>
        </w:rPr>
        <w:t>passing</w:t>
      </w:r>
      <w:r w:rsidR="007B7FC3">
        <w:rPr>
          <w:lang w:eastAsia="x-none"/>
        </w:rPr>
        <w:t xml:space="preserve"> Booligal</w:t>
      </w:r>
      <w:r w:rsidR="000E63AB">
        <w:rPr>
          <w:lang w:eastAsia="x-none"/>
        </w:rPr>
        <w:t xml:space="preserve"> </w:t>
      </w:r>
      <w:r w:rsidR="007B7FC3">
        <w:rPr>
          <w:lang w:eastAsia="x-none"/>
        </w:rPr>
        <w:t xml:space="preserve">in late September. A portion of this </w:t>
      </w:r>
      <w:r w:rsidR="008158BD">
        <w:rPr>
          <w:lang w:eastAsia="x-none"/>
        </w:rPr>
        <w:t xml:space="preserve">first </w:t>
      </w:r>
      <w:r w:rsidR="007B7FC3">
        <w:rPr>
          <w:lang w:eastAsia="x-none"/>
        </w:rPr>
        <w:t xml:space="preserve">watering action was re-regulated through </w:t>
      </w:r>
      <w:r w:rsidR="008158BD">
        <w:rPr>
          <w:lang w:eastAsia="x-none"/>
        </w:rPr>
        <w:t>Lake Brewster and released in October to mimic a small rain event</w:t>
      </w:r>
      <w:r w:rsidR="007B7FC3">
        <w:rPr>
          <w:lang w:eastAsia="x-none"/>
        </w:rPr>
        <w:t xml:space="preserve">. </w:t>
      </w:r>
      <w:r w:rsidR="00A25D64">
        <w:rPr>
          <w:lang w:eastAsia="x-none"/>
        </w:rPr>
        <w:t>The multiple components of this</w:t>
      </w:r>
      <w:r w:rsidR="008158BD">
        <w:rPr>
          <w:lang w:eastAsia="x-none"/>
        </w:rPr>
        <w:t xml:space="preserve"> watering action were designed to support the movement of native fish and stimulate primary productivity. </w:t>
      </w:r>
    </w:p>
    <w:p w14:paraId="617CF52A" w14:textId="0CC9F964" w:rsidR="008158BD" w:rsidRDefault="00E45952" w:rsidP="008158BD">
      <w:pPr>
        <w:rPr>
          <w:lang w:eastAsia="x-none"/>
        </w:rPr>
      </w:pPr>
      <w:r>
        <w:rPr>
          <w:lang w:eastAsia="x-none"/>
        </w:rPr>
        <w:t xml:space="preserve">The second </w:t>
      </w:r>
      <w:r w:rsidR="008158BD">
        <w:rPr>
          <w:lang w:eastAsia="x-none"/>
        </w:rPr>
        <w:t xml:space="preserve">watering action aimed to prevent rapid drops in water level in the </w:t>
      </w:r>
      <w:r>
        <w:rPr>
          <w:lang w:eastAsia="x-none"/>
        </w:rPr>
        <w:t>m</w:t>
      </w:r>
      <w:r w:rsidR="008158BD">
        <w:rPr>
          <w:lang w:eastAsia="x-none"/>
        </w:rPr>
        <w:t xml:space="preserve">id-Lachlan </w:t>
      </w:r>
      <w:r>
        <w:rPr>
          <w:lang w:eastAsia="x-none"/>
        </w:rPr>
        <w:t xml:space="preserve">River </w:t>
      </w:r>
      <w:r w:rsidR="008158BD">
        <w:rPr>
          <w:lang w:eastAsia="x-none"/>
        </w:rPr>
        <w:t>to avoid ne</w:t>
      </w:r>
      <w:r w:rsidR="00A25D64">
        <w:rPr>
          <w:lang w:eastAsia="x-none"/>
        </w:rPr>
        <w:t>s</w:t>
      </w:r>
      <w:r w:rsidR="008158BD">
        <w:rPr>
          <w:lang w:eastAsia="x-none"/>
        </w:rPr>
        <w:t>t abandonment by native fish.</w:t>
      </w:r>
      <w:r w:rsidR="00A25D64">
        <w:rPr>
          <w:lang w:eastAsia="x-none"/>
        </w:rPr>
        <w:t xml:space="preserve"> This watering action was </w:t>
      </w:r>
      <w:r w:rsidR="004F6917">
        <w:rPr>
          <w:lang w:eastAsia="x-none"/>
        </w:rPr>
        <w:t>subsequently</w:t>
      </w:r>
      <w:r w:rsidR="00A25D64">
        <w:rPr>
          <w:lang w:eastAsia="x-none"/>
        </w:rPr>
        <w:t xml:space="preserve"> re-regulated to provide a small fresh in the lower Lachlan.</w:t>
      </w:r>
      <w:r w:rsidR="00946648">
        <w:rPr>
          <w:lang w:eastAsia="x-none"/>
        </w:rPr>
        <w:t xml:space="preserve"> </w:t>
      </w:r>
      <w:r w:rsidR="008158BD">
        <w:rPr>
          <w:lang w:eastAsia="x-none"/>
        </w:rPr>
        <w:t xml:space="preserve">By providing flows to support breeding, and the </w:t>
      </w:r>
      <w:r w:rsidR="002311A9">
        <w:rPr>
          <w:lang w:eastAsia="x-none"/>
        </w:rPr>
        <w:t>condition of fish</w:t>
      </w:r>
      <w:r w:rsidR="008158BD">
        <w:rPr>
          <w:lang w:eastAsia="x-none"/>
        </w:rPr>
        <w:t>, the</w:t>
      </w:r>
      <w:r w:rsidR="002311A9">
        <w:rPr>
          <w:lang w:eastAsia="x-none"/>
        </w:rPr>
        <w:t>se</w:t>
      </w:r>
      <w:r w:rsidR="008158BD">
        <w:rPr>
          <w:lang w:eastAsia="x-none"/>
        </w:rPr>
        <w:t xml:space="preserve"> watering actions in the Lachlan draw on the watering priorities of the Murray Darling Basin Authority for threatened fish to focus on maintaining and improving existing populations of fish.</w:t>
      </w:r>
    </w:p>
    <w:p w14:paraId="1A3DCEB2" w14:textId="147EF1F2" w:rsidR="000E63AB" w:rsidRDefault="008158BD" w:rsidP="000E63AB">
      <w:pPr>
        <w:rPr>
          <w:lang w:eastAsia="x-none"/>
        </w:rPr>
      </w:pPr>
      <w:r>
        <w:rPr>
          <w:lang w:eastAsia="x-none"/>
        </w:rPr>
        <w:t>The third watering action was delivered to Yarrabandai (formerly Burr</w:t>
      </w:r>
      <w:r w:rsidR="004F6917">
        <w:rPr>
          <w:lang w:eastAsia="x-none"/>
        </w:rPr>
        <w:t>a</w:t>
      </w:r>
      <w:r>
        <w:rPr>
          <w:lang w:eastAsia="x-none"/>
        </w:rPr>
        <w:t>wang West) lagoon, providing habitat for aquatic species and supporting riparian vegetation.</w:t>
      </w:r>
      <w:r w:rsidR="002311A9">
        <w:rPr>
          <w:lang w:eastAsia="x-none"/>
        </w:rPr>
        <w:t xml:space="preserve"> The fourth watering action </w:t>
      </w:r>
      <w:r w:rsidR="005E109E">
        <w:rPr>
          <w:lang w:eastAsia="x-none"/>
        </w:rPr>
        <w:t>was a late autumn-winter fresh and was designed to provide connectivity and variability in flows to the Lower Lachlan river system. In doing so, it targeted longitudinal connectivity in the lower Lachlan river system and the central reedbeds of the Cumbung Swamp. This watering action commenced at Lake Brewster on the 9</w:t>
      </w:r>
      <w:r w:rsidR="005E109E" w:rsidRPr="005E109E">
        <w:rPr>
          <w:vertAlign w:val="superscript"/>
          <w:lang w:eastAsia="x-none"/>
        </w:rPr>
        <w:t>th</w:t>
      </w:r>
      <w:r w:rsidR="005E109E">
        <w:rPr>
          <w:lang w:eastAsia="x-none"/>
        </w:rPr>
        <w:t xml:space="preserve"> June and releases ceased on the 28</w:t>
      </w:r>
      <w:r w:rsidR="005E109E" w:rsidRPr="005E109E">
        <w:rPr>
          <w:vertAlign w:val="superscript"/>
          <w:lang w:eastAsia="x-none"/>
        </w:rPr>
        <w:t>th</w:t>
      </w:r>
      <w:r w:rsidR="005E109E">
        <w:rPr>
          <w:lang w:eastAsia="x-none"/>
        </w:rPr>
        <w:t xml:space="preserve"> June. These latter watering action</w:t>
      </w:r>
      <w:r w:rsidR="00A53396">
        <w:rPr>
          <w:lang w:eastAsia="x-none"/>
        </w:rPr>
        <w:t>s</w:t>
      </w:r>
      <w:r w:rsidR="005E109E">
        <w:rPr>
          <w:lang w:eastAsia="x-none"/>
        </w:rPr>
        <w:t xml:space="preserve"> contributed to the watering priorities of the Murray Darling Basin Authority for longitudinal and lateral connectivity that support natural nutrient and carbon cycling processes.</w:t>
      </w:r>
    </w:p>
    <w:p w14:paraId="114E304B" w14:textId="77777777" w:rsidR="00F4352E" w:rsidRDefault="000E63AB" w:rsidP="000E63AB">
      <w:r>
        <w:t>The Long-Term Intervention Monitoring Project (LTIM Project) is the primary means by which the Commonwealth Environmental Water Office (CEWO) undertakes monitoring and evaluation of the ecological outcomes of Commonwealth environmental watering. Monitoring activities implemented within the LTIM Project to evaluate the outcomes of Commonwealth environmental watering actions in the Lower Lachlan river system in 2018</w:t>
      </w:r>
      <w:r>
        <w:noBreakHyphen/>
        <w:t xml:space="preserve">19 included the monitoring of stream flows </w:t>
      </w:r>
      <w:r w:rsidRPr="00AB1044">
        <w:t>(hydrology), stream metabolism and water quality (dissolved oxygen, temperature, pH, electrical conductivity, turbidity and nutrients), fish (including larval fish)</w:t>
      </w:r>
      <w:r>
        <w:t xml:space="preserve"> </w:t>
      </w:r>
      <w:r w:rsidRPr="00AB1044">
        <w:t>and the condition and diversity of</w:t>
      </w:r>
      <w:r>
        <w:t xml:space="preserve"> vegetation. </w:t>
      </w:r>
    </w:p>
    <w:p w14:paraId="357FCC50" w14:textId="49DB4211" w:rsidR="000E63AB" w:rsidRDefault="00F4352E" w:rsidP="000E63AB">
      <w:r>
        <w:t>At the request of the CEWO, a</w:t>
      </w:r>
      <w:r w:rsidR="00905E68" w:rsidRPr="00F4352E">
        <w:t xml:space="preserve">dditional monitoring activities </w:t>
      </w:r>
      <w:r w:rsidRPr="00F4352E">
        <w:t>were</w:t>
      </w:r>
      <w:r>
        <w:t xml:space="preserve"> undertaken in the Mid and Lower Lachlan river system in 2018-19. This included the monitoring of stream flows </w:t>
      </w:r>
      <w:r w:rsidRPr="00AB1044">
        <w:t xml:space="preserve">(hydrology), stream metabolism </w:t>
      </w:r>
      <w:r>
        <w:t xml:space="preserve">and water quality </w:t>
      </w:r>
      <w:r w:rsidRPr="00AB1044">
        <w:t xml:space="preserve">(dissolved </w:t>
      </w:r>
      <w:r>
        <w:t>oxygen and</w:t>
      </w:r>
      <w:r w:rsidRPr="00AB1044">
        <w:t xml:space="preserve"> temperature)</w:t>
      </w:r>
      <w:r>
        <w:t xml:space="preserve"> and</w:t>
      </w:r>
      <w:r w:rsidRPr="00AB1044">
        <w:t xml:space="preserve"> fish (including larval fish)</w:t>
      </w:r>
      <w:r>
        <w:t xml:space="preserve"> in the Mid Lachlan river system, and a trial of eDNA for monitoring fish populations in the Mid and Lower Lachlan river systems.</w:t>
      </w:r>
    </w:p>
    <w:p w14:paraId="2F9AD734" w14:textId="2EE691E4" w:rsidR="00F06A3C" w:rsidRDefault="000E63AB" w:rsidP="002C7626">
      <w:r>
        <w:t xml:space="preserve">This report provides the technical reports for the </w:t>
      </w:r>
      <w:r w:rsidR="008158BD">
        <w:t>final</w:t>
      </w:r>
      <w:r>
        <w:t xml:space="preserve"> of five years of monitoring and evaluation of Commonwealth environmental watering in the Lower Lachlan river system. It is designed as a record of the supporting technical material for the summary report</w:t>
      </w:r>
      <w:r w:rsidR="0025324B">
        <w:t xml:space="preserve"> </w:t>
      </w:r>
      <w:r w:rsidR="0025324B">
        <w:fldChar w:fldCharType="begin"/>
      </w:r>
      <w:r w:rsidR="00333CDB">
        <w:instrText xml:space="preserve"> ADDIN EN.CITE &lt;EndNote&gt;&lt;Cite&gt;&lt;Author&gt;Dyer&lt;/Author&gt;&lt;Year&gt;2018&lt;/Year&gt;&lt;RecNum&gt;254&lt;/RecNum&gt;&lt;DisplayText&gt;(Dyer et al. 2018)&lt;/DisplayText&gt;&lt;record&gt;&lt;rec-number&gt;254&lt;/rec-number&gt;&lt;foreign-keys&gt;&lt;key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25324B">
        <w:fldChar w:fldCharType="separate"/>
      </w:r>
      <w:r w:rsidR="00333CDB">
        <w:rPr>
          <w:noProof/>
        </w:rPr>
        <w:t>(Dyer et al. 2018)</w:t>
      </w:r>
      <w:r w:rsidR="0025324B">
        <w:fldChar w:fldCharType="end"/>
      </w:r>
      <w:r w:rsidR="0025324B">
        <w:t>.</w:t>
      </w:r>
    </w:p>
    <w:p w14:paraId="6CA48920" w14:textId="1B3A4706" w:rsidR="00917631" w:rsidRDefault="000E63AB" w:rsidP="002C7626">
      <w:r>
        <w:t xml:space="preserve">This report describes the context in which the water was delivered, the environmental objectives of the watering actions, the monitoring activities undertaken, and evaluates the outcomes of the watering actions. </w:t>
      </w:r>
      <w:r w:rsidR="00513FD5">
        <w:t>A focus this year is given to evaluating the combined effects of environmental watering since 2014.</w:t>
      </w:r>
    </w:p>
    <w:p w14:paraId="7F2D898E" w14:textId="77777777" w:rsidR="002C7626" w:rsidRDefault="002C7626" w:rsidP="002C7626">
      <w:pPr>
        <w:pStyle w:val="Heading1"/>
      </w:pPr>
      <w:bookmarkStart w:id="22" w:name="_Toc31985438"/>
      <w:r>
        <w:t>Lower Lachlan river system – Selected Area</w:t>
      </w:r>
      <w:bookmarkEnd w:id="22"/>
    </w:p>
    <w:p w14:paraId="11031363" w14:textId="183969BB" w:rsidR="002C7626" w:rsidRDefault="002C7626" w:rsidP="002C7626">
      <w:pPr>
        <w:rPr>
          <w:lang w:eastAsia="x-none"/>
        </w:rPr>
      </w:pPr>
      <w:r>
        <w:rPr>
          <w:lang w:eastAsia="x-none"/>
        </w:rPr>
        <w:t>The area of the Lower Lachlan river system (referred to as the Selected Area) identified as the focus for the LTIM Project is the western end of the Lachlan River, and extends from the outlet of Lake Brewster to the Great Cumbung Swamp (</w:t>
      </w:r>
      <w:r>
        <w:rPr>
          <w:lang w:eastAsia="x-none"/>
        </w:rPr>
        <w:fldChar w:fldCharType="begin"/>
      </w:r>
      <w:r>
        <w:rPr>
          <w:lang w:eastAsia="x-none"/>
        </w:rPr>
        <w:instrText xml:space="preserve"> REF _Ref463860103 \h </w:instrText>
      </w:r>
      <w:r>
        <w:rPr>
          <w:lang w:eastAsia="x-none"/>
        </w:rPr>
      </w:r>
      <w:r>
        <w:rPr>
          <w:lang w:eastAsia="x-none"/>
        </w:rPr>
        <w:fldChar w:fldCharType="separate"/>
      </w:r>
      <w:r w:rsidR="007F7607" w:rsidRPr="001A48D7">
        <w:t xml:space="preserve">Figure </w:t>
      </w:r>
      <w:r w:rsidR="007F7607">
        <w:rPr>
          <w:noProof/>
        </w:rPr>
        <w:t>1</w:t>
      </w:r>
      <w:r>
        <w:rPr>
          <w:lang w:eastAsia="x-none"/>
        </w:rPr>
        <w:fldChar w:fldCharType="end"/>
      </w:r>
      <w:r>
        <w:rPr>
          <w:lang w:eastAsia="x-none"/>
        </w:rPr>
        <w:t>). It encompasses anabranches, flood runners, billabongs and terminal wetlands, such as Merrowie Creek, Booligal Wetlands and Lachlan Swamp but excludes Middle Creek and other creeks to the north. The river system is complex, with a diversity of in-channel and floodplain features that provide a variety of habitats for the species in the region. Flows and water levels are naturally variable and unpredictable providing temporally complex habitats.</w:t>
      </w:r>
    </w:p>
    <w:p w14:paraId="3E0B67C0" w14:textId="2D9954CF" w:rsidR="002C7626" w:rsidRDefault="002C7626" w:rsidP="002C7626">
      <w:pPr>
        <w:rPr>
          <w:lang w:eastAsia="x-none"/>
        </w:rPr>
      </w:pPr>
      <w:r>
        <w:rPr>
          <w:lang w:eastAsia="x-none"/>
        </w:rPr>
        <w:t>The Lachlan River catchment supports many flora and fauna listed as vulnerable or endangered under federal or NSW state legislation, including the Sloane’s froglet, Australian painted snipe, osprey, blue-billed duck and the fishing bat. The Selected Area comprises the majority of the Lachlan River endangered ecological community. In addition, the Great Cumbung Swamp is one of the most important waterbird breeding areas in eastern Australia and supports one of the largest remaining stands of river red gums in NSW.</w:t>
      </w:r>
    </w:p>
    <w:p w14:paraId="5697FFB9" w14:textId="70222808" w:rsidR="002C7626" w:rsidRDefault="002C7626" w:rsidP="002C7626">
      <w:pPr>
        <w:rPr>
          <w:lang w:eastAsia="x-none"/>
        </w:rPr>
      </w:pPr>
      <w:r>
        <w:rPr>
          <w:lang w:eastAsia="x-none"/>
        </w:rPr>
        <w:t xml:space="preserve">Like many rivers of the Murray Darling basin, flow regulation in the Lachlan river catchment has had a significant effect on the average annual flow as well as inter-annual and seasonal variability </w:t>
      </w:r>
      <w:r>
        <w:rPr>
          <w:lang w:eastAsia="x-none"/>
        </w:rPr>
        <w:fldChar w:fldCharType="begin"/>
      </w:r>
      <w:r w:rsidR="00F06A3C">
        <w:rPr>
          <w:lang w:eastAsia="x-none"/>
        </w:rPr>
        <w:instrText xml:space="preserve"> ADDIN EN.CITE &lt;EndNote&gt;&lt;Cite&gt;&lt;Author&gt;Driver&lt;/Author&gt;&lt;Year&gt;2004&lt;/Year&gt;&lt;RecNum&gt;79&lt;/RecNum&gt;&lt;DisplayText&gt;(Driver et al. 2004, Higgisson et al. 2019b)&lt;/DisplayText&gt;&lt;record&gt;&lt;rec-number&gt;79&lt;/rec-number&gt;&lt;foreign-keys&gt;&lt;key app="EN" db-id="0a0zttz0gewd9befav559p5osxw5sftwfpdv" timestamp="1469665495"&gt;79&lt;/key&gt;&lt;/foreign-keys&gt;&lt;ref-type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Resources&lt;/publisher&gt;&lt;urls&gt;&lt;/urls&gt;&lt;/record&gt;&lt;/Cite&gt;&lt;Cite&gt;&lt;Author&gt;Higgisson&lt;/Author&gt;&lt;Year&gt;2019&lt;/Year&gt;&lt;RecNum&gt;260&lt;/RecNum&gt;&lt;record&gt;&lt;rec-number&gt;260&lt;/rec-number&gt;&lt;foreign-keys&gt;&lt;key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Applications&lt;/full-title&gt;&lt;/periodical&gt;&lt;dates&gt;&lt;year&gt;2019&lt;/year&gt;&lt;/dates&gt;&lt;urls&gt;&lt;/urls&gt;&lt;/record&gt;&lt;/Cite&gt;&lt;/EndNote&gt;</w:instrText>
      </w:r>
      <w:r>
        <w:rPr>
          <w:lang w:eastAsia="x-none"/>
        </w:rPr>
        <w:fldChar w:fldCharType="separate"/>
      </w:r>
      <w:r w:rsidR="00F06A3C">
        <w:rPr>
          <w:noProof/>
          <w:lang w:eastAsia="x-none"/>
        </w:rPr>
        <w:t>(Driver et al. 2004, Higgisson et al. 2019b)</w:t>
      </w:r>
      <w:r>
        <w:rPr>
          <w:lang w:eastAsia="x-none"/>
        </w:rPr>
        <w:fldChar w:fldCharType="end"/>
      </w:r>
      <w:r>
        <w:rPr>
          <w:lang w:eastAsia="x-none"/>
        </w:rPr>
        <w:t xml:space="preserve">. This is believed to have been a key driver in a deterioration of the freshwater ecosystems within the catchment. The Lower Lachlan river system has previously been assessed as being in poor ecosystem health as part of the Murray-Darling Basin Authority’s Sustainable Rivers Audit (SRA) </w:t>
      </w:r>
      <w:r>
        <w:rPr>
          <w:lang w:eastAsia="x-none"/>
        </w:rPr>
        <w:fldChar w:fldCharType="begin"/>
      </w:r>
      <w:r w:rsidR="00D275DE">
        <w:rPr>
          <w:lang w:eastAsia="x-none"/>
        </w:rPr>
        <w:instrText xml:space="preserve"> ADDIN EN.CITE &lt;EndNote&gt;&lt;Cite&gt;&lt;Author&gt;MDBA&lt;/Author&gt;&lt;Year&gt;2012&lt;/Year&gt;&lt;RecNum&gt;147&lt;/RecNum&gt;&lt;DisplayText&gt;(MDBA 2012b)&lt;/DisplayText&gt;&lt;record&gt;&lt;rec-number&gt;147&lt;/rec-number&gt;&lt;foreign-keys&gt;&lt;key app="EN" db-id="0a0zttz0gewd9befav559p5osxw5sftwfpdv" timestamp="1476066112"&gt;147&lt;/key&gt;&lt;/foreign-keys&gt;&lt;ref-type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Authority&lt;/publisher&gt;&lt;urls&gt;&lt;/urls&gt;&lt;/record&gt;&lt;/Cite&gt;&lt;/EndNote&gt;</w:instrText>
      </w:r>
      <w:r>
        <w:rPr>
          <w:lang w:eastAsia="x-none"/>
        </w:rPr>
        <w:fldChar w:fldCharType="separate"/>
      </w:r>
      <w:r w:rsidR="00D275DE">
        <w:rPr>
          <w:noProof/>
          <w:lang w:eastAsia="x-none"/>
        </w:rPr>
        <w:t>(MDBA 2012b)</w:t>
      </w:r>
      <w:r>
        <w:rPr>
          <w:lang w:eastAsia="x-none"/>
        </w:rPr>
        <w:fldChar w:fldCharType="end"/>
      </w:r>
      <w:r>
        <w:rPr>
          <w:lang w:eastAsia="x-none"/>
        </w:rPr>
        <w:t xml:space="preserve"> </w:t>
      </w:r>
      <w:r>
        <w:rPr>
          <w:lang w:eastAsia="x-none"/>
        </w:rPr>
        <w:fldChar w:fldCharType="begin"/>
      </w:r>
      <w:r w:rsidR="00747352">
        <w:rPr>
          <w:lang w:eastAsia="x-none"/>
        </w:rPr>
        <w:instrText xml:space="preserve"> ADDIN EN.CITE &lt;EndNote&gt;&lt;Cite&gt;&lt;Author&gt;Davies&lt;/Author&gt;&lt;Year&gt;2008&lt;/Year&gt;&lt;RecNum&gt;144&lt;/RecNum&gt;&lt;DisplayText&gt;(Davies et al. 2008)&lt;/DisplayText&gt;&lt;record&gt;&lt;rec-number&gt;144&lt;/rec-number&gt;&lt;foreign-keys&gt;&lt;key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Commission&lt;/publisher&gt;&lt;urls&gt;&lt;/urls&gt;&lt;/record&gt;&lt;/Cite&gt;&lt;/EndNote&gt;</w:instrText>
      </w:r>
      <w:r>
        <w:rPr>
          <w:lang w:eastAsia="x-none"/>
        </w:rPr>
        <w:fldChar w:fldCharType="separate"/>
      </w:r>
      <w:r w:rsidR="007E117A">
        <w:rPr>
          <w:noProof/>
          <w:lang w:eastAsia="x-none"/>
        </w:rPr>
        <w:t>(Davies et al. 2008)</w:t>
      </w:r>
      <w:r>
        <w:rPr>
          <w:lang w:eastAsia="x-none"/>
        </w:rPr>
        <w:fldChar w:fldCharType="end"/>
      </w:r>
      <w:r>
        <w:rPr>
          <w:lang w:eastAsia="x-none"/>
        </w:rPr>
        <w:t xml:space="preserve">. This assessment was primarily due to having an extremely poor native fish community (with low native species richness and poor recruitment) and poor hydrological condition. Macroinvertebrate communities were assessed as being in moderate condition whereas the physical form of the river and the vegetation were assessed as being in poor to moderate condition, respectively. </w:t>
      </w:r>
    </w:p>
    <w:p w14:paraId="203A4748" w14:textId="6D4497B1" w:rsidR="002C7626" w:rsidRDefault="002C7626" w:rsidP="002C7626">
      <w:pPr>
        <w:rPr>
          <w:lang w:eastAsia="x-none"/>
        </w:rPr>
      </w:pPr>
      <w:r>
        <w:rPr>
          <w:lang w:eastAsia="x-none"/>
        </w:rPr>
        <w:t xml:space="preserve">The millennium drought (2001-2009) resulted in large areas of river red gums becoming stressed, and in wetlands, vegetation became dominated by terrestrial, drought tolerant species </w:t>
      </w:r>
      <w:r>
        <w:rPr>
          <w:lang w:eastAsia="x-none"/>
        </w:rPr>
        <w:fldChar w:fldCharType="begin"/>
      </w:r>
      <w:r w:rsidR="00747352">
        <w:rPr>
          <w:lang w:eastAsia="x-none"/>
        </w:rPr>
        <w:instrText xml:space="preserve"> ADDIN EN.CITE &lt;EndNote&gt;&lt;Cite&gt;&lt;Author&gt;Thurtell&lt;/Author&gt;&lt;Year&gt;2011&lt;/Year&gt;&lt;RecNum&gt;100&lt;/RecNum&gt;&lt;DisplayText&gt;(Thurtell et al. 2011)&lt;/DisplayText&gt;&lt;record&gt;&lt;rec-number&gt;100&lt;/rec-number&gt;&lt;foreign-keys&gt;&lt;key app="EN" db-id="0a0zttz0gewd9befav559p5osxw5sftwfpdv" timestamp="1472530517"&gt;100&lt;/key&gt;&lt;/foreign-keys&gt;&lt;ref-type name="Report"&gt;27&lt;/ref-type&gt;&lt;contributors&gt;&lt;authors&gt;&lt;author&gt;Thurtell, L.&lt;/author&gt;&lt;author&gt;Wettin, P.&lt;/author&gt;&lt;author&gt;Barma Water Resources,&lt;/author&gt;&lt;author&gt;Commonwealth Environmental Water (Australia),&lt;/author&gt;&lt;/authors&gt;&lt;secondary-authors&gt;&lt;author&gt;Commonwealth Environmental Water, Department of Sustainability, Environment, Water, Population and Communities&lt;/author&gt;&lt;/secondary-authors&gt;&lt;/contributors&gt;&lt;titles&gt;&lt;title&gt;Environmental Water Delivery: Lachlan River&lt;/title&gt;&lt;/titles&gt;&lt;pages&gt;123&lt;/pages&gt;&lt;dates&gt;&lt;year&gt;2011&lt;/year&gt;&lt;/dates&gt;&lt;pub-location&gt;Canberra&lt;/pub-location&gt;&lt;urls&gt;&lt;/urls&gt;&lt;/record&gt;&lt;/Cite&gt;&lt;/EndNote&gt;</w:instrText>
      </w:r>
      <w:r>
        <w:rPr>
          <w:lang w:eastAsia="x-none"/>
        </w:rPr>
        <w:fldChar w:fldCharType="separate"/>
      </w:r>
      <w:r w:rsidR="001A48D7">
        <w:rPr>
          <w:noProof/>
          <w:lang w:eastAsia="x-none"/>
        </w:rPr>
        <w:t>(Thurtell et al. 2011)</w:t>
      </w:r>
      <w:r>
        <w:rPr>
          <w:lang w:eastAsia="x-none"/>
        </w:rPr>
        <w:fldChar w:fldCharType="end"/>
      </w:r>
      <w:r>
        <w:rPr>
          <w:lang w:eastAsia="x-none"/>
        </w:rPr>
        <w:t xml:space="preserve">. </w:t>
      </w:r>
      <w:r w:rsidR="0034435C">
        <w:rPr>
          <w:lang w:eastAsia="x-none"/>
        </w:rPr>
        <w:t>Some recovery of the wetlands and rivers has been observed since 2010, attributed to natural flow events and environmental watering actions. In 2016, the Booligal wetlands supported the largest and most successful breeding colony of straw-necked ibis in the Murray Darling Basin since 1984.</w:t>
      </w:r>
    </w:p>
    <w:p w14:paraId="76CD5E49" w14:textId="16F7A219" w:rsidR="002C7626" w:rsidRDefault="002C7626" w:rsidP="00DB4E54"/>
    <w:p w14:paraId="639B5CB4" w14:textId="3B53BFF3" w:rsidR="004E1BB3" w:rsidRPr="00DB4E54" w:rsidRDefault="004E1BB3" w:rsidP="00DB4E54">
      <w:r>
        <w:rPr>
          <w:noProof/>
          <w:lang w:eastAsia="en-AU"/>
        </w:rPr>
        <w:drawing>
          <wp:inline distT="0" distB="0" distL="0" distR="0" wp14:anchorId="22FF5389" wp14:editId="2FFDEC01">
            <wp:extent cx="5724525" cy="40386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724525" cy="4038600"/>
                    </a:xfrm>
                    <a:prstGeom prst="rect">
                      <a:avLst/>
                    </a:prstGeom>
                    <a:noFill/>
                    <a:ln>
                      <a:noFill/>
                    </a:ln>
                  </pic:spPr>
                </pic:pic>
              </a:graphicData>
            </a:graphic>
          </wp:inline>
        </w:drawing>
      </w:r>
    </w:p>
    <w:p w14:paraId="3FA6FB26" w14:textId="103B0B68" w:rsidR="002C7626" w:rsidRPr="001A48D7" w:rsidRDefault="002C7626" w:rsidP="001A48D7">
      <w:pPr>
        <w:pStyle w:val="Caption"/>
      </w:pPr>
      <w:bookmarkStart w:id="23" w:name="_Ref463860103"/>
      <w:bookmarkStart w:id="24" w:name="_Ref530384643"/>
      <w:bookmarkStart w:id="25" w:name="_Toc31985565"/>
      <w:r w:rsidRPr="001A48D7">
        <w:t xml:space="preserve">Figure </w:t>
      </w:r>
      <w:r w:rsidR="00CB3460">
        <w:rPr>
          <w:noProof/>
        </w:rPr>
        <w:fldChar w:fldCharType="begin"/>
      </w:r>
      <w:r w:rsidR="00CB3460">
        <w:rPr>
          <w:noProof/>
        </w:rPr>
        <w:instrText xml:space="preserve"> SEQ Figure \* ARABIC </w:instrText>
      </w:r>
      <w:r w:rsidR="00CB3460">
        <w:rPr>
          <w:noProof/>
        </w:rPr>
        <w:fldChar w:fldCharType="separate"/>
      </w:r>
      <w:r w:rsidR="007F7607">
        <w:rPr>
          <w:noProof/>
        </w:rPr>
        <w:t>1</w:t>
      </w:r>
      <w:r w:rsidR="00CB3460">
        <w:rPr>
          <w:noProof/>
        </w:rPr>
        <w:fldChar w:fldCharType="end"/>
      </w:r>
      <w:bookmarkEnd w:id="23"/>
      <w:r w:rsidRPr="001A48D7">
        <w:t>. The Lower Lachlan river system showing the region for the LTIM Project.</w:t>
      </w:r>
      <w:bookmarkEnd w:id="24"/>
      <w:bookmarkEnd w:id="25"/>
    </w:p>
    <w:p w14:paraId="35EBD9BD" w14:textId="2DE773C8" w:rsidR="0034435C" w:rsidRDefault="0034435C">
      <w:pPr>
        <w:spacing w:before="0" w:after="0"/>
      </w:pPr>
    </w:p>
    <w:p w14:paraId="6F92901B" w14:textId="590DE5D0" w:rsidR="0034435C" w:rsidRDefault="0034435C">
      <w:pPr>
        <w:spacing w:before="0" w:after="0"/>
      </w:pPr>
      <w:r>
        <w:t xml:space="preserve">In 2018-19, monitoring activities extended into the </w:t>
      </w:r>
      <w:r w:rsidR="005E70AA">
        <w:t>m</w:t>
      </w:r>
      <w:r>
        <w:t>id Lachlan river system</w:t>
      </w:r>
      <w:r w:rsidR="00974211">
        <w:t>, which encompasses the reach from Forbes to Lake Brewster (</w:t>
      </w:r>
      <w:r w:rsidR="00974211">
        <w:fldChar w:fldCharType="begin"/>
      </w:r>
      <w:r w:rsidR="00974211">
        <w:instrText xml:space="preserve"> REF _Ref17198428 \h </w:instrText>
      </w:r>
      <w:r w:rsidR="00974211">
        <w:fldChar w:fldCharType="separate"/>
      </w:r>
      <w:r w:rsidR="007F7607">
        <w:t xml:space="preserve">Figure </w:t>
      </w:r>
      <w:r w:rsidR="007F7607">
        <w:rPr>
          <w:noProof/>
        </w:rPr>
        <w:t>2</w:t>
      </w:r>
      <w:r w:rsidR="00974211">
        <w:fldChar w:fldCharType="end"/>
      </w:r>
      <w:r w:rsidR="00974211">
        <w:t xml:space="preserve">). </w:t>
      </w:r>
    </w:p>
    <w:p w14:paraId="1FCC2609" w14:textId="77777777" w:rsidR="00A834CF" w:rsidRDefault="00A834CF">
      <w:pPr>
        <w:spacing w:before="0" w:after="0"/>
        <w:rPr>
          <w:noProof/>
        </w:rPr>
      </w:pPr>
    </w:p>
    <w:p w14:paraId="5C293F8C" w14:textId="67ED9077" w:rsidR="00974211" w:rsidRDefault="00A834CF">
      <w:pPr>
        <w:spacing w:before="0" w:after="0"/>
      </w:pPr>
      <w:r>
        <w:rPr>
          <w:noProof/>
          <w:lang w:eastAsia="en-AU"/>
        </w:rPr>
        <w:drawing>
          <wp:inline distT="0" distB="0" distL="0" distR="0" wp14:anchorId="5673E370" wp14:editId="5963E24D">
            <wp:extent cx="5715000" cy="2972118"/>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715000" cy="2972118"/>
                    </a:xfrm>
                    <a:prstGeom prst="rect">
                      <a:avLst/>
                    </a:prstGeom>
                    <a:noFill/>
                    <a:ln>
                      <a:noFill/>
                    </a:ln>
                    <a:extLst>
                      <a:ext uri="{53640926-AAD7-44D8-BBD7-CCE9431645EC}">
                        <a14:shadowObscured xmlns:a14="http://schemas.microsoft.com/office/drawing/2010/main"/>
                      </a:ext>
                    </a:extLst>
                  </pic:spPr>
                </pic:pic>
              </a:graphicData>
            </a:graphic>
          </wp:inline>
        </w:drawing>
      </w:r>
    </w:p>
    <w:p w14:paraId="35AAADDC" w14:textId="3055674D" w:rsidR="00364C0F" w:rsidRPr="00A834CF" w:rsidRDefault="00974211" w:rsidP="00A834CF">
      <w:pPr>
        <w:pStyle w:val="Caption"/>
      </w:pPr>
      <w:bookmarkStart w:id="26" w:name="_Ref17198428"/>
      <w:bookmarkStart w:id="27" w:name="_Toc31985566"/>
      <w:r>
        <w:t xml:space="preserve">Figure </w:t>
      </w:r>
      <w:r>
        <w:fldChar w:fldCharType="begin"/>
      </w:r>
      <w:r>
        <w:instrText>SEQ Figure \* ARABIC</w:instrText>
      </w:r>
      <w:r>
        <w:fldChar w:fldCharType="separate"/>
      </w:r>
      <w:r w:rsidR="007F7607">
        <w:rPr>
          <w:noProof/>
        </w:rPr>
        <w:t>2</w:t>
      </w:r>
      <w:r>
        <w:fldChar w:fldCharType="end"/>
      </w:r>
      <w:bookmarkEnd w:id="26"/>
      <w:r>
        <w:t xml:space="preserve">. The </w:t>
      </w:r>
      <w:r w:rsidR="005E70AA">
        <w:t>m</w:t>
      </w:r>
      <w:r>
        <w:t>id Lachlan river system showing the region for the 2018-19 additional monitoring activities.</w:t>
      </w:r>
      <w:bookmarkEnd w:id="27"/>
      <w:r w:rsidR="00364C0F">
        <w:br w:type="page"/>
      </w:r>
    </w:p>
    <w:p w14:paraId="379DA13C" w14:textId="463153B7" w:rsidR="00E84A71" w:rsidRDefault="00E84A71" w:rsidP="002D7DA6">
      <w:pPr>
        <w:pStyle w:val="Heading1"/>
        <w:ind w:right="-472"/>
        <w:rPr>
          <w:lang w:val="en-AU"/>
        </w:rPr>
      </w:pPr>
      <w:bookmarkStart w:id="28" w:name="_Ref18500686"/>
      <w:bookmarkStart w:id="29" w:name="_Toc31985439"/>
      <w:r>
        <w:rPr>
          <w:lang w:val="en-AU"/>
        </w:rPr>
        <w:t>201</w:t>
      </w:r>
      <w:r w:rsidR="00F5000A">
        <w:rPr>
          <w:lang w:val="en-AU"/>
        </w:rPr>
        <w:t>8</w:t>
      </w:r>
      <w:r>
        <w:rPr>
          <w:lang w:val="en-AU"/>
        </w:rPr>
        <w:t>-1</w:t>
      </w:r>
      <w:r w:rsidR="00F5000A">
        <w:rPr>
          <w:lang w:val="en-AU"/>
        </w:rPr>
        <w:t>9</w:t>
      </w:r>
      <w:r w:rsidR="002E3CFA">
        <w:rPr>
          <w:lang w:val="en-AU"/>
        </w:rPr>
        <w:t xml:space="preserve"> Watering Actions</w:t>
      </w:r>
      <w:bookmarkEnd w:id="28"/>
      <w:bookmarkEnd w:id="29"/>
    </w:p>
    <w:p w14:paraId="6D65606E" w14:textId="71E64B11" w:rsidR="002E3CFA" w:rsidRPr="002E3CFA" w:rsidRDefault="002E3CFA" w:rsidP="002E3CFA">
      <w:pPr>
        <w:rPr>
          <w:lang w:eastAsia="x-none"/>
        </w:rPr>
      </w:pPr>
      <w:r w:rsidRPr="00F751E9">
        <w:t xml:space="preserve">Environmental watering actions are </w:t>
      </w:r>
      <w:r>
        <w:t>influenced</w:t>
      </w:r>
      <w:r w:rsidRPr="00F751E9">
        <w:t xml:space="preserve"> by a combination of catchment and climate conditions as well as the volume of water holdings.</w:t>
      </w:r>
      <w:r>
        <w:t xml:space="preserve"> Catchment condition</w:t>
      </w:r>
      <w:r w:rsidRPr="00F751E9">
        <w:t xml:space="preserve"> also </w:t>
      </w:r>
      <w:r>
        <w:t>is</w:t>
      </w:r>
      <w:r w:rsidRPr="00F751E9">
        <w:t xml:space="preserve"> the context </w:t>
      </w:r>
      <w:r>
        <w:t xml:space="preserve">for evaluating </w:t>
      </w:r>
      <w:r w:rsidRPr="00F751E9">
        <w:t>ecosystem responses to watering</w:t>
      </w:r>
      <w:r>
        <w:t>.</w:t>
      </w:r>
    </w:p>
    <w:p w14:paraId="48A53178" w14:textId="77777777" w:rsidR="002E3CFA" w:rsidRDefault="002E3CFA" w:rsidP="002E3CFA">
      <w:pPr>
        <w:pStyle w:val="Heading2"/>
      </w:pPr>
      <w:bookmarkStart w:id="30" w:name="_Ref20480614"/>
      <w:bookmarkStart w:id="31" w:name="_Ref20480618"/>
      <w:bookmarkStart w:id="32" w:name="_Ref20480621"/>
      <w:bookmarkStart w:id="33" w:name="_Toc31985440"/>
      <w:r>
        <w:t xml:space="preserve">Catchment and </w:t>
      </w:r>
      <w:r>
        <w:rPr>
          <w:lang w:val="en-AU"/>
        </w:rPr>
        <w:t>weather</w:t>
      </w:r>
      <w:r>
        <w:t xml:space="preserve"> conditions</w:t>
      </w:r>
      <w:bookmarkEnd w:id="30"/>
      <w:bookmarkEnd w:id="31"/>
      <w:bookmarkEnd w:id="32"/>
      <w:bookmarkEnd w:id="33"/>
    </w:p>
    <w:p w14:paraId="15DA00B0" w14:textId="495F5979" w:rsidR="00D94357" w:rsidRDefault="002E3CFA" w:rsidP="002E3CFA">
      <w:r w:rsidRPr="00B46C5C">
        <w:t>Conditions across the</w:t>
      </w:r>
      <w:r w:rsidR="008049B8">
        <w:t xml:space="preserve"> lower</w:t>
      </w:r>
      <w:r w:rsidRPr="00B46C5C">
        <w:t xml:space="preserve"> </w:t>
      </w:r>
      <w:r w:rsidR="00D94357">
        <w:t xml:space="preserve">and mid Lachlan </w:t>
      </w:r>
      <w:r w:rsidRPr="00B46C5C">
        <w:t>catchment ha</w:t>
      </w:r>
      <w:r>
        <w:t>d</w:t>
      </w:r>
      <w:r w:rsidRPr="00B46C5C">
        <w:t xml:space="preserve"> been</w:t>
      </w:r>
      <w:r>
        <w:t xml:space="preserve"> </w:t>
      </w:r>
      <w:r w:rsidRPr="00B46C5C">
        <w:t>dry since January 2017</w:t>
      </w:r>
      <w:r>
        <w:t xml:space="preserve"> with below average annual rainfall in both 2017 and 2018</w:t>
      </w:r>
      <w:r w:rsidR="00740557">
        <w:t xml:space="preserve"> </w:t>
      </w:r>
      <w:r w:rsidR="00740557">
        <w:fldChar w:fldCharType="begin"/>
      </w:r>
      <w:r w:rsidR="00333CDB">
        <w:instrText xml:space="preserve"> ADDIN EN.CITE &lt;EndNote&gt;&lt;Cite&gt;&lt;Author&gt;Dyer&lt;/Author&gt;&lt;Year&gt;2018&lt;/Year&gt;&lt;RecNum&gt;254&lt;/RecNum&gt;&lt;DisplayText&gt;(Dyer et al. 2018)&lt;/DisplayText&gt;&lt;record&gt;&lt;rec-number&gt;254&lt;/rec-number&gt;&lt;foreign-keys&gt;&lt;key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740557">
        <w:fldChar w:fldCharType="separate"/>
      </w:r>
      <w:r w:rsidR="00333CDB">
        <w:rPr>
          <w:noProof/>
        </w:rPr>
        <w:t>(Dyer et al. 2018)</w:t>
      </w:r>
      <w:r w:rsidR="00740557">
        <w:fldChar w:fldCharType="end"/>
      </w:r>
      <w:r>
        <w:t>. July to September of 2018 was particularly dry</w:t>
      </w:r>
      <w:r w:rsidRPr="00B46C5C">
        <w:t xml:space="preserve">, with </w:t>
      </w:r>
      <w:r>
        <w:t xml:space="preserve">markedly </w:t>
      </w:r>
      <w:r w:rsidRPr="00B46C5C">
        <w:t>lower than average rainfall</w:t>
      </w:r>
      <w:r>
        <w:t xml:space="preserve"> (</w:t>
      </w:r>
      <w:r w:rsidR="00D611F3">
        <w:fldChar w:fldCharType="begin"/>
      </w:r>
      <w:r w:rsidR="00D611F3">
        <w:instrText xml:space="preserve"> REF _Ref18421633 \h </w:instrText>
      </w:r>
      <w:r w:rsidR="00D611F3">
        <w:fldChar w:fldCharType="separate"/>
      </w:r>
      <w:r w:rsidR="007F7607" w:rsidRPr="001A48D7">
        <w:t xml:space="preserve">Figure </w:t>
      </w:r>
      <w:r w:rsidR="007F7607">
        <w:rPr>
          <w:noProof/>
        </w:rPr>
        <w:t>3</w:t>
      </w:r>
      <w:r w:rsidR="00D611F3">
        <w:fldChar w:fldCharType="end"/>
      </w:r>
      <w:r>
        <w:t xml:space="preserve">). October 2018 saw a return to rainfall of a </w:t>
      </w:r>
      <w:r w:rsidR="00D94357">
        <w:t>higher or similar</w:t>
      </w:r>
      <w:r>
        <w:t xml:space="preserve"> magnitude to the long</w:t>
      </w:r>
      <w:r w:rsidR="00740557">
        <w:t>-</w:t>
      </w:r>
      <w:r>
        <w:t>term monthly median (</w:t>
      </w:r>
      <w:r w:rsidR="00D611F3">
        <w:fldChar w:fldCharType="begin"/>
      </w:r>
      <w:r w:rsidR="00D611F3">
        <w:instrText xml:space="preserve"> REF _Ref18421633 \h </w:instrText>
      </w:r>
      <w:r w:rsidR="00D611F3">
        <w:fldChar w:fldCharType="separate"/>
      </w:r>
      <w:r w:rsidR="007F7607" w:rsidRPr="001A48D7">
        <w:t xml:space="preserve">Figure </w:t>
      </w:r>
      <w:r w:rsidR="007F7607">
        <w:rPr>
          <w:noProof/>
        </w:rPr>
        <w:t>3</w:t>
      </w:r>
      <w:r w:rsidR="00D611F3">
        <w:fldChar w:fldCharType="end"/>
      </w:r>
      <w:r>
        <w:t>)</w:t>
      </w:r>
      <w:r w:rsidRPr="00B46C5C">
        <w:t xml:space="preserve">. </w:t>
      </w:r>
    </w:p>
    <w:p w14:paraId="2F32D8D4" w14:textId="77777777" w:rsidR="00284121" w:rsidRDefault="00284121" w:rsidP="002E3CFA">
      <w:pPr>
        <w:rPr>
          <w:noProof/>
        </w:rPr>
      </w:pPr>
    </w:p>
    <w:p w14:paraId="4375AC15" w14:textId="3DB032C9" w:rsidR="002E3CFA" w:rsidRDefault="0069729A" w:rsidP="002E3CFA">
      <w:pPr>
        <w:rPr>
          <w:noProof/>
          <w:lang w:eastAsia="en-AU"/>
        </w:rPr>
      </w:pPr>
      <w:r>
        <w:rPr>
          <w:noProof/>
          <w:lang w:eastAsia="en-AU"/>
        </w:rPr>
        <mc:AlternateContent>
          <mc:Choice Requires="wps">
            <w:drawing>
              <wp:anchor distT="45720" distB="45720" distL="114300" distR="114300" simplePos="0" relativeHeight="251714560" behindDoc="0" locked="0" layoutInCell="1" allowOverlap="1" wp14:anchorId="0E1BF5FD" wp14:editId="7850D7D6">
                <wp:simplePos x="0" y="0"/>
                <wp:positionH relativeFrom="column">
                  <wp:posOffset>482600</wp:posOffset>
                </wp:positionH>
                <wp:positionV relativeFrom="paragraph">
                  <wp:posOffset>125095</wp:posOffset>
                </wp:positionV>
                <wp:extent cx="812800" cy="307910"/>
                <wp:effectExtent l="0" t="0" r="25400" b="1651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307910"/>
                        </a:xfrm>
                        <a:prstGeom prst="rect">
                          <a:avLst/>
                        </a:prstGeom>
                        <a:solidFill>
                          <a:srgbClr val="FFFFFF"/>
                        </a:solidFill>
                        <a:ln w="9525">
                          <a:solidFill>
                            <a:srgbClr val="000000"/>
                          </a:solidFill>
                          <a:miter lim="800000"/>
                          <a:headEnd/>
                          <a:tailEnd/>
                        </a:ln>
                      </wps:spPr>
                      <wps:txbx>
                        <w:txbxContent>
                          <w:p w14:paraId="7E96CA79" w14:textId="4AA06318" w:rsidR="007F7607" w:rsidRPr="0069729A" w:rsidRDefault="007F7607" w:rsidP="0069729A">
                            <w:pPr>
                              <w:spacing w:before="0" w:after="0"/>
                              <w:rPr>
                                <w:sz w:val="22"/>
                                <w:szCs w:val="22"/>
                              </w:rPr>
                            </w:pPr>
                            <w:r w:rsidRPr="0069729A">
                              <w:rPr>
                                <w:sz w:val="22"/>
                                <w:szCs w:val="22"/>
                              </w:rPr>
                              <w:t>a) Forbes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1BF5FD" id="_x0000_t202" coordsize="21600,21600" o:spt="202" path="m,l,21600r21600,l21600,xe">
                <v:stroke joinstyle="miter"/>
                <v:path gradientshapeok="t" o:connecttype="rect"/>
              </v:shapetype>
              <v:shape id="Text Box 2" o:spid="_x0000_s1026" type="#_x0000_t202" style="position:absolute;margin-left:38pt;margin-top:9.85pt;width:64pt;height:24.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">
                <v:textbox>
                  <w:txbxContent>
                    <w:p w14:paraId="7E96CA79" w14:textId="4AA06318" w:rsidR="007F7607" w:rsidRPr="0069729A" w:rsidRDefault="007F7607" w:rsidP="0069729A">
                      <w:pPr>
                        <w:spacing w:before="0" w:after="0"/>
                        <w:rPr>
                          <w:sz w:val="22"/>
                          <w:szCs w:val="22"/>
                        </w:rPr>
                      </w:pPr>
                      <w:r w:rsidRPr="0069729A">
                        <w:rPr>
                          <w:sz w:val="22"/>
                          <w:szCs w:val="22"/>
                        </w:rPr>
                        <w:t>a) Forbes</w:t>
                      </w:r>
                    </w:p>
                  </w:txbxContent>
                </v:textbox>
              </v:shape>
            </w:pict>
          </mc:Fallback>
        </mc:AlternateContent>
      </w:r>
      <w:r w:rsidR="00D94357">
        <w:rPr>
          <w:noProof/>
          <w:lang w:eastAsia="en-AU"/>
        </w:rPr>
        <w:drawing>
          <wp:inline distT="0" distB="0" distL="0" distR="0" wp14:anchorId="61D773BA" wp14:editId="35943B20">
            <wp:extent cx="5219065" cy="26670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t="15089" b="6667"/>
                    <a:stretch/>
                  </pic:blipFill>
                  <pic:spPr bwMode="auto">
                    <a:xfrm>
                      <a:off x="0" y="0"/>
                      <a:ext cx="5220000" cy="2667478"/>
                    </a:xfrm>
                    <a:prstGeom prst="rect">
                      <a:avLst/>
                    </a:prstGeom>
                    <a:noFill/>
                    <a:ln>
                      <a:noFill/>
                    </a:ln>
                    <a:extLst>
                      <a:ext uri="{53640926-AAD7-44D8-BBD7-CCE9431645EC}">
                        <a14:shadowObscured xmlns:a14="http://schemas.microsoft.com/office/drawing/2010/main"/>
                      </a:ext>
                    </a:extLst>
                  </pic:spPr>
                </pic:pic>
              </a:graphicData>
            </a:graphic>
          </wp:inline>
        </w:drawing>
      </w:r>
    </w:p>
    <w:p w14:paraId="3A0FF0C8" w14:textId="5372FDAC" w:rsidR="00D94357" w:rsidRDefault="006D7301" w:rsidP="002E3CFA">
      <w:r>
        <w:rPr>
          <w:noProof/>
          <w:lang w:eastAsia="en-AU"/>
        </w:rPr>
        <mc:AlternateContent>
          <mc:Choice Requires="wps">
            <w:drawing>
              <wp:anchor distT="45720" distB="45720" distL="114300" distR="114300" simplePos="0" relativeHeight="251720704" behindDoc="0" locked="0" layoutInCell="1" allowOverlap="1" wp14:anchorId="7D7A995B" wp14:editId="635A2B26">
                <wp:simplePos x="0" y="0"/>
                <wp:positionH relativeFrom="column">
                  <wp:posOffset>670560</wp:posOffset>
                </wp:positionH>
                <wp:positionV relativeFrom="paragraph">
                  <wp:posOffset>292735</wp:posOffset>
                </wp:positionV>
                <wp:extent cx="899160" cy="307910"/>
                <wp:effectExtent l="0" t="0" r="15240" b="1651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910"/>
                        </a:xfrm>
                        <a:prstGeom prst="rect">
                          <a:avLst/>
                        </a:prstGeom>
                        <a:solidFill>
                          <a:srgbClr val="FFFFFF"/>
                        </a:solidFill>
                        <a:ln w="9525">
                          <a:solidFill>
                            <a:srgbClr val="000000"/>
                          </a:solidFill>
                          <a:miter lim="800000"/>
                          <a:headEnd/>
                          <a:tailEnd/>
                        </a:ln>
                      </wps:spPr>
                      <wps:txbx>
                        <w:txbxContent>
                          <w:p w14:paraId="201647DA" w14:textId="77777777" w:rsidR="007F7607" w:rsidRPr="0069729A" w:rsidRDefault="007F7607" w:rsidP="006D7301">
                            <w:pPr>
                              <w:spacing w:before="0" w:after="0"/>
                              <w:rPr>
                                <w:sz w:val="22"/>
                                <w:szCs w:val="22"/>
                              </w:rPr>
                            </w:pPr>
                            <w:r w:rsidRPr="0069729A">
                              <w:rPr>
                                <w:sz w:val="22"/>
                                <w:szCs w:val="22"/>
                              </w:rPr>
                              <w:t>b</w:t>
                            </w:r>
                            <w:r>
                              <w:rPr>
                                <w:sz w:val="22"/>
                                <w:szCs w:val="22"/>
                              </w:rPr>
                              <w:t>) Hillston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A995B" id="_x0000_s1027" type="#_x0000_t202" style="position:absolute;margin-left:52.8pt;margin-top:23.05pt;width:70.8pt;height:24.2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">
                <v:textbox>
                  <w:txbxContent>
                    <w:p w14:paraId="201647DA" w14:textId="77777777" w:rsidR="007F7607" w:rsidRPr="0069729A" w:rsidRDefault="007F7607" w:rsidP="006D7301">
                      <w:pPr>
                        <w:spacing w:before="0" w:after="0"/>
                        <w:rPr>
                          <w:sz w:val="22"/>
                          <w:szCs w:val="22"/>
                        </w:rPr>
                      </w:pPr>
                      <w:r w:rsidRPr="0069729A">
                        <w:rPr>
                          <w:sz w:val="22"/>
                          <w:szCs w:val="22"/>
                        </w:rPr>
                        <w:t>b</w:t>
                      </w:r>
                      <w:r>
                        <w:rPr>
                          <w:sz w:val="22"/>
                          <w:szCs w:val="22"/>
                        </w:rPr>
                        <w:t>) Hillston</w:t>
                      </w:r>
                    </w:p>
                  </w:txbxContent>
                </v:textbox>
              </v:shape>
            </w:pict>
          </mc:Fallback>
        </mc:AlternateContent>
      </w:r>
      <w:r w:rsidR="0069729A">
        <w:rPr>
          <w:noProof/>
          <w:lang w:eastAsia="en-AU"/>
        </w:rPr>
        <mc:AlternateContent>
          <mc:Choice Requires="wps">
            <w:drawing>
              <wp:anchor distT="45720" distB="45720" distL="114300" distR="114300" simplePos="0" relativeHeight="251716608" behindDoc="0" locked="0" layoutInCell="1" allowOverlap="1" wp14:anchorId="29AABD97" wp14:editId="0E18838D">
                <wp:simplePos x="0" y="0"/>
                <wp:positionH relativeFrom="column">
                  <wp:posOffset>518160</wp:posOffset>
                </wp:positionH>
                <wp:positionV relativeFrom="paragraph">
                  <wp:posOffset>140335</wp:posOffset>
                </wp:positionV>
                <wp:extent cx="899160" cy="307910"/>
                <wp:effectExtent l="0" t="0" r="15240" b="1651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910"/>
                        </a:xfrm>
                        <a:prstGeom prst="rect">
                          <a:avLst/>
                        </a:prstGeom>
                        <a:solidFill>
                          <a:srgbClr val="FFFFFF"/>
                        </a:solidFill>
                        <a:ln w="9525">
                          <a:solidFill>
                            <a:srgbClr val="000000"/>
                          </a:solidFill>
                          <a:miter lim="800000"/>
                          <a:headEnd/>
                          <a:tailEnd/>
                        </a:ln>
                      </wps:spPr>
                      <wps:txbx>
                        <w:txbxContent>
                          <w:p w14:paraId="505CE502" w14:textId="2F858F89" w:rsidR="007F7607" w:rsidRPr="0069729A" w:rsidRDefault="007F7607" w:rsidP="0069729A">
                            <w:pPr>
                              <w:spacing w:before="0" w:after="0"/>
                              <w:rPr>
                                <w:sz w:val="22"/>
                                <w:szCs w:val="22"/>
                              </w:rPr>
                            </w:pPr>
                            <w:r w:rsidRPr="0069729A">
                              <w:rPr>
                                <w:sz w:val="22"/>
                                <w:szCs w:val="22"/>
                              </w:rPr>
                              <w:t>b</w:t>
                            </w:r>
                            <w:r>
                              <w:rPr>
                                <w:sz w:val="22"/>
                                <w:szCs w:val="22"/>
                              </w:rPr>
                              <w:t>) Hillston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ABD97" id="_x0000_s1028" type="#_x0000_t202" style="position:absolute;margin-left:40.8pt;margin-top:11.05pt;width:70.8pt;height:24.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a8JQIAAEs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">
                <v:textbox>
                  <w:txbxContent>
                    <w:p w14:paraId="505CE502" w14:textId="2F858F89" w:rsidR="007F7607" w:rsidRPr="0069729A" w:rsidRDefault="007F7607" w:rsidP="0069729A">
                      <w:pPr>
                        <w:spacing w:before="0" w:after="0"/>
                        <w:rPr>
                          <w:sz w:val="22"/>
                          <w:szCs w:val="22"/>
                        </w:rPr>
                      </w:pPr>
                      <w:r w:rsidRPr="0069729A">
                        <w:rPr>
                          <w:sz w:val="22"/>
                          <w:szCs w:val="22"/>
                        </w:rPr>
                        <w:t>b</w:t>
                      </w:r>
                      <w:r>
                        <w:rPr>
                          <w:sz w:val="22"/>
                          <w:szCs w:val="22"/>
                        </w:rPr>
                        <w:t>) Hillston</w:t>
                      </w:r>
                    </w:p>
                  </w:txbxContent>
                </v:textbox>
              </v:shape>
            </w:pict>
          </mc:Fallback>
        </mc:AlternateContent>
      </w:r>
      <w:r w:rsidR="00D5202A">
        <w:rPr>
          <w:noProof/>
          <w:lang w:eastAsia="en-AU"/>
        </w:rPr>
        <w:drawing>
          <wp:inline distT="0" distB="0" distL="0" distR="0" wp14:anchorId="078E0B06" wp14:editId="6E0E2687">
            <wp:extent cx="5220000" cy="276120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t="12966" b="6052"/>
                    <a:stretch/>
                  </pic:blipFill>
                  <pic:spPr bwMode="auto">
                    <a:xfrm>
                      <a:off x="0" y="0"/>
                      <a:ext cx="5220000" cy="2761200"/>
                    </a:xfrm>
                    <a:prstGeom prst="rect">
                      <a:avLst/>
                    </a:prstGeom>
                    <a:noFill/>
                    <a:ln>
                      <a:noFill/>
                    </a:ln>
                    <a:extLst>
                      <a:ext uri="{53640926-AAD7-44D8-BBD7-CCE9431645EC}">
                        <a14:shadowObscured xmlns:a14="http://schemas.microsoft.com/office/drawing/2010/main"/>
                      </a:ext>
                    </a:extLst>
                  </pic:spPr>
                </pic:pic>
              </a:graphicData>
            </a:graphic>
          </wp:inline>
        </w:drawing>
      </w:r>
    </w:p>
    <w:p w14:paraId="1CCB5B4A" w14:textId="576A9F2E" w:rsidR="00D5202A" w:rsidRDefault="0069729A" w:rsidP="002E3CFA">
      <w:r>
        <w:rPr>
          <w:noProof/>
          <w:lang w:eastAsia="en-AU"/>
        </w:rPr>
        <mc:AlternateContent>
          <mc:Choice Requires="wps">
            <w:drawing>
              <wp:anchor distT="45720" distB="45720" distL="114300" distR="114300" simplePos="0" relativeHeight="251718656" behindDoc="0" locked="0" layoutInCell="1" allowOverlap="1" wp14:anchorId="4A88219B" wp14:editId="7E9E4209">
                <wp:simplePos x="0" y="0"/>
                <wp:positionH relativeFrom="column">
                  <wp:posOffset>482600</wp:posOffset>
                </wp:positionH>
                <wp:positionV relativeFrom="paragraph">
                  <wp:posOffset>123825</wp:posOffset>
                </wp:positionV>
                <wp:extent cx="899160" cy="307910"/>
                <wp:effectExtent l="0" t="0" r="15240" b="165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910"/>
                        </a:xfrm>
                        <a:prstGeom prst="rect">
                          <a:avLst/>
                        </a:prstGeom>
                        <a:solidFill>
                          <a:srgbClr val="FFFFFF"/>
                        </a:solidFill>
                        <a:ln w="9525">
                          <a:solidFill>
                            <a:srgbClr val="000000"/>
                          </a:solidFill>
                          <a:miter lim="800000"/>
                          <a:headEnd/>
                          <a:tailEnd/>
                        </a:ln>
                      </wps:spPr>
                      <wps:txbx>
                        <w:txbxContent>
                          <w:p w14:paraId="4B37548D" w14:textId="1CDC653B" w:rsidR="007F7607" w:rsidRPr="0069729A" w:rsidRDefault="007F7607" w:rsidP="0069729A">
                            <w:pPr>
                              <w:spacing w:before="0" w:after="0"/>
                              <w:rPr>
                                <w:sz w:val="22"/>
                                <w:szCs w:val="22"/>
                              </w:rPr>
                            </w:pPr>
                            <w:r>
                              <w:rPr>
                                <w:sz w:val="22"/>
                                <w:szCs w:val="22"/>
                              </w:rPr>
                              <w:t>c) Booligal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8219B" id="_x0000_s1029" type="#_x0000_t202" style="position:absolute;margin-left:38pt;margin-top:9.75pt;width:70.8pt;height:24.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">
                <v:textbox>
                  <w:txbxContent>
                    <w:p w14:paraId="4B37548D" w14:textId="1CDC653B" w:rsidR="007F7607" w:rsidRPr="0069729A" w:rsidRDefault="007F7607" w:rsidP="0069729A">
                      <w:pPr>
                        <w:spacing w:before="0" w:after="0"/>
                        <w:rPr>
                          <w:sz w:val="22"/>
                          <w:szCs w:val="22"/>
                        </w:rPr>
                      </w:pPr>
                      <w:r>
                        <w:rPr>
                          <w:sz w:val="22"/>
                          <w:szCs w:val="22"/>
                        </w:rPr>
                        <w:t>c) Booligal</w:t>
                      </w:r>
                    </w:p>
                  </w:txbxContent>
                </v:textbox>
              </v:shape>
            </w:pict>
          </mc:Fallback>
        </mc:AlternateContent>
      </w:r>
      <w:r w:rsidR="00D5202A">
        <w:rPr>
          <w:noProof/>
          <w:lang w:eastAsia="en-AU"/>
        </w:rPr>
        <w:drawing>
          <wp:inline distT="0" distB="0" distL="0" distR="0" wp14:anchorId="61CD7ABC" wp14:editId="2FE90965">
            <wp:extent cx="5220000" cy="288360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t="15347"/>
                    <a:stretch/>
                  </pic:blipFill>
                  <pic:spPr bwMode="auto">
                    <a:xfrm>
                      <a:off x="0" y="0"/>
                      <a:ext cx="5220000" cy="2883600"/>
                    </a:xfrm>
                    <a:prstGeom prst="rect">
                      <a:avLst/>
                    </a:prstGeom>
                    <a:noFill/>
                    <a:ln>
                      <a:noFill/>
                    </a:ln>
                    <a:extLst>
                      <a:ext uri="{53640926-AAD7-44D8-BBD7-CCE9431645EC}">
                        <a14:shadowObscured xmlns:a14="http://schemas.microsoft.com/office/drawing/2010/main"/>
                      </a:ext>
                    </a:extLst>
                  </pic:spPr>
                </pic:pic>
              </a:graphicData>
            </a:graphic>
          </wp:inline>
        </w:drawing>
      </w:r>
    </w:p>
    <w:p w14:paraId="0945074A" w14:textId="77777777" w:rsidR="00D5202A" w:rsidRPr="00D5202A" w:rsidRDefault="00D5202A" w:rsidP="002E3CFA">
      <w:pPr>
        <w:rPr>
          <w:sz w:val="16"/>
          <w:szCs w:val="16"/>
        </w:rPr>
      </w:pPr>
    </w:p>
    <w:p w14:paraId="5F9D6FA2" w14:textId="096BA4D5" w:rsidR="002E3CFA" w:rsidRPr="001A48D7" w:rsidRDefault="002E3CFA" w:rsidP="002E3CFA">
      <w:pPr>
        <w:pStyle w:val="Caption"/>
      </w:pPr>
      <w:bookmarkStart w:id="34" w:name="_Ref18421633"/>
      <w:bookmarkStart w:id="35" w:name="_Ref18660218"/>
      <w:bookmarkStart w:id="36" w:name="_Ref18669431"/>
      <w:bookmarkStart w:id="37" w:name="_Toc31985567"/>
      <w:r w:rsidRPr="001A48D7">
        <w:t xml:space="preserve">Figure </w:t>
      </w:r>
      <w:r>
        <w:rPr>
          <w:noProof/>
        </w:rPr>
        <w:fldChar w:fldCharType="begin"/>
      </w:r>
      <w:r>
        <w:rPr>
          <w:noProof/>
        </w:rPr>
        <w:instrText xml:space="preserve"> SEQ Figure \* ARABIC </w:instrText>
      </w:r>
      <w:r>
        <w:rPr>
          <w:noProof/>
        </w:rPr>
        <w:fldChar w:fldCharType="separate"/>
      </w:r>
      <w:r w:rsidR="007F7607">
        <w:rPr>
          <w:noProof/>
        </w:rPr>
        <w:t>3</w:t>
      </w:r>
      <w:r>
        <w:rPr>
          <w:noProof/>
        </w:rPr>
        <w:fldChar w:fldCharType="end"/>
      </w:r>
      <w:bookmarkEnd w:id="34"/>
      <w:r w:rsidRPr="001A48D7">
        <w:t xml:space="preserve">. Monthly rainfall at </w:t>
      </w:r>
      <w:r w:rsidR="0069729A">
        <w:t xml:space="preserve">a) </w:t>
      </w:r>
      <w:r w:rsidR="00D94357">
        <w:t xml:space="preserve">Forbes Airport (065103), </w:t>
      </w:r>
      <w:r w:rsidR="00081458">
        <w:t xml:space="preserve">b) </w:t>
      </w:r>
      <w:r w:rsidRPr="001A48D7">
        <w:t>Hillston Airport (075032)</w:t>
      </w:r>
      <w:r w:rsidR="00081458">
        <w:t xml:space="preserve"> and c) </w:t>
      </w:r>
      <w:r w:rsidRPr="001A48D7">
        <w:t>Booligal (075007) during 201</w:t>
      </w:r>
      <w:r>
        <w:t>8</w:t>
      </w:r>
      <w:r w:rsidRPr="001A48D7">
        <w:t>-1</w:t>
      </w:r>
      <w:r>
        <w:t>9</w:t>
      </w:r>
      <w:r w:rsidRPr="001A48D7">
        <w:t xml:space="preserve"> compared with the mean</w:t>
      </w:r>
      <w:r w:rsidR="005E70AA">
        <w:t xml:space="preserve"> and </w:t>
      </w:r>
      <w:r w:rsidRPr="001A48D7">
        <w:t>median</w:t>
      </w:r>
      <w:r w:rsidR="005E70AA">
        <w:t xml:space="preserve"> </w:t>
      </w:r>
      <w:r w:rsidRPr="001A48D7">
        <w:t>rainfall for the entire period of record</w:t>
      </w:r>
      <w:bookmarkEnd w:id="35"/>
      <w:bookmarkEnd w:id="36"/>
      <w:r w:rsidR="005E70AA">
        <w:t>, and daily highest rainfall events per month.</w:t>
      </w:r>
      <w:bookmarkEnd w:id="37"/>
    </w:p>
    <w:p w14:paraId="4178047C" w14:textId="77777777" w:rsidR="00D94357" w:rsidRDefault="002E3CFA" w:rsidP="009C66BE">
      <w:pPr>
        <w:pStyle w:val="Caption"/>
        <w:spacing w:before="40" w:after="40"/>
      </w:pPr>
      <w:r w:rsidRPr="001A48D7">
        <w:t>Data sourced from Climate Data Online, Bureau of Meteorology.</w:t>
      </w:r>
    </w:p>
    <w:p w14:paraId="13BE8F21" w14:textId="2D96EA86" w:rsidR="003B7337" w:rsidRPr="003B7337" w:rsidRDefault="00D94357" w:rsidP="009C66BE">
      <w:pPr>
        <w:pStyle w:val="Caption"/>
        <w:spacing w:before="40" w:after="40"/>
      </w:pPr>
      <w:r>
        <w:t>Note</w:t>
      </w:r>
      <w:r w:rsidR="00081458">
        <w:t>:</w:t>
      </w:r>
      <w:r>
        <w:t xml:space="preserve"> </w:t>
      </w:r>
      <w:r w:rsidR="00081458">
        <w:t xml:space="preserve">a) </w:t>
      </w:r>
      <w:r>
        <w:t>Forbes on larger scale.</w:t>
      </w:r>
    </w:p>
    <w:p w14:paraId="41B9D5A2" w14:textId="0ACD7E3F" w:rsidR="002E3CFA" w:rsidRDefault="002E3CFA" w:rsidP="002E3CFA">
      <w:r>
        <w:t>Temperatures were generally 1-2 degrees above average throughout 2018-19 (</w:t>
      </w:r>
      <w:r w:rsidR="00D611F3">
        <w:fldChar w:fldCharType="begin"/>
      </w:r>
      <w:r w:rsidR="00D611F3">
        <w:instrText xml:space="preserve"> REF _Ref18421672 \h </w:instrText>
      </w:r>
      <w:r w:rsidR="00D611F3">
        <w:fldChar w:fldCharType="separate"/>
      </w:r>
      <w:r w:rsidR="007F7607">
        <w:t xml:space="preserve">Figure </w:t>
      </w:r>
      <w:r w:rsidR="007F7607">
        <w:rPr>
          <w:noProof/>
        </w:rPr>
        <w:t>4</w:t>
      </w:r>
      <w:r w:rsidR="00D611F3">
        <w:fldChar w:fldCharType="end"/>
      </w:r>
      <w:r>
        <w:t xml:space="preserve">). They were markedly warner during summer with average daily January temperatures 5 degrees above the long-term average. </w:t>
      </w:r>
    </w:p>
    <w:p w14:paraId="3931A806" w14:textId="77777777" w:rsidR="00891B32" w:rsidRDefault="00891B32" w:rsidP="002E3CFA">
      <w:pPr>
        <w:rPr>
          <w:noProof/>
        </w:rPr>
      </w:pPr>
    </w:p>
    <w:p w14:paraId="3328E22C" w14:textId="4B33F4D2" w:rsidR="00E90C1A" w:rsidRDefault="006D7301" w:rsidP="002E3CFA">
      <w:r>
        <w:rPr>
          <w:noProof/>
          <w:lang w:eastAsia="en-AU"/>
        </w:rPr>
        <mc:AlternateContent>
          <mc:Choice Requires="wps">
            <w:drawing>
              <wp:anchor distT="45720" distB="45720" distL="114300" distR="114300" simplePos="0" relativeHeight="251724800" behindDoc="0" locked="0" layoutInCell="1" allowOverlap="1" wp14:anchorId="42238D39" wp14:editId="5863DFE2">
                <wp:simplePos x="0" y="0"/>
                <wp:positionH relativeFrom="column">
                  <wp:posOffset>533400</wp:posOffset>
                </wp:positionH>
                <wp:positionV relativeFrom="paragraph">
                  <wp:posOffset>325120</wp:posOffset>
                </wp:positionV>
                <wp:extent cx="899160" cy="307910"/>
                <wp:effectExtent l="0" t="0" r="15240" b="1651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910"/>
                        </a:xfrm>
                        <a:prstGeom prst="rect">
                          <a:avLst/>
                        </a:prstGeom>
                        <a:solidFill>
                          <a:srgbClr val="FFFFFF"/>
                        </a:solidFill>
                        <a:ln w="9525">
                          <a:solidFill>
                            <a:srgbClr val="000000"/>
                          </a:solidFill>
                          <a:miter lim="800000"/>
                          <a:headEnd/>
                          <a:tailEnd/>
                        </a:ln>
                      </wps:spPr>
                      <wps:txbx>
                        <w:txbxContent>
                          <w:p w14:paraId="4929ADB1" w14:textId="42E5AA5B" w:rsidR="007F7607" w:rsidRPr="0069729A" w:rsidRDefault="007F7607" w:rsidP="006D7301">
                            <w:pPr>
                              <w:spacing w:before="0" w:after="0"/>
                              <w:rPr>
                                <w:sz w:val="22"/>
                                <w:szCs w:val="22"/>
                              </w:rPr>
                            </w:pPr>
                            <w:r>
                              <w:rPr>
                                <w:sz w:val="22"/>
                                <w:szCs w:val="22"/>
                              </w:rPr>
                              <w:t>a) Forbes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38D39" id="_x0000_s1030" type="#_x0000_t202" style="position:absolute;margin-left:42pt;margin-top:25.6pt;width:70.8pt;height:24.2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">
                <v:textbox>
                  <w:txbxContent>
                    <w:p w14:paraId="4929ADB1" w14:textId="42E5AA5B" w:rsidR="007F7607" w:rsidRPr="0069729A" w:rsidRDefault="007F7607" w:rsidP="006D7301">
                      <w:pPr>
                        <w:spacing w:before="0" w:after="0"/>
                        <w:rPr>
                          <w:sz w:val="22"/>
                          <w:szCs w:val="22"/>
                        </w:rPr>
                      </w:pPr>
                      <w:r>
                        <w:rPr>
                          <w:sz w:val="22"/>
                          <w:szCs w:val="22"/>
                        </w:rPr>
                        <w:t>a) Forbes</w:t>
                      </w:r>
                    </w:p>
                  </w:txbxContent>
                </v:textbox>
              </v:shape>
            </w:pict>
          </mc:Fallback>
        </mc:AlternateContent>
      </w:r>
      <w:r w:rsidR="00E90C1A">
        <w:rPr>
          <w:noProof/>
          <w:lang w:eastAsia="en-AU"/>
        </w:rPr>
        <w:drawing>
          <wp:inline distT="0" distB="0" distL="0" distR="0" wp14:anchorId="746D5E09" wp14:editId="4DE52F14">
            <wp:extent cx="5399120" cy="308610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400000" cy="3086603"/>
                    </a:xfrm>
                    <a:prstGeom prst="rect">
                      <a:avLst/>
                    </a:prstGeom>
                    <a:noFill/>
                    <a:ln>
                      <a:noFill/>
                    </a:ln>
                    <a:extLst>
                      <a:ext uri="{53640926-AAD7-44D8-BBD7-CCE9431645EC}">
                        <a14:shadowObscured xmlns:a14="http://schemas.microsoft.com/office/drawing/2010/main"/>
                      </a:ext>
                    </a:extLst>
                  </pic:spPr>
                </pic:pic>
              </a:graphicData>
            </a:graphic>
          </wp:inline>
        </w:drawing>
      </w:r>
    </w:p>
    <w:p w14:paraId="039393FC" w14:textId="44BE14E2" w:rsidR="00891B32" w:rsidRPr="00E852E5" w:rsidRDefault="006D7301" w:rsidP="002E3CFA">
      <w:r>
        <w:rPr>
          <w:noProof/>
          <w:lang w:eastAsia="en-AU"/>
        </w:rPr>
        <mc:AlternateContent>
          <mc:Choice Requires="wps">
            <w:drawing>
              <wp:anchor distT="45720" distB="45720" distL="114300" distR="114300" simplePos="0" relativeHeight="251722752" behindDoc="0" locked="0" layoutInCell="1" allowOverlap="1" wp14:anchorId="7E33F794" wp14:editId="5F5081A7">
                <wp:simplePos x="0" y="0"/>
                <wp:positionH relativeFrom="column">
                  <wp:posOffset>538480</wp:posOffset>
                </wp:positionH>
                <wp:positionV relativeFrom="paragraph">
                  <wp:posOffset>327025</wp:posOffset>
                </wp:positionV>
                <wp:extent cx="899160" cy="307910"/>
                <wp:effectExtent l="0" t="0" r="15240" b="1651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910"/>
                        </a:xfrm>
                        <a:prstGeom prst="rect">
                          <a:avLst/>
                        </a:prstGeom>
                        <a:solidFill>
                          <a:srgbClr val="FFFFFF"/>
                        </a:solidFill>
                        <a:ln w="9525">
                          <a:solidFill>
                            <a:srgbClr val="000000"/>
                          </a:solidFill>
                          <a:miter lim="800000"/>
                          <a:headEnd/>
                          <a:tailEnd/>
                        </a:ln>
                      </wps:spPr>
                      <wps:txbx>
                        <w:txbxContent>
                          <w:p w14:paraId="0F58FCD8" w14:textId="77777777" w:rsidR="007F7607" w:rsidRPr="0069729A" w:rsidRDefault="007F7607" w:rsidP="006D7301">
                            <w:pPr>
                              <w:spacing w:before="0" w:after="0"/>
                              <w:rPr>
                                <w:sz w:val="22"/>
                                <w:szCs w:val="22"/>
                              </w:rPr>
                            </w:pPr>
                            <w:r w:rsidRPr="0069729A">
                              <w:rPr>
                                <w:sz w:val="22"/>
                                <w:szCs w:val="22"/>
                              </w:rPr>
                              <w:t>b</w:t>
                            </w:r>
                            <w:r>
                              <w:rPr>
                                <w:sz w:val="22"/>
                                <w:szCs w:val="22"/>
                              </w:rPr>
                              <w:t>) Hillston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3F794" id="_x0000_s1031" type="#_x0000_t202" style="position:absolute;margin-left:42.4pt;margin-top:25.75pt;width:70.8pt;height:24.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">
                <v:textbox>
                  <w:txbxContent>
                    <w:p w14:paraId="0F58FCD8" w14:textId="77777777" w:rsidR="007F7607" w:rsidRPr="0069729A" w:rsidRDefault="007F7607" w:rsidP="006D7301">
                      <w:pPr>
                        <w:spacing w:before="0" w:after="0"/>
                        <w:rPr>
                          <w:sz w:val="22"/>
                          <w:szCs w:val="22"/>
                        </w:rPr>
                      </w:pPr>
                      <w:r w:rsidRPr="0069729A">
                        <w:rPr>
                          <w:sz w:val="22"/>
                          <w:szCs w:val="22"/>
                        </w:rPr>
                        <w:t>b</w:t>
                      </w:r>
                      <w:r>
                        <w:rPr>
                          <w:sz w:val="22"/>
                          <w:szCs w:val="22"/>
                        </w:rPr>
                        <w:t>) Hillston</w:t>
                      </w:r>
                    </w:p>
                  </w:txbxContent>
                </v:textbox>
              </v:shape>
            </w:pict>
          </mc:Fallback>
        </mc:AlternateContent>
      </w:r>
      <w:r w:rsidR="00891B32">
        <w:rPr>
          <w:noProof/>
          <w:lang w:eastAsia="en-AU"/>
        </w:rPr>
        <w:drawing>
          <wp:inline distT="0" distB="0" distL="0" distR="0" wp14:anchorId="4D5196D0" wp14:editId="7026EBED">
            <wp:extent cx="5400000" cy="3528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400000" cy="3528000"/>
                    </a:xfrm>
                    <a:prstGeom prst="rect">
                      <a:avLst/>
                    </a:prstGeom>
                    <a:noFill/>
                  </pic:spPr>
                </pic:pic>
              </a:graphicData>
            </a:graphic>
          </wp:inline>
        </w:drawing>
      </w:r>
    </w:p>
    <w:p w14:paraId="1B8905B5" w14:textId="3C0AEA05" w:rsidR="002E3CFA" w:rsidRPr="00634567" w:rsidRDefault="002E3CFA" w:rsidP="00634567">
      <w:pPr>
        <w:pStyle w:val="Caption"/>
      </w:pPr>
      <w:bookmarkStart w:id="38" w:name="_Ref18421672"/>
      <w:bookmarkStart w:id="39" w:name="_Toc31985568"/>
      <w:r>
        <w:t xml:space="preserve">Figure </w:t>
      </w:r>
      <w:r>
        <w:rPr>
          <w:noProof/>
        </w:rPr>
        <w:fldChar w:fldCharType="begin"/>
      </w:r>
      <w:r>
        <w:rPr>
          <w:noProof/>
        </w:rPr>
        <w:instrText xml:space="preserve"> SEQ Figure \* ARABIC </w:instrText>
      </w:r>
      <w:r>
        <w:rPr>
          <w:noProof/>
        </w:rPr>
        <w:fldChar w:fldCharType="separate"/>
      </w:r>
      <w:r w:rsidR="007F7607">
        <w:rPr>
          <w:noProof/>
        </w:rPr>
        <w:t>4</w:t>
      </w:r>
      <w:r>
        <w:rPr>
          <w:noProof/>
        </w:rPr>
        <w:fldChar w:fldCharType="end"/>
      </w:r>
      <w:bookmarkEnd w:id="38"/>
      <w:r>
        <w:t xml:space="preserve">. </w:t>
      </w:r>
      <w:r w:rsidR="003B7337">
        <w:t>Monthly a</w:t>
      </w:r>
      <w:r>
        <w:t xml:space="preserve">verage daily maximum and minimum temperatures for </w:t>
      </w:r>
      <w:r w:rsidR="006D7301">
        <w:t xml:space="preserve">a) Forbes Airport (065103), b) </w:t>
      </w:r>
      <w:r w:rsidR="006D7301" w:rsidRPr="001A48D7">
        <w:t>Hillston Airport (075032)</w:t>
      </w:r>
      <w:r w:rsidR="006D7301">
        <w:t xml:space="preserve"> </w:t>
      </w:r>
      <w:r>
        <w:t>during 2018-19 compared with the long</w:t>
      </w:r>
      <w:r w:rsidR="005E70AA">
        <w:t>-</w:t>
      </w:r>
      <w:r>
        <w:t>term average daily maximum and minimum temperatures.</w:t>
      </w:r>
      <w:bookmarkEnd w:id="39"/>
      <w:r w:rsidRPr="00634567">
        <w:rPr>
          <w:rFonts w:eastAsia="MS Mincho"/>
        </w:rPr>
        <w:br w:type="page"/>
      </w:r>
    </w:p>
    <w:p w14:paraId="1113B171" w14:textId="03D899C1" w:rsidR="00634567" w:rsidRDefault="00634567" w:rsidP="00634567">
      <w:pPr>
        <w:pStyle w:val="Heading2"/>
      </w:pPr>
      <w:bookmarkStart w:id="40" w:name="_Toc31985441"/>
      <w:r w:rsidRPr="00634567">
        <w:t>E</w:t>
      </w:r>
      <w:r w:rsidR="00891B32">
        <w:rPr>
          <w:lang w:val="en-AU"/>
        </w:rPr>
        <w:t>nviromental water holdings</w:t>
      </w:r>
      <w:bookmarkEnd w:id="40"/>
    </w:p>
    <w:p w14:paraId="6FB27A46" w14:textId="10775A51" w:rsidR="00634567" w:rsidRPr="001456A1" w:rsidRDefault="00634567" w:rsidP="00634567">
      <w:r w:rsidRPr="00E852E5">
        <w:rPr>
          <w:lang w:eastAsia="x-none"/>
        </w:rPr>
        <w:t xml:space="preserve">Environmental water has been allocated to the Lachlan River since 1992 (from NSW) and more recently the river system has received Commonwealth environmental water. Thus, </w:t>
      </w:r>
      <w:r w:rsidRPr="00E852E5">
        <w:t>environmental water for the Lachlan River comprises both Commonwealth government holdings of water entitlements (Commonwealth environmental water) and NSW government-held licensed environmental water (NSW environmental water holdings)</w:t>
      </w:r>
      <w:r>
        <w:t xml:space="preserve"> and planned water under the Lachlan Regulated Water Sharing Plan (</w:t>
      </w:r>
      <w:r w:rsidRPr="00DB4E54">
        <w:t>https://legislation.nsw.gov.au/#/view/regulation/2016/365/full</w:t>
      </w:r>
      <w:r>
        <w:t>)</w:t>
      </w:r>
      <w:r w:rsidRPr="00E852E5">
        <w:t xml:space="preserve">. </w:t>
      </w:r>
      <w:r>
        <w:t xml:space="preserve">Commonwealth water holdings have been </w:t>
      </w:r>
      <w:r w:rsidRPr="0006138E">
        <w:t>consistent since 2014-15</w:t>
      </w:r>
      <w:r>
        <w:t xml:space="preserve"> and </w:t>
      </w:r>
      <w:r w:rsidRPr="00E852E5">
        <w:t>at the beginning of the 201</w:t>
      </w:r>
      <w:r>
        <w:t>8</w:t>
      </w:r>
      <w:r w:rsidRPr="00E852E5">
        <w:t>-1</w:t>
      </w:r>
      <w:r>
        <w:t>9</w:t>
      </w:r>
      <w:r w:rsidRPr="00E852E5">
        <w:t xml:space="preserve"> water </w:t>
      </w:r>
      <w:r w:rsidRPr="001456A1">
        <w:t>year, the Commonwealth gover</w:t>
      </w:r>
      <w:r>
        <w:t>nment held a total of almost 87 </w:t>
      </w:r>
      <w:r w:rsidRPr="001456A1">
        <w:t>856 ML in entitlement (</w:t>
      </w:r>
      <w:r>
        <w:fldChar w:fldCharType="begin"/>
      </w:r>
      <w:r>
        <w:instrText xml:space="preserve"> REF _Ref18421694 \h </w:instrText>
      </w:r>
      <w:r>
        <w:fldChar w:fldCharType="separate"/>
      </w:r>
      <w:r w:rsidR="007F7607" w:rsidRPr="00E852E5">
        <w:t xml:space="preserve">Table </w:t>
      </w:r>
      <w:r w:rsidR="007F7607">
        <w:rPr>
          <w:noProof/>
        </w:rPr>
        <w:t>1</w:t>
      </w:r>
      <w:r>
        <w:fldChar w:fldCharType="end"/>
      </w:r>
      <w:r w:rsidRPr="001456A1">
        <w:t>).</w:t>
      </w:r>
    </w:p>
    <w:p w14:paraId="2D09BEB3" w14:textId="77777777" w:rsidR="00634567" w:rsidRPr="001456A1" w:rsidRDefault="00634567" w:rsidP="00634567"/>
    <w:p w14:paraId="69E5A8D3" w14:textId="186E5CDC" w:rsidR="00634567" w:rsidRPr="00E852E5" w:rsidRDefault="00634567" w:rsidP="00634567">
      <w:pPr>
        <w:pStyle w:val="Caption"/>
      </w:pPr>
      <w:bookmarkStart w:id="41" w:name="_Ref18421694"/>
      <w:bookmarkStart w:id="42" w:name="_Ref17975792"/>
      <w:bookmarkStart w:id="43" w:name="_Toc31985668"/>
      <w:r w:rsidRPr="00E852E5">
        <w:t xml:space="preserve">Table </w:t>
      </w:r>
      <w:r>
        <w:rPr>
          <w:noProof/>
        </w:rPr>
        <w:fldChar w:fldCharType="begin"/>
      </w:r>
      <w:r>
        <w:rPr>
          <w:noProof/>
        </w:rPr>
        <w:instrText xml:space="preserve"> SEQ Table \* ARABIC </w:instrText>
      </w:r>
      <w:r>
        <w:rPr>
          <w:noProof/>
        </w:rPr>
        <w:fldChar w:fldCharType="separate"/>
      </w:r>
      <w:r w:rsidR="007F7607">
        <w:rPr>
          <w:noProof/>
        </w:rPr>
        <w:t>1</w:t>
      </w:r>
      <w:r>
        <w:rPr>
          <w:noProof/>
        </w:rPr>
        <w:fldChar w:fldCharType="end"/>
      </w:r>
      <w:bookmarkEnd w:id="41"/>
      <w:r w:rsidRPr="00E852E5">
        <w:t>. Environmental water holdings in the Lachlan River Valley as at 1 July 201</w:t>
      </w:r>
      <w:r>
        <w:t>8</w:t>
      </w:r>
      <w:r w:rsidRPr="00E852E5">
        <w:t>.</w:t>
      </w:r>
      <w:bookmarkEnd w:id="42"/>
      <w:bookmarkEnd w:id="43"/>
      <w:r w:rsidRPr="00E852E5">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376"/>
        <w:gridCol w:w="2032"/>
        <w:gridCol w:w="2032"/>
        <w:gridCol w:w="2032"/>
      </w:tblGrid>
      <w:tr w:rsidR="00634567" w:rsidRPr="005F6948" w14:paraId="766F2EC3" w14:textId="77777777" w:rsidTr="0046151C">
        <w:tc>
          <w:tcPr>
            <w:tcW w:w="2376" w:type="dxa"/>
            <w:tcBorders>
              <w:bottom w:val="single" w:sz="18" w:space="0" w:color="FFFFFF"/>
              <w:right w:val="single" w:sz="18" w:space="0" w:color="FFFFFF"/>
            </w:tcBorders>
            <w:shd w:val="clear" w:color="auto" w:fill="9BBB59"/>
          </w:tcPr>
          <w:p w14:paraId="2A8A91A7" w14:textId="77777777" w:rsidR="00634567" w:rsidRPr="005F6948" w:rsidRDefault="00634567" w:rsidP="0046151C">
            <w:pPr>
              <w:spacing w:before="40" w:after="40"/>
              <w:rPr>
                <w:b/>
                <w:bCs/>
                <w:color w:val="FFFFFF" w:themeColor="background1"/>
                <w:sz w:val="18"/>
                <w:szCs w:val="18"/>
              </w:rPr>
            </w:pPr>
          </w:p>
        </w:tc>
        <w:tc>
          <w:tcPr>
            <w:tcW w:w="6096" w:type="dxa"/>
            <w:gridSpan w:val="3"/>
            <w:tcBorders>
              <w:left w:val="single" w:sz="18" w:space="0" w:color="FFFFFF"/>
              <w:bottom w:val="single" w:sz="18" w:space="0" w:color="FFFFFF"/>
            </w:tcBorders>
            <w:shd w:val="clear" w:color="auto" w:fill="9BBB59"/>
          </w:tcPr>
          <w:p w14:paraId="210275D5" w14:textId="77777777" w:rsidR="00634567" w:rsidRPr="005F6948" w:rsidRDefault="00634567" w:rsidP="0046151C">
            <w:pPr>
              <w:spacing w:before="40" w:after="40"/>
              <w:rPr>
                <w:b/>
                <w:bCs/>
                <w:color w:val="FFFFFF" w:themeColor="background1"/>
                <w:sz w:val="18"/>
                <w:szCs w:val="18"/>
              </w:rPr>
            </w:pPr>
            <w:r w:rsidRPr="005F6948">
              <w:rPr>
                <w:b/>
                <w:bCs/>
                <w:color w:val="FFFFFF" w:themeColor="background1"/>
                <w:sz w:val="18"/>
                <w:szCs w:val="18"/>
              </w:rPr>
              <w:t>WATER HOLDINGS (ML) BY ENTITLEMENT TYPE</w:t>
            </w:r>
          </w:p>
        </w:tc>
      </w:tr>
      <w:tr w:rsidR="00634567" w:rsidRPr="00B467F2" w14:paraId="2A459956" w14:textId="77777777" w:rsidTr="0046151C">
        <w:tc>
          <w:tcPr>
            <w:tcW w:w="2376" w:type="dxa"/>
            <w:tcBorders>
              <w:top w:val="single" w:sz="18" w:space="0" w:color="FFFFFF"/>
              <w:right w:val="single" w:sz="18" w:space="0" w:color="FFFFFF"/>
            </w:tcBorders>
            <w:shd w:val="clear" w:color="auto" w:fill="9BBB59"/>
          </w:tcPr>
          <w:p w14:paraId="2261EC7F" w14:textId="77777777" w:rsidR="00634567" w:rsidRPr="005F6948" w:rsidRDefault="00634567" w:rsidP="0046151C">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WATER HOLDER</w:t>
            </w:r>
          </w:p>
        </w:tc>
        <w:tc>
          <w:tcPr>
            <w:tcW w:w="2032" w:type="dxa"/>
            <w:tcBorders>
              <w:top w:val="single" w:sz="18" w:space="0" w:color="FFFFFF"/>
              <w:left w:val="single" w:sz="18" w:space="0" w:color="FFFFFF"/>
            </w:tcBorders>
            <w:shd w:val="clear" w:color="auto" w:fill="EAF1DD"/>
          </w:tcPr>
          <w:p w14:paraId="21BA8F24" w14:textId="77777777" w:rsidR="00634567" w:rsidRPr="005F6948" w:rsidRDefault="00634567" w:rsidP="0046151C">
            <w:pPr>
              <w:spacing w:before="40" w:after="40"/>
              <w:jc w:val="center"/>
              <w:rPr>
                <w:sz w:val="18"/>
                <w:szCs w:val="18"/>
              </w:rPr>
            </w:pPr>
            <w:r w:rsidRPr="005F6948">
              <w:rPr>
                <w:sz w:val="18"/>
                <w:szCs w:val="18"/>
              </w:rPr>
              <w:t>HIGH SECURITY</w:t>
            </w:r>
          </w:p>
        </w:tc>
        <w:tc>
          <w:tcPr>
            <w:tcW w:w="2032" w:type="dxa"/>
            <w:tcBorders>
              <w:top w:val="single" w:sz="18" w:space="0" w:color="FFFFFF"/>
            </w:tcBorders>
            <w:shd w:val="clear" w:color="auto" w:fill="EAF1DD"/>
          </w:tcPr>
          <w:p w14:paraId="0D122B1A" w14:textId="77777777" w:rsidR="00634567" w:rsidRPr="005F6948" w:rsidRDefault="00634567" w:rsidP="0046151C">
            <w:pPr>
              <w:spacing w:before="40" w:after="40"/>
              <w:jc w:val="center"/>
              <w:rPr>
                <w:sz w:val="18"/>
                <w:szCs w:val="18"/>
              </w:rPr>
            </w:pPr>
            <w:r w:rsidRPr="005F6948">
              <w:rPr>
                <w:sz w:val="18"/>
                <w:szCs w:val="18"/>
              </w:rPr>
              <w:t>GENERAL SECURITY</w:t>
            </w:r>
          </w:p>
        </w:tc>
        <w:tc>
          <w:tcPr>
            <w:tcW w:w="2032" w:type="dxa"/>
            <w:tcBorders>
              <w:top w:val="single" w:sz="18" w:space="0" w:color="FFFFFF"/>
            </w:tcBorders>
            <w:shd w:val="clear" w:color="auto" w:fill="EAF1DD"/>
          </w:tcPr>
          <w:p w14:paraId="0D0C41D1" w14:textId="77777777" w:rsidR="00634567" w:rsidRPr="005F6948" w:rsidRDefault="00634567" w:rsidP="0046151C">
            <w:pPr>
              <w:spacing w:before="40" w:after="40"/>
              <w:jc w:val="center"/>
              <w:rPr>
                <w:b/>
                <w:sz w:val="18"/>
                <w:szCs w:val="18"/>
              </w:rPr>
            </w:pPr>
            <w:r w:rsidRPr="005F6948">
              <w:rPr>
                <w:b/>
                <w:sz w:val="18"/>
                <w:szCs w:val="18"/>
              </w:rPr>
              <w:t>TOTAL</w:t>
            </w:r>
          </w:p>
        </w:tc>
      </w:tr>
      <w:tr w:rsidR="00634567" w:rsidRPr="00B467F2" w14:paraId="73C6328C" w14:textId="77777777" w:rsidTr="0046151C">
        <w:tc>
          <w:tcPr>
            <w:tcW w:w="2376" w:type="dxa"/>
            <w:tcBorders>
              <w:right w:val="single" w:sz="18" w:space="0" w:color="FFFFFF"/>
            </w:tcBorders>
            <w:shd w:val="clear" w:color="auto" w:fill="9BBB59"/>
          </w:tcPr>
          <w:p w14:paraId="4B184ABD" w14:textId="77777777" w:rsidR="00634567" w:rsidRPr="005F6948" w:rsidRDefault="00634567" w:rsidP="0046151C">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CEWH</w:t>
            </w:r>
          </w:p>
        </w:tc>
        <w:tc>
          <w:tcPr>
            <w:tcW w:w="2032" w:type="dxa"/>
            <w:tcBorders>
              <w:left w:val="single" w:sz="18" w:space="0" w:color="FFFFFF"/>
            </w:tcBorders>
            <w:shd w:val="clear" w:color="auto" w:fill="EAF1DD"/>
          </w:tcPr>
          <w:p w14:paraId="7DF80DF9" w14:textId="77777777" w:rsidR="00634567" w:rsidRPr="005F6948" w:rsidRDefault="00634567" w:rsidP="0046151C">
            <w:pPr>
              <w:spacing w:before="40" w:after="40"/>
              <w:jc w:val="center"/>
              <w:rPr>
                <w:sz w:val="18"/>
                <w:szCs w:val="18"/>
              </w:rPr>
            </w:pPr>
            <w:r w:rsidRPr="005F6948">
              <w:rPr>
                <w:sz w:val="18"/>
                <w:szCs w:val="18"/>
              </w:rPr>
              <w:t>933</w:t>
            </w:r>
          </w:p>
        </w:tc>
        <w:tc>
          <w:tcPr>
            <w:tcW w:w="2032" w:type="dxa"/>
            <w:shd w:val="clear" w:color="auto" w:fill="EAF1DD"/>
          </w:tcPr>
          <w:p w14:paraId="303CF714" w14:textId="77777777" w:rsidR="00634567" w:rsidRPr="005F6948" w:rsidRDefault="00634567" w:rsidP="0046151C">
            <w:pPr>
              <w:spacing w:before="40" w:after="40"/>
              <w:jc w:val="center"/>
              <w:rPr>
                <w:sz w:val="18"/>
                <w:szCs w:val="18"/>
              </w:rPr>
            </w:pPr>
            <w:r>
              <w:rPr>
                <w:sz w:val="18"/>
                <w:szCs w:val="18"/>
              </w:rPr>
              <w:t>86 923</w:t>
            </w:r>
          </w:p>
        </w:tc>
        <w:tc>
          <w:tcPr>
            <w:tcW w:w="2032" w:type="dxa"/>
            <w:shd w:val="clear" w:color="auto" w:fill="EAF1DD"/>
          </w:tcPr>
          <w:p w14:paraId="2DDF8A37" w14:textId="77777777" w:rsidR="00634567" w:rsidRPr="005F6948" w:rsidRDefault="00634567" w:rsidP="0046151C">
            <w:pPr>
              <w:spacing w:before="40" w:after="40"/>
              <w:jc w:val="center"/>
              <w:rPr>
                <w:b/>
                <w:sz w:val="18"/>
                <w:szCs w:val="18"/>
              </w:rPr>
            </w:pPr>
            <w:r>
              <w:rPr>
                <w:b/>
                <w:sz w:val="18"/>
                <w:szCs w:val="18"/>
              </w:rPr>
              <w:t>87 856</w:t>
            </w:r>
          </w:p>
        </w:tc>
      </w:tr>
      <w:tr w:rsidR="00634567" w:rsidRPr="00B467F2" w14:paraId="519EAAB2" w14:textId="77777777" w:rsidTr="0046151C">
        <w:tc>
          <w:tcPr>
            <w:tcW w:w="2376" w:type="dxa"/>
            <w:tcBorders>
              <w:right w:val="single" w:sz="18" w:space="0" w:color="FFFFFF"/>
            </w:tcBorders>
            <w:shd w:val="clear" w:color="auto" w:fill="9BBB59"/>
          </w:tcPr>
          <w:p w14:paraId="158E2B82" w14:textId="77777777" w:rsidR="00634567" w:rsidRPr="005F6948" w:rsidRDefault="00634567" w:rsidP="0046151C">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 xml:space="preserve">NSW </w:t>
            </w:r>
          </w:p>
        </w:tc>
        <w:tc>
          <w:tcPr>
            <w:tcW w:w="2032" w:type="dxa"/>
            <w:tcBorders>
              <w:left w:val="single" w:sz="18" w:space="0" w:color="FFFFFF"/>
            </w:tcBorders>
            <w:shd w:val="clear" w:color="auto" w:fill="EAF1DD"/>
          </w:tcPr>
          <w:p w14:paraId="0A27DD71" w14:textId="77777777" w:rsidR="00634567" w:rsidRPr="005F6948" w:rsidRDefault="00634567" w:rsidP="0046151C">
            <w:pPr>
              <w:spacing w:before="40" w:after="40"/>
              <w:jc w:val="center"/>
              <w:rPr>
                <w:sz w:val="18"/>
                <w:szCs w:val="18"/>
              </w:rPr>
            </w:pPr>
            <w:r>
              <w:rPr>
                <w:sz w:val="18"/>
                <w:szCs w:val="18"/>
              </w:rPr>
              <w:t>1,</w:t>
            </w:r>
            <w:r w:rsidRPr="005F6948">
              <w:rPr>
                <w:sz w:val="18"/>
                <w:szCs w:val="18"/>
              </w:rPr>
              <w:t>795</w:t>
            </w:r>
          </w:p>
        </w:tc>
        <w:tc>
          <w:tcPr>
            <w:tcW w:w="2032" w:type="dxa"/>
            <w:shd w:val="clear" w:color="auto" w:fill="EAF1DD"/>
          </w:tcPr>
          <w:p w14:paraId="3666E8E8" w14:textId="77777777" w:rsidR="00634567" w:rsidRPr="005F6948" w:rsidRDefault="00634567" w:rsidP="0046151C">
            <w:pPr>
              <w:spacing w:before="40" w:after="40"/>
              <w:jc w:val="center"/>
              <w:rPr>
                <w:sz w:val="18"/>
                <w:szCs w:val="18"/>
              </w:rPr>
            </w:pPr>
            <w:r w:rsidRPr="005F6948">
              <w:rPr>
                <w:sz w:val="18"/>
                <w:szCs w:val="18"/>
              </w:rPr>
              <w:t>36 569</w:t>
            </w:r>
          </w:p>
        </w:tc>
        <w:tc>
          <w:tcPr>
            <w:tcW w:w="2032" w:type="dxa"/>
            <w:shd w:val="clear" w:color="auto" w:fill="EAF1DD"/>
          </w:tcPr>
          <w:p w14:paraId="2501D03E" w14:textId="77777777" w:rsidR="00634567" w:rsidRPr="005F6948" w:rsidRDefault="00634567" w:rsidP="0046151C">
            <w:pPr>
              <w:spacing w:before="40" w:after="40"/>
              <w:jc w:val="center"/>
              <w:rPr>
                <w:b/>
                <w:sz w:val="18"/>
                <w:szCs w:val="18"/>
              </w:rPr>
            </w:pPr>
            <w:r w:rsidRPr="005F6948">
              <w:rPr>
                <w:b/>
                <w:sz w:val="18"/>
                <w:szCs w:val="18"/>
              </w:rPr>
              <w:t>38 364</w:t>
            </w:r>
          </w:p>
        </w:tc>
      </w:tr>
      <w:tr w:rsidR="00634567" w:rsidRPr="00B467F2" w14:paraId="326B842C" w14:textId="77777777" w:rsidTr="0046151C">
        <w:tc>
          <w:tcPr>
            <w:tcW w:w="2376" w:type="dxa"/>
            <w:tcBorders>
              <w:right w:val="single" w:sz="18" w:space="0" w:color="FFFFFF"/>
            </w:tcBorders>
            <w:shd w:val="clear" w:color="auto" w:fill="9BBB59"/>
          </w:tcPr>
          <w:p w14:paraId="4F075624" w14:textId="77777777" w:rsidR="00634567" w:rsidRPr="005F6948" w:rsidRDefault="00634567" w:rsidP="0046151C">
            <w:pPr>
              <w:spacing w:before="40" w:after="40"/>
              <w:jc w:val="right"/>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TOTAL</w:t>
            </w:r>
          </w:p>
        </w:tc>
        <w:tc>
          <w:tcPr>
            <w:tcW w:w="2032" w:type="dxa"/>
            <w:tcBorders>
              <w:left w:val="single" w:sz="18" w:space="0" w:color="FFFFFF"/>
            </w:tcBorders>
            <w:shd w:val="clear" w:color="auto" w:fill="EAF1DD"/>
          </w:tcPr>
          <w:p w14:paraId="678076FF" w14:textId="77777777" w:rsidR="00634567" w:rsidRPr="005F6948" w:rsidRDefault="00634567" w:rsidP="0046151C">
            <w:pPr>
              <w:spacing w:before="40" w:after="40"/>
              <w:jc w:val="center"/>
              <w:rPr>
                <w:b/>
                <w:sz w:val="18"/>
                <w:szCs w:val="18"/>
              </w:rPr>
            </w:pPr>
            <w:r>
              <w:rPr>
                <w:b/>
                <w:sz w:val="18"/>
                <w:szCs w:val="18"/>
              </w:rPr>
              <w:t>2,</w:t>
            </w:r>
            <w:r w:rsidRPr="005F6948">
              <w:rPr>
                <w:b/>
                <w:sz w:val="18"/>
                <w:szCs w:val="18"/>
              </w:rPr>
              <w:t>728</w:t>
            </w:r>
          </w:p>
        </w:tc>
        <w:tc>
          <w:tcPr>
            <w:tcW w:w="2032" w:type="dxa"/>
            <w:shd w:val="clear" w:color="auto" w:fill="EAF1DD"/>
          </w:tcPr>
          <w:p w14:paraId="4661FF42" w14:textId="77777777" w:rsidR="00634567" w:rsidRPr="005F6948" w:rsidRDefault="00634567" w:rsidP="0046151C">
            <w:pPr>
              <w:spacing w:before="40" w:after="40"/>
              <w:jc w:val="center"/>
              <w:rPr>
                <w:b/>
                <w:sz w:val="18"/>
                <w:szCs w:val="18"/>
              </w:rPr>
            </w:pPr>
            <w:r>
              <w:rPr>
                <w:b/>
                <w:sz w:val="18"/>
                <w:szCs w:val="18"/>
              </w:rPr>
              <w:t>123 492</w:t>
            </w:r>
          </w:p>
        </w:tc>
        <w:tc>
          <w:tcPr>
            <w:tcW w:w="2032" w:type="dxa"/>
            <w:shd w:val="clear" w:color="auto" w:fill="EAF1DD"/>
          </w:tcPr>
          <w:p w14:paraId="388A7306" w14:textId="77777777" w:rsidR="00634567" w:rsidRPr="005F6948" w:rsidRDefault="00634567" w:rsidP="0046151C">
            <w:pPr>
              <w:spacing w:before="40" w:after="40"/>
              <w:jc w:val="center"/>
              <w:rPr>
                <w:b/>
                <w:sz w:val="18"/>
                <w:szCs w:val="18"/>
              </w:rPr>
            </w:pPr>
            <w:r>
              <w:rPr>
                <w:b/>
                <w:sz w:val="18"/>
                <w:szCs w:val="18"/>
              </w:rPr>
              <w:t>126 220</w:t>
            </w:r>
          </w:p>
        </w:tc>
      </w:tr>
    </w:tbl>
    <w:p w14:paraId="23E89100" w14:textId="77777777" w:rsidR="00634567" w:rsidRPr="00634567" w:rsidRDefault="00634567" w:rsidP="00634567">
      <w:pPr>
        <w:rPr>
          <w:lang w:val="x-none" w:eastAsia="x-none"/>
        </w:rPr>
      </w:pPr>
    </w:p>
    <w:p w14:paraId="01BB747D" w14:textId="29B57C37" w:rsidR="00634567" w:rsidRDefault="00634567" w:rsidP="00634567">
      <w:pPr>
        <w:pStyle w:val="Heading2"/>
      </w:pPr>
      <w:bookmarkStart w:id="44" w:name="_Toc31985442"/>
      <w:r w:rsidRPr="00320188">
        <w:t>Planned water use</w:t>
      </w:r>
      <w:bookmarkEnd w:id="44"/>
    </w:p>
    <w:p w14:paraId="49735FA2" w14:textId="4991525F" w:rsidR="00376E60" w:rsidRDefault="00E84A71" w:rsidP="00260C93">
      <w:pPr>
        <w:rPr>
          <w:lang w:eastAsia="x-none"/>
        </w:rPr>
      </w:pPr>
      <w:r>
        <w:rPr>
          <w:lang w:eastAsia="x-none"/>
        </w:rPr>
        <w:t>Planning for environmental watering in 201</w:t>
      </w:r>
      <w:r w:rsidR="009F4091">
        <w:rPr>
          <w:lang w:eastAsia="x-none"/>
        </w:rPr>
        <w:t>8</w:t>
      </w:r>
      <w:r>
        <w:rPr>
          <w:lang w:eastAsia="x-none"/>
        </w:rPr>
        <w:t>-1</w:t>
      </w:r>
      <w:r w:rsidR="009F4091">
        <w:rPr>
          <w:lang w:eastAsia="x-none"/>
        </w:rPr>
        <w:t>9</w:t>
      </w:r>
      <w:r>
        <w:rPr>
          <w:lang w:eastAsia="x-none"/>
        </w:rPr>
        <w:t xml:space="preserve"> was undertaken with </w:t>
      </w:r>
      <w:r w:rsidR="000325F7">
        <w:rPr>
          <w:lang w:eastAsia="x-none"/>
        </w:rPr>
        <w:t xml:space="preserve">rapidly </w:t>
      </w:r>
      <w:r w:rsidR="009F4091">
        <w:rPr>
          <w:lang w:eastAsia="x-none"/>
        </w:rPr>
        <w:t xml:space="preserve">declining </w:t>
      </w:r>
      <w:r>
        <w:rPr>
          <w:lang w:eastAsia="x-none"/>
        </w:rPr>
        <w:t xml:space="preserve">water resource availability and the knowledge that the widespread flooding in 2016-17 </w:t>
      </w:r>
      <w:r w:rsidR="000325F7">
        <w:rPr>
          <w:lang w:eastAsia="x-none"/>
        </w:rPr>
        <w:t>had sustained tree health</w:t>
      </w:r>
      <w:r w:rsidR="009B4645">
        <w:rPr>
          <w:lang w:eastAsia="x-none"/>
        </w:rPr>
        <w:t xml:space="preserve"> </w:t>
      </w:r>
      <w:r w:rsidR="009B508B">
        <w:rPr>
          <w:lang w:eastAsia="x-none"/>
        </w:rPr>
        <w:t xml:space="preserve">well </w:t>
      </w:r>
      <w:r w:rsidR="009B4645">
        <w:rPr>
          <w:lang w:eastAsia="x-none"/>
        </w:rPr>
        <w:t xml:space="preserve">into </w:t>
      </w:r>
      <w:r w:rsidR="009B508B">
        <w:rPr>
          <w:lang w:eastAsia="x-none"/>
        </w:rPr>
        <w:t>2018</w:t>
      </w:r>
      <w:r>
        <w:rPr>
          <w:lang w:eastAsia="x-none"/>
        </w:rPr>
        <w:t>. This provided opportunities to build on</w:t>
      </w:r>
      <w:r w:rsidR="00134E3D">
        <w:rPr>
          <w:lang w:eastAsia="x-none"/>
        </w:rPr>
        <w:t xml:space="preserve"> the investment of previous years</w:t>
      </w:r>
      <w:r w:rsidR="000325F7">
        <w:rPr>
          <w:lang w:eastAsia="x-none"/>
        </w:rPr>
        <w:t xml:space="preserve"> </w:t>
      </w:r>
      <w:r w:rsidR="009B4645">
        <w:rPr>
          <w:lang w:eastAsia="x-none"/>
        </w:rPr>
        <w:t>to continue to support the recovery of native fish populations</w:t>
      </w:r>
      <w:r w:rsidR="00376E60">
        <w:rPr>
          <w:lang w:eastAsia="x-none"/>
        </w:rPr>
        <w:t xml:space="preserve">, maintain core reedbeds in the terminal wetlands </w:t>
      </w:r>
      <w:r w:rsidR="00A64A36">
        <w:rPr>
          <w:lang w:eastAsia="x-none"/>
        </w:rPr>
        <w:t xml:space="preserve">and </w:t>
      </w:r>
      <w:r>
        <w:rPr>
          <w:lang w:eastAsia="x-none"/>
        </w:rPr>
        <w:t>to build the resilience of populations and ecosystems</w:t>
      </w:r>
      <w:r w:rsidR="00D266CE">
        <w:rPr>
          <w:lang w:eastAsia="x-none"/>
        </w:rPr>
        <w:t>.</w:t>
      </w:r>
      <w:r w:rsidR="00376E60">
        <w:rPr>
          <w:lang w:eastAsia="x-none"/>
        </w:rPr>
        <w:t xml:space="preserve"> </w:t>
      </w:r>
    </w:p>
    <w:p w14:paraId="2CF79935" w14:textId="3F4AE301" w:rsidR="00260C93" w:rsidRPr="00BD30CE" w:rsidRDefault="00E84A71" w:rsidP="00260C93">
      <w:pPr>
        <w:rPr>
          <w:lang w:eastAsia="x-none"/>
        </w:rPr>
      </w:pPr>
      <w:r>
        <w:rPr>
          <w:lang w:eastAsia="x-none"/>
        </w:rPr>
        <w:t>The annual watering priorities of the Murray Darling Basin Authority</w:t>
      </w:r>
      <w:r w:rsidR="004E7E93">
        <w:rPr>
          <w:lang w:eastAsia="x-none"/>
        </w:rPr>
        <w:t xml:space="preserve"> </w:t>
      </w:r>
      <w:r w:rsidR="004E7E93">
        <w:rPr>
          <w:lang w:eastAsia="x-none"/>
        </w:rPr>
        <w:fldChar w:fldCharType="begin"/>
      </w:r>
      <w:r w:rsidR="004E7E93">
        <w:rPr>
          <w:lang w:eastAsia="x-none"/>
        </w:rPr>
        <w:instrText xml:space="preserve"> ADDIN EN.CITE &lt;EndNote&gt;&lt;Cite&gt;&lt;Author&gt;MDBA&lt;/Author&gt;&lt;Year&gt;2018&lt;/Year&gt;&lt;RecNum&gt;388&lt;/RecNum&gt;&lt;DisplayText&gt;(MDBA 2018)&lt;/DisplayText&gt;&lt;record&gt;&lt;rec-number&gt;388&lt;/rec-number&gt;&lt;foreign-keys&gt;&lt;key app="EN" db-id="0a0zttz0gewd9befav559p5osxw5sftwfpdv" timestamp="1567573337"&gt;388&lt;/key&gt;&lt;/foreign-keys&gt;&lt;ref-type name="Report"&gt;27&lt;/ref-type&gt;&lt;contributors&gt;&lt;authors&gt;&lt;author&gt;MDBA&lt;/author&gt;&lt;/authors&gt;&lt;/contributors&gt;&lt;titles&gt;&lt;title&gt;Basin environmental watering outlook for 2018-19&lt;/title&gt;&lt;/titles&gt;&lt;number&gt;MDBA publication no: 04/18&lt;/number&gt;&lt;dates&gt;&lt;year&gt;2018&lt;/year&gt;&lt;/dates&gt;&lt;pub-location&gt;Canberra, Australia&lt;/pub-location&gt;&lt;publisher&gt;Murry Darling Basin Authority&lt;/publisher&gt;&lt;urls&gt;&lt;/urls&gt;&lt;/record&gt;&lt;/Cite&gt;&lt;/EndNote&gt;</w:instrText>
      </w:r>
      <w:r w:rsidR="004E7E93">
        <w:rPr>
          <w:lang w:eastAsia="x-none"/>
        </w:rPr>
        <w:fldChar w:fldCharType="separate"/>
      </w:r>
      <w:r w:rsidR="004E7E93">
        <w:rPr>
          <w:noProof/>
          <w:lang w:eastAsia="x-none"/>
        </w:rPr>
        <w:t>(MDBA 2018)</w:t>
      </w:r>
      <w:r w:rsidR="004E7E93">
        <w:rPr>
          <w:lang w:eastAsia="x-none"/>
        </w:rPr>
        <w:fldChar w:fldCharType="end"/>
      </w:r>
      <w:r w:rsidR="004E7E93">
        <w:rPr>
          <w:lang w:eastAsia="x-none"/>
        </w:rPr>
        <w:t xml:space="preserve"> </w:t>
      </w:r>
      <w:r>
        <w:rPr>
          <w:lang w:eastAsia="x-none"/>
        </w:rPr>
        <w:t>focussed around the southern connected basin, the Barwon/Darling system and generic objectives for threatened native fish</w:t>
      </w:r>
      <w:r w:rsidR="00376E60">
        <w:rPr>
          <w:lang w:eastAsia="x-none"/>
        </w:rPr>
        <w:t>, waterbird populations and vegetation</w:t>
      </w:r>
      <w:r>
        <w:rPr>
          <w:lang w:eastAsia="x-none"/>
        </w:rPr>
        <w:t xml:space="preserve">. </w:t>
      </w:r>
      <w:r w:rsidR="001C3903">
        <w:rPr>
          <w:lang w:eastAsia="x-none"/>
        </w:rPr>
        <w:t xml:space="preserve">The </w:t>
      </w:r>
      <w:r w:rsidR="001C3903" w:rsidRPr="00481104">
        <w:rPr>
          <w:i/>
          <w:lang w:eastAsia="x-none"/>
        </w:rPr>
        <w:t>Commonwealth Environmental Water Portfolio Management Plan: Lachlan River 201</w:t>
      </w:r>
      <w:r w:rsidR="00376E60">
        <w:rPr>
          <w:i/>
          <w:lang w:eastAsia="x-none"/>
        </w:rPr>
        <w:t>8</w:t>
      </w:r>
      <w:r w:rsidR="001C3903" w:rsidRPr="00481104">
        <w:rPr>
          <w:i/>
          <w:lang w:eastAsia="x-none"/>
        </w:rPr>
        <w:t>-1</w:t>
      </w:r>
      <w:r w:rsidR="00376E60">
        <w:rPr>
          <w:i/>
          <w:lang w:eastAsia="x-none"/>
        </w:rPr>
        <w:t>9</w:t>
      </w:r>
      <w:r w:rsidR="00FF65A8">
        <w:rPr>
          <w:i/>
          <w:lang w:eastAsia="x-none"/>
        </w:rPr>
        <w:t xml:space="preserve"> </w:t>
      </w:r>
      <w:r w:rsidR="00FF65A8" w:rsidRPr="004E7E93">
        <w:rPr>
          <w:iCs/>
          <w:lang w:eastAsia="x-none"/>
        </w:rPr>
        <w:fldChar w:fldCharType="begin"/>
      </w:r>
      <w:r w:rsidR="004E7E93" w:rsidRPr="004E7E93">
        <w:rPr>
          <w:iCs/>
          <w:lang w:eastAsia="x-none"/>
        </w:rPr>
        <w:instrText xml:space="preserve"> ADDIN EN.CITE &lt;EndNote&gt;&lt;Cite&gt;&lt;Author&gt;Australia&lt;/Author&gt;&lt;Year&gt;2018&lt;/Year&gt;&lt;RecNum&gt;387&lt;/RecNum&gt;&lt;DisplayText&gt;(Commonwealth of Australia 2018)&lt;/DisplayText&gt;&lt;record&gt;&lt;rec-number&gt;387&lt;/rec-number&gt;&lt;foreign-keys&gt;&lt;key app="EN" db-id="0a0zttz0gewd9befav559p5osxw5sftwfpdv" timestamp="1567572946"&gt;387&lt;/key&gt;&lt;/foreign-keys&gt;&lt;ref-type name="Report"&gt;27&lt;/ref-type&gt;&lt;contributors&gt;&lt;authors&gt;&lt;author&gt;Commonwealth of Australia,&lt;/author&gt;&lt;/authors&gt;&lt;/contributors&gt;&lt;titles&gt;&lt;title&gt;Commonwealth Environmental Water Portfolio Management Plan: Lachlan River Valley 2018-19&lt;/title&gt;&lt;/titles&gt;&lt;dates&gt;&lt;year&gt;2018&lt;/year&gt;&lt;/dates&gt;&lt;urls&gt;&lt;/urls&gt;&lt;/record&gt;&lt;/Cite&gt;&lt;/EndNote&gt;</w:instrText>
      </w:r>
      <w:r w:rsidR="00FF65A8" w:rsidRPr="004E7E93">
        <w:rPr>
          <w:iCs/>
          <w:lang w:eastAsia="x-none"/>
        </w:rPr>
        <w:fldChar w:fldCharType="separate"/>
      </w:r>
      <w:r w:rsidR="004E7E93" w:rsidRPr="004E7E93">
        <w:rPr>
          <w:iCs/>
          <w:noProof/>
          <w:lang w:eastAsia="x-none"/>
        </w:rPr>
        <w:t>(Commonwealth of Australia 2018)</w:t>
      </w:r>
      <w:r w:rsidR="00FF65A8" w:rsidRPr="004E7E93">
        <w:rPr>
          <w:iCs/>
          <w:lang w:eastAsia="x-none"/>
        </w:rPr>
        <w:fldChar w:fldCharType="end"/>
      </w:r>
      <w:r w:rsidR="001C3903" w:rsidRPr="004E7E93">
        <w:rPr>
          <w:iCs/>
          <w:lang w:eastAsia="x-none"/>
        </w:rPr>
        <w:t xml:space="preserve"> </w:t>
      </w:r>
      <w:r w:rsidR="0068594C">
        <w:rPr>
          <w:lang w:eastAsia="x-none"/>
        </w:rPr>
        <w:t>suggests</w:t>
      </w:r>
      <w:r w:rsidR="001C3903">
        <w:rPr>
          <w:lang w:eastAsia="x-none"/>
        </w:rPr>
        <w:t xml:space="preserve"> that </w:t>
      </w:r>
      <w:r w:rsidR="00260C93">
        <w:rPr>
          <w:lang w:eastAsia="x-none"/>
        </w:rPr>
        <w:t xml:space="preserve">the CEWO </w:t>
      </w:r>
      <w:r w:rsidR="00260C93" w:rsidRPr="00BD30CE">
        <w:rPr>
          <w:lang w:eastAsia="x-none"/>
        </w:rPr>
        <w:t>was aiming to contribute to the following 201</w:t>
      </w:r>
      <w:r w:rsidR="000325F7">
        <w:rPr>
          <w:lang w:eastAsia="x-none"/>
        </w:rPr>
        <w:t>8</w:t>
      </w:r>
      <w:r w:rsidR="00260C93" w:rsidRPr="00BD30CE">
        <w:rPr>
          <w:lang w:eastAsia="x-none"/>
        </w:rPr>
        <w:t>–1</w:t>
      </w:r>
      <w:r w:rsidR="000325F7">
        <w:rPr>
          <w:lang w:eastAsia="x-none"/>
        </w:rPr>
        <w:t>9</w:t>
      </w:r>
      <w:r w:rsidR="00260C93" w:rsidRPr="00BD30CE">
        <w:rPr>
          <w:lang w:eastAsia="x-none"/>
        </w:rPr>
        <w:t xml:space="preserve"> Basin annual environmental watering priorities</w:t>
      </w:r>
      <w:r w:rsidR="00ED60CC">
        <w:rPr>
          <w:lang w:eastAsia="x-none"/>
        </w:rPr>
        <w:t xml:space="preserve"> (denoted A) as well as multi-year priorities</w:t>
      </w:r>
      <w:r w:rsidR="00260C93" w:rsidRPr="00BD30CE">
        <w:rPr>
          <w:lang w:eastAsia="x-none"/>
        </w:rPr>
        <w:t xml:space="preserve"> </w:t>
      </w:r>
      <w:r w:rsidR="00ED60CC">
        <w:rPr>
          <w:lang w:eastAsia="x-none"/>
        </w:rPr>
        <w:t xml:space="preserve">(denoted M) </w:t>
      </w:r>
      <w:r w:rsidR="00260C93" w:rsidRPr="00BD30CE">
        <w:rPr>
          <w:lang w:eastAsia="x-none"/>
        </w:rPr>
        <w:t xml:space="preserve">relevant to the Lachlan River </w:t>
      </w:r>
      <w:r w:rsidR="00A22265">
        <w:rPr>
          <w:lang w:eastAsia="x-none"/>
        </w:rPr>
        <w:t>r</w:t>
      </w:r>
      <w:r w:rsidR="00260C93" w:rsidRPr="00BD30CE">
        <w:rPr>
          <w:lang w:eastAsia="x-none"/>
        </w:rPr>
        <w:t>egion</w:t>
      </w:r>
    </w:p>
    <w:p w14:paraId="40995A7A" w14:textId="0947314D" w:rsidR="00996862" w:rsidRDefault="00996862" w:rsidP="00996862">
      <w:pPr>
        <w:pStyle w:val="ListBullet"/>
      </w:pPr>
      <w:r>
        <w:t>Support opportunities for lateral connectivity between the river and adjacent low-lying floodplains and wetlands to reinstate natural nutrient and carbon cycling process</w:t>
      </w:r>
      <w:r w:rsidR="00ED60CC">
        <w:t xml:space="preserve"> (A)</w:t>
      </w:r>
      <w:r>
        <w:t>;</w:t>
      </w:r>
    </w:p>
    <w:p w14:paraId="5630BF2E" w14:textId="02A900A3" w:rsidR="00996862" w:rsidRDefault="00996862" w:rsidP="00996862">
      <w:pPr>
        <w:pStyle w:val="ListBullet"/>
      </w:pPr>
      <w:r>
        <w:t>Enable growth and maintain the condition of lignum shrublands</w:t>
      </w:r>
      <w:r w:rsidR="00ED60CC">
        <w:t xml:space="preserve"> (A, M)</w:t>
      </w:r>
      <w:r>
        <w:t>;</w:t>
      </w:r>
    </w:p>
    <w:p w14:paraId="27231EC8" w14:textId="79C0C987" w:rsidR="00996862" w:rsidRDefault="00996862" w:rsidP="00996862">
      <w:pPr>
        <w:pStyle w:val="ListBullet"/>
      </w:pPr>
      <w:r>
        <w:t>Provide flows to improve habitat and support waterbird breeding</w:t>
      </w:r>
      <w:r w:rsidR="00ED60CC">
        <w:t xml:space="preserve"> (A)</w:t>
      </w:r>
      <w:r>
        <w:t>;</w:t>
      </w:r>
    </w:p>
    <w:p w14:paraId="41A6D422" w14:textId="36DD7589" w:rsidR="00376E60" w:rsidRDefault="00996862" w:rsidP="00996862">
      <w:pPr>
        <w:pStyle w:val="ListBullet"/>
      </w:pPr>
      <w:r>
        <w:t>Support viable populations of threatened native fish, maximise opportunities for range expansion and establish new populations</w:t>
      </w:r>
      <w:r w:rsidR="00ED60CC">
        <w:t xml:space="preserve"> (A, M);</w:t>
      </w:r>
    </w:p>
    <w:p w14:paraId="26A36EC1" w14:textId="467A59A4" w:rsidR="00ED60CC" w:rsidRDefault="00ED60CC" w:rsidP="00ED60CC">
      <w:pPr>
        <w:pStyle w:val="ListBullet"/>
      </w:pPr>
      <w:r>
        <w:t>Support lateral and longitudinal connectivity (M);</w:t>
      </w:r>
    </w:p>
    <w:p w14:paraId="66DCA0E7" w14:textId="0142EBE6" w:rsidR="00ED60CC" w:rsidRDefault="00ED60CC" w:rsidP="00ED60CC">
      <w:pPr>
        <w:pStyle w:val="ListBullet"/>
      </w:pPr>
      <w:r>
        <w:t>Maintain and improve the condition and promote recruitment of forests and woodlands (M);</w:t>
      </w:r>
    </w:p>
    <w:p w14:paraId="0DA7F0ED" w14:textId="26F329CA" w:rsidR="00ED60CC" w:rsidRDefault="00ED60CC" w:rsidP="00ED60CC">
      <w:pPr>
        <w:pStyle w:val="ListBullet"/>
      </w:pPr>
      <w:r>
        <w:t>Improve the abundance and maintain the diversity of the Basin’s waterbird population (M).</w:t>
      </w:r>
    </w:p>
    <w:p w14:paraId="0B1DF6FA" w14:textId="216B45B1" w:rsidR="00260C93" w:rsidRDefault="00BD30CE" w:rsidP="00E84A71">
      <w:pPr>
        <w:rPr>
          <w:lang w:eastAsia="x-none"/>
        </w:rPr>
      </w:pPr>
      <w:r>
        <w:rPr>
          <w:lang w:eastAsia="x-none"/>
        </w:rPr>
        <w:t>T</w:t>
      </w:r>
      <w:r w:rsidR="00260C93">
        <w:rPr>
          <w:lang w:eastAsia="x-none"/>
        </w:rPr>
        <w:t>he 201</w:t>
      </w:r>
      <w:r w:rsidR="00E2377C">
        <w:rPr>
          <w:lang w:eastAsia="x-none"/>
        </w:rPr>
        <w:t>8</w:t>
      </w:r>
      <w:r w:rsidR="00260C93">
        <w:rPr>
          <w:lang w:eastAsia="x-none"/>
        </w:rPr>
        <w:t>-</w:t>
      </w:r>
      <w:r w:rsidR="00E2377C">
        <w:rPr>
          <w:lang w:eastAsia="x-none"/>
        </w:rPr>
        <w:t>19</w:t>
      </w:r>
      <w:r w:rsidR="00260C93">
        <w:rPr>
          <w:lang w:eastAsia="x-none"/>
        </w:rPr>
        <w:t xml:space="preserve"> plan </w:t>
      </w:r>
      <w:r w:rsidR="00E2377C">
        <w:rPr>
          <w:lang w:eastAsia="x-none"/>
        </w:rPr>
        <w:t>outlines</w:t>
      </w:r>
      <w:r w:rsidR="00260C93">
        <w:rPr>
          <w:lang w:eastAsia="x-none"/>
        </w:rPr>
        <w:t xml:space="preserve"> that the CEWO was considering supplying water in 201</w:t>
      </w:r>
      <w:r w:rsidR="00E2377C">
        <w:rPr>
          <w:lang w:eastAsia="x-none"/>
        </w:rPr>
        <w:t>8</w:t>
      </w:r>
      <w:r w:rsidR="00260C93">
        <w:rPr>
          <w:lang w:eastAsia="x-none"/>
        </w:rPr>
        <w:t>-1</w:t>
      </w:r>
      <w:r w:rsidR="00E2377C">
        <w:rPr>
          <w:lang w:eastAsia="x-none"/>
        </w:rPr>
        <w:t>9</w:t>
      </w:r>
      <w:r w:rsidR="00260C93">
        <w:rPr>
          <w:lang w:eastAsia="x-none"/>
        </w:rPr>
        <w:t xml:space="preserve"> for the following actions:</w:t>
      </w:r>
    </w:p>
    <w:p w14:paraId="15B61B7E" w14:textId="6C443013" w:rsidR="00E2377C" w:rsidRDefault="00E2377C" w:rsidP="00AC695E">
      <w:pPr>
        <w:pStyle w:val="ListBullet"/>
      </w:pPr>
      <w:r>
        <w:t>T</w:t>
      </w:r>
      <w:r w:rsidRPr="00E2377C">
        <w:t>o provide flows to support and provide habitat for waterbirds and native aquatic biota (including fish, turtles, frogs and invertebrates). Actions for native fish will be guided by expert advice and the concepts developed for relevant fish functional groups (see NSW DPI (2015) and Ellis et al, 2016).</w:t>
      </w:r>
    </w:p>
    <w:p w14:paraId="4FA954B0" w14:textId="6711E957" w:rsidR="00BD30CE" w:rsidRPr="00AC695E" w:rsidRDefault="00E2377C" w:rsidP="00AC695E">
      <w:pPr>
        <w:pStyle w:val="ListBullet"/>
      </w:pPr>
      <w:r>
        <w:t>I</w:t>
      </w:r>
      <w:r w:rsidR="00BD30CE" w:rsidRPr="00AC695E">
        <w:t>n-channel actions would also serve the purpose of providing an end of system flow to the Great Cumbung Swamp</w:t>
      </w:r>
      <w:r w:rsidR="001D5A8F" w:rsidRPr="00AC695E">
        <w:t>, providing water to the reedbeds in that area</w:t>
      </w:r>
      <w:r w:rsidR="00AC695E">
        <w:t>.</w:t>
      </w:r>
    </w:p>
    <w:p w14:paraId="2E22CE56" w14:textId="4E135891" w:rsidR="00BD30CE" w:rsidRPr="00AC695E" w:rsidRDefault="00BD30CE" w:rsidP="00AC695E">
      <w:pPr>
        <w:pStyle w:val="ListBullet"/>
      </w:pPr>
      <w:bookmarkStart w:id="45" w:name="_Hlk532283019"/>
      <w:r w:rsidRPr="00AC695E">
        <w:t xml:space="preserve">Contribute to maintaining waterbird habitat within the Lachlan catchment, and potentially link to waterbird habitat in other parts of the Basin (e.g. via waterbird flyways across the Macquarie, Lachlan, Murrumbidgee, Gwydir, Namoi and Mid-Murray catchments (see </w:t>
      </w:r>
      <w:hyperlink r:id="rId31" w:history="1">
        <w:r w:rsidRPr="00AC695E">
          <w:t>Waterbird breeding &amp; movements</w:t>
        </w:r>
      </w:hyperlink>
      <w:r w:rsidRPr="00AC695E">
        <w:t xml:space="preserve"> (</w:t>
      </w:r>
      <w:r w:rsidR="00CB7AED" w:rsidRPr="00CB7AED">
        <w:t>https://research.csiro.au/ewkrwaterbirds/</w:t>
      </w:r>
      <w:r w:rsidRPr="00AC695E">
        <w:t>)</w:t>
      </w:r>
      <w:r w:rsidR="00FC2925">
        <w:t>)</w:t>
      </w:r>
      <w:r w:rsidRPr="00AC695E">
        <w:t>, may also be targeted under moderate - wetter scenarios</w:t>
      </w:r>
      <w:r w:rsidR="00AC695E">
        <w:t>.</w:t>
      </w:r>
    </w:p>
    <w:bookmarkEnd w:id="45"/>
    <w:p w14:paraId="08529063" w14:textId="19352C77" w:rsidR="00BD30CE" w:rsidRPr="00AC695E" w:rsidRDefault="00BD30CE" w:rsidP="00AC695E">
      <w:pPr>
        <w:pStyle w:val="ListBullet"/>
      </w:pPr>
      <w:r w:rsidRPr="00AC695E">
        <w:t xml:space="preserve">Contributing to flows </w:t>
      </w:r>
      <w:r w:rsidR="00151E5D">
        <w:t xml:space="preserve">in </w:t>
      </w:r>
      <w:r w:rsidRPr="00AC695E">
        <w:t>distributaries such as Merrowie Creek and other smaller anabranches such as Booberoi Creek</w:t>
      </w:r>
      <w:r w:rsidR="00151E5D">
        <w:t xml:space="preserve"> in conjunction with stock and domestic replenishment flows</w:t>
      </w:r>
      <w:r w:rsidRPr="00AC695E">
        <w:t xml:space="preserve"> for connectivity, native fish and aquatic vegetation outcomes.</w:t>
      </w:r>
    </w:p>
    <w:p w14:paraId="6279E2F4" w14:textId="2797B58E" w:rsidR="00E84A71" w:rsidRDefault="00E84A71" w:rsidP="00E84A71">
      <w:pPr>
        <w:rPr>
          <w:lang w:eastAsia="x-none"/>
        </w:rPr>
      </w:pPr>
      <w:r>
        <w:rPr>
          <w:lang w:eastAsia="x-none"/>
        </w:rPr>
        <w:t>Low numbers of large bodied native fish were observed in monitoring of the Lower Lachlan in early 2017 compared with previous years of monitoring</w:t>
      </w:r>
      <w:r w:rsidR="008910C6">
        <w:rPr>
          <w:lang w:eastAsia="x-none"/>
        </w:rPr>
        <w:t xml:space="preserve"> </w:t>
      </w:r>
      <w:r w:rsidR="008910C6">
        <w:rPr>
          <w:lang w:eastAsia="x-none"/>
        </w:rPr>
        <w:fldChar w:fldCharType="begin"/>
      </w:r>
      <w:r w:rsidR="00747352">
        <w:rPr>
          <w:lang w:eastAsia="x-none"/>
        </w:rPr>
        <w:instrText xml:space="preserve"> ADDIN EN.CITE &lt;EndNote&gt;&lt;Cite&gt;&lt;Author&gt;Dyer&lt;/Author&gt;&lt;Year&gt;2017&lt;/Year&gt;&lt;RecNum&gt;232&lt;/RecNum&gt;&lt;DisplayText&gt;(Dyer et al. 2017)&lt;/DisplayText&gt;&lt;record&gt;&lt;rec-number&gt;232&lt;/rec-number&gt;&lt;foreign-keys&gt;&lt;key app="EN" db-id="0a0zttz0gewd9befav559p5osxw5sftwfpdv" timestamp="1539572347"&gt;232&lt;/key&gt;&lt;/foreign-keys&gt;&lt;ref-type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rsidR="008910C6">
        <w:rPr>
          <w:lang w:eastAsia="x-none"/>
        </w:rPr>
        <w:fldChar w:fldCharType="separate"/>
      </w:r>
      <w:r w:rsidR="008910C6">
        <w:rPr>
          <w:noProof/>
          <w:lang w:eastAsia="x-none"/>
        </w:rPr>
        <w:t>(Dyer et al. 2017)</w:t>
      </w:r>
      <w:r w:rsidR="008910C6">
        <w:rPr>
          <w:lang w:eastAsia="x-none"/>
        </w:rPr>
        <w:fldChar w:fldCharType="end"/>
      </w:r>
      <w:r w:rsidR="008910C6">
        <w:rPr>
          <w:lang w:eastAsia="x-none"/>
        </w:rPr>
        <w:t xml:space="preserve">. </w:t>
      </w:r>
      <w:r>
        <w:rPr>
          <w:lang w:eastAsia="x-none"/>
        </w:rPr>
        <w:t xml:space="preserve">This was considered to have been likely caused by hypoxic blackwater associated with the flooding in 2016-17. Thus priority was given to actions that would support native fish </w:t>
      </w:r>
      <w:r w:rsidR="00163243">
        <w:rPr>
          <w:lang w:eastAsia="x-none"/>
        </w:rPr>
        <w:t xml:space="preserve">recovery </w:t>
      </w:r>
      <w:r>
        <w:rPr>
          <w:lang w:eastAsia="x-none"/>
        </w:rPr>
        <w:t xml:space="preserve">(and redress some of the effects of river operation) during breeding and dispersal. </w:t>
      </w:r>
    </w:p>
    <w:p w14:paraId="7904A54C" w14:textId="77777777" w:rsidR="00E84A71" w:rsidRPr="001C307A" w:rsidRDefault="00E84A71" w:rsidP="00E84A71">
      <w:pPr>
        <w:rPr>
          <w:lang w:eastAsia="x-none"/>
        </w:rPr>
      </w:pPr>
    </w:p>
    <w:p w14:paraId="42463BB6" w14:textId="34982DC7" w:rsidR="00E84A71" w:rsidRDefault="00E84A71" w:rsidP="002E3CFA">
      <w:pPr>
        <w:pStyle w:val="Heading2"/>
      </w:pPr>
      <w:bookmarkStart w:id="46" w:name="_Ref18500169"/>
      <w:bookmarkStart w:id="47" w:name="_Ref18500174"/>
      <w:bookmarkStart w:id="48" w:name="_Ref18500177"/>
      <w:bookmarkStart w:id="49" w:name="_Toc31985443"/>
      <w:r>
        <w:t>Implemented watering actions</w:t>
      </w:r>
      <w:bookmarkEnd w:id="46"/>
      <w:bookmarkEnd w:id="47"/>
      <w:bookmarkEnd w:id="48"/>
      <w:bookmarkEnd w:id="49"/>
    </w:p>
    <w:p w14:paraId="4D2109C7" w14:textId="0780F302" w:rsidR="005E70AA" w:rsidRPr="005E70AA" w:rsidRDefault="005E70AA" w:rsidP="005E70AA">
      <w:pPr>
        <w:pStyle w:val="Heading3"/>
      </w:pPr>
      <w:bookmarkStart w:id="50" w:name="_Toc31985444"/>
      <w:r>
        <w:t>Commonwealth environmental water delivery</w:t>
      </w:r>
      <w:bookmarkEnd w:id="50"/>
    </w:p>
    <w:p w14:paraId="1B6D8C90" w14:textId="0D700907" w:rsidR="00E84A71" w:rsidRDefault="00E84A71" w:rsidP="00E84A71">
      <w:pPr>
        <w:rPr>
          <w:lang w:eastAsia="x-none"/>
        </w:rPr>
      </w:pPr>
      <w:r>
        <w:rPr>
          <w:lang w:eastAsia="x-none"/>
        </w:rPr>
        <w:t>The total Commonwealth environmental water delivery to the Lachlan river system in 201</w:t>
      </w:r>
      <w:r w:rsidR="00CC3657">
        <w:rPr>
          <w:lang w:eastAsia="x-none"/>
        </w:rPr>
        <w:t>8</w:t>
      </w:r>
      <w:r>
        <w:rPr>
          <w:lang w:eastAsia="x-none"/>
        </w:rPr>
        <w:t>-1</w:t>
      </w:r>
      <w:r w:rsidR="00CC3657">
        <w:rPr>
          <w:lang w:eastAsia="x-none"/>
        </w:rPr>
        <w:t>9</w:t>
      </w:r>
      <w:r>
        <w:rPr>
          <w:lang w:eastAsia="x-none"/>
        </w:rPr>
        <w:t xml:space="preserve"> was </w:t>
      </w:r>
      <w:r w:rsidR="001209FF">
        <w:rPr>
          <w:lang w:eastAsia="x-none"/>
        </w:rPr>
        <w:t>18</w:t>
      </w:r>
      <w:r w:rsidR="00740557">
        <w:rPr>
          <w:lang w:eastAsia="x-none"/>
        </w:rPr>
        <w:t> </w:t>
      </w:r>
      <w:r w:rsidR="001209FF">
        <w:rPr>
          <w:lang w:eastAsia="x-none"/>
        </w:rPr>
        <w:t>173</w:t>
      </w:r>
      <w:r>
        <w:rPr>
          <w:lang w:eastAsia="x-none"/>
        </w:rPr>
        <w:t xml:space="preserve"> ML and through a process of re-regulation, was used to target multiple locations</w:t>
      </w:r>
      <w:r w:rsidR="00FB59D6">
        <w:rPr>
          <w:lang w:eastAsia="x-none"/>
        </w:rPr>
        <w:t xml:space="preserve"> and ecological objectives</w:t>
      </w:r>
      <w:r w:rsidR="00AC695E">
        <w:rPr>
          <w:lang w:eastAsia="x-none"/>
        </w:rPr>
        <w:t xml:space="preserve"> at different times</w:t>
      </w:r>
      <w:r>
        <w:rPr>
          <w:lang w:eastAsia="x-none"/>
        </w:rPr>
        <w:t xml:space="preserve"> through the river system</w:t>
      </w:r>
      <w:r w:rsidR="008D69D7">
        <w:rPr>
          <w:lang w:eastAsia="x-none"/>
        </w:rPr>
        <w:t xml:space="preserve"> (</w:t>
      </w:r>
      <w:r w:rsidR="008D69D7">
        <w:rPr>
          <w:lang w:eastAsia="x-none"/>
        </w:rPr>
        <w:fldChar w:fldCharType="begin"/>
      </w:r>
      <w:r w:rsidR="008D69D7">
        <w:rPr>
          <w:lang w:eastAsia="x-none"/>
        </w:rPr>
        <w:instrText xml:space="preserve"> REF _Ref527034563 \h </w:instrText>
      </w:r>
      <w:r w:rsidR="008D69D7">
        <w:rPr>
          <w:lang w:eastAsia="x-none"/>
        </w:rPr>
      </w:r>
      <w:r w:rsidR="008D69D7">
        <w:rPr>
          <w:lang w:eastAsia="x-none"/>
        </w:rPr>
        <w:fldChar w:fldCharType="separate"/>
      </w:r>
      <w:r w:rsidR="007F7607" w:rsidRPr="00662A04">
        <w:t xml:space="preserve">Table </w:t>
      </w:r>
      <w:r w:rsidR="007F7607">
        <w:rPr>
          <w:noProof/>
        </w:rPr>
        <w:t>2</w:t>
      </w:r>
      <w:r w:rsidR="008D69D7">
        <w:rPr>
          <w:lang w:eastAsia="x-none"/>
        </w:rPr>
        <w:fldChar w:fldCharType="end"/>
      </w:r>
      <w:r w:rsidR="008D69D7">
        <w:rPr>
          <w:lang w:eastAsia="x-none"/>
        </w:rPr>
        <w:t>)</w:t>
      </w:r>
      <w:r>
        <w:rPr>
          <w:lang w:eastAsia="x-none"/>
        </w:rPr>
        <w:t>.</w:t>
      </w:r>
      <w:r w:rsidR="008251AE">
        <w:rPr>
          <w:lang w:eastAsia="x-none"/>
        </w:rPr>
        <w:t xml:space="preserve"> Complementary watering actions by NSW OEH were used to target other locations and ecological objectives during 2018-19</w:t>
      </w:r>
      <w:r w:rsidR="004F5CDC">
        <w:rPr>
          <w:lang w:eastAsia="x-none"/>
        </w:rPr>
        <w:t xml:space="preserve"> (</w:t>
      </w:r>
      <w:r w:rsidR="00D539E1">
        <w:rPr>
          <w:lang w:eastAsia="x-none"/>
        </w:rPr>
        <w:fldChar w:fldCharType="begin"/>
      </w:r>
      <w:r w:rsidR="00D539E1">
        <w:rPr>
          <w:lang w:eastAsia="x-none"/>
        </w:rPr>
        <w:instrText xml:space="preserve"> REF _Ref16522611 \h </w:instrText>
      </w:r>
      <w:r w:rsidR="00D539E1">
        <w:rPr>
          <w:lang w:eastAsia="x-none"/>
        </w:rPr>
      </w:r>
      <w:r w:rsidR="00D539E1">
        <w:rPr>
          <w:lang w:eastAsia="x-none"/>
        </w:rPr>
        <w:fldChar w:fldCharType="separate"/>
      </w:r>
      <w:r w:rsidR="007F7607" w:rsidRPr="00662A04">
        <w:t xml:space="preserve">Table </w:t>
      </w:r>
      <w:r w:rsidR="007F7607">
        <w:rPr>
          <w:noProof/>
        </w:rPr>
        <w:t>3</w:t>
      </w:r>
      <w:r w:rsidR="00D539E1">
        <w:rPr>
          <w:lang w:eastAsia="x-none"/>
        </w:rPr>
        <w:fldChar w:fldCharType="end"/>
      </w:r>
      <w:r w:rsidR="00D539E1">
        <w:rPr>
          <w:lang w:eastAsia="x-none"/>
        </w:rPr>
        <w:t>)</w:t>
      </w:r>
      <w:r w:rsidR="008251AE">
        <w:rPr>
          <w:lang w:eastAsia="x-none"/>
        </w:rPr>
        <w:t>.</w:t>
      </w:r>
    </w:p>
    <w:p w14:paraId="70C6F930" w14:textId="519D69F4" w:rsidR="00D539E1" w:rsidRDefault="00AC695E" w:rsidP="00E84A71">
      <w:r>
        <w:t>Releases for t</w:t>
      </w:r>
      <w:r w:rsidR="00E84A71">
        <w:t>he</w:t>
      </w:r>
      <w:r w:rsidR="00552059">
        <w:t xml:space="preserve"> </w:t>
      </w:r>
      <w:r w:rsidR="00E84A71">
        <w:t>201</w:t>
      </w:r>
      <w:r w:rsidR="00D539E1">
        <w:t>8</w:t>
      </w:r>
      <w:r w:rsidR="00E84A71">
        <w:t>-1</w:t>
      </w:r>
      <w:r w:rsidR="00D539E1">
        <w:t>9</w:t>
      </w:r>
      <w:r w:rsidR="00E84A71">
        <w:t xml:space="preserve"> watering action</w:t>
      </w:r>
      <w:r w:rsidR="00552059">
        <w:t>s</w:t>
      </w:r>
      <w:r w:rsidR="00E84A71">
        <w:t xml:space="preserve"> targeting native fish </w:t>
      </w:r>
      <w:r w:rsidR="00D539E1">
        <w:t xml:space="preserve">and stream productivity </w:t>
      </w:r>
      <w:r w:rsidR="00E84A71">
        <w:t xml:space="preserve">outcomes </w:t>
      </w:r>
      <w:r w:rsidR="00D539E1">
        <w:t xml:space="preserve">in both the mid and lower Lachlan River </w:t>
      </w:r>
      <w:r w:rsidR="00E84A71">
        <w:t xml:space="preserve">commenced </w:t>
      </w:r>
      <w:r>
        <w:t xml:space="preserve">at </w:t>
      </w:r>
      <w:r w:rsidR="00E84A71">
        <w:t xml:space="preserve">Wyangala dam on </w:t>
      </w:r>
      <w:r w:rsidR="00D539E1">
        <w:t>29</w:t>
      </w:r>
      <w:r w:rsidR="00703A88" w:rsidRPr="00703A88">
        <w:rPr>
          <w:vertAlign w:val="superscript"/>
        </w:rPr>
        <w:t>th</w:t>
      </w:r>
      <w:r w:rsidR="00703A88">
        <w:t xml:space="preserve"> </w:t>
      </w:r>
      <w:r w:rsidR="00D539E1">
        <w:t xml:space="preserve">August </w:t>
      </w:r>
      <w:r w:rsidR="00E84A71">
        <w:t>201</w:t>
      </w:r>
      <w:r w:rsidR="00D539E1">
        <w:t>8. This spring fresh</w:t>
      </w:r>
      <w:r w:rsidR="00F25622">
        <w:t xml:space="preserve"> (hereafter Watering Action 1)</w:t>
      </w:r>
      <w:r w:rsidR="00D539E1">
        <w:t xml:space="preserve"> </w:t>
      </w:r>
      <w:r w:rsidR="00552059">
        <w:t>was managed as a ‘run of river’ flow, passing through Hillston in mid-September and Booligal in late September.</w:t>
      </w:r>
      <w:r w:rsidR="00703A88">
        <w:t xml:space="preserve"> A portion of the spring fresh (</w:t>
      </w:r>
      <w:r w:rsidR="00552059">
        <w:t>1</w:t>
      </w:r>
      <w:r w:rsidR="00740557">
        <w:t>,</w:t>
      </w:r>
      <w:r w:rsidR="00F25622">
        <w:t>820 ML</w:t>
      </w:r>
      <w:r w:rsidR="00703A88">
        <w:t>)</w:t>
      </w:r>
      <w:r w:rsidR="00F25622">
        <w:t xml:space="preserve"> </w:t>
      </w:r>
      <w:r w:rsidR="00552059">
        <w:t>was held over in Lake Brewster and release</w:t>
      </w:r>
      <w:r w:rsidR="00F25622">
        <w:t>d</w:t>
      </w:r>
      <w:r w:rsidR="00552059">
        <w:t xml:space="preserve"> </w:t>
      </w:r>
      <w:r w:rsidR="00F25622">
        <w:t>between the 20</w:t>
      </w:r>
      <w:r w:rsidR="00F25622" w:rsidRPr="00F25622">
        <w:rPr>
          <w:vertAlign w:val="superscript"/>
        </w:rPr>
        <w:t>th</w:t>
      </w:r>
      <w:r w:rsidR="00F25622">
        <w:t xml:space="preserve"> and 23</w:t>
      </w:r>
      <w:r w:rsidR="00F25622" w:rsidRPr="00F25622">
        <w:rPr>
          <w:vertAlign w:val="superscript"/>
        </w:rPr>
        <w:t>rd</w:t>
      </w:r>
      <w:r w:rsidR="00F25622">
        <w:t xml:space="preserve"> </w:t>
      </w:r>
      <w:r w:rsidR="00552059">
        <w:t xml:space="preserve">October to mimic a small rain event, </w:t>
      </w:r>
      <w:r w:rsidR="00703A88">
        <w:t xml:space="preserve">creating variability in river height in the lower Lachlan. This latter volume was </w:t>
      </w:r>
      <w:r w:rsidR="00552059">
        <w:t>again managed as a ‘run of river’ flow reaching the edge of the Cumbung Swamp in mid-November.</w:t>
      </w:r>
    </w:p>
    <w:p w14:paraId="0825F9A5" w14:textId="3CF6773F" w:rsidR="00D539E1" w:rsidRDefault="00C26F8A" w:rsidP="00E84A71">
      <w:pPr>
        <w:rPr>
          <w:lang w:val="en-GB"/>
        </w:rPr>
      </w:pPr>
      <w:r>
        <w:t>The spring fresh was followed with a watering action targeting minimum stable flows in the mid Lachlan river (hereafter Watering Action 2). Releases commenced from Wyangala Dam on the 17</w:t>
      </w:r>
      <w:r w:rsidRPr="00C26F8A">
        <w:rPr>
          <w:vertAlign w:val="superscript"/>
        </w:rPr>
        <w:t>th</w:t>
      </w:r>
      <w:r>
        <w:t xml:space="preserve"> October and t</w:t>
      </w:r>
      <w:r w:rsidR="00D539E1">
        <w:rPr>
          <w:lang w:val="en-GB"/>
        </w:rPr>
        <w:t>he hydrological objectives were to maintain the river above 800</w:t>
      </w:r>
      <w:r w:rsidR="00740557">
        <w:rPr>
          <w:lang w:val="en-GB"/>
        </w:rPr>
        <w:t> </w:t>
      </w:r>
      <w:r w:rsidR="00D539E1">
        <w:rPr>
          <w:lang w:val="en-GB"/>
        </w:rPr>
        <w:t>ML/day and avoid rapid drops in water level</w:t>
      </w:r>
      <w:r>
        <w:rPr>
          <w:lang w:val="en-GB"/>
        </w:rPr>
        <w:t xml:space="preserve"> during October and November</w:t>
      </w:r>
      <w:r w:rsidR="00D539E1">
        <w:rPr>
          <w:lang w:val="en-GB"/>
        </w:rPr>
        <w:t>.</w:t>
      </w:r>
      <w:r>
        <w:rPr>
          <w:lang w:val="en-GB"/>
        </w:rPr>
        <w:t xml:space="preserve"> </w:t>
      </w:r>
      <w:r w:rsidR="00D539E1">
        <w:rPr>
          <w:lang w:val="en-GB"/>
        </w:rPr>
        <w:t xml:space="preserve">These objectives were designed to support the nesting period for native fish such as Murray cod and </w:t>
      </w:r>
      <w:r w:rsidR="00B04728">
        <w:rPr>
          <w:lang w:val="en-GB"/>
        </w:rPr>
        <w:t>freshwater catfish</w:t>
      </w:r>
      <w:r w:rsidR="00D539E1">
        <w:rPr>
          <w:lang w:val="en-GB"/>
        </w:rPr>
        <w:t xml:space="preserve"> whose nests are vulnerable to exposure from rapidly changing water levels.</w:t>
      </w:r>
      <w:r>
        <w:rPr>
          <w:lang w:val="en-GB"/>
        </w:rPr>
        <w:t xml:space="preserve"> Releases for this watering action ceased on the 3</w:t>
      </w:r>
      <w:r w:rsidRPr="00C26F8A">
        <w:rPr>
          <w:vertAlign w:val="superscript"/>
          <w:lang w:val="en-GB"/>
        </w:rPr>
        <w:t>rd</w:t>
      </w:r>
      <w:r>
        <w:rPr>
          <w:lang w:val="en-GB"/>
        </w:rPr>
        <w:t xml:space="preserve"> December 2018.</w:t>
      </w:r>
    </w:p>
    <w:p w14:paraId="4EFD4A1B" w14:textId="13A7747F" w:rsidR="00C26F8A" w:rsidRDefault="00C26F8A" w:rsidP="00E84A71">
      <w:pPr>
        <w:rPr>
          <w:lang w:val="en-GB"/>
        </w:rPr>
      </w:pPr>
      <w:r>
        <w:rPr>
          <w:lang w:val="en-GB"/>
        </w:rPr>
        <w:t>A small watering action targeting riparian vegetation and habitat for aquatic species in Yarrabandai (formerly Burrawang West) Lagoon commenced on the 18</w:t>
      </w:r>
      <w:r w:rsidRPr="00C26F8A">
        <w:rPr>
          <w:vertAlign w:val="superscript"/>
          <w:lang w:val="en-GB"/>
        </w:rPr>
        <w:t>th</w:t>
      </w:r>
      <w:r>
        <w:rPr>
          <w:lang w:val="en-GB"/>
        </w:rPr>
        <w:t xml:space="preserve"> March 2019 (hereafter Watering Action 3). This action was completed with three water transfers with the last delivering finishing on the 29</w:t>
      </w:r>
      <w:r w:rsidRPr="00C26F8A">
        <w:rPr>
          <w:vertAlign w:val="superscript"/>
          <w:lang w:val="en-GB"/>
        </w:rPr>
        <w:t>th</w:t>
      </w:r>
      <w:r>
        <w:rPr>
          <w:lang w:val="en-GB"/>
        </w:rPr>
        <w:t xml:space="preserve"> May.</w:t>
      </w:r>
      <w:r w:rsidR="00823C3A">
        <w:rPr>
          <w:lang w:val="en-GB"/>
        </w:rPr>
        <w:t xml:space="preserve"> </w:t>
      </w:r>
      <w:r w:rsidR="00823C3A">
        <w:rPr>
          <w:lang w:val="en-US" w:eastAsia="x-none"/>
        </w:rPr>
        <w:t xml:space="preserve">This action was not monitored under the </w:t>
      </w:r>
      <w:r w:rsidR="00E05711">
        <w:rPr>
          <w:lang w:val="en-US" w:eastAsia="x-none"/>
        </w:rPr>
        <w:t>LTIM Project</w:t>
      </w:r>
      <w:r w:rsidR="00823C3A">
        <w:rPr>
          <w:lang w:val="en-US" w:eastAsia="x-none"/>
        </w:rPr>
        <w:t xml:space="preserve"> in 2018-19.</w:t>
      </w:r>
    </w:p>
    <w:p w14:paraId="4DF6450C" w14:textId="1CB644B6" w:rsidR="00C26F8A" w:rsidRDefault="00C26F8A" w:rsidP="00E84A71">
      <w:r>
        <w:rPr>
          <w:lang w:val="en-GB"/>
        </w:rPr>
        <w:t>The final watering action targeting the Great Cumbung Swamp (hereafter Watering Action 4) commenced with increasing flows from Lake Brewster on the 9</w:t>
      </w:r>
      <w:r w:rsidRPr="00C26F8A">
        <w:rPr>
          <w:vertAlign w:val="superscript"/>
          <w:lang w:val="en-GB"/>
        </w:rPr>
        <w:t>th</w:t>
      </w:r>
      <w:r>
        <w:rPr>
          <w:lang w:val="en-GB"/>
        </w:rPr>
        <w:t xml:space="preserve"> June</w:t>
      </w:r>
      <w:r w:rsidR="002A080D">
        <w:rPr>
          <w:lang w:val="en-GB"/>
        </w:rPr>
        <w:t xml:space="preserve"> with releases ceasing on the 28</w:t>
      </w:r>
      <w:r w:rsidR="002A080D" w:rsidRPr="002A080D">
        <w:rPr>
          <w:vertAlign w:val="superscript"/>
          <w:lang w:val="en-GB"/>
        </w:rPr>
        <w:t>th</w:t>
      </w:r>
      <w:r w:rsidR="002A080D">
        <w:rPr>
          <w:lang w:val="en-GB"/>
        </w:rPr>
        <w:t xml:space="preserve"> June</w:t>
      </w:r>
      <w:r>
        <w:rPr>
          <w:lang w:val="en-GB"/>
        </w:rPr>
        <w:t>. The target was for 9 days of 500</w:t>
      </w:r>
      <w:r w:rsidR="00740557">
        <w:rPr>
          <w:lang w:val="en-GB"/>
        </w:rPr>
        <w:t> </w:t>
      </w:r>
      <w:r>
        <w:rPr>
          <w:lang w:val="en-GB"/>
        </w:rPr>
        <w:t>ML/day at Booligal, however operational constraints prevented the design hydrograph from being achieved</w:t>
      </w:r>
      <w:r w:rsidR="002A080D">
        <w:rPr>
          <w:lang w:val="en-GB"/>
        </w:rPr>
        <w:t>.</w:t>
      </w:r>
      <w:r>
        <w:rPr>
          <w:lang w:val="en-GB"/>
        </w:rPr>
        <w:t xml:space="preserve"> </w:t>
      </w:r>
      <w:r w:rsidR="002A080D">
        <w:rPr>
          <w:lang w:val="en-GB"/>
        </w:rPr>
        <w:t>A total of 5</w:t>
      </w:r>
      <w:r w:rsidR="00740557">
        <w:rPr>
          <w:lang w:val="en-GB"/>
        </w:rPr>
        <w:t>,</w:t>
      </w:r>
      <w:r w:rsidR="002A080D">
        <w:rPr>
          <w:lang w:val="en-GB"/>
        </w:rPr>
        <w:t>338</w:t>
      </w:r>
      <w:r w:rsidR="00953089">
        <w:rPr>
          <w:lang w:val="en-GB"/>
        </w:rPr>
        <w:t> </w:t>
      </w:r>
      <w:r w:rsidR="002A080D">
        <w:rPr>
          <w:lang w:val="en-GB"/>
        </w:rPr>
        <w:t>ML was delivered from Lake Brewster</w:t>
      </w:r>
    </w:p>
    <w:p w14:paraId="15145E4F" w14:textId="20AAE14C" w:rsidR="00C26F8A" w:rsidRDefault="00C26F8A" w:rsidP="0000347C">
      <w:pPr>
        <w:rPr>
          <w:lang w:val="en-GB"/>
        </w:rPr>
      </w:pPr>
    </w:p>
    <w:p w14:paraId="5691E8EA" w14:textId="4193AF08" w:rsidR="002A080D" w:rsidRDefault="002A080D" w:rsidP="005E70AA">
      <w:pPr>
        <w:pStyle w:val="Heading3"/>
      </w:pPr>
      <w:bookmarkStart w:id="51" w:name="_Toc31985445"/>
      <w:r>
        <w:t>NSW Watering Actions</w:t>
      </w:r>
      <w:bookmarkEnd w:id="51"/>
    </w:p>
    <w:p w14:paraId="5F019E45" w14:textId="57572CFE" w:rsidR="00FC2925" w:rsidRDefault="00FC2925" w:rsidP="00C26F8A">
      <w:pPr>
        <w:rPr>
          <w:lang w:val="en-GB"/>
        </w:rPr>
      </w:pPr>
      <w:r>
        <w:rPr>
          <w:lang w:val="en-GB"/>
        </w:rPr>
        <w:t xml:space="preserve">In 2018-19, Commonwealth and NSW watering actions were separate actions, targeting different outcomes within the river system. A summary of the NSW actions is included in </w:t>
      </w:r>
      <w:r>
        <w:rPr>
          <w:lang w:val="en-GB"/>
        </w:rPr>
        <w:fldChar w:fldCharType="begin"/>
      </w:r>
      <w:r>
        <w:rPr>
          <w:lang w:val="en-GB"/>
        </w:rPr>
        <w:instrText xml:space="preserve"> REF _Ref16522611 \h </w:instrText>
      </w:r>
      <w:r>
        <w:rPr>
          <w:lang w:val="en-GB"/>
        </w:rPr>
      </w:r>
      <w:r>
        <w:rPr>
          <w:lang w:val="en-GB"/>
        </w:rPr>
        <w:fldChar w:fldCharType="separate"/>
      </w:r>
      <w:r w:rsidR="007F7607" w:rsidRPr="00662A04">
        <w:t xml:space="preserve">Table </w:t>
      </w:r>
      <w:r w:rsidR="007F7607">
        <w:rPr>
          <w:noProof/>
        </w:rPr>
        <w:t>3</w:t>
      </w:r>
      <w:r>
        <w:rPr>
          <w:lang w:val="en-GB"/>
        </w:rPr>
        <w:fldChar w:fldCharType="end"/>
      </w:r>
      <w:r>
        <w:rPr>
          <w:lang w:val="en-GB"/>
        </w:rPr>
        <w:t>. This monitoring and evaluation report is focussed on the Commonwealth actions, with no evaluation of the NSW watering actions has been undertaken.</w:t>
      </w:r>
    </w:p>
    <w:p w14:paraId="413A3923" w14:textId="6D832037" w:rsidR="00C26F8A" w:rsidRDefault="00C26F8A" w:rsidP="00C26F8A">
      <w:r>
        <w:rPr>
          <w:lang w:val="en-GB"/>
        </w:rPr>
        <w:t xml:space="preserve">High water temperatures and low flows, combined with a series of catastrophic fish kills in other parts of the Murray Darlin Basin triggered the use of the Water Quality Allowance (WQA) in February 2019 to target water quality outcomes in the Lower Lachlan River.  Around </w:t>
      </w:r>
      <w:r w:rsidR="00B76908">
        <w:rPr>
          <w:lang w:val="en-GB"/>
        </w:rPr>
        <w:t>5,000</w:t>
      </w:r>
      <w:r w:rsidR="00740557">
        <w:rPr>
          <w:lang w:val="en-GB"/>
        </w:rPr>
        <w:t> </w:t>
      </w:r>
      <w:r>
        <w:rPr>
          <w:lang w:val="en-GB"/>
        </w:rPr>
        <w:t>ML was used between the 5</w:t>
      </w:r>
      <w:r w:rsidRPr="001132F8">
        <w:rPr>
          <w:vertAlign w:val="superscript"/>
          <w:lang w:val="en-GB"/>
        </w:rPr>
        <w:t>th</w:t>
      </w:r>
      <w:r>
        <w:rPr>
          <w:lang w:val="en-GB"/>
        </w:rPr>
        <w:t xml:space="preserve"> February and </w:t>
      </w:r>
      <w:r w:rsidR="00B76908">
        <w:rPr>
          <w:lang w:val="en-GB"/>
        </w:rPr>
        <w:t>April</w:t>
      </w:r>
      <w:r>
        <w:rPr>
          <w:lang w:val="en-GB"/>
        </w:rPr>
        <w:t xml:space="preserve"> to prevent blue green algal blooms from developing and dissolved oxygen concentrations from dropping in the lower </w:t>
      </w:r>
      <w:r w:rsidR="00686CAB">
        <w:rPr>
          <w:lang w:val="en-GB"/>
        </w:rPr>
        <w:t xml:space="preserve">Lachlan </w:t>
      </w:r>
      <w:r>
        <w:rPr>
          <w:lang w:val="en-GB"/>
        </w:rPr>
        <w:t>river system.</w:t>
      </w:r>
    </w:p>
    <w:p w14:paraId="026A8391" w14:textId="77777777" w:rsidR="001E2E3C" w:rsidRDefault="001E2E3C" w:rsidP="00E84A71">
      <w:pPr>
        <w:rPr>
          <w:lang w:eastAsia="x-none"/>
        </w:rPr>
      </w:pPr>
    </w:p>
    <w:p w14:paraId="7120AAF9" w14:textId="77777777" w:rsidR="00E84A71" w:rsidRDefault="00E84A71" w:rsidP="00E84A71">
      <w:pPr>
        <w:pStyle w:val="ListParagraph"/>
        <w:numPr>
          <w:ilvl w:val="0"/>
          <w:numId w:val="0"/>
        </w:numPr>
        <w:spacing w:after="200" w:line="276" w:lineRule="auto"/>
      </w:pPr>
    </w:p>
    <w:p w14:paraId="0D4C0B18" w14:textId="77777777" w:rsidR="00E84A71" w:rsidRDefault="00E84A71" w:rsidP="00E84A71">
      <w:pPr>
        <w:pStyle w:val="ListParagraph"/>
        <w:numPr>
          <w:ilvl w:val="0"/>
          <w:numId w:val="0"/>
        </w:numPr>
        <w:spacing w:after="200" w:line="276" w:lineRule="auto"/>
        <w:sectPr w:rsidR="00E84A71" w:rsidSect="006E0321">
          <w:pgSz w:w="11906" w:h="16838"/>
          <w:pgMar w:top="1440" w:right="1440" w:bottom="1440" w:left="1440" w:header="708" w:footer="708" w:gutter="0"/>
          <w:cols w:space="708"/>
          <w:docGrid w:linePitch="360"/>
        </w:sectPr>
      </w:pPr>
    </w:p>
    <w:p w14:paraId="39525C47" w14:textId="39C87C7B" w:rsidR="00E84A71" w:rsidRPr="00662A04" w:rsidRDefault="00E84A71" w:rsidP="00E84A71">
      <w:pPr>
        <w:pStyle w:val="Caption"/>
      </w:pPr>
      <w:bookmarkStart w:id="52" w:name="_Ref527034563"/>
      <w:bookmarkStart w:id="53" w:name="_Ref530139580"/>
      <w:bookmarkStart w:id="54" w:name="_Toc31985669"/>
      <w:r w:rsidRPr="00662A04">
        <w:t xml:space="preserve">Table </w:t>
      </w:r>
      <w:r>
        <w:rPr>
          <w:noProof/>
        </w:rPr>
        <w:fldChar w:fldCharType="begin"/>
      </w:r>
      <w:r>
        <w:rPr>
          <w:noProof/>
        </w:rPr>
        <w:instrText xml:space="preserve"> SEQ Table \* ARABIC </w:instrText>
      </w:r>
      <w:r>
        <w:rPr>
          <w:noProof/>
        </w:rPr>
        <w:fldChar w:fldCharType="separate"/>
      </w:r>
      <w:r w:rsidR="007F7607">
        <w:rPr>
          <w:noProof/>
        </w:rPr>
        <w:t>2</w:t>
      </w:r>
      <w:r>
        <w:rPr>
          <w:noProof/>
        </w:rPr>
        <w:fldChar w:fldCharType="end"/>
      </w:r>
      <w:bookmarkEnd w:id="52"/>
      <w:r w:rsidRPr="00662A04">
        <w:t>.</w:t>
      </w:r>
      <w:r w:rsidR="00F852A3">
        <w:t xml:space="preserve"> The 201</w:t>
      </w:r>
      <w:r w:rsidR="00814967">
        <w:t>8</w:t>
      </w:r>
      <w:r w:rsidRPr="00662A04">
        <w:t>-1</w:t>
      </w:r>
      <w:r w:rsidR="00814967">
        <w:t>9</w:t>
      </w:r>
      <w:r w:rsidRPr="00662A04">
        <w:t xml:space="preserve"> Commonwealth environmental watering actions.</w:t>
      </w:r>
      <w:bookmarkEnd w:id="53"/>
      <w:bookmarkEnd w:id="54"/>
      <w:r w:rsidR="005959DD">
        <w:t xml:space="preserve"> </w:t>
      </w:r>
    </w:p>
    <w:tbl>
      <w:tblPr>
        <w:tblW w:w="1400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397"/>
        <w:gridCol w:w="3531"/>
        <w:gridCol w:w="3544"/>
        <w:gridCol w:w="2409"/>
        <w:gridCol w:w="3119"/>
      </w:tblGrid>
      <w:tr w:rsidR="00686CAB" w:rsidRPr="00D40E7E" w14:paraId="1F44A0A7" w14:textId="29AA118E" w:rsidTr="005E70AA">
        <w:trPr>
          <w:tblHeader/>
        </w:trPr>
        <w:tc>
          <w:tcPr>
            <w:tcW w:w="1397" w:type="dxa"/>
            <w:tcBorders>
              <w:bottom w:val="single" w:sz="18" w:space="0" w:color="FFFFFF" w:themeColor="background1"/>
              <w:right w:val="single" w:sz="18" w:space="0" w:color="FFFFFF" w:themeColor="background1"/>
            </w:tcBorders>
            <w:shd w:val="clear" w:color="auto" w:fill="9BBB59"/>
            <w:vAlign w:val="center"/>
          </w:tcPr>
          <w:p w14:paraId="27AAF15A" w14:textId="7FB576F2" w:rsidR="00686CAB" w:rsidRPr="009B44E9" w:rsidRDefault="00686CAB" w:rsidP="00686CAB">
            <w:pPr>
              <w:spacing w:before="40" w:after="40"/>
              <w:contextualSpacing/>
              <w:rPr>
                <w:b/>
                <w:bCs/>
                <w:caps/>
                <w:color w:val="FFFFFF"/>
                <w:sz w:val="18"/>
                <w:szCs w:val="18"/>
              </w:rPr>
            </w:pPr>
            <w:r w:rsidRPr="009B44E9">
              <w:rPr>
                <w:b/>
                <w:bCs/>
                <w:caps/>
                <w:color w:val="FFFFFF"/>
                <w:sz w:val="18"/>
                <w:szCs w:val="18"/>
              </w:rPr>
              <w:t>Description</w:t>
            </w:r>
          </w:p>
        </w:tc>
        <w:tc>
          <w:tcPr>
            <w:tcW w:w="12603" w:type="dxa"/>
            <w:gridSpan w:val="4"/>
            <w:tcBorders>
              <w:left w:val="single" w:sz="18" w:space="0" w:color="FFFFFF" w:themeColor="background1"/>
              <w:bottom w:val="single" w:sz="18" w:space="0" w:color="FFFFFF" w:themeColor="background1"/>
            </w:tcBorders>
            <w:shd w:val="clear" w:color="auto" w:fill="9BBB59"/>
            <w:vAlign w:val="center"/>
          </w:tcPr>
          <w:p w14:paraId="3CD90678" w14:textId="6AEE3428" w:rsidR="00686CAB" w:rsidRPr="009B44E9" w:rsidRDefault="00686CAB" w:rsidP="00686CAB">
            <w:pPr>
              <w:spacing w:before="40" w:after="40"/>
              <w:contextualSpacing/>
              <w:jc w:val="center"/>
              <w:rPr>
                <w:b/>
                <w:bCs/>
                <w:caps/>
                <w:color w:val="FFFFFF"/>
                <w:sz w:val="18"/>
                <w:szCs w:val="18"/>
              </w:rPr>
            </w:pPr>
            <w:r w:rsidRPr="009B44E9">
              <w:rPr>
                <w:b/>
                <w:bCs/>
                <w:caps/>
                <w:color w:val="FFFFFF"/>
                <w:sz w:val="18"/>
                <w:szCs w:val="18"/>
              </w:rPr>
              <w:t>Details</w:t>
            </w:r>
          </w:p>
        </w:tc>
      </w:tr>
      <w:tr w:rsidR="008251AE" w:rsidRPr="00083E63" w14:paraId="0DCDE536" w14:textId="78FC7A1B" w:rsidTr="00686CAB">
        <w:trPr>
          <w:tblHeader/>
        </w:trPr>
        <w:tc>
          <w:tcPr>
            <w:tcW w:w="1397" w:type="dxa"/>
            <w:tcBorders>
              <w:top w:val="single" w:sz="18" w:space="0" w:color="FFFFFF" w:themeColor="background1"/>
              <w:right w:val="single" w:sz="18" w:space="0" w:color="FFFFFF" w:themeColor="background1"/>
            </w:tcBorders>
            <w:shd w:val="clear" w:color="auto" w:fill="9BBB59"/>
            <w:vAlign w:val="center"/>
          </w:tcPr>
          <w:p w14:paraId="26D3E0F7"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Action</w:t>
            </w:r>
          </w:p>
        </w:tc>
        <w:tc>
          <w:tcPr>
            <w:tcW w:w="3531" w:type="dxa"/>
            <w:tcBorders>
              <w:top w:val="single" w:sz="18" w:space="0" w:color="FFFFFF" w:themeColor="background1"/>
              <w:left w:val="single" w:sz="18" w:space="0" w:color="FFFFFF" w:themeColor="background1"/>
            </w:tcBorders>
            <w:shd w:val="clear" w:color="auto" w:fill="C2D69B"/>
          </w:tcPr>
          <w:p w14:paraId="296A3A59" w14:textId="77777777" w:rsidR="008251AE" w:rsidRPr="009B44E9" w:rsidRDefault="008251AE" w:rsidP="00686CAB">
            <w:pPr>
              <w:spacing w:before="40" w:after="40"/>
              <w:contextualSpacing/>
              <w:jc w:val="center"/>
              <w:rPr>
                <w:sz w:val="18"/>
                <w:szCs w:val="18"/>
              </w:rPr>
            </w:pPr>
            <w:r w:rsidRPr="009B44E9">
              <w:rPr>
                <w:sz w:val="18"/>
                <w:szCs w:val="18"/>
              </w:rPr>
              <w:t>1</w:t>
            </w:r>
          </w:p>
        </w:tc>
        <w:tc>
          <w:tcPr>
            <w:tcW w:w="3544" w:type="dxa"/>
            <w:tcBorders>
              <w:top w:val="single" w:sz="18" w:space="0" w:color="FFFFFF" w:themeColor="background1"/>
            </w:tcBorders>
            <w:shd w:val="clear" w:color="auto" w:fill="C2D69B"/>
          </w:tcPr>
          <w:p w14:paraId="6B4D4145" w14:textId="77777777" w:rsidR="008251AE" w:rsidRPr="009B44E9" w:rsidRDefault="008251AE" w:rsidP="00686CAB">
            <w:pPr>
              <w:spacing w:before="40" w:after="40"/>
              <w:contextualSpacing/>
              <w:jc w:val="center"/>
              <w:rPr>
                <w:sz w:val="18"/>
                <w:szCs w:val="18"/>
              </w:rPr>
            </w:pPr>
            <w:r w:rsidRPr="009B44E9">
              <w:rPr>
                <w:sz w:val="18"/>
                <w:szCs w:val="18"/>
              </w:rPr>
              <w:t>2</w:t>
            </w:r>
          </w:p>
        </w:tc>
        <w:tc>
          <w:tcPr>
            <w:tcW w:w="2409" w:type="dxa"/>
            <w:tcBorders>
              <w:top w:val="single" w:sz="18" w:space="0" w:color="FFFFFF" w:themeColor="background1"/>
            </w:tcBorders>
            <w:shd w:val="clear" w:color="auto" w:fill="C2D69B"/>
          </w:tcPr>
          <w:p w14:paraId="119AF666" w14:textId="1EB75793" w:rsidR="008251AE" w:rsidRPr="009B44E9" w:rsidRDefault="00814967" w:rsidP="00686CAB">
            <w:pPr>
              <w:spacing w:before="40" w:after="40"/>
              <w:contextualSpacing/>
              <w:jc w:val="center"/>
              <w:rPr>
                <w:sz w:val="18"/>
                <w:szCs w:val="18"/>
              </w:rPr>
            </w:pPr>
            <w:r>
              <w:rPr>
                <w:sz w:val="18"/>
                <w:szCs w:val="18"/>
              </w:rPr>
              <w:t>3</w:t>
            </w:r>
          </w:p>
        </w:tc>
        <w:tc>
          <w:tcPr>
            <w:tcW w:w="3119" w:type="dxa"/>
            <w:tcBorders>
              <w:top w:val="single" w:sz="18" w:space="0" w:color="FFFFFF" w:themeColor="background1"/>
            </w:tcBorders>
            <w:shd w:val="clear" w:color="auto" w:fill="C2D69B"/>
          </w:tcPr>
          <w:p w14:paraId="04521906" w14:textId="7AA764EF" w:rsidR="008251AE" w:rsidRPr="009B44E9" w:rsidRDefault="00814967" w:rsidP="00686CAB">
            <w:pPr>
              <w:spacing w:before="40" w:after="40"/>
              <w:contextualSpacing/>
              <w:jc w:val="center"/>
              <w:rPr>
                <w:sz w:val="18"/>
                <w:szCs w:val="18"/>
              </w:rPr>
            </w:pPr>
            <w:r>
              <w:rPr>
                <w:sz w:val="18"/>
                <w:szCs w:val="18"/>
              </w:rPr>
              <w:t>4</w:t>
            </w:r>
          </w:p>
        </w:tc>
      </w:tr>
      <w:tr w:rsidR="008251AE" w:rsidRPr="00083E63" w14:paraId="38300545" w14:textId="6203EE75" w:rsidTr="00686CAB">
        <w:tc>
          <w:tcPr>
            <w:tcW w:w="1397" w:type="dxa"/>
            <w:tcBorders>
              <w:right w:val="single" w:sz="18" w:space="0" w:color="FFFFFF" w:themeColor="background1"/>
            </w:tcBorders>
            <w:shd w:val="clear" w:color="auto" w:fill="9BBB59"/>
            <w:vAlign w:val="center"/>
          </w:tcPr>
          <w:p w14:paraId="2EDF06E2"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Target Asset</w:t>
            </w:r>
          </w:p>
        </w:tc>
        <w:tc>
          <w:tcPr>
            <w:tcW w:w="3531" w:type="dxa"/>
            <w:tcBorders>
              <w:left w:val="single" w:sz="18" w:space="0" w:color="FFFFFF" w:themeColor="background1"/>
            </w:tcBorders>
            <w:shd w:val="clear" w:color="auto" w:fill="EAF1DD"/>
          </w:tcPr>
          <w:p w14:paraId="3D17E3C5" w14:textId="492EE9E6" w:rsidR="008251AE" w:rsidRPr="009B44E9" w:rsidRDefault="008251AE" w:rsidP="00686CAB">
            <w:pPr>
              <w:spacing w:before="40" w:after="40"/>
              <w:contextualSpacing/>
              <w:rPr>
                <w:sz w:val="18"/>
                <w:szCs w:val="18"/>
              </w:rPr>
            </w:pPr>
            <w:r w:rsidRPr="009B44E9">
              <w:rPr>
                <w:sz w:val="18"/>
                <w:szCs w:val="18"/>
              </w:rPr>
              <w:t xml:space="preserve">Mid Lachlan River, main channel and </w:t>
            </w:r>
            <w:r>
              <w:rPr>
                <w:sz w:val="18"/>
                <w:szCs w:val="18"/>
              </w:rPr>
              <w:t>Booberoi Creek, main channel</w:t>
            </w:r>
          </w:p>
        </w:tc>
        <w:tc>
          <w:tcPr>
            <w:tcW w:w="3544" w:type="dxa"/>
            <w:shd w:val="clear" w:color="auto" w:fill="EAF1DD"/>
          </w:tcPr>
          <w:p w14:paraId="5889C3F9" w14:textId="1062B8A4" w:rsidR="008251AE" w:rsidRPr="009B44E9" w:rsidRDefault="008251AE" w:rsidP="00686CAB">
            <w:pPr>
              <w:spacing w:before="40" w:after="40"/>
              <w:contextualSpacing/>
              <w:rPr>
                <w:sz w:val="18"/>
                <w:szCs w:val="18"/>
              </w:rPr>
            </w:pPr>
            <w:r w:rsidRPr="009B44E9">
              <w:rPr>
                <w:sz w:val="18"/>
                <w:szCs w:val="18"/>
              </w:rPr>
              <w:t>Mid Lachlan River, main channel</w:t>
            </w:r>
          </w:p>
        </w:tc>
        <w:tc>
          <w:tcPr>
            <w:tcW w:w="2409" w:type="dxa"/>
            <w:shd w:val="clear" w:color="auto" w:fill="EAF1DD"/>
          </w:tcPr>
          <w:p w14:paraId="60CEBBA3" w14:textId="626DF440" w:rsidR="008251AE" w:rsidRPr="009B44E9" w:rsidRDefault="00057630" w:rsidP="00686CAB">
            <w:pPr>
              <w:spacing w:before="40" w:after="40"/>
              <w:contextualSpacing/>
              <w:rPr>
                <w:sz w:val="18"/>
                <w:szCs w:val="18"/>
              </w:rPr>
            </w:pPr>
            <w:r>
              <w:rPr>
                <w:sz w:val="18"/>
                <w:szCs w:val="18"/>
              </w:rPr>
              <w:t xml:space="preserve">Yarrabandai (formerly </w:t>
            </w:r>
            <w:r w:rsidR="008251AE">
              <w:rPr>
                <w:sz w:val="18"/>
                <w:szCs w:val="18"/>
              </w:rPr>
              <w:t>Burrawang West</w:t>
            </w:r>
            <w:r>
              <w:rPr>
                <w:sz w:val="18"/>
                <w:szCs w:val="18"/>
              </w:rPr>
              <w:t>)</w:t>
            </w:r>
            <w:r w:rsidR="008251AE">
              <w:rPr>
                <w:sz w:val="18"/>
                <w:szCs w:val="18"/>
              </w:rPr>
              <w:t xml:space="preserve"> Lagoon</w:t>
            </w:r>
          </w:p>
        </w:tc>
        <w:tc>
          <w:tcPr>
            <w:tcW w:w="3119" w:type="dxa"/>
            <w:shd w:val="clear" w:color="auto" w:fill="EAF1DD"/>
          </w:tcPr>
          <w:p w14:paraId="1C0D70D3" w14:textId="1CFBE986" w:rsidR="008251AE" w:rsidRPr="009B44E9" w:rsidRDefault="008251AE" w:rsidP="00686CAB">
            <w:pPr>
              <w:spacing w:before="40" w:after="40"/>
              <w:contextualSpacing/>
              <w:rPr>
                <w:sz w:val="18"/>
                <w:szCs w:val="18"/>
              </w:rPr>
            </w:pPr>
            <w:r w:rsidRPr="009B44E9">
              <w:rPr>
                <w:sz w:val="18"/>
                <w:szCs w:val="18"/>
              </w:rPr>
              <w:t>Lower Lachlan River, main channel below Lake Brewster terminating in Great Cumbung Swamp</w:t>
            </w:r>
          </w:p>
        </w:tc>
      </w:tr>
      <w:tr w:rsidR="008251AE" w:rsidRPr="00083E63" w14:paraId="1ED7884E" w14:textId="66810DDF" w:rsidTr="00686CAB">
        <w:tc>
          <w:tcPr>
            <w:tcW w:w="1397" w:type="dxa"/>
            <w:tcBorders>
              <w:right w:val="single" w:sz="18" w:space="0" w:color="FFFFFF" w:themeColor="background1"/>
            </w:tcBorders>
            <w:shd w:val="clear" w:color="auto" w:fill="9BBB59"/>
            <w:vAlign w:val="center"/>
          </w:tcPr>
          <w:p w14:paraId="2546EB6E"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Reference</w:t>
            </w:r>
          </w:p>
        </w:tc>
        <w:tc>
          <w:tcPr>
            <w:tcW w:w="3531" w:type="dxa"/>
            <w:tcBorders>
              <w:left w:val="single" w:sz="18" w:space="0" w:color="FFFFFF" w:themeColor="background1"/>
            </w:tcBorders>
            <w:shd w:val="clear" w:color="auto" w:fill="C2D69B"/>
          </w:tcPr>
          <w:p w14:paraId="2CC299C1" w14:textId="5A7005A5" w:rsidR="008251AE" w:rsidRPr="009B44E9" w:rsidRDefault="001209FF" w:rsidP="00686CAB">
            <w:pPr>
              <w:spacing w:before="40" w:after="40"/>
              <w:rPr>
                <w:rFonts w:eastAsiaTheme="minorHAnsi"/>
                <w:sz w:val="18"/>
                <w:szCs w:val="18"/>
              </w:rPr>
            </w:pPr>
            <w:r>
              <w:rPr>
                <w:rFonts w:eastAsiaTheme="minorHAnsi"/>
                <w:sz w:val="18"/>
                <w:szCs w:val="18"/>
              </w:rPr>
              <w:t>WUM10081-01</w:t>
            </w:r>
          </w:p>
        </w:tc>
        <w:tc>
          <w:tcPr>
            <w:tcW w:w="3544" w:type="dxa"/>
            <w:shd w:val="clear" w:color="auto" w:fill="C2D69B"/>
          </w:tcPr>
          <w:p w14:paraId="40913CD5" w14:textId="16957E2F" w:rsidR="008251AE" w:rsidRPr="009B44E9" w:rsidRDefault="001209FF" w:rsidP="00686CAB">
            <w:pPr>
              <w:spacing w:before="40" w:after="40"/>
              <w:rPr>
                <w:rFonts w:eastAsiaTheme="minorHAnsi"/>
                <w:sz w:val="18"/>
                <w:szCs w:val="18"/>
              </w:rPr>
            </w:pPr>
            <w:r>
              <w:rPr>
                <w:rFonts w:eastAsiaTheme="minorHAnsi"/>
                <w:sz w:val="18"/>
                <w:szCs w:val="18"/>
              </w:rPr>
              <w:t>WUM10081-01</w:t>
            </w:r>
          </w:p>
        </w:tc>
        <w:tc>
          <w:tcPr>
            <w:tcW w:w="2409" w:type="dxa"/>
            <w:shd w:val="clear" w:color="auto" w:fill="C2D69B"/>
          </w:tcPr>
          <w:p w14:paraId="285B2A86" w14:textId="0016927E" w:rsidR="008251AE" w:rsidRPr="009B44E9" w:rsidRDefault="001209FF" w:rsidP="00686CAB">
            <w:pPr>
              <w:spacing w:before="40" w:after="40"/>
              <w:rPr>
                <w:rFonts w:eastAsiaTheme="minorHAnsi"/>
                <w:sz w:val="18"/>
                <w:szCs w:val="18"/>
              </w:rPr>
            </w:pPr>
            <w:r>
              <w:rPr>
                <w:rFonts w:eastAsiaTheme="minorHAnsi"/>
                <w:sz w:val="18"/>
                <w:szCs w:val="18"/>
              </w:rPr>
              <w:t>WUM10081-02</w:t>
            </w:r>
          </w:p>
        </w:tc>
        <w:tc>
          <w:tcPr>
            <w:tcW w:w="3119" w:type="dxa"/>
            <w:shd w:val="clear" w:color="auto" w:fill="C2D69B"/>
          </w:tcPr>
          <w:p w14:paraId="14FB4AF8" w14:textId="3D78B60A" w:rsidR="008251AE" w:rsidRPr="009B44E9" w:rsidRDefault="00E46F91" w:rsidP="00686CAB">
            <w:pPr>
              <w:spacing w:before="40" w:after="40"/>
              <w:rPr>
                <w:rFonts w:eastAsiaTheme="minorHAnsi"/>
                <w:sz w:val="18"/>
                <w:szCs w:val="18"/>
              </w:rPr>
            </w:pPr>
            <w:r>
              <w:rPr>
                <w:rFonts w:eastAsiaTheme="minorHAnsi"/>
                <w:sz w:val="18"/>
                <w:szCs w:val="18"/>
              </w:rPr>
              <w:t>WUM</w:t>
            </w:r>
            <w:r w:rsidR="001209FF">
              <w:rPr>
                <w:rFonts w:eastAsiaTheme="minorHAnsi"/>
                <w:sz w:val="18"/>
                <w:szCs w:val="18"/>
              </w:rPr>
              <w:t>10081-03</w:t>
            </w:r>
          </w:p>
        </w:tc>
      </w:tr>
      <w:tr w:rsidR="008251AE" w:rsidRPr="00083E63" w14:paraId="77FB4881" w14:textId="4F39B7C5" w:rsidTr="00686CAB">
        <w:tc>
          <w:tcPr>
            <w:tcW w:w="1397" w:type="dxa"/>
            <w:tcBorders>
              <w:right w:val="single" w:sz="18" w:space="0" w:color="FFFFFF" w:themeColor="background1"/>
            </w:tcBorders>
            <w:shd w:val="clear" w:color="auto" w:fill="9BBB59"/>
            <w:vAlign w:val="center"/>
          </w:tcPr>
          <w:p w14:paraId="4D94D268"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Accounting Location</w:t>
            </w:r>
          </w:p>
        </w:tc>
        <w:tc>
          <w:tcPr>
            <w:tcW w:w="3531" w:type="dxa"/>
            <w:tcBorders>
              <w:left w:val="single" w:sz="18" w:space="0" w:color="FFFFFF" w:themeColor="background1"/>
            </w:tcBorders>
            <w:shd w:val="clear" w:color="auto" w:fill="C2D69B"/>
          </w:tcPr>
          <w:p w14:paraId="653301C4" w14:textId="77777777" w:rsidR="008251AE" w:rsidRDefault="008251AE" w:rsidP="00686CAB">
            <w:pPr>
              <w:spacing w:before="40" w:after="40"/>
              <w:contextualSpacing/>
              <w:rPr>
                <w:sz w:val="18"/>
                <w:szCs w:val="18"/>
              </w:rPr>
            </w:pPr>
            <w:r w:rsidRPr="009B44E9">
              <w:rPr>
                <w:sz w:val="18"/>
                <w:szCs w:val="18"/>
              </w:rPr>
              <w:t>Lachlan River at Forbes (Cotton’s Weir)</w:t>
            </w:r>
          </w:p>
          <w:p w14:paraId="6158B0DA" w14:textId="5709E132" w:rsidR="008251AE" w:rsidRPr="009B44E9" w:rsidRDefault="008251AE" w:rsidP="00686CAB">
            <w:pPr>
              <w:spacing w:before="40" w:after="40"/>
              <w:contextualSpacing/>
              <w:rPr>
                <w:sz w:val="18"/>
                <w:szCs w:val="18"/>
              </w:rPr>
            </w:pPr>
            <w:r>
              <w:rPr>
                <w:sz w:val="18"/>
                <w:szCs w:val="18"/>
              </w:rPr>
              <w:t>Booberoi Creek off take</w:t>
            </w:r>
          </w:p>
        </w:tc>
        <w:tc>
          <w:tcPr>
            <w:tcW w:w="3544" w:type="dxa"/>
            <w:shd w:val="clear" w:color="auto" w:fill="C2D69B"/>
          </w:tcPr>
          <w:p w14:paraId="22858991" w14:textId="7D45AF8D" w:rsidR="008251AE" w:rsidRPr="009B44E9" w:rsidRDefault="008251AE" w:rsidP="00686CAB">
            <w:pPr>
              <w:spacing w:before="40" w:after="40"/>
              <w:contextualSpacing/>
              <w:rPr>
                <w:sz w:val="18"/>
                <w:szCs w:val="18"/>
              </w:rPr>
            </w:pPr>
            <w:r w:rsidRPr="009B44E9">
              <w:rPr>
                <w:sz w:val="18"/>
                <w:szCs w:val="18"/>
              </w:rPr>
              <w:t>Lachlan River at Forbes (Cotton’s Weir)</w:t>
            </w:r>
          </w:p>
        </w:tc>
        <w:tc>
          <w:tcPr>
            <w:tcW w:w="2409" w:type="dxa"/>
            <w:shd w:val="clear" w:color="auto" w:fill="C2D69B"/>
          </w:tcPr>
          <w:p w14:paraId="2B6EC218" w14:textId="0E777207" w:rsidR="008251AE" w:rsidRPr="009B44E9" w:rsidRDefault="001209FF" w:rsidP="00686CAB">
            <w:pPr>
              <w:spacing w:before="40" w:after="40"/>
              <w:contextualSpacing/>
              <w:rPr>
                <w:sz w:val="18"/>
                <w:szCs w:val="18"/>
              </w:rPr>
            </w:pPr>
            <w:r>
              <w:rPr>
                <w:sz w:val="18"/>
                <w:szCs w:val="18"/>
              </w:rPr>
              <w:t xml:space="preserve">Yarrabandai (formerly </w:t>
            </w:r>
            <w:r w:rsidR="008251AE">
              <w:rPr>
                <w:sz w:val="18"/>
                <w:szCs w:val="18"/>
              </w:rPr>
              <w:t>Burrawang West</w:t>
            </w:r>
            <w:r>
              <w:rPr>
                <w:sz w:val="18"/>
                <w:szCs w:val="18"/>
              </w:rPr>
              <w:t>)</w:t>
            </w:r>
            <w:r w:rsidR="008251AE">
              <w:rPr>
                <w:sz w:val="18"/>
                <w:szCs w:val="18"/>
              </w:rPr>
              <w:t xml:space="preserve"> Lagoon</w:t>
            </w:r>
          </w:p>
        </w:tc>
        <w:tc>
          <w:tcPr>
            <w:tcW w:w="3119" w:type="dxa"/>
            <w:shd w:val="clear" w:color="auto" w:fill="C2D69B"/>
          </w:tcPr>
          <w:p w14:paraId="174ADDBB" w14:textId="5C2B22B1" w:rsidR="008251AE" w:rsidRPr="009B44E9" w:rsidRDefault="008251AE" w:rsidP="00686CAB">
            <w:pPr>
              <w:spacing w:before="40" w:after="40"/>
              <w:contextualSpacing/>
              <w:rPr>
                <w:sz w:val="18"/>
                <w:szCs w:val="18"/>
              </w:rPr>
            </w:pPr>
            <w:r>
              <w:rPr>
                <w:sz w:val="18"/>
                <w:szCs w:val="18"/>
              </w:rPr>
              <w:t>Lachlan River at Booligal</w:t>
            </w:r>
          </w:p>
        </w:tc>
      </w:tr>
      <w:tr w:rsidR="008251AE" w:rsidRPr="00083E63" w14:paraId="15B6D077" w14:textId="1EA486D5" w:rsidTr="00686CAB">
        <w:tc>
          <w:tcPr>
            <w:tcW w:w="1397" w:type="dxa"/>
            <w:tcBorders>
              <w:right w:val="single" w:sz="18" w:space="0" w:color="FFFFFF" w:themeColor="background1"/>
            </w:tcBorders>
            <w:shd w:val="clear" w:color="auto" w:fill="9BBB59"/>
            <w:vAlign w:val="center"/>
          </w:tcPr>
          <w:p w14:paraId="7E196BFA"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Flow component</w:t>
            </w:r>
          </w:p>
        </w:tc>
        <w:tc>
          <w:tcPr>
            <w:tcW w:w="3531" w:type="dxa"/>
            <w:tcBorders>
              <w:left w:val="single" w:sz="18" w:space="0" w:color="FFFFFF" w:themeColor="background1"/>
            </w:tcBorders>
            <w:shd w:val="clear" w:color="auto" w:fill="EAF1DD"/>
          </w:tcPr>
          <w:p w14:paraId="30506469" w14:textId="52340EC9" w:rsidR="008251AE" w:rsidRPr="009B44E9" w:rsidRDefault="009D2C27" w:rsidP="00686CAB">
            <w:pPr>
              <w:spacing w:before="40" w:after="40"/>
              <w:contextualSpacing/>
              <w:rPr>
                <w:sz w:val="18"/>
                <w:szCs w:val="18"/>
              </w:rPr>
            </w:pPr>
            <w:r>
              <w:rPr>
                <w:sz w:val="18"/>
                <w:szCs w:val="18"/>
              </w:rPr>
              <w:t>F</w:t>
            </w:r>
            <w:r w:rsidR="008251AE" w:rsidRPr="009B44E9">
              <w:rPr>
                <w:sz w:val="18"/>
                <w:szCs w:val="18"/>
              </w:rPr>
              <w:t>resh flow</w:t>
            </w:r>
          </w:p>
        </w:tc>
        <w:tc>
          <w:tcPr>
            <w:tcW w:w="3544" w:type="dxa"/>
            <w:shd w:val="clear" w:color="auto" w:fill="EAF1DD"/>
          </w:tcPr>
          <w:p w14:paraId="1728DD19" w14:textId="7ED359F3" w:rsidR="008251AE" w:rsidRPr="009B44E9" w:rsidRDefault="009D2C27" w:rsidP="00686CAB">
            <w:pPr>
              <w:spacing w:before="40" w:after="40"/>
              <w:contextualSpacing/>
              <w:rPr>
                <w:sz w:val="18"/>
                <w:szCs w:val="18"/>
              </w:rPr>
            </w:pPr>
            <w:r>
              <w:rPr>
                <w:sz w:val="18"/>
                <w:szCs w:val="18"/>
              </w:rPr>
              <w:t>Base flow</w:t>
            </w:r>
          </w:p>
        </w:tc>
        <w:tc>
          <w:tcPr>
            <w:tcW w:w="2409" w:type="dxa"/>
            <w:shd w:val="clear" w:color="auto" w:fill="EAF1DD"/>
          </w:tcPr>
          <w:p w14:paraId="7E6039CF" w14:textId="734A36D6" w:rsidR="008251AE" w:rsidRPr="009B44E9" w:rsidRDefault="00944A9F" w:rsidP="00686CAB">
            <w:pPr>
              <w:spacing w:before="40" w:after="40"/>
              <w:contextualSpacing/>
              <w:rPr>
                <w:sz w:val="18"/>
                <w:szCs w:val="18"/>
              </w:rPr>
            </w:pPr>
            <w:r>
              <w:rPr>
                <w:sz w:val="18"/>
                <w:szCs w:val="18"/>
              </w:rPr>
              <w:t>Wetland watering</w:t>
            </w:r>
          </w:p>
        </w:tc>
        <w:tc>
          <w:tcPr>
            <w:tcW w:w="3119" w:type="dxa"/>
            <w:shd w:val="clear" w:color="auto" w:fill="EAF1DD"/>
          </w:tcPr>
          <w:p w14:paraId="7A089CE1" w14:textId="5E1C98C1" w:rsidR="008251AE" w:rsidRPr="009B44E9" w:rsidRDefault="008251AE" w:rsidP="00686CAB">
            <w:pPr>
              <w:spacing w:before="40" w:after="40"/>
              <w:contextualSpacing/>
              <w:rPr>
                <w:sz w:val="18"/>
                <w:szCs w:val="18"/>
              </w:rPr>
            </w:pPr>
            <w:r>
              <w:rPr>
                <w:sz w:val="18"/>
                <w:szCs w:val="18"/>
              </w:rPr>
              <w:t>Fresh flow</w:t>
            </w:r>
          </w:p>
        </w:tc>
      </w:tr>
      <w:tr w:rsidR="008251AE" w:rsidRPr="00083E63" w14:paraId="5AE98749" w14:textId="1CF49C93" w:rsidTr="00686CAB">
        <w:tc>
          <w:tcPr>
            <w:tcW w:w="1397" w:type="dxa"/>
            <w:tcBorders>
              <w:right w:val="single" w:sz="18" w:space="0" w:color="FFFFFF" w:themeColor="background1"/>
            </w:tcBorders>
            <w:shd w:val="clear" w:color="auto" w:fill="9BBB59"/>
            <w:vAlign w:val="center"/>
          </w:tcPr>
          <w:p w14:paraId="21682A8B"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Volume (CEW)</w:t>
            </w:r>
          </w:p>
        </w:tc>
        <w:tc>
          <w:tcPr>
            <w:tcW w:w="3531" w:type="dxa"/>
            <w:tcBorders>
              <w:left w:val="single" w:sz="18" w:space="0" w:color="FFFFFF" w:themeColor="background1"/>
            </w:tcBorders>
            <w:shd w:val="clear" w:color="auto" w:fill="C2D69B"/>
          </w:tcPr>
          <w:p w14:paraId="684F05F6" w14:textId="087A716B" w:rsidR="008251AE" w:rsidRPr="009B44E9" w:rsidRDefault="008251AE" w:rsidP="00686CAB">
            <w:pPr>
              <w:spacing w:before="40" w:after="40"/>
              <w:contextualSpacing/>
              <w:rPr>
                <w:sz w:val="18"/>
                <w:szCs w:val="18"/>
              </w:rPr>
            </w:pPr>
            <w:r>
              <w:rPr>
                <w:sz w:val="18"/>
                <w:szCs w:val="18"/>
              </w:rPr>
              <w:t xml:space="preserve">10 </w:t>
            </w:r>
            <w:r w:rsidR="00057630">
              <w:rPr>
                <w:sz w:val="18"/>
                <w:szCs w:val="18"/>
              </w:rPr>
              <w:t>391</w:t>
            </w:r>
            <w:r w:rsidRPr="009B44E9">
              <w:rPr>
                <w:sz w:val="18"/>
                <w:szCs w:val="18"/>
              </w:rPr>
              <w:t xml:space="preserve"> ML (accounted at Forbes)</w:t>
            </w:r>
            <w:r>
              <w:rPr>
                <w:sz w:val="18"/>
                <w:szCs w:val="18"/>
              </w:rPr>
              <w:t xml:space="preserve"> and includes 761 </w:t>
            </w:r>
            <w:r w:rsidR="00686CAB">
              <w:rPr>
                <w:sz w:val="18"/>
                <w:szCs w:val="18"/>
              </w:rPr>
              <w:t xml:space="preserve">ML </w:t>
            </w:r>
            <w:r>
              <w:rPr>
                <w:sz w:val="18"/>
                <w:szCs w:val="18"/>
              </w:rPr>
              <w:t>delivered to Booberoi Creek</w:t>
            </w:r>
            <w:r w:rsidR="005329BD">
              <w:rPr>
                <w:sz w:val="18"/>
                <w:szCs w:val="18"/>
              </w:rPr>
              <w:t xml:space="preserve">, 6,355 </w:t>
            </w:r>
            <w:r w:rsidR="00686CAB">
              <w:rPr>
                <w:sz w:val="18"/>
                <w:szCs w:val="18"/>
              </w:rPr>
              <w:t xml:space="preserve">ML </w:t>
            </w:r>
            <w:r w:rsidR="005329BD">
              <w:rPr>
                <w:sz w:val="18"/>
                <w:szCs w:val="18"/>
              </w:rPr>
              <w:t xml:space="preserve">system flow and 1,820 </w:t>
            </w:r>
            <w:r w:rsidR="00686CAB">
              <w:rPr>
                <w:sz w:val="18"/>
                <w:szCs w:val="18"/>
              </w:rPr>
              <w:t xml:space="preserve">ML </w:t>
            </w:r>
            <w:r w:rsidR="005329BD">
              <w:rPr>
                <w:sz w:val="18"/>
                <w:szCs w:val="18"/>
              </w:rPr>
              <w:t>held and re-released from Brewster Weir</w:t>
            </w:r>
          </w:p>
        </w:tc>
        <w:tc>
          <w:tcPr>
            <w:tcW w:w="3544" w:type="dxa"/>
            <w:shd w:val="clear" w:color="auto" w:fill="C2D69B"/>
          </w:tcPr>
          <w:p w14:paraId="3AA4AF65" w14:textId="2AA67F99" w:rsidR="008251AE" w:rsidRPr="009B44E9" w:rsidRDefault="00057630" w:rsidP="00686CAB">
            <w:pPr>
              <w:spacing w:before="40" w:after="40"/>
              <w:contextualSpacing/>
              <w:rPr>
                <w:sz w:val="18"/>
                <w:szCs w:val="18"/>
              </w:rPr>
            </w:pPr>
            <w:r>
              <w:rPr>
                <w:sz w:val="18"/>
                <w:szCs w:val="18"/>
              </w:rPr>
              <w:t>2</w:t>
            </w:r>
            <w:r w:rsidR="00740557">
              <w:rPr>
                <w:sz w:val="18"/>
                <w:szCs w:val="18"/>
              </w:rPr>
              <w:t>,</w:t>
            </w:r>
            <w:r>
              <w:rPr>
                <w:sz w:val="18"/>
                <w:szCs w:val="18"/>
              </w:rPr>
              <w:t>032</w:t>
            </w:r>
            <w:r w:rsidR="008251AE">
              <w:rPr>
                <w:sz w:val="18"/>
                <w:szCs w:val="18"/>
              </w:rPr>
              <w:t xml:space="preserve"> </w:t>
            </w:r>
            <w:r w:rsidR="00686CAB">
              <w:rPr>
                <w:sz w:val="18"/>
                <w:szCs w:val="18"/>
              </w:rPr>
              <w:t xml:space="preserve">ML </w:t>
            </w:r>
            <w:r w:rsidR="008251AE">
              <w:rPr>
                <w:sz w:val="18"/>
                <w:szCs w:val="18"/>
              </w:rPr>
              <w:t>(accounted at Forbes)</w:t>
            </w:r>
          </w:p>
        </w:tc>
        <w:tc>
          <w:tcPr>
            <w:tcW w:w="2409" w:type="dxa"/>
            <w:shd w:val="clear" w:color="auto" w:fill="C2D69B"/>
          </w:tcPr>
          <w:p w14:paraId="4A82F54E" w14:textId="66709996" w:rsidR="008251AE" w:rsidRPr="009B44E9" w:rsidRDefault="008251AE" w:rsidP="00686CAB">
            <w:pPr>
              <w:spacing w:before="40" w:after="40"/>
              <w:contextualSpacing/>
              <w:rPr>
                <w:sz w:val="18"/>
                <w:szCs w:val="18"/>
              </w:rPr>
            </w:pPr>
            <w:r>
              <w:rPr>
                <w:sz w:val="18"/>
                <w:szCs w:val="18"/>
              </w:rPr>
              <w:t>412 ML</w:t>
            </w:r>
          </w:p>
        </w:tc>
        <w:tc>
          <w:tcPr>
            <w:tcW w:w="3119" w:type="dxa"/>
            <w:shd w:val="clear" w:color="auto" w:fill="C2D69B"/>
          </w:tcPr>
          <w:p w14:paraId="765F530B" w14:textId="54707C79" w:rsidR="008251AE" w:rsidRPr="009B44E9" w:rsidRDefault="008251AE" w:rsidP="00686CAB">
            <w:pPr>
              <w:spacing w:before="40" w:after="40"/>
              <w:contextualSpacing/>
              <w:rPr>
                <w:sz w:val="18"/>
                <w:szCs w:val="18"/>
              </w:rPr>
            </w:pPr>
            <w:r>
              <w:rPr>
                <w:sz w:val="18"/>
                <w:szCs w:val="18"/>
              </w:rPr>
              <w:t>5</w:t>
            </w:r>
            <w:r w:rsidR="00740557">
              <w:rPr>
                <w:sz w:val="18"/>
                <w:szCs w:val="18"/>
              </w:rPr>
              <w:t>,</w:t>
            </w:r>
            <w:r>
              <w:rPr>
                <w:sz w:val="18"/>
                <w:szCs w:val="18"/>
              </w:rPr>
              <w:t>338</w:t>
            </w:r>
            <w:r w:rsidR="00686CAB">
              <w:rPr>
                <w:sz w:val="18"/>
                <w:szCs w:val="18"/>
              </w:rPr>
              <w:t xml:space="preserve"> ML</w:t>
            </w:r>
            <w:r>
              <w:rPr>
                <w:sz w:val="18"/>
                <w:szCs w:val="18"/>
              </w:rPr>
              <w:t xml:space="preserve"> (accounted at Booligal)</w:t>
            </w:r>
          </w:p>
        </w:tc>
      </w:tr>
      <w:tr w:rsidR="008251AE" w:rsidRPr="00083E63" w14:paraId="25AC0752" w14:textId="1B1017D7" w:rsidTr="00686CAB">
        <w:trPr>
          <w:trHeight w:val="359"/>
        </w:trPr>
        <w:tc>
          <w:tcPr>
            <w:tcW w:w="1397" w:type="dxa"/>
            <w:tcBorders>
              <w:right w:val="single" w:sz="18" w:space="0" w:color="FFFFFF" w:themeColor="background1"/>
            </w:tcBorders>
            <w:shd w:val="clear" w:color="auto" w:fill="9BBB59"/>
            <w:vAlign w:val="center"/>
          </w:tcPr>
          <w:p w14:paraId="65F6E458"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Total Volume (ML)</w:t>
            </w:r>
          </w:p>
        </w:tc>
        <w:tc>
          <w:tcPr>
            <w:tcW w:w="3531" w:type="dxa"/>
            <w:tcBorders>
              <w:left w:val="single" w:sz="18" w:space="0" w:color="FFFFFF" w:themeColor="background1"/>
            </w:tcBorders>
            <w:shd w:val="clear" w:color="auto" w:fill="C2D69B"/>
          </w:tcPr>
          <w:p w14:paraId="4BA2F689" w14:textId="2515C3C8" w:rsidR="008251AE" w:rsidRPr="009B44E9" w:rsidRDefault="008251AE" w:rsidP="00686CAB">
            <w:pPr>
              <w:spacing w:before="40" w:after="40"/>
              <w:contextualSpacing/>
              <w:rPr>
                <w:sz w:val="18"/>
                <w:szCs w:val="18"/>
              </w:rPr>
            </w:pPr>
            <w:r>
              <w:rPr>
                <w:sz w:val="18"/>
                <w:szCs w:val="18"/>
              </w:rPr>
              <w:t xml:space="preserve">10 </w:t>
            </w:r>
            <w:r w:rsidR="00057630">
              <w:rPr>
                <w:sz w:val="18"/>
                <w:szCs w:val="18"/>
              </w:rPr>
              <w:t>391</w:t>
            </w:r>
            <w:r w:rsidRPr="009B44E9">
              <w:rPr>
                <w:sz w:val="18"/>
                <w:szCs w:val="18"/>
              </w:rPr>
              <w:t xml:space="preserve"> ML</w:t>
            </w:r>
          </w:p>
        </w:tc>
        <w:tc>
          <w:tcPr>
            <w:tcW w:w="3544" w:type="dxa"/>
            <w:shd w:val="clear" w:color="auto" w:fill="C2D69B"/>
          </w:tcPr>
          <w:p w14:paraId="45D8B532" w14:textId="7EE7AC15" w:rsidR="008251AE" w:rsidRPr="009B44E9" w:rsidRDefault="00057630" w:rsidP="00686CAB">
            <w:pPr>
              <w:spacing w:before="40" w:after="40"/>
              <w:contextualSpacing/>
              <w:rPr>
                <w:sz w:val="18"/>
                <w:szCs w:val="18"/>
              </w:rPr>
            </w:pPr>
            <w:r>
              <w:rPr>
                <w:sz w:val="18"/>
                <w:szCs w:val="18"/>
              </w:rPr>
              <w:t>2</w:t>
            </w:r>
            <w:r w:rsidR="00740557">
              <w:rPr>
                <w:sz w:val="18"/>
                <w:szCs w:val="18"/>
              </w:rPr>
              <w:t>,</w:t>
            </w:r>
            <w:r>
              <w:rPr>
                <w:sz w:val="18"/>
                <w:szCs w:val="18"/>
              </w:rPr>
              <w:t>032</w:t>
            </w:r>
            <w:r w:rsidR="008251AE" w:rsidRPr="009B44E9">
              <w:rPr>
                <w:sz w:val="18"/>
                <w:szCs w:val="18"/>
              </w:rPr>
              <w:t xml:space="preserve"> ML</w:t>
            </w:r>
          </w:p>
        </w:tc>
        <w:tc>
          <w:tcPr>
            <w:tcW w:w="2409" w:type="dxa"/>
            <w:shd w:val="clear" w:color="auto" w:fill="C2D69B"/>
          </w:tcPr>
          <w:p w14:paraId="6B3DAD4F" w14:textId="6B18141B" w:rsidR="008251AE" w:rsidRPr="009B44E9" w:rsidRDefault="008251AE" w:rsidP="00686CAB">
            <w:pPr>
              <w:spacing w:before="40" w:after="40"/>
              <w:contextualSpacing/>
              <w:rPr>
                <w:sz w:val="18"/>
                <w:szCs w:val="18"/>
              </w:rPr>
            </w:pPr>
            <w:r>
              <w:rPr>
                <w:sz w:val="18"/>
                <w:szCs w:val="18"/>
              </w:rPr>
              <w:t>412 ML</w:t>
            </w:r>
          </w:p>
        </w:tc>
        <w:tc>
          <w:tcPr>
            <w:tcW w:w="3119" w:type="dxa"/>
            <w:shd w:val="clear" w:color="auto" w:fill="C2D69B"/>
          </w:tcPr>
          <w:p w14:paraId="57F7C7EF" w14:textId="3584BFB8" w:rsidR="008251AE" w:rsidRPr="009B44E9" w:rsidRDefault="008251AE" w:rsidP="00686CAB">
            <w:pPr>
              <w:spacing w:before="40" w:after="40"/>
              <w:contextualSpacing/>
              <w:rPr>
                <w:sz w:val="18"/>
                <w:szCs w:val="18"/>
              </w:rPr>
            </w:pPr>
            <w:r>
              <w:rPr>
                <w:sz w:val="18"/>
                <w:szCs w:val="18"/>
              </w:rPr>
              <w:t>5</w:t>
            </w:r>
            <w:r w:rsidR="00740557">
              <w:rPr>
                <w:sz w:val="18"/>
                <w:szCs w:val="18"/>
              </w:rPr>
              <w:t>,</w:t>
            </w:r>
            <w:r>
              <w:rPr>
                <w:sz w:val="18"/>
                <w:szCs w:val="18"/>
              </w:rPr>
              <w:t>338 ML</w:t>
            </w:r>
          </w:p>
        </w:tc>
      </w:tr>
      <w:tr w:rsidR="008251AE" w:rsidRPr="00083E63" w14:paraId="21742903" w14:textId="70F05CE8" w:rsidTr="00686CAB">
        <w:tc>
          <w:tcPr>
            <w:tcW w:w="1397" w:type="dxa"/>
            <w:tcBorders>
              <w:right w:val="single" w:sz="18" w:space="0" w:color="FFFFFF" w:themeColor="background1"/>
            </w:tcBorders>
            <w:shd w:val="clear" w:color="auto" w:fill="9BBB59"/>
            <w:vAlign w:val="center"/>
          </w:tcPr>
          <w:p w14:paraId="53A1AB8E" w14:textId="77777777" w:rsidR="008251AE" w:rsidRPr="009B44E9" w:rsidRDefault="008251AE" w:rsidP="00686CAB">
            <w:pPr>
              <w:spacing w:before="40" w:after="40"/>
              <w:contextualSpacing/>
              <w:rPr>
                <w:b/>
                <w:bCs/>
                <w:color w:val="FFFFFF"/>
                <w:sz w:val="18"/>
                <w:szCs w:val="18"/>
              </w:rPr>
            </w:pPr>
            <w:r w:rsidRPr="009B44E9">
              <w:rPr>
                <w:b/>
                <w:bCs/>
                <w:color w:val="FFFFFF"/>
                <w:sz w:val="18"/>
                <w:szCs w:val="18"/>
              </w:rPr>
              <w:t>Re-use</w:t>
            </w:r>
          </w:p>
        </w:tc>
        <w:tc>
          <w:tcPr>
            <w:tcW w:w="3531" w:type="dxa"/>
            <w:tcBorders>
              <w:left w:val="single" w:sz="18" w:space="0" w:color="FFFFFF" w:themeColor="background1"/>
            </w:tcBorders>
            <w:shd w:val="clear" w:color="auto" w:fill="C2D69B"/>
          </w:tcPr>
          <w:p w14:paraId="238B90C5" w14:textId="0AC5E8EE" w:rsidR="008251AE" w:rsidRPr="009B44E9" w:rsidRDefault="008251AE" w:rsidP="00686CAB">
            <w:pPr>
              <w:spacing w:before="40" w:after="40"/>
              <w:contextualSpacing/>
              <w:rPr>
                <w:sz w:val="18"/>
                <w:szCs w:val="18"/>
              </w:rPr>
            </w:pPr>
            <w:r>
              <w:rPr>
                <w:sz w:val="18"/>
                <w:szCs w:val="18"/>
              </w:rPr>
              <w:t>761</w:t>
            </w:r>
            <w:r w:rsidRPr="009B44E9">
              <w:rPr>
                <w:sz w:val="18"/>
                <w:szCs w:val="18"/>
              </w:rPr>
              <w:t xml:space="preserve"> ML re-regulated from the Forbes flow and accounted at </w:t>
            </w:r>
            <w:r>
              <w:rPr>
                <w:sz w:val="18"/>
                <w:szCs w:val="18"/>
              </w:rPr>
              <w:t>the Booberoi Creek Offtake</w:t>
            </w:r>
          </w:p>
        </w:tc>
        <w:tc>
          <w:tcPr>
            <w:tcW w:w="3544" w:type="dxa"/>
            <w:shd w:val="clear" w:color="auto" w:fill="C2D69B"/>
          </w:tcPr>
          <w:p w14:paraId="3C3D946F" w14:textId="31111FF2" w:rsidR="008251AE" w:rsidRPr="009B44E9" w:rsidRDefault="008251AE" w:rsidP="00686CAB">
            <w:pPr>
              <w:spacing w:before="40" w:after="40"/>
              <w:contextualSpacing/>
              <w:rPr>
                <w:sz w:val="18"/>
                <w:szCs w:val="18"/>
              </w:rPr>
            </w:pPr>
          </w:p>
        </w:tc>
        <w:tc>
          <w:tcPr>
            <w:tcW w:w="2409" w:type="dxa"/>
            <w:shd w:val="clear" w:color="auto" w:fill="C2D69B"/>
          </w:tcPr>
          <w:p w14:paraId="6EC38941" w14:textId="77777777" w:rsidR="008251AE" w:rsidRPr="009B44E9" w:rsidRDefault="008251AE" w:rsidP="00686CAB">
            <w:pPr>
              <w:spacing w:before="40" w:after="40"/>
              <w:contextualSpacing/>
              <w:rPr>
                <w:sz w:val="18"/>
                <w:szCs w:val="18"/>
              </w:rPr>
            </w:pPr>
          </w:p>
        </w:tc>
        <w:tc>
          <w:tcPr>
            <w:tcW w:w="3119" w:type="dxa"/>
            <w:shd w:val="clear" w:color="auto" w:fill="C2D69B"/>
          </w:tcPr>
          <w:p w14:paraId="3129A288" w14:textId="77777777" w:rsidR="008251AE" w:rsidRPr="009B44E9" w:rsidRDefault="008251AE" w:rsidP="00686CAB">
            <w:pPr>
              <w:spacing w:before="40" w:after="40"/>
              <w:contextualSpacing/>
              <w:rPr>
                <w:sz w:val="18"/>
                <w:szCs w:val="18"/>
              </w:rPr>
            </w:pPr>
          </w:p>
        </w:tc>
      </w:tr>
      <w:tr w:rsidR="009D2C27" w:rsidRPr="00083E63" w14:paraId="3D9683BC" w14:textId="5710788C" w:rsidTr="00686CAB">
        <w:tc>
          <w:tcPr>
            <w:tcW w:w="1397" w:type="dxa"/>
            <w:tcBorders>
              <w:right w:val="single" w:sz="18" w:space="0" w:color="FFFFFF" w:themeColor="background1"/>
            </w:tcBorders>
            <w:shd w:val="clear" w:color="auto" w:fill="9BBB59"/>
            <w:vAlign w:val="center"/>
          </w:tcPr>
          <w:p w14:paraId="005624E5" w14:textId="77777777" w:rsidR="009D2C27" w:rsidRPr="009B44E9" w:rsidRDefault="009D2C27" w:rsidP="00686CAB">
            <w:pPr>
              <w:spacing w:before="40" w:after="40"/>
              <w:contextualSpacing/>
              <w:rPr>
                <w:b/>
                <w:bCs/>
                <w:color w:val="FFFFFF"/>
                <w:sz w:val="18"/>
                <w:szCs w:val="18"/>
              </w:rPr>
            </w:pPr>
            <w:r w:rsidRPr="009B44E9">
              <w:rPr>
                <w:b/>
                <w:bCs/>
                <w:color w:val="FFFFFF"/>
                <w:sz w:val="18"/>
                <w:szCs w:val="18"/>
              </w:rPr>
              <w:t>Objectives</w:t>
            </w:r>
          </w:p>
        </w:tc>
        <w:tc>
          <w:tcPr>
            <w:tcW w:w="3531" w:type="dxa"/>
            <w:tcBorders>
              <w:left w:val="single" w:sz="18" w:space="0" w:color="FFFFFF" w:themeColor="background1"/>
            </w:tcBorders>
            <w:shd w:val="clear" w:color="auto" w:fill="EAF1DD"/>
          </w:tcPr>
          <w:p w14:paraId="56B91F94" w14:textId="667D00A3" w:rsidR="009D2C27" w:rsidRDefault="009D2C27" w:rsidP="00686CAB">
            <w:pPr>
              <w:pStyle w:val="ListBullet"/>
              <w:numPr>
                <w:ilvl w:val="0"/>
                <w:numId w:val="0"/>
              </w:numPr>
              <w:spacing w:before="40" w:after="40"/>
              <w:ind w:left="26"/>
              <w:rPr>
                <w:sz w:val="18"/>
                <w:szCs w:val="18"/>
              </w:rPr>
            </w:pPr>
            <w:r>
              <w:rPr>
                <w:sz w:val="18"/>
                <w:szCs w:val="18"/>
              </w:rPr>
              <w:t xml:space="preserve">To </w:t>
            </w:r>
            <w:r w:rsidRPr="009D2C27">
              <w:rPr>
                <w:sz w:val="18"/>
                <w:szCs w:val="18"/>
              </w:rPr>
              <w:t>support the movement of native fish prior to the spawning season</w:t>
            </w:r>
            <w:r>
              <w:rPr>
                <w:sz w:val="18"/>
                <w:szCs w:val="18"/>
              </w:rPr>
              <w:t xml:space="preserve"> and </w:t>
            </w:r>
            <w:r w:rsidRPr="009D2C27">
              <w:rPr>
                <w:sz w:val="18"/>
                <w:szCs w:val="18"/>
              </w:rPr>
              <w:t>support the ability of native fish to achieve good pre-spawning condition</w:t>
            </w:r>
            <w:r>
              <w:rPr>
                <w:sz w:val="18"/>
                <w:szCs w:val="18"/>
              </w:rPr>
              <w:t>.</w:t>
            </w:r>
          </w:p>
          <w:p w14:paraId="032C64CE" w14:textId="77777777" w:rsidR="009D2C27" w:rsidRPr="009D2C27" w:rsidRDefault="009D2C27" w:rsidP="00686CAB">
            <w:pPr>
              <w:pStyle w:val="ListBullet"/>
              <w:numPr>
                <w:ilvl w:val="0"/>
                <w:numId w:val="0"/>
              </w:numPr>
              <w:spacing w:before="40" w:after="40"/>
              <w:ind w:left="26"/>
              <w:rPr>
                <w:sz w:val="18"/>
                <w:szCs w:val="18"/>
              </w:rPr>
            </w:pPr>
          </w:p>
          <w:p w14:paraId="16FD4E47" w14:textId="664B005C" w:rsidR="009D2C27" w:rsidRDefault="00814967" w:rsidP="00686CAB">
            <w:pPr>
              <w:pStyle w:val="ListBullet"/>
              <w:numPr>
                <w:ilvl w:val="0"/>
                <w:numId w:val="0"/>
              </w:numPr>
              <w:spacing w:before="40" w:after="40"/>
              <w:ind w:left="26"/>
              <w:rPr>
                <w:sz w:val="18"/>
                <w:szCs w:val="18"/>
              </w:rPr>
            </w:pPr>
            <w:r>
              <w:rPr>
                <w:sz w:val="18"/>
                <w:szCs w:val="18"/>
              </w:rPr>
              <w:t xml:space="preserve">To </w:t>
            </w:r>
            <w:r w:rsidR="009D2C27" w:rsidRPr="009D2C27">
              <w:rPr>
                <w:sz w:val="18"/>
                <w:szCs w:val="18"/>
              </w:rPr>
              <w:t>be of short duration to prevent early nesting at higher river level.</w:t>
            </w:r>
          </w:p>
          <w:p w14:paraId="22B432D0" w14:textId="77777777" w:rsidR="009D2C27" w:rsidRPr="009D2C27" w:rsidRDefault="009D2C27" w:rsidP="00686CAB">
            <w:pPr>
              <w:pStyle w:val="ListBullet"/>
              <w:numPr>
                <w:ilvl w:val="0"/>
                <w:numId w:val="0"/>
              </w:numPr>
              <w:spacing w:before="40" w:after="40"/>
              <w:ind w:left="26"/>
              <w:rPr>
                <w:sz w:val="18"/>
                <w:szCs w:val="18"/>
              </w:rPr>
            </w:pPr>
          </w:p>
          <w:p w14:paraId="0EB0C7A6" w14:textId="648E6998" w:rsidR="009D2C27" w:rsidRPr="009D2C27" w:rsidRDefault="009D2C27" w:rsidP="00686CAB">
            <w:pPr>
              <w:pStyle w:val="ListBullet"/>
              <w:numPr>
                <w:ilvl w:val="0"/>
                <w:numId w:val="0"/>
              </w:numPr>
              <w:spacing w:before="40" w:after="40"/>
              <w:ind w:left="26"/>
              <w:rPr>
                <w:sz w:val="18"/>
                <w:szCs w:val="18"/>
              </w:rPr>
            </w:pPr>
            <w:r>
              <w:rPr>
                <w:sz w:val="18"/>
                <w:szCs w:val="18"/>
              </w:rPr>
              <w:t xml:space="preserve">To </w:t>
            </w:r>
            <w:r w:rsidRPr="009D2C27">
              <w:rPr>
                <w:sz w:val="18"/>
                <w:szCs w:val="18"/>
              </w:rPr>
              <w:t>mobilise carbon from the riverbank and benches to stimulate primary productivity (i.e. create food)</w:t>
            </w:r>
          </w:p>
          <w:p w14:paraId="5D1299F4" w14:textId="77777777" w:rsidR="009D2C27" w:rsidRDefault="009D2C27" w:rsidP="00686CAB">
            <w:pPr>
              <w:pStyle w:val="ListBullet"/>
              <w:numPr>
                <w:ilvl w:val="0"/>
                <w:numId w:val="0"/>
              </w:numPr>
              <w:spacing w:before="40" w:after="40"/>
              <w:ind w:left="26"/>
              <w:rPr>
                <w:sz w:val="18"/>
                <w:szCs w:val="18"/>
              </w:rPr>
            </w:pPr>
          </w:p>
          <w:p w14:paraId="2EE7D438" w14:textId="6D933E5D" w:rsidR="009D2C27" w:rsidRDefault="009D2C27" w:rsidP="00686CAB">
            <w:pPr>
              <w:pStyle w:val="ListBullet"/>
              <w:numPr>
                <w:ilvl w:val="0"/>
                <w:numId w:val="0"/>
              </w:numPr>
              <w:spacing w:before="40" w:after="40"/>
              <w:ind w:left="26"/>
              <w:rPr>
                <w:sz w:val="18"/>
                <w:szCs w:val="18"/>
              </w:rPr>
            </w:pPr>
            <w:r>
              <w:rPr>
                <w:sz w:val="18"/>
                <w:szCs w:val="18"/>
              </w:rPr>
              <w:t xml:space="preserve">To </w:t>
            </w:r>
            <w:r w:rsidRPr="009D2C27">
              <w:rPr>
                <w:sz w:val="18"/>
                <w:szCs w:val="18"/>
              </w:rPr>
              <w:t>support spawning success of native fish that may have spawned early, such as Australian smelt.</w:t>
            </w:r>
          </w:p>
          <w:p w14:paraId="44CC6F52" w14:textId="77777777" w:rsidR="009D2C27" w:rsidRPr="009D2C27" w:rsidRDefault="009D2C27" w:rsidP="00686CAB">
            <w:pPr>
              <w:pStyle w:val="ListBullet"/>
              <w:numPr>
                <w:ilvl w:val="0"/>
                <w:numId w:val="0"/>
              </w:numPr>
              <w:spacing w:before="40" w:after="40"/>
              <w:ind w:left="26"/>
              <w:rPr>
                <w:sz w:val="18"/>
                <w:szCs w:val="18"/>
              </w:rPr>
            </w:pPr>
          </w:p>
          <w:p w14:paraId="0EC52291" w14:textId="62851BF1" w:rsidR="009D2C27" w:rsidRPr="009D2C27" w:rsidRDefault="009D2C27" w:rsidP="00686CAB">
            <w:pPr>
              <w:pStyle w:val="ListBullet"/>
              <w:numPr>
                <w:ilvl w:val="0"/>
                <w:numId w:val="0"/>
              </w:numPr>
              <w:spacing w:before="40" w:after="40"/>
              <w:ind w:left="26"/>
              <w:rPr>
                <w:sz w:val="18"/>
                <w:szCs w:val="18"/>
              </w:rPr>
            </w:pPr>
            <w:r>
              <w:rPr>
                <w:sz w:val="18"/>
                <w:szCs w:val="18"/>
              </w:rPr>
              <w:t xml:space="preserve">To </w:t>
            </w:r>
            <w:r w:rsidRPr="009D2C27">
              <w:rPr>
                <w:sz w:val="18"/>
                <w:szCs w:val="18"/>
              </w:rPr>
              <w:t>provide a gradual recession to periods of high flow.</w:t>
            </w:r>
          </w:p>
          <w:p w14:paraId="1490A8EB" w14:textId="04C7D11B" w:rsidR="009D2C27" w:rsidRDefault="009D2C27" w:rsidP="00686CAB">
            <w:pPr>
              <w:pStyle w:val="ListBullet"/>
              <w:numPr>
                <w:ilvl w:val="0"/>
                <w:numId w:val="0"/>
              </w:numPr>
              <w:spacing w:before="40" w:after="40"/>
              <w:ind w:left="26"/>
              <w:rPr>
                <w:sz w:val="18"/>
                <w:szCs w:val="18"/>
              </w:rPr>
            </w:pPr>
            <w:r>
              <w:rPr>
                <w:sz w:val="18"/>
                <w:szCs w:val="18"/>
              </w:rPr>
              <w:t xml:space="preserve">To </w:t>
            </w:r>
            <w:r w:rsidRPr="009D2C27">
              <w:rPr>
                <w:sz w:val="18"/>
                <w:szCs w:val="18"/>
              </w:rPr>
              <w:t>provide flows into distributary Creeks, including Booberoi Creek</w:t>
            </w:r>
            <w:r>
              <w:rPr>
                <w:sz w:val="18"/>
                <w:szCs w:val="18"/>
              </w:rPr>
              <w:t>.</w:t>
            </w:r>
          </w:p>
          <w:p w14:paraId="1E43FEA6" w14:textId="77777777" w:rsidR="009D2C27" w:rsidRPr="009D2C27" w:rsidRDefault="009D2C27" w:rsidP="00686CAB">
            <w:pPr>
              <w:pStyle w:val="ListBullet"/>
              <w:numPr>
                <w:ilvl w:val="0"/>
                <w:numId w:val="0"/>
              </w:numPr>
              <w:spacing w:before="40" w:after="40"/>
              <w:ind w:left="26"/>
              <w:rPr>
                <w:sz w:val="18"/>
                <w:szCs w:val="18"/>
              </w:rPr>
            </w:pPr>
          </w:p>
          <w:p w14:paraId="1A5ECEFD" w14:textId="699DD181" w:rsidR="009D2C27" w:rsidRPr="009B44E9" w:rsidRDefault="009D2C27" w:rsidP="00686CAB">
            <w:pPr>
              <w:pStyle w:val="ListBullet"/>
              <w:numPr>
                <w:ilvl w:val="0"/>
                <w:numId w:val="0"/>
              </w:numPr>
              <w:spacing w:before="40" w:after="40"/>
              <w:ind w:left="26"/>
              <w:rPr>
                <w:sz w:val="18"/>
                <w:szCs w:val="18"/>
              </w:rPr>
            </w:pPr>
            <w:r>
              <w:rPr>
                <w:sz w:val="18"/>
                <w:szCs w:val="18"/>
              </w:rPr>
              <w:t>To p</w:t>
            </w:r>
            <w:r w:rsidRPr="009D2C27">
              <w:rPr>
                <w:sz w:val="18"/>
                <w:szCs w:val="18"/>
              </w:rPr>
              <w:t>rovide early spring watering for areas of riparian native vegetation along the river channel that may not have been watered since March or June 2018</w:t>
            </w:r>
          </w:p>
        </w:tc>
        <w:tc>
          <w:tcPr>
            <w:tcW w:w="3544" w:type="dxa"/>
            <w:shd w:val="clear" w:color="auto" w:fill="EAF1DD"/>
          </w:tcPr>
          <w:p w14:paraId="3546CCB3" w14:textId="5BB917F8" w:rsidR="009D2C27" w:rsidRPr="009B44E9" w:rsidRDefault="009D2C27" w:rsidP="00686CAB">
            <w:pPr>
              <w:pStyle w:val="ListBullet"/>
              <w:numPr>
                <w:ilvl w:val="0"/>
                <w:numId w:val="0"/>
              </w:numPr>
              <w:spacing w:before="40" w:after="40"/>
              <w:rPr>
                <w:sz w:val="18"/>
                <w:szCs w:val="18"/>
              </w:rPr>
            </w:pPr>
            <w:r w:rsidRPr="009B44E9">
              <w:rPr>
                <w:sz w:val="18"/>
                <w:szCs w:val="18"/>
              </w:rPr>
              <w:t xml:space="preserve">To inundate areas of the river channel containing large woody habitat (snags) which is the preferred spawning habitat for nesting native fish such as Murray cod, River blackfish and </w:t>
            </w:r>
            <w:r w:rsidR="00B04728">
              <w:rPr>
                <w:sz w:val="18"/>
                <w:szCs w:val="18"/>
              </w:rPr>
              <w:t>freshwater catfish</w:t>
            </w:r>
            <w:r w:rsidRPr="009B44E9">
              <w:rPr>
                <w:sz w:val="18"/>
                <w:szCs w:val="18"/>
              </w:rPr>
              <w:t>.</w:t>
            </w:r>
          </w:p>
          <w:p w14:paraId="7827CAF6" w14:textId="77777777" w:rsidR="009D2C27" w:rsidRPr="009B44E9" w:rsidRDefault="009D2C27" w:rsidP="00686CAB">
            <w:pPr>
              <w:pStyle w:val="ListBullet"/>
              <w:numPr>
                <w:ilvl w:val="0"/>
                <w:numId w:val="0"/>
              </w:numPr>
              <w:spacing w:before="40" w:after="40"/>
              <w:rPr>
                <w:sz w:val="18"/>
                <w:szCs w:val="18"/>
              </w:rPr>
            </w:pPr>
          </w:p>
          <w:p w14:paraId="29A23AB3" w14:textId="6CB8A880" w:rsidR="009D2C27" w:rsidRDefault="009D2C27" w:rsidP="00686CAB">
            <w:pPr>
              <w:pStyle w:val="ListBullet"/>
              <w:numPr>
                <w:ilvl w:val="0"/>
                <w:numId w:val="0"/>
              </w:numPr>
              <w:spacing w:before="40" w:after="40"/>
              <w:rPr>
                <w:sz w:val="18"/>
                <w:szCs w:val="18"/>
              </w:rPr>
            </w:pPr>
            <w:r w:rsidRPr="009B44E9">
              <w:rPr>
                <w:sz w:val="18"/>
                <w:szCs w:val="18"/>
              </w:rPr>
              <w:t>Avoid rapid drops in water level from late September to early December to prevent nest abandonment by native fish.</w:t>
            </w:r>
          </w:p>
          <w:p w14:paraId="03253941" w14:textId="77777777" w:rsidR="009D2C27" w:rsidRPr="009B44E9" w:rsidRDefault="009D2C27" w:rsidP="00686CAB">
            <w:pPr>
              <w:pStyle w:val="ListBullet"/>
              <w:numPr>
                <w:ilvl w:val="0"/>
                <w:numId w:val="0"/>
              </w:numPr>
              <w:spacing w:before="40" w:after="40"/>
              <w:rPr>
                <w:sz w:val="18"/>
                <w:szCs w:val="18"/>
              </w:rPr>
            </w:pPr>
          </w:p>
          <w:p w14:paraId="4FB2BE44" w14:textId="3C4F862B" w:rsidR="009D2C27" w:rsidRDefault="009D2C27" w:rsidP="00686CAB">
            <w:pPr>
              <w:pStyle w:val="ListBullet"/>
              <w:numPr>
                <w:ilvl w:val="0"/>
                <w:numId w:val="0"/>
              </w:numPr>
              <w:spacing w:before="40" w:after="40"/>
              <w:rPr>
                <w:sz w:val="18"/>
                <w:szCs w:val="18"/>
                <w:lang w:eastAsia="en-AU"/>
              </w:rPr>
            </w:pPr>
            <w:r>
              <w:rPr>
                <w:sz w:val="18"/>
                <w:szCs w:val="18"/>
                <w:lang w:eastAsia="en-AU"/>
              </w:rPr>
              <w:t xml:space="preserve">Promote the dispersal of larval/juvenile </w:t>
            </w:r>
            <w:r w:rsidRPr="00FE29F5">
              <w:rPr>
                <w:sz w:val="18"/>
                <w:szCs w:val="18"/>
                <w:lang w:eastAsia="en-AU"/>
              </w:rPr>
              <w:t>Murray cod</w:t>
            </w:r>
            <w:r>
              <w:rPr>
                <w:sz w:val="18"/>
                <w:szCs w:val="18"/>
                <w:lang w:eastAsia="en-AU"/>
              </w:rPr>
              <w:t xml:space="preserve">, River blackfish and </w:t>
            </w:r>
            <w:r w:rsidR="00B04728">
              <w:rPr>
                <w:sz w:val="18"/>
                <w:szCs w:val="18"/>
                <w:lang w:eastAsia="en-AU"/>
              </w:rPr>
              <w:t>freshwater catfish</w:t>
            </w:r>
            <w:r>
              <w:rPr>
                <w:sz w:val="18"/>
                <w:szCs w:val="18"/>
                <w:lang w:eastAsia="en-AU"/>
              </w:rPr>
              <w:t xml:space="preserve"> with a</w:t>
            </w:r>
            <w:r w:rsidRPr="00CB3145">
              <w:rPr>
                <w:sz w:val="18"/>
                <w:szCs w:val="18"/>
                <w:lang w:eastAsia="en-AU"/>
              </w:rPr>
              <w:t xml:space="preserve"> short rise in flows </w:t>
            </w:r>
            <w:r>
              <w:rPr>
                <w:sz w:val="18"/>
                <w:szCs w:val="18"/>
                <w:lang w:eastAsia="en-AU"/>
              </w:rPr>
              <w:t>at</w:t>
            </w:r>
            <w:r w:rsidRPr="00CB3145">
              <w:rPr>
                <w:sz w:val="18"/>
                <w:szCs w:val="18"/>
                <w:lang w:eastAsia="en-AU"/>
              </w:rPr>
              <w:t xml:space="preserve"> the end of November </w:t>
            </w:r>
            <w:r>
              <w:rPr>
                <w:sz w:val="18"/>
                <w:szCs w:val="18"/>
                <w:lang w:eastAsia="en-AU"/>
              </w:rPr>
              <w:t>as fish leave their nest site within days-weeks post-hatching. It may also provide an additional productivity boost and hence replenish food sources for larvae as they begin to feed on their own.</w:t>
            </w:r>
          </w:p>
          <w:p w14:paraId="173A1D5C" w14:textId="1301201E" w:rsidR="009D2C27" w:rsidRDefault="00814967" w:rsidP="00686CAB">
            <w:pPr>
              <w:pStyle w:val="ListBullet"/>
              <w:numPr>
                <w:ilvl w:val="0"/>
                <w:numId w:val="0"/>
              </w:numPr>
              <w:spacing w:before="40" w:after="40"/>
              <w:rPr>
                <w:sz w:val="18"/>
                <w:szCs w:val="18"/>
                <w:lang w:eastAsia="en-AU"/>
              </w:rPr>
            </w:pPr>
            <w:r>
              <w:rPr>
                <w:sz w:val="18"/>
                <w:szCs w:val="18"/>
                <w:lang w:eastAsia="en-AU"/>
              </w:rPr>
              <w:t>R</w:t>
            </w:r>
            <w:r w:rsidR="009D2C27">
              <w:rPr>
                <w:sz w:val="18"/>
                <w:szCs w:val="18"/>
                <w:lang w:eastAsia="en-AU"/>
              </w:rPr>
              <w:t>ecede</w:t>
            </w:r>
            <w:r w:rsidR="009D2C27" w:rsidRPr="00CB3145">
              <w:rPr>
                <w:sz w:val="18"/>
                <w:szCs w:val="18"/>
                <w:lang w:eastAsia="en-AU"/>
              </w:rPr>
              <w:t xml:space="preserve"> flows towards the end of this period </w:t>
            </w:r>
            <w:r w:rsidR="009D2C27">
              <w:rPr>
                <w:sz w:val="18"/>
                <w:szCs w:val="18"/>
                <w:lang w:eastAsia="en-AU"/>
              </w:rPr>
              <w:t>to extend duration of downstream dispersal by larval and juvenile fish and extend upstream movement opportunities for adolescents and adult fish</w:t>
            </w:r>
          </w:p>
          <w:p w14:paraId="3CD474ED" w14:textId="70C81939" w:rsidR="009D2C27" w:rsidRPr="009B44E9" w:rsidRDefault="009D2C27" w:rsidP="00686CAB">
            <w:pPr>
              <w:pStyle w:val="ListBullet"/>
              <w:numPr>
                <w:ilvl w:val="0"/>
                <w:numId w:val="0"/>
              </w:numPr>
              <w:spacing w:before="40" w:after="40"/>
              <w:rPr>
                <w:sz w:val="18"/>
                <w:szCs w:val="18"/>
              </w:rPr>
            </w:pPr>
            <w:r>
              <w:rPr>
                <w:sz w:val="18"/>
                <w:szCs w:val="18"/>
                <w:lang w:eastAsia="en-AU"/>
              </w:rPr>
              <w:t xml:space="preserve"> </w:t>
            </w:r>
          </w:p>
        </w:tc>
        <w:tc>
          <w:tcPr>
            <w:tcW w:w="2409" w:type="dxa"/>
            <w:shd w:val="clear" w:color="auto" w:fill="EAF1DD"/>
          </w:tcPr>
          <w:p w14:paraId="5DC676A2" w14:textId="77777777" w:rsidR="009D2C27" w:rsidRPr="009B44E9" w:rsidRDefault="009D2C27" w:rsidP="00686CAB">
            <w:pPr>
              <w:pStyle w:val="ListBullet"/>
              <w:numPr>
                <w:ilvl w:val="0"/>
                <w:numId w:val="0"/>
              </w:numPr>
              <w:spacing w:before="40" w:after="40"/>
              <w:rPr>
                <w:sz w:val="18"/>
                <w:szCs w:val="18"/>
              </w:rPr>
            </w:pPr>
          </w:p>
        </w:tc>
        <w:tc>
          <w:tcPr>
            <w:tcW w:w="3119" w:type="dxa"/>
            <w:shd w:val="clear" w:color="auto" w:fill="EAF1DD"/>
          </w:tcPr>
          <w:p w14:paraId="7B4CC3A1" w14:textId="30C61D2D" w:rsidR="0000347C" w:rsidRDefault="0000347C" w:rsidP="00686CAB">
            <w:pPr>
              <w:pStyle w:val="ListBullet"/>
              <w:numPr>
                <w:ilvl w:val="0"/>
                <w:numId w:val="0"/>
              </w:numPr>
              <w:spacing w:before="40" w:after="40"/>
              <w:rPr>
                <w:sz w:val="18"/>
                <w:szCs w:val="18"/>
              </w:rPr>
            </w:pPr>
            <w:r>
              <w:rPr>
                <w:sz w:val="18"/>
                <w:szCs w:val="18"/>
              </w:rPr>
              <w:t>P</w:t>
            </w:r>
            <w:r w:rsidRPr="0000347C">
              <w:rPr>
                <w:sz w:val="18"/>
                <w:szCs w:val="18"/>
              </w:rPr>
              <w:t>rotect the core reedbeds and other non-woody vegetation communities as the catchment continues into a dry period</w:t>
            </w:r>
          </w:p>
          <w:p w14:paraId="6B80E846" w14:textId="77777777" w:rsidR="0000347C" w:rsidRPr="0000347C" w:rsidRDefault="0000347C" w:rsidP="00686CAB">
            <w:pPr>
              <w:pStyle w:val="ListBullet"/>
              <w:numPr>
                <w:ilvl w:val="0"/>
                <w:numId w:val="0"/>
              </w:numPr>
              <w:spacing w:before="40" w:after="40"/>
              <w:rPr>
                <w:sz w:val="18"/>
                <w:szCs w:val="18"/>
              </w:rPr>
            </w:pPr>
          </w:p>
          <w:p w14:paraId="4AF9E987" w14:textId="71C3205E" w:rsidR="0000347C" w:rsidRDefault="0000347C" w:rsidP="00686CAB">
            <w:pPr>
              <w:pStyle w:val="ListBullet"/>
              <w:numPr>
                <w:ilvl w:val="0"/>
                <w:numId w:val="0"/>
              </w:numPr>
              <w:spacing w:before="40" w:after="40"/>
              <w:rPr>
                <w:sz w:val="18"/>
                <w:szCs w:val="18"/>
              </w:rPr>
            </w:pPr>
            <w:r>
              <w:rPr>
                <w:sz w:val="18"/>
                <w:szCs w:val="18"/>
              </w:rPr>
              <w:t>P</w:t>
            </w:r>
            <w:r w:rsidRPr="0000347C">
              <w:rPr>
                <w:sz w:val="18"/>
                <w:szCs w:val="18"/>
              </w:rPr>
              <w:t>rovide connectivity and variability to flows along the lower Lachlan during autumn-winter</w:t>
            </w:r>
          </w:p>
          <w:p w14:paraId="65BDA9E9" w14:textId="77777777" w:rsidR="0000347C" w:rsidRPr="0000347C" w:rsidRDefault="0000347C" w:rsidP="00686CAB">
            <w:pPr>
              <w:pStyle w:val="ListBullet"/>
              <w:numPr>
                <w:ilvl w:val="0"/>
                <w:numId w:val="0"/>
              </w:numPr>
              <w:spacing w:before="40" w:after="40"/>
              <w:rPr>
                <w:sz w:val="18"/>
                <w:szCs w:val="18"/>
              </w:rPr>
            </w:pPr>
          </w:p>
          <w:p w14:paraId="7080CB90" w14:textId="2D36A04D" w:rsidR="0000347C" w:rsidRDefault="0000347C" w:rsidP="00686CAB">
            <w:pPr>
              <w:pStyle w:val="ListBullet"/>
              <w:numPr>
                <w:ilvl w:val="0"/>
                <w:numId w:val="0"/>
              </w:numPr>
              <w:spacing w:before="40" w:after="40"/>
              <w:rPr>
                <w:sz w:val="18"/>
                <w:szCs w:val="18"/>
              </w:rPr>
            </w:pPr>
            <w:r>
              <w:rPr>
                <w:sz w:val="18"/>
                <w:szCs w:val="18"/>
              </w:rPr>
              <w:t>E</w:t>
            </w:r>
            <w:r w:rsidRPr="0000347C">
              <w:rPr>
                <w:sz w:val="18"/>
                <w:szCs w:val="18"/>
              </w:rPr>
              <w:t>ncourage native fish movement in the lower Lachlan River and improve the condition of native fish before winter</w:t>
            </w:r>
            <w:r>
              <w:rPr>
                <w:sz w:val="18"/>
                <w:szCs w:val="18"/>
              </w:rPr>
              <w:t>.</w:t>
            </w:r>
          </w:p>
          <w:p w14:paraId="23B087B6" w14:textId="77777777" w:rsidR="0000347C" w:rsidRPr="0000347C" w:rsidRDefault="0000347C" w:rsidP="00686CAB">
            <w:pPr>
              <w:pStyle w:val="ListBullet"/>
              <w:numPr>
                <w:ilvl w:val="0"/>
                <w:numId w:val="0"/>
              </w:numPr>
              <w:spacing w:before="40" w:after="40"/>
              <w:rPr>
                <w:sz w:val="18"/>
                <w:szCs w:val="18"/>
              </w:rPr>
            </w:pPr>
          </w:p>
          <w:p w14:paraId="1483599F" w14:textId="7B3A1D7F" w:rsidR="009D2C27" w:rsidRPr="009B44E9" w:rsidRDefault="0000347C" w:rsidP="00686CAB">
            <w:pPr>
              <w:pStyle w:val="ListBullet"/>
              <w:numPr>
                <w:ilvl w:val="0"/>
                <w:numId w:val="0"/>
              </w:numPr>
              <w:spacing w:before="40" w:after="40"/>
              <w:rPr>
                <w:sz w:val="18"/>
                <w:szCs w:val="18"/>
              </w:rPr>
            </w:pPr>
            <w:r>
              <w:rPr>
                <w:sz w:val="18"/>
                <w:szCs w:val="18"/>
              </w:rPr>
              <w:t>L</w:t>
            </w:r>
            <w:r w:rsidRPr="0000347C">
              <w:rPr>
                <w:sz w:val="18"/>
                <w:szCs w:val="18"/>
              </w:rPr>
              <w:t>imit the opportunity for carp breeding, particularly in the river channel (carp are spring-summer spawners)</w:t>
            </w:r>
          </w:p>
        </w:tc>
      </w:tr>
      <w:tr w:rsidR="009D2C27" w:rsidRPr="00083E63" w14:paraId="44BABC64" w14:textId="0CBCCF2C" w:rsidTr="00686CAB">
        <w:tc>
          <w:tcPr>
            <w:tcW w:w="1397" w:type="dxa"/>
            <w:tcBorders>
              <w:right w:val="single" w:sz="18" w:space="0" w:color="FFFFFF" w:themeColor="background1"/>
            </w:tcBorders>
            <w:shd w:val="clear" w:color="auto" w:fill="9BBB59"/>
            <w:vAlign w:val="center"/>
          </w:tcPr>
          <w:p w14:paraId="5248A2C1" w14:textId="67D9845A" w:rsidR="009D2C27" w:rsidRPr="009B44E9" w:rsidRDefault="009D2C27" w:rsidP="00686CAB">
            <w:pPr>
              <w:spacing w:before="40" w:after="40"/>
              <w:contextualSpacing/>
              <w:rPr>
                <w:b/>
                <w:bCs/>
                <w:color w:val="FFFFFF"/>
                <w:sz w:val="18"/>
                <w:szCs w:val="18"/>
              </w:rPr>
            </w:pPr>
            <w:r w:rsidRPr="009B44E9">
              <w:rPr>
                <w:b/>
                <w:bCs/>
                <w:color w:val="FFFFFF"/>
                <w:sz w:val="18"/>
                <w:szCs w:val="18"/>
              </w:rPr>
              <w:t>Basin Annual watering priorities  201</w:t>
            </w:r>
            <w:r w:rsidR="00814967">
              <w:rPr>
                <w:b/>
                <w:bCs/>
                <w:color w:val="FFFFFF"/>
                <w:sz w:val="18"/>
                <w:szCs w:val="18"/>
              </w:rPr>
              <w:t>8</w:t>
            </w:r>
            <w:r w:rsidRPr="009B44E9">
              <w:rPr>
                <w:b/>
                <w:bCs/>
                <w:color w:val="FFFFFF"/>
                <w:sz w:val="18"/>
                <w:szCs w:val="18"/>
              </w:rPr>
              <w:t>-1</w:t>
            </w:r>
            <w:r w:rsidR="00814967">
              <w:rPr>
                <w:b/>
                <w:bCs/>
                <w:color w:val="FFFFFF"/>
                <w:sz w:val="18"/>
                <w:szCs w:val="18"/>
              </w:rPr>
              <w:t>9</w:t>
            </w:r>
          </w:p>
        </w:tc>
        <w:tc>
          <w:tcPr>
            <w:tcW w:w="3531" w:type="dxa"/>
            <w:tcBorders>
              <w:left w:val="single" w:sz="18" w:space="0" w:color="FFFFFF" w:themeColor="background1"/>
            </w:tcBorders>
            <w:shd w:val="clear" w:color="auto" w:fill="EAF1DD"/>
          </w:tcPr>
          <w:p w14:paraId="1F8B15E2" w14:textId="4C32A039" w:rsidR="00814967" w:rsidRPr="009B44E9" w:rsidRDefault="00814967"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sidRPr="009B44E9">
              <w:rPr>
                <w:rFonts w:ascii="Calibri" w:hAnsi="Calibri"/>
                <w:color w:val="000000"/>
                <w:kern w:val="28"/>
                <w:sz w:val="18"/>
                <w:szCs w:val="18"/>
                <w:lang w:val="en-AU" w:eastAsia="en-US"/>
              </w:rPr>
              <w:t xml:space="preserve">Support </w:t>
            </w:r>
            <w:r w:rsidR="0015696A">
              <w:rPr>
                <w:rFonts w:ascii="Calibri" w:hAnsi="Calibri"/>
                <w:color w:val="000000"/>
                <w:kern w:val="28"/>
                <w:sz w:val="18"/>
                <w:szCs w:val="18"/>
                <w:lang w:val="en-AU" w:eastAsia="en-US"/>
              </w:rPr>
              <w:t>viable populations of threatened native fish, maximise opportunities for range expansion and establish new populations</w:t>
            </w:r>
            <w:r w:rsidRPr="009B44E9">
              <w:rPr>
                <w:rFonts w:ascii="Calibri" w:hAnsi="Calibri"/>
                <w:color w:val="000000"/>
                <w:kern w:val="28"/>
                <w:sz w:val="18"/>
                <w:szCs w:val="18"/>
                <w:lang w:val="en-AU" w:eastAsia="en-US"/>
              </w:rPr>
              <w:t xml:space="preserve">. </w:t>
            </w:r>
          </w:p>
          <w:p w14:paraId="4798CA27" w14:textId="5D7BDEB8" w:rsidR="009D2C27" w:rsidRDefault="009D2C27" w:rsidP="00686CAB">
            <w:pPr>
              <w:pStyle w:val="ListNumber"/>
              <w:numPr>
                <w:ilvl w:val="0"/>
                <w:numId w:val="0"/>
              </w:numPr>
              <w:snapToGrid/>
              <w:spacing w:before="40" w:after="40"/>
              <w:contextualSpacing/>
              <w:rPr>
                <w:rFonts w:ascii="Calibri" w:hAnsi="Calibri"/>
                <w:color w:val="000000"/>
                <w:kern w:val="28"/>
                <w:sz w:val="18"/>
                <w:szCs w:val="18"/>
                <w:lang w:val="en-AU" w:eastAsia="en-US"/>
              </w:rPr>
            </w:pPr>
          </w:p>
          <w:p w14:paraId="741C2DF4" w14:textId="2B01AF51" w:rsidR="0015696A"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Pr>
                <w:rFonts w:ascii="Calibri" w:hAnsi="Calibri"/>
                <w:color w:val="000000"/>
                <w:kern w:val="28"/>
                <w:sz w:val="18"/>
                <w:szCs w:val="18"/>
                <w:lang w:val="en-AU" w:eastAsia="en-US"/>
              </w:rPr>
              <w:t>Support opportunities for lateral connectivity between the river and adjacent low-lying floodplains and wetlands to reinstate natural nutrient and carbon cycling processes.</w:t>
            </w:r>
          </w:p>
          <w:p w14:paraId="36500BC0" w14:textId="37DF8EDB" w:rsidR="0015696A"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p>
          <w:p w14:paraId="167833B0" w14:textId="7AAF8180" w:rsidR="0015696A" w:rsidRPr="009B44E9"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Pr>
                <w:rFonts w:ascii="Calibri" w:hAnsi="Calibri"/>
                <w:color w:val="000000"/>
                <w:kern w:val="28"/>
                <w:sz w:val="18"/>
                <w:szCs w:val="18"/>
                <w:lang w:val="en-AU" w:eastAsia="en-US"/>
              </w:rPr>
              <w:t>Maintain and improve the condition and promote recruitment of forests and woodlands.</w:t>
            </w:r>
          </w:p>
          <w:p w14:paraId="5D3AF750" w14:textId="77777777" w:rsidR="00814967" w:rsidRDefault="00814967" w:rsidP="00686CAB">
            <w:pPr>
              <w:pStyle w:val="ListBullet"/>
              <w:numPr>
                <w:ilvl w:val="0"/>
                <w:numId w:val="0"/>
              </w:numPr>
              <w:spacing w:before="40" w:after="40"/>
              <w:rPr>
                <w:sz w:val="18"/>
                <w:szCs w:val="18"/>
              </w:rPr>
            </w:pPr>
          </w:p>
          <w:p w14:paraId="4B90247E" w14:textId="5937C47D" w:rsidR="00814967" w:rsidRPr="009B44E9" w:rsidRDefault="00814967" w:rsidP="00686CAB">
            <w:pPr>
              <w:pStyle w:val="ListBullet"/>
              <w:numPr>
                <w:ilvl w:val="0"/>
                <w:numId w:val="0"/>
              </w:numPr>
              <w:spacing w:before="40" w:after="40"/>
              <w:rPr>
                <w:sz w:val="18"/>
                <w:szCs w:val="18"/>
              </w:rPr>
            </w:pPr>
            <w:r w:rsidRPr="009B44E9">
              <w:rPr>
                <w:sz w:val="18"/>
                <w:szCs w:val="18"/>
              </w:rPr>
              <w:t>Support lateral and longitudinal connectivity</w:t>
            </w:r>
            <w:r>
              <w:rPr>
                <w:sz w:val="18"/>
                <w:szCs w:val="18"/>
              </w:rPr>
              <w:t>.</w:t>
            </w:r>
          </w:p>
        </w:tc>
        <w:tc>
          <w:tcPr>
            <w:tcW w:w="3544" w:type="dxa"/>
            <w:shd w:val="clear" w:color="auto" w:fill="EAF1DD"/>
          </w:tcPr>
          <w:p w14:paraId="4973EA00" w14:textId="24B853C7" w:rsidR="0015696A" w:rsidRPr="009B44E9"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sidRPr="009B44E9">
              <w:rPr>
                <w:rFonts w:ascii="Calibri" w:hAnsi="Calibri"/>
                <w:color w:val="000000"/>
                <w:kern w:val="28"/>
                <w:sz w:val="18"/>
                <w:szCs w:val="18"/>
                <w:lang w:val="en-AU" w:eastAsia="en-US"/>
              </w:rPr>
              <w:t xml:space="preserve">Support </w:t>
            </w:r>
            <w:r>
              <w:rPr>
                <w:rFonts w:ascii="Calibri" w:hAnsi="Calibri"/>
                <w:color w:val="000000"/>
                <w:kern w:val="28"/>
                <w:sz w:val="18"/>
                <w:szCs w:val="18"/>
                <w:lang w:val="en-AU" w:eastAsia="en-US"/>
              </w:rPr>
              <w:t>viable populations of threatened native fish, maximise opportunities for range expansion and establish new populations</w:t>
            </w:r>
            <w:r w:rsidRPr="009B44E9">
              <w:rPr>
                <w:rFonts w:ascii="Calibri" w:hAnsi="Calibri"/>
                <w:color w:val="000000"/>
                <w:kern w:val="28"/>
                <w:sz w:val="18"/>
                <w:szCs w:val="18"/>
                <w:lang w:val="en-AU" w:eastAsia="en-US"/>
              </w:rPr>
              <w:t xml:space="preserve">. </w:t>
            </w:r>
          </w:p>
          <w:p w14:paraId="7B5FD23A" w14:textId="77777777" w:rsidR="00814967" w:rsidRDefault="00814967" w:rsidP="00686CAB">
            <w:pPr>
              <w:pStyle w:val="ListBullet"/>
              <w:numPr>
                <w:ilvl w:val="0"/>
                <w:numId w:val="0"/>
              </w:numPr>
              <w:spacing w:before="40" w:after="40"/>
              <w:rPr>
                <w:sz w:val="18"/>
                <w:szCs w:val="18"/>
              </w:rPr>
            </w:pPr>
          </w:p>
          <w:p w14:paraId="73D4C5F2" w14:textId="49034EED" w:rsidR="009D2C27" w:rsidRPr="009B44E9" w:rsidRDefault="009D2C27" w:rsidP="00686CAB">
            <w:pPr>
              <w:pStyle w:val="ListBullet"/>
              <w:numPr>
                <w:ilvl w:val="0"/>
                <w:numId w:val="0"/>
              </w:numPr>
              <w:spacing w:before="40" w:after="40"/>
              <w:rPr>
                <w:sz w:val="18"/>
                <w:szCs w:val="18"/>
              </w:rPr>
            </w:pPr>
            <w:r w:rsidRPr="009B44E9">
              <w:rPr>
                <w:sz w:val="18"/>
                <w:szCs w:val="18"/>
              </w:rPr>
              <w:t>Support lateral and longitudinal connectivity</w:t>
            </w:r>
            <w:r w:rsidR="0015696A">
              <w:rPr>
                <w:sz w:val="18"/>
                <w:szCs w:val="18"/>
              </w:rPr>
              <w:t>.</w:t>
            </w:r>
          </w:p>
        </w:tc>
        <w:tc>
          <w:tcPr>
            <w:tcW w:w="2409" w:type="dxa"/>
            <w:shd w:val="clear" w:color="auto" w:fill="EAF1DD"/>
          </w:tcPr>
          <w:p w14:paraId="3F2F37B3" w14:textId="77777777" w:rsidR="0015696A"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Pr>
                <w:rFonts w:ascii="Calibri" w:hAnsi="Calibri"/>
                <w:color w:val="000000"/>
                <w:kern w:val="28"/>
                <w:sz w:val="18"/>
                <w:szCs w:val="18"/>
                <w:lang w:val="en-AU" w:eastAsia="en-US"/>
              </w:rPr>
              <w:t>Support opportunities for lateral connectivity between the river and adjacent low-lying floodplains and wetlands to reinstate natural nutrient and carbon cycling processes</w:t>
            </w:r>
          </w:p>
          <w:p w14:paraId="72A554DA" w14:textId="77777777" w:rsidR="0015696A" w:rsidRDefault="0015696A" w:rsidP="00686CAB">
            <w:pPr>
              <w:pStyle w:val="ListBullet"/>
              <w:numPr>
                <w:ilvl w:val="0"/>
                <w:numId w:val="0"/>
              </w:numPr>
              <w:spacing w:before="40" w:after="40"/>
              <w:rPr>
                <w:sz w:val="18"/>
                <w:szCs w:val="18"/>
              </w:rPr>
            </w:pPr>
          </w:p>
          <w:p w14:paraId="2CE1209E" w14:textId="4ED09D95" w:rsidR="0015696A" w:rsidRPr="009B44E9" w:rsidRDefault="0015696A" w:rsidP="00686CAB">
            <w:pPr>
              <w:pStyle w:val="ListBullet"/>
              <w:numPr>
                <w:ilvl w:val="0"/>
                <w:numId w:val="0"/>
              </w:numPr>
              <w:spacing w:before="40" w:after="40"/>
              <w:rPr>
                <w:sz w:val="18"/>
                <w:szCs w:val="18"/>
              </w:rPr>
            </w:pPr>
            <w:r>
              <w:rPr>
                <w:sz w:val="18"/>
                <w:szCs w:val="18"/>
              </w:rPr>
              <w:t>Support lateral and longitudinal connectivity.</w:t>
            </w:r>
          </w:p>
        </w:tc>
        <w:tc>
          <w:tcPr>
            <w:tcW w:w="3119" w:type="dxa"/>
            <w:shd w:val="clear" w:color="auto" w:fill="EAF1DD"/>
          </w:tcPr>
          <w:p w14:paraId="053CA01C" w14:textId="77777777" w:rsidR="0000347C" w:rsidRPr="009B44E9" w:rsidRDefault="0000347C"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sidRPr="009B44E9">
              <w:rPr>
                <w:rFonts w:ascii="Calibri" w:hAnsi="Calibri"/>
                <w:color w:val="000000"/>
                <w:kern w:val="28"/>
                <w:sz w:val="18"/>
                <w:szCs w:val="18"/>
                <w:lang w:val="en-AU" w:eastAsia="en-US"/>
              </w:rPr>
              <w:t xml:space="preserve">Support </w:t>
            </w:r>
            <w:r>
              <w:rPr>
                <w:rFonts w:ascii="Calibri" w:hAnsi="Calibri"/>
                <w:color w:val="000000"/>
                <w:kern w:val="28"/>
                <w:sz w:val="18"/>
                <w:szCs w:val="18"/>
                <w:lang w:val="en-AU" w:eastAsia="en-US"/>
              </w:rPr>
              <w:t>viable populations of threatened native fish, maximise opportunities for range expansion and establish new populations</w:t>
            </w:r>
            <w:r w:rsidRPr="009B44E9">
              <w:rPr>
                <w:rFonts w:ascii="Calibri" w:hAnsi="Calibri"/>
                <w:color w:val="000000"/>
                <w:kern w:val="28"/>
                <w:sz w:val="18"/>
                <w:szCs w:val="18"/>
                <w:lang w:val="en-AU" w:eastAsia="en-US"/>
              </w:rPr>
              <w:t xml:space="preserve">. </w:t>
            </w:r>
          </w:p>
          <w:p w14:paraId="77655361" w14:textId="77777777" w:rsidR="0000347C" w:rsidRDefault="0000347C" w:rsidP="00686CAB">
            <w:pPr>
              <w:pStyle w:val="ListNumber"/>
              <w:numPr>
                <w:ilvl w:val="0"/>
                <w:numId w:val="0"/>
              </w:numPr>
              <w:snapToGrid/>
              <w:spacing w:before="40" w:after="40"/>
              <w:contextualSpacing/>
              <w:rPr>
                <w:rFonts w:ascii="Calibri" w:hAnsi="Calibri"/>
                <w:color w:val="000000"/>
                <w:kern w:val="28"/>
                <w:sz w:val="18"/>
                <w:szCs w:val="18"/>
                <w:lang w:val="en-AU" w:eastAsia="en-US"/>
              </w:rPr>
            </w:pPr>
          </w:p>
          <w:p w14:paraId="2CC1598E" w14:textId="340050A0" w:rsidR="0015696A" w:rsidRDefault="0015696A" w:rsidP="00686CAB">
            <w:pPr>
              <w:pStyle w:val="ListNumber"/>
              <w:numPr>
                <w:ilvl w:val="0"/>
                <w:numId w:val="0"/>
              </w:numPr>
              <w:snapToGrid/>
              <w:spacing w:before="40" w:after="40"/>
              <w:contextualSpacing/>
              <w:rPr>
                <w:rFonts w:ascii="Calibri" w:hAnsi="Calibri"/>
                <w:color w:val="000000"/>
                <w:kern w:val="28"/>
                <w:sz w:val="18"/>
                <w:szCs w:val="18"/>
                <w:lang w:val="en-AU" w:eastAsia="en-US"/>
              </w:rPr>
            </w:pPr>
            <w:r>
              <w:rPr>
                <w:rFonts w:ascii="Calibri" w:hAnsi="Calibri"/>
                <w:color w:val="000000"/>
                <w:kern w:val="28"/>
                <w:sz w:val="18"/>
                <w:szCs w:val="18"/>
                <w:lang w:val="en-AU" w:eastAsia="en-US"/>
              </w:rPr>
              <w:t>Support opportunities for lateral connectivity between the river and adjacent low-lying floodplains and wetlands to reinstate natural nutrient and carbon cycling processes.</w:t>
            </w:r>
          </w:p>
          <w:p w14:paraId="5D99E913" w14:textId="05EC9941" w:rsidR="009D2C27" w:rsidRPr="009B44E9" w:rsidRDefault="00814967" w:rsidP="00686CAB">
            <w:pPr>
              <w:pStyle w:val="ListBullet"/>
              <w:numPr>
                <w:ilvl w:val="0"/>
                <w:numId w:val="0"/>
              </w:numPr>
              <w:spacing w:before="40" w:after="40"/>
              <w:rPr>
                <w:sz w:val="18"/>
                <w:szCs w:val="18"/>
              </w:rPr>
            </w:pPr>
            <w:r w:rsidRPr="009B44E9">
              <w:rPr>
                <w:sz w:val="18"/>
                <w:szCs w:val="18"/>
              </w:rPr>
              <w:t>Support lateral and longitudinal connectivity</w:t>
            </w:r>
            <w:r>
              <w:rPr>
                <w:sz w:val="18"/>
                <w:szCs w:val="18"/>
              </w:rPr>
              <w:t>.</w:t>
            </w:r>
          </w:p>
        </w:tc>
      </w:tr>
    </w:tbl>
    <w:p w14:paraId="6D6222D4" w14:textId="77777777" w:rsidR="00F276D2" w:rsidRDefault="00F276D2">
      <w:pPr>
        <w:spacing w:before="0" w:after="0"/>
      </w:pPr>
      <w:r>
        <w:rPr>
          <w:bCs/>
          <w:i/>
        </w:rPr>
        <w:br w:type="page"/>
      </w:r>
    </w:p>
    <w:p w14:paraId="18EA05E4" w14:textId="26EFEC3A" w:rsidR="008251AE" w:rsidRPr="00662A04" w:rsidRDefault="008251AE" w:rsidP="008251AE">
      <w:pPr>
        <w:pStyle w:val="Caption"/>
      </w:pPr>
      <w:bookmarkStart w:id="55" w:name="_Ref16522611"/>
      <w:bookmarkStart w:id="56" w:name="_Toc31985670"/>
      <w:bookmarkStart w:id="57" w:name="_Hlk21249559"/>
      <w:r w:rsidRPr="00662A04">
        <w:t xml:space="preserve">Table </w:t>
      </w:r>
      <w:r>
        <w:rPr>
          <w:noProof/>
        </w:rPr>
        <w:fldChar w:fldCharType="begin"/>
      </w:r>
      <w:r>
        <w:rPr>
          <w:noProof/>
        </w:rPr>
        <w:instrText xml:space="preserve"> SEQ Table \* ARABIC </w:instrText>
      </w:r>
      <w:r>
        <w:rPr>
          <w:noProof/>
        </w:rPr>
        <w:fldChar w:fldCharType="separate"/>
      </w:r>
      <w:r w:rsidR="007F7607">
        <w:rPr>
          <w:noProof/>
        </w:rPr>
        <w:t>3</w:t>
      </w:r>
      <w:r>
        <w:rPr>
          <w:noProof/>
        </w:rPr>
        <w:fldChar w:fldCharType="end"/>
      </w:r>
      <w:bookmarkEnd w:id="55"/>
      <w:r w:rsidRPr="00662A04">
        <w:t>.</w:t>
      </w:r>
      <w:r>
        <w:t xml:space="preserve"> The 201</w:t>
      </w:r>
      <w:r w:rsidR="00CF310C">
        <w:t>8</w:t>
      </w:r>
      <w:r w:rsidRPr="00662A04">
        <w:t>-1</w:t>
      </w:r>
      <w:r w:rsidR="00CF310C">
        <w:t>9</w:t>
      </w:r>
      <w:r w:rsidRPr="00662A04">
        <w:t xml:space="preserve"> </w:t>
      </w:r>
      <w:r w:rsidR="00CF310C">
        <w:t xml:space="preserve">NSW </w:t>
      </w:r>
      <w:r w:rsidRPr="00662A04">
        <w:t>environmental watering actions.</w:t>
      </w:r>
      <w:bookmarkEnd w:id="56"/>
      <w:r>
        <w:t xml:space="preserve"> </w:t>
      </w:r>
    </w:p>
    <w:tbl>
      <w:tblPr>
        <w:tblW w:w="1289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397"/>
        <w:gridCol w:w="2846"/>
        <w:gridCol w:w="2410"/>
        <w:gridCol w:w="2409"/>
        <w:gridCol w:w="3828"/>
      </w:tblGrid>
      <w:tr w:rsidR="008251AE" w:rsidRPr="00D40E7E" w14:paraId="28428687" w14:textId="77777777" w:rsidTr="00BE7F11">
        <w:trPr>
          <w:tblHeader/>
        </w:trPr>
        <w:tc>
          <w:tcPr>
            <w:tcW w:w="1397" w:type="dxa"/>
            <w:tcBorders>
              <w:bottom w:val="single" w:sz="18" w:space="0" w:color="FFFFFF" w:themeColor="background1"/>
              <w:right w:val="single" w:sz="18" w:space="0" w:color="FFFFFF" w:themeColor="background1"/>
            </w:tcBorders>
            <w:shd w:val="clear" w:color="auto" w:fill="9BBB59"/>
            <w:vAlign w:val="center"/>
          </w:tcPr>
          <w:p w14:paraId="64F0AA0F" w14:textId="560CABEB" w:rsidR="008251AE" w:rsidRPr="009B44E9" w:rsidRDefault="002D7DA6" w:rsidP="00121A80">
            <w:pPr>
              <w:spacing w:before="40" w:afterLines="40" w:after="96"/>
              <w:contextualSpacing/>
              <w:rPr>
                <w:b/>
                <w:bCs/>
                <w:caps/>
                <w:color w:val="FFFFFF"/>
                <w:sz w:val="18"/>
                <w:szCs w:val="18"/>
              </w:rPr>
            </w:pPr>
            <w:r>
              <w:rPr>
                <w:b/>
                <w:bCs/>
                <w:caps/>
                <w:color w:val="FFFFFF"/>
                <w:sz w:val="18"/>
                <w:szCs w:val="18"/>
              </w:rPr>
              <w:t>ACTION</w:t>
            </w:r>
          </w:p>
        </w:tc>
        <w:tc>
          <w:tcPr>
            <w:tcW w:w="2846" w:type="dxa"/>
            <w:tcBorders>
              <w:left w:val="single" w:sz="18" w:space="0" w:color="FFFFFF" w:themeColor="background1"/>
              <w:bottom w:val="single" w:sz="18" w:space="0" w:color="FFFFFF" w:themeColor="background1"/>
            </w:tcBorders>
            <w:shd w:val="clear" w:color="auto" w:fill="9BBB59"/>
            <w:vAlign w:val="center"/>
          </w:tcPr>
          <w:p w14:paraId="7FB8DE0F" w14:textId="5D030E4E" w:rsidR="008251AE" w:rsidRPr="009B44E9" w:rsidRDefault="002D7DA6" w:rsidP="00121A80">
            <w:pPr>
              <w:spacing w:before="40" w:afterLines="40" w:after="96"/>
              <w:contextualSpacing/>
              <w:rPr>
                <w:b/>
                <w:bCs/>
                <w:caps/>
                <w:color w:val="FFFFFF"/>
                <w:sz w:val="18"/>
                <w:szCs w:val="18"/>
              </w:rPr>
            </w:pPr>
            <w:r>
              <w:rPr>
                <w:b/>
                <w:bCs/>
                <w:caps/>
                <w:color w:val="FFFFFF"/>
                <w:sz w:val="18"/>
                <w:szCs w:val="18"/>
              </w:rPr>
              <w:t>Target Asset</w:t>
            </w:r>
          </w:p>
        </w:tc>
        <w:tc>
          <w:tcPr>
            <w:tcW w:w="2410" w:type="dxa"/>
            <w:tcBorders>
              <w:bottom w:val="single" w:sz="18" w:space="0" w:color="FFFFFF" w:themeColor="background1"/>
            </w:tcBorders>
            <w:shd w:val="clear" w:color="auto" w:fill="9BBB59"/>
            <w:vAlign w:val="center"/>
          </w:tcPr>
          <w:p w14:paraId="722BD2C4" w14:textId="26438A1F" w:rsidR="008251AE" w:rsidRPr="009B44E9" w:rsidRDefault="002D7DA6" w:rsidP="00121A80">
            <w:pPr>
              <w:spacing w:before="40" w:afterLines="40" w:after="96"/>
              <w:contextualSpacing/>
              <w:rPr>
                <w:b/>
                <w:bCs/>
                <w:caps/>
                <w:color w:val="FFFFFF"/>
                <w:sz w:val="18"/>
                <w:szCs w:val="18"/>
              </w:rPr>
            </w:pPr>
            <w:r>
              <w:rPr>
                <w:b/>
                <w:bCs/>
                <w:caps/>
                <w:color w:val="FFFFFF"/>
                <w:sz w:val="18"/>
                <w:szCs w:val="18"/>
              </w:rPr>
              <w:t>Accounting Location</w:t>
            </w:r>
          </w:p>
        </w:tc>
        <w:tc>
          <w:tcPr>
            <w:tcW w:w="2409" w:type="dxa"/>
            <w:tcBorders>
              <w:bottom w:val="single" w:sz="18" w:space="0" w:color="FFFFFF" w:themeColor="background1"/>
            </w:tcBorders>
            <w:shd w:val="clear" w:color="auto" w:fill="9BBB59"/>
          </w:tcPr>
          <w:p w14:paraId="1641AA02" w14:textId="6327D660" w:rsidR="008251AE" w:rsidRPr="009B44E9" w:rsidRDefault="002D7DA6" w:rsidP="00121A80">
            <w:pPr>
              <w:spacing w:before="40" w:afterLines="40" w:after="96"/>
              <w:contextualSpacing/>
              <w:rPr>
                <w:b/>
                <w:bCs/>
                <w:caps/>
                <w:color w:val="FFFFFF"/>
                <w:sz w:val="18"/>
                <w:szCs w:val="18"/>
              </w:rPr>
            </w:pPr>
            <w:r>
              <w:rPr>
                <w:b/>
                <w:bCs/>
                <w:caps/>
                <w:color w:val="FFFFFF"/>
                <w:sz w:val="18"/>
                <w:szCs w:val="18"/>
              </w:rPr>
              <w:t>Volume</w:t>
            </w:r>
            <w:r w:rsidR="00F276D2">
              <w:rPr>
                <w:b/>
                <w:bCs/>
                <w:caps/>
                <w:color w:val="FFFFFF"/>
                <w:sz w:val="18"/>
                <w:szCs w:val="18"/>
              </w:rPr>
              <w:t xml:space="preserve"> (ML)</w:t>
            </w:r>
          </w:p>
        </w:tc>
        <w:tc>
          <w:tcPr>
            <w:tcW w:w="3828" w:type="dxa"/>
            <w:tcBorders>
              <w:bottom w:val="single" w:sz="18" w:space="0" w:color="FFFFFF" w:themeColor="background1"/>
            </w:tcBorders>
            <w:shd w:val="clear" w:color="auto" w:fill="9BBB59"/>
          </w:tcPr>
          <w:p w14:paraId="7023CB7E" w14:textId="184D2B9E" w:rsidR="008251AE" w:rsidRPr="009B44E9" w:rsidRDefault="000575CE" w:rsidP="00121A80">
            <w:pPr>
              <w:spacing w:before="40" w:afterLines="40" w:after="96"/>
              <w:contextualSpacing/>
              <w:rPr>
                <w:b/>
                <w:bCs/>
                <w:caps/>
                <w:color w:val="FFFFFF"/>
                <w:sz w:val="18"/>
                <w:szCs w:val="18"/>
              </w:rPr>
            </w:pPr>
            <w:r>
              <w:rPr>
                <w:b/>
                <w:bCs/>
                <w:caps/>
                <w:color w:val="FFFFFF"/>
                <w:sz w:val="18"/>
                <w:szCs w:val="18"/>
              </w:rPr>
              <w:t>Water Source</w:t>
            </w:r>
          </w:p>
        </w:tc>
      </w:tr>
      <w:tr w:rsidR="00B31F80" w:rsidRPr="00083E63" w14:paraId="1F0AFDF5" w14:textId="77777777" w:rsidTr="00BE7F11">
        <w:tc>
          <w:tcPr>
            <w:tcW w:w="1397" w:type="dxa"/>
            <w:tcBorders>
              <w:right w:val="single" w:sz="18" w:space="0" w:color="FFFFFF" w:themeColor="background1"/>
            </w:tcBorders>
            <w:shd w:val="clear" w:color="auto" w:fill="9BBB59"/>
            <w:vAlign w:val="center"/>
          </w:tcPr>
          <w:p w14:paraId="33A0965E" w14:textId="75FEE0A3" w:rsidR="00B31F80" w:rsidRPr="009B44E9" w:rsidRDefault="00B31F80" w:rsidP="00BE7F11">
            <w:pPr>
              <w:spacing w:before="40" w:after="40"/>
              <w:contextualSpacing/>
              <w:rPr>
                <w:b/>
                <w:bCs/>
                <w:color w:val="FFFFFF"/>
                <w:sz w:val="18"/>
                <w:szCs w:val="18"/>
              </w:rPr>
            </w:pPr>
            <w:r>
              <w:rPr>
                <w:b/>
                <w:bCs/>
                <w:color w:val="FFFFFF"/>
                <w:sz w:val="18"/>
                <w:szCs w:val="18"/>
              </w:rPr>
              <w:t>LAC18/19-01</w:t>
            </w:r>
          </w:p>
        </w:tc>
        <w:tc>
          <w:tcPr>
            <w:tcW w:w="2846" w:type="dxa"/>
            <w:tcBorders>
              <w:left w:val="single" w:sz="18" w:space="0" w:color="FFFFFF" w:themeColor="background1"/>
            </w:tcBorders>
            <w:shd w:val="clear" w:color="auto" w:fill="EAF1DD" w:themeFill="accent3" w:themeFillTint="33"/>
          </w:tcPr>
          <w:p w14:paraId="32B56CF1" w14:textId="497318FF" w:rsidR="00B31F80" w:rsidRPr="009B44E9" w:rsidRDefault="00B31F80" w:rsidP="00BE7F11">
            <w:pPr>
              <w:spacing w:before="40" w:after="40"/>
              <w:contextualSpacing/>
              <w:rPr>
                <w:sz w:val="18"/>
                <w:szCs w:val="18"/>
              </w:rPr>
            </w:pPr>
            <w:r>
              <w:rPr>
                <w:sz w:val="18"/>
                <w:szCs w:val="18"/>
              </w:rPr>
              <w:t>Merrowie Creek (Murphy’s Lake, Cuba Dam)</w:t>
            </w:r>
          </w:p>
        </w:tc>
        <w:tc>
          <w:tcPr>
            <w:tcW w:w="2410" w:type="dxa"/>
            <w:shd w:val="clear" w:color="auto" w:fill="EAF1DD" w:themeFill="accent3" w:themeFillTint="33"/>
          </w:tcPr>
          <w:p w14:paraId="75211664" w14:textId="58AEF2E2" w:rsidR="00B31F80" w:rsidRPr="009B44E9" w:rsidRDefault="00B31F80" w:rsidP="00BE7F11">
            <w:pPr>
              <w:spacing w:before="40" w:after="40"/>
              <w:contextualSpacing/>
              <w:rPr>
                <w:sz w:val="18"/>
                <w:szCs w:val="18"/>
              </w:rPr>
            </w:pPr>
            <w:r>
              <w:rPr>
                <w:sz w:val="18"/>
                <w:szCs w:val="18"/>
              </w:rPr>
              <w:t>Merrowie Creek off take</w:t>
            </w:r>
          </w:p>
        </w:tc>
        <w:tc>
          <w:tcPr>
            <w:tcW w:w="2409" w:type="dxa"/>
            <w:shd w:val="clear" w:color="auto" w:fill="EAF1DD" w:themeFill="accent3" w:themeFillTint="33"/>
          </w:tcPr>
          <w:p w14:paraId="1164E70D" w14:textId="707EFEC4" w:rsidR="00B31F80" w:rsidRPr="009B44E9" w:rsidRDefault="00B31F80" w:rsidP="00BE7F11">
            <w:pPr>
              <w:spacing w:before="40" w:after="40"/>
              <w:contextualSpacing/>
              <w:rPr>
                <w:sz w:val="18"/>
                <w:szCs w:val="18"/>
              </w:rPr>
            </w:pPr>
            <w:r>
              <w:rPr>
                <w:sz w:val="18"/>
                <w:szCs w:val="18"/>
              </w:rPr>
              <w:t>1,669</w:t>
            </w:r>
          </w:p>
        </w:tc>
        <w:tc>
          <w:tcPr>
            <w:tcW w:w="3828" w:type="dxa"/>
            <w:vMerge w:val="restart"/>
            <w:shd w:val="clear" w:color="auto" w:fill="EAF1DD" w:themeFill="accent3" w:themeFillTint="33"/>
          </w:tcPr>
          <w:p w14:paraId="6700A6C7" w14:textId="3D5A8AA5" w:rsidR="00B31F80" w:rsidRPr="009B44E9" w:rsidRDefault="00B31F80" w:rsidP="00BE7F11">
            <w:pPr>
              <w:spacing w:before="40" w:after="40"/>
              <w:contextualSpacing/>
              <w:rPr>
                <w:sz w:val="18"/>
                <w:szCs w:val="18"/>
              </w:rPr>
            </w:pPr>
            <w:r>
              <w:rPr>
                <w:sz w:val="18"/>
                <w:szCs w:val="18"/>
              </w:rPr>
              <w:t>NSW licensed environmental water</w:t>
            </w:r>
          </w:p>
        </w:tc>
      </w:tr>
      <w:tr w:rsidR="00B31F80" w:rsidRPr="00083E63" w14:paraId="35C969E9" w14:textId="77777777" w:rsidTr="00BE7F11">
        <w:tc>
          <w:tcPr>
            <w:tcW w:w="1397" w:type="dxa"/>
            <w:tcBorders>
              <w:right w:val="single" w:sz="18" w:space="0" w:color="FFFFFF" w:themeColor="background1"/>
            </w:tcBorders>
            <w:shd w:val="clear" w:color="auto" w:fill="9BBB59"/>
            <w:vAlign w:val="center"/>
          </w:tcPr>
          <w:p w14:paraId="03BD556F" w14:textId="7B79A3D6" w:rsidR="00B31F80" w:rsidRPr="009B44E9" w:rsidRDefault="00B31F80" w:rsidP="00BE7F11">
            <w:pPr>
              <w:spacing w:before="40" w:after="40"/>
              <w:contextualSpacing/>
              <w:rPr>
                <w:b/>
                <w:bCs/>
                <w:color w:val="FFFFFF"/>
                <w:sz w:val="18"/>
                <w:szCs w:val="18"/>
              </w:rPr>
            </w:pPr>
            <w:r>
              <w:rPr>
                <w:b/>
                <w:bCs/>
                <w:color w:val="FFFFFF"/>
                <w:sz w:val="18"/>
                <w:szCs w:val="18"/>
              </w:rPr>
              <w:t>LAC18/19-03</w:t>
            </w:r>
          </w:p>
        </w:tc>
        <w:tc>
          <w:tcPr>
            <w:tcW w:w="2846" w:type="dxa"/>
            <w:tcBorders>
              <w:left w:val="single" w:sz="18" w:space="0" w:color="FFFFFF" w:themeColor="background1"/>
            </w:tcBorders>
            <w:shd w:val="clear" w:color="auto" w:fill="EAF1DD" w:themeFill="accent3" w:themeFillTint="33"/>
          </w:tcPr>
          <w:p w14:paraId="6F08A89A" w14:textId="60120A6A" w:rsidR="00B31F80" w:rsidRPr="009B44E9" w:rsidRDefault="00B31F80" w:rsidP="00BE7F11">
            <w:pPr>
              <w:spacing w:before="40" w:after="40"/>
              <w:rPr>
                <w:rFonts w:eastAsiaTheme="minorHAnsi"/>
                <w:sz w:val="18"/>
                <w:szCs w:val="18"/>
              </w:rPr>
            </w:pPr>
            <w:r>
              <w:rPr>
                <w:rFonts w:eastAsiaTheme="minorHAnsi"/>
                <w:sz w:val="18"/>
                <w:szCs w:val="18"/>
              </w:rPr>
              <w:t>Lake Brewster outflow wetlands</w:t>
            </w:r>
          </w:p>
        </w:tc>
        <w:tc>
          <w:tcPr>
            <w:tcW w:w="2410" w:type="dxa"/>
            <w:shd w:val="clear" w:color="auto" w:fill="EAF1DD" w:themeFill="accent3" w:themeFillTint="33"/>
          </w:tcPr>
          <w:p w14:paraId="3BB1D2DC" w14:textId="093227FB" w:rsidR="00B31F80" w:rsidRPr="009B44E9" w:rsidRDefault="00B31F80" w:rsidP="00BE7F11">
            <w:pPr>
              <w:spacing w:before="40" w:after="40"/>
              <w:rPr>
                <w:rFonts w:eastAsiaTheme="minorHAnsi"/>
                <w:sz w:val="18"/>
                <w:szCs w:val="18"/>
              </w:rPr>
            </w:pPr>
            <w:r>
              <w:rPr>
                <w:rFonts w:eastAsiaTheme="minorHAnsi"/>
                <w:sz w:val="18"/>
                <w:szCs w:val="18"/>
              </w:rPr>
              <w:t>Lake Brewster (Ballyrogan Channel)</w:t>
            </w:r>
          </w:p>
        </w:tc>
        <w:tc>
          <w:tcPr>
            <w:tcW w:w="2409" w:type="dxa"/>
            <w:shd w:val="clear" w:color="auto" w:fill="EAF1DD" w:themeFill="accent3" w:themeFillTint="33"/>
          </w:tcPr>
          <w:p w14:paraId="1CB3770F" w14:textId="6A631FF9" w:rsidR="00B31F80" w:rsidRPr="009B44E9" w:rsidRDefault="00B31F80" w:rsidP="00BE7F11">
            <w:pPr>
              <w:spacing w:before="40" w:after="40"/>
              <w:rPr>
                <w:rFonts w:eastAsiaTheme="minorHAnsi"/>
                <w:sz w:val="18"/>
                <w:szCs w:val="18"/>
              </w:rPr>
            </w:pPr>
            <w:r>
              <w:rPr>
                <w:rFonts w:eastAsiaTheme="minorHAnsi"/>
                <w:sz w:val="18"/>
                <w:szCs w:val="18"/>
              </w:rPr>
              <w:t>6,879</w:t>
            </w:r>
          </w:p>
        </w:tc>
        <w:tc>
          <w:tcPr>
            <w:tcW w:w="3828" w:type="dxa"/>
            <w:vMerge/>
            <w:shd w:val="clear" w:color="auto" w:fill="EAF1DD" w:themeFill="accent3" w:themeFillTint="33"/>
          </w:tcPr>
          <w:p w14:paraId="78001242" w14:textId="3C47F59B" w:rsidR="00B31F80" w:rsidRPr="009B44E9" w:rsidRDefault="00B31F80" w:rsidP="00BE7F11">
            <w:pPr>
              <w:spacing w:before="40" w:after="40"/>
              <w:rPr>
                <w:rFonts w:eastAsiaTheme="minorHAnsi"/>
                <w:sz w:val="18"/>
                <w:szCs w:val="18"/>
              </w:rPr>
            </w:pPr>
          </w:p>
        </w:tc>
      </w:tr>
      <w:tr w:rsidR="00B31F80" w:rsidRPr="00083E63" w14:paraId="212268E0" w14:textId="77777777" w:rsidTr="00BE7F11">
        <w:tc>
          <w:tcPr>
            <w:tcW w:w="1397" w:type="dxa"/>
            <w:tcBorders>
              <w:right w:val="single" w:sz="18" w:space="0" w:color="FFFFFF" w:themeColor="background1"/>
            </w:tcBorders>
            <w:shd w:val="clear" w:color="auto" w:fill="9BBB59"/>
            <w:vAlign w:val="center"/>
          </w:tcPr>
          <w:p w14:paraId="0AF0D3E8" w14:textId="28A9FA11" w:rsidR="00B31F80" w:rsidRPr="009B44E9" w:rsidRDefault="00B31F80" w:rsidP="00BE7F11">
            <w:pPr>
              <w:spacing w:before="40" w:after="40"/>
              <w:contextualSpacing/>
              <w:rPr>
                <w:b/>
                <w:bCs/>
                <w:color w:val="FFFFFF"/>
                <w:sz w:val="18"/>
                <w:szCs w:val="18"/>
              </w:rPr>
            </w:pPr>
            <w:r>
              <w:rPr>
                <w:b/>
                <w:bCs/>
                <w:color w:val="FFFFFF"/>
                <w:sz w:val="18"/>
                <w:szCs w:val="18"/>
              </w:rPr>
              <w:t>LAC18/19-05</w:t>
            </w:r>
          </w:p>
        </w:tc>
        <w:tc>
          <w:tcPr>
            <w:tcW w:w="2846" w:type="dxa"/>
            <w:tcBorders>
              <w:left w:val="single" w:sz="18" w:space="0" w:color="FFFFFF" w:themeColor="background1"/>
            </w:tcBorders>
            <w:shd w:val="clear" w:color="auto" w:fill="EAF1DD" w:themeFill="accent3" w:themeFillTint="33"/>
          </w:tcPr>
          <w:p w14:paraId="59A94AB9" w14:textId="015B509B" w:rsidR="00B31F80" w:rsidRPr="009B44E9" w:rsidRDefault="00B31F80" w:rsidP="00BE7F11">
            <w:pPr>
              <w:spacing w:before="40" w:after="40"/>
              <w:contextualSpacing/>
              <w:rPr>
                <w:sz w:val="18"/>
                <w:szCs w:val="18"/>
              </w:rPr>
            </w:pPr>
            <w:r>
              <w:rPr>
                <w:sz w:val="18"/>
                <w:szCs w:val="18"/>
              </w:rPr>
              <w:t>Noonamah Black Box wetlands</w:t>
            </w:r>
          </w:p>
        </w:tc>
        <w:tc>
          <w:tcPr>
            <w:tcW w:w="2410" w:type="dxa"/>
            <w:shd w:val="clear" w:color="auto" w:fill="EAF1DD" w:themeFill="accent3" w:themeFillTint="33"/>
          </w:tcPr>
          <w:p w14:paraId="4EA470A0" w14:textId="7BCED3BE" w:rsidR="00B31F80" w:rsidRPr="009B44E9" w:rsidRDefault="00B31F80" w:rsidP="00BE7F11">
            <w:pPr>
              <w:spacing w:before="40" w:after="40"/>
              <w:contextualSpacing/>
              <w:rPr>
                <w:sz w:val="18"/>
                <w:szCs w:val="18"/>
              </w:rPr>
            </w:pPr>
            <w:r>
              <w:rPr>
                <w:sz w:val="18"/>
                <w:szCs w:val="18"/>
              </w:rPr>
              <w:t>Private license and meter</w:t>
            </w:r>
          </w:p>
        </w:tc>
        <w:tc>
          <w:tcPr>
            <w:tcW w:w="2409" w:type="dxa"/>
            <w:shd w:val="clear" w:color="auto" w:fill="EAF1DD" w:themeFill="accent3" w:themeFillTint="33"/>
          </w:tcPr>
          <w:p w14:paraId="158186AA" w14:textId="2D801EFC" w:rsidR="00B31F80" w:rsidRPr="009B44E9" w:rsidRDefault="00B31F80" w:rsidP="00BE7F11">
            <w:pPr>
              <w:spacing w:before="40" w:after="40"/>
              <w:contextualSpacing/>
              <w:rPr>
                <w:sz w:val="18"/>
                <w:szCs w:val="18"/>
              </w:rPr>
            </w:pPr>
            <w:r>
              <w:rPr>
                <w:sz w:val="18"/>
                <w:szCs w:val="18"/>
              </w:rPr>
              <w:t>139</w:t>
            </w:r>
          </w:p>
        </w:tc>
        <w:tc>
          <w:tcPr>
            <w:tcW w:w="3828" w:type="dxa"/>
            <w:vMerge/>
            <w:shd w:val="clear" w:color="auto" w:fill="EAF1DD" w:themeFill="accent3" w:themeFillTint="33"/>
          </w:tcPr>
          <w:p w14:paraId="2517E7C0" w14:textId="2FA6178C" w:rsidR="00B31F80" w:rsidRPr="009B44E9" w:rsidRDefault="00B31F80" w:rsidP="00BE7F11">
            <w:pPr>
              <w:spacing w:before="40" w:after="40"/>
              <w:contextualSpacing/>
              <w:rPr>
                <w:sz w:val="18"/>
                <w:szCs w:val="18"/>
              </w:rPr>
            </w:pPr>
          </w:p>
        </w:tc>
      </w:tr>
      <w:tr w:rsidR="00B31F80" w:rsidRPr="00083E63" w14:paraId="72C95B5B" w14:textId="77777777" w:rsidTr="00BE7F11">
        <w:tc>
          <w:tcPr>
            <w:tcW w:w="1397" w:type="dxa"/>
            <w:tcBorders>
              <w:right w:val="single" w:sz="18" w:space="0" w:color="FFFFFF" w:themeColor="background1"/>
            </w:tcBorders>
            <w:shd w:val="clear" w:color="auto" w:fill="9BBB59"/>
            <w:vAlign w:val="center"/>
          </w:tcPr>
          <w:p w14:paraId="401E0EB9" w14:textId="34410B90" w:rsidR="00B31F80" w:rsidRPr="009B44E9" w:rsidRDefault="00B31F80" w:rsidP="00BE7F11">
            <w:pPr>
              <w:spacing w:before="40" w:after="40"/>
              <w:contextualSpacing/>
              <w:rPr>
                <w:b/>
                <w:bCs/>
                <w:color w:val="FFFFFF"/>
                <w:sz w:val="18"/>
                <w:szCs w:val="18"/>
              </w:rPr>
            </w:pPr>
            <w:r>
              <w:rPr>
                <w:b/>
                <w:bCs/>
                <w:color w:val="FFFFFF"/>
                <w:sz w:val="18"/>
                <w:szCs w:val="18"/>
              </w:rPr>
              <w:t>LAC18/19-06</w:t>
            </w:r>
          </w:p>
        </w:tc>
        <w:tc>
          <w:tcPr>
            <w:tcW w:w="2846" w:type="dxa"/>
            <w:tcBorders>
              <w:left w:val="single" w:sz="18" w:space="0" w:color="FFFFFF" w:themeColor="background1"/>
            </w:tcBorders>
            <w:shd w:val="clear" w:color="auto" w:fill="EAF1DD" w:themeFill="accent3" w:themeFillTint="33"/>
          </w:tcPr>
          <w:p w14:paraId="31C1A57D" w14:textId="4BFA4D99" w:rsidR="00B31F80" w:rsidRDefault="00B31F80" w:rsidP="00BE7F11">
            <w:pPr>
              <w:spacing w:before="40" w:after="40"/>
              <w:contextualSpacing/>
              <w:rPr>
                <w:sz w:val="18"/>
                <w:szCs w:val="18"/>
              </w:rPr>
            </w:pPr>
            <w:r>
              <w:rPr>
                <w:sz w:val="18"/>
                <w:szCs w:val="18"/>
              </w:rPr>
              <w:t>Mid Lachlan River channel</w:t>
            </w:r>
          </w:p>
          <w:p w14:paraId="5C7FB70E" w14:textId="77777777" w:rsidR="00B31F80" w:rsidRDefault="00B31F80" w:rsidP="00BE7F11">
            <w:pPr>
              <w:spacing w:before="40" w:after="40"/>
              <w:contextualSpacing/>
              <w:rPr>
                <w:sz w:val="18"/>
                <w:szCs w:val="18"/>
              </w:rPr>
            </w:pPr>
          </w:p>
          <w:p w14:paraId="5C27B5A2" w14:textId="40D57218" w:rsidR="00B31F80" w:rsidRPr="009B44E9" w:rsidRDefault="00B31F80" w:rsidP="00BE7F11">
            <w:pPr>
              <w:spacing w:before="40" w:after="40"/>
              <w:contextualSpacing/>
              <w:rPr>
                <w:sz w:val="18"/>
                <w:szCs w:val="18"/>
              </w:rPr>
            </w:pPr>
            <w:r>
              <w:rPr>
                <w:sz w:val="18"/>
                <w:szCs w:val="18"/>
              </w:rPr>
              <w:t xml:space="preserve">Booberoi Creek </w:t>
            </w:r>
          </w:p>
        </w:tc>
        <w:tc>
          <w:tcPr>
            <w:tcW w:w="2410" w:type="dxa"/>
            <w:shd w:val="clear" w:color="auto" w:fill="EAF1DD" w:themeFill="accent3" w:themeFillTint="33"/>
          </w:tcPr>
          <w:p w14:paraId="5E1A9D83" w14:textId="77777777" w:rsidR="00B31F80" w:rsidRDefault="00B31F80" w:rsidP="00BE7F11">
            <w:pPr>
              <w:spacing w:before="40" w:after="40"/>
              <w:contextualSpacing/>
              <w:rPr>
                <w:sz w:val="18"/>
                <w:szCs w:val="18"/>
              </w:rPr>
            </w:pPr>
            <w:r>
              <w:rPr>
                <w:sz w:val="18"/>
                <w:szCs w:val="18"/>
              </w:rPr>
              <w:t>Forbes (Cotton’s Weir)</w:t>
            </w:r>
          </w:p>
          <w:p w14:paraId="7589CFA7" w14:textId="77777777" w:rsidR="00B31F80" w:rsidRDefault="00B31F80" w:rsidP="00BE7F11">
            <w:pPr>
              <w:spacing w:before="40" w:after="40"/>
              <w:contextualSpacing/>
              <w:rPr>
                <w:sz w:val="18"/>
                <w:szCs w:val="18"/>
              </w:rPr>
            </w:pPr>
          </w:p>
          <w:p w14:paraId="7A6FED4D" w14:textId="74E80478" w:rsidR="00B31F80" w:rsidRPr="009B44E9" w:rsidRDefault="00B31F80" w:rsidP="00BE7F11">
            <w:pPr>
              <w:spacing w:before="40" w:after="40"/>
              <w:contextualSpacing/>
              <w:rPr>
                <w:sz w:val="18"/>
                <w:szCs w:val="18"/>
              </w:rPr>
            </w:pPr>
            <w:r>
              <w:rPr>
                <w:sz w:val="18"/>
                <w:szCs w:val="18"/>
              </w:rPr>
              <w:t>Booberoi Creek Off take</w:t>
            </w:r>
          </w:p>
        </w:tc>
        <w:tc>
          <w:tcPr>
            <w:tcW w:w="2409" w:type="dxa"/>
            <w:shd w:val="clear" w:color="auto" w:fill="EAF1DD" w:themeFill="accent3" w:themeFillTint="33"/>
          </w:tcPr>
          <w:p w14:paraId="47C1D6EA" w14:textId="359D34E5" w:rsidR="00B31F80" w:rsidRDefault="00B31F80" w:rsidP="00BE7F11">
            <w:pPr>
              <w:spacing w:before="40" w:after="40"/>
              <w:contextualSpacing/>
              <w:rPr>
                <w:sz w:val="18"/>
                <w:szCs w:val="18"/>
              </w:rPr>
            </w:pPr>
            <w:r>
              <w:rPr>
                <w:sz w:val="18"/>
                <w:szCs w:val="18"/>
              </w:rPr>
              <w:t>5,979</w:t>
            </w:r>
          </w:p>
          <w:p w14:paraId="181DACC6" w14:textId="77777777" w:rsidR="00B31F80" w:rsidRDefault="00B31F80" w:rsidP="00BE7F11">
            <w:pPr>
              <w:spacing w:before="40" w:after="40"/>
              <w:contextualSpacing/>
              <w:rPr>
                <w:sz w:val="18"/>
                <w:szCs w:val="18"/>
              </w:rPr>
            </w:pPr>
          </w:p>
          <w:p w14:paraId="32EFA0EE" w14:textId="3EE9C686" w:rsidR="00B31F80" w:rsidRPr="009B44E9" w:rsidRDefault="00B31F80" w:rsidP="00BE7F11">
            <w:pPr>
              <w:spacing w:before="40" w:after="40"/>
              <w:contextualSpacing/>
              <w:rPr>
                <w:sz w:val="18"/>
                <w:szCs w:val="18"/>
              </w:rPr>
            </w:pPr>
            <w:r>
              <w:rPr>
                <w:sz w:val="18"/>
                <w:szCs w:val="18"/>
              </w:rPr>
              <w:t>300 (re-used)</w:t>
            </w:r>
          </w:p>
        </w:tc>
        <w:tc>
          <w:tcPr>
            <w:tcW w:w="3828" w:type="dxa"/>
            <w:vMerge w:val="restart"/>
            <w:shd w:val="clear" w:color="auto" w:fill="EAF1DD" w:themeFill="accent3" w:themeFillTint="33"/>
          </w:tcPr>
          <w:p w14:paraId="2DFD8AFA" w14:textId="6FCF021F" w:rsidR="00B31F80" w:rsidRPr="009B44E9" w:rsidRDefault="00B31F80" w:rsidP="00BE7F11">
            <w:pPr>
              <w:spacing w:before="40" w:after="40"/>
              <w:contextualSpacing/>
              <w:rPr>
                <w:sz w:val="18"/>
                <w:szCs w:val="18"/>
              </w:rPr>
            </w:pPr>
            <w:r w:rsidRPr="00B31F80">
              <w:rPr>
                <w:sz w:val="18"/>
                <w:szCs w:val="18"/>
              </w:rPr>
              <w:t>Environmental water allowance accrued under the Water Sharing Plan for the Lachlan Regulated River Water Source 2016.</w:t>
            </w:r>
          </w:p>
        </w:tc>
      </w:tr>
      <w:tr w:rsidR="00B31F80" w:rsidRPr="00083E63" w14:paraId="6CB3EC2A" w14:textId="77777777" w:rsidTr="00BE7F11">
        <w:tc>
          <w:tcPr>
            <w:tcW w:w="1397" w:type="dxa"/>
            <w:tcBorders>
              <w:right w:val="single" w:sz="18" w:space="0" w:color="FFFFFF" w:themeColor="background1"/>
            </w:tcBorders>
            <w:shd w:val="clear" w:color="auto" w:fill="9BBB59"/>
            <w:vAlign w:val="center"/>
          </w:tcPr>
          <w:p w14:paraId="31C2974A" w14:textId="38AB5E87" w:rsidR="00B31F80" w:rsidRPr="009B44E9" w:rsidRDefault="00B31F80" w:rsidP="00BE7F11">
            <w:pPr>
              <w:spacing w:before="40" w:after="40"/>
              <w:contextualSpacing/>
              <w:rPr>
                <w:b/>
                <w:bCs/>
                <w:color w:val="FFFFFF"/>
                <w:sz w:val="18"/>
                <w:szCs w:val="18"/>
              </w:rPr>
            </w:pPr>
            <w:r>
              <w:rPr>
                <w:b/>
                <w:bCs/>
                <w:color w:val="FFFFFF"/>
                <w:sz w:val="18"/>
                <w:szCs w:val="18"/>
              </w:rPr>
              <w:t>LAC18/19-08</w:t>
            </w:r>
          </w:p>
        </w:tc>
        <w:tc>
          <w:tcPr>
            <w:tcW w:w="2846" w:type="dxa"/>
            <w:tcBorders>
              <w:left w:val="single" w:sz="18" w:space="0" w:color="FFFFFF" w:themeColor="background1"/>
            </w:tcBorders>
            <w:shd w:val="clear" w:color="auto" w:fill="EAF1DD" w:themeFill="accent3" w:themeFillTint="33"/>
          </w:tcPr>
          <w:p w14:paraId="6148F1B6" w14:textId="4057AE5B" w:rsidR="00B31F80" w:rsidRPr="009B44E9" w:rsidRDefault="00B31F80" w:rsidP="00BE7F11">
            <w:pPr>
              <w:spacing w:before="40" w:after="40"/>
              <w:contextualSpacing/>
              <w:rPr>
                <w:sz w:val="18"/>
                <w:szCs w:val="18"/>
              </w:rPr>
            </w:pPr>
            <w:r>
              <w:rPr>
                <w:sz w:val="18"/>
                <w:szCs w:val="18"/>
              </w:rPr>
              <w:t>Mid Lachlan River channel</w:t>
            </w:r>
          </w:p>
        </w:tc>
        <w:tc>
          <w:tcPr>
            <w:tcW w:w="2410" w:type="dxa"/>
            <w:shd w:val="clear" w:color="auto" w:fill="EAF1DD" w:themeFill="accent3" w:themeFillTint="33"/>
          </w:tcPr>
          <w:p w14:paraId="466DAFCE" w14:textId="02CB00F2" w:rsidR="00B31F80" w:rsidRPr="009B44E9" w:rsidRDefault="00B31F80" w:rsidP="00BE7F11">
            <w:pPr>
              <w:spacing w:before="40" w:after="40"/>
              <w:contextualSpacing/>
              <w:rPr>
                <w:sz w:val="18"/>
                <w:szCs w:val="18"/>
              </w:rPr>
            </w:pPr>
            <w:r>
              <w:rPr>
                <w:sz w:val="18"/>
                <w:szCs w:val="18"/>
              </w:rPr>
              <w:t>Forbes (Cotton’s Weir)</w:t>
            </w:r>
          </w:p>
        </w:tc>
        <w:tc>
          <w:tcPr>
            <w:tcW w:w="2409" w:type="dxa"/>
            <w:shd w:val="clear" w:color="auto" w:fill="EAF1DD" w:themeFill="accent3" w:themeFillTint="33"/>
          </w:tcPr>
          <w:p w14:paraId="78FE3FC2" w14:textId="50114EC8" w:rsidR="00B31F80" w:rsidRPr="009B44E9" w:rsidRDefault="00B31F80" w:rsidP="00BE7F11">
            <w:pPr>
              <w:spacing w:before="40" w:after="40"/>
              <w:contextualSpacing/>
              <w:rPr>
                <w:sz w:val="18"/>
                <w:szCs w:val="18"/>
              </w:rPr>
            </w:pPr>
            <w:r>
              <w:rPr>
                <w:sz w:val="18"/>
                <w:szCs w:val="18"/>
              </w:rPr>
              <w:t>2,340</w:t>
            </w:r>
          </w:p>
        </w:tc>
        <w:tc>
          <w:tcPr>
            <w:tcW w:w="3828" w:type="dxa"/>
            <w:vMerge/>
            <w:shd w:val="clear" w:color="auto" w:fill="EAF1DD" w:themeFill="accent3" w:themeFillTint="33"/>
          </w:tcPr>
          <w:p w14:paraId="4CE0F215" w14:textId="08B4F95E" w:rsidR="00B31F80" w:rsidRPr="009B44E9" w:rsidRDefault="00B31F80" w:rsidP="00BE7F11">
            <w:pPr>
              <w:spacing w:before="40" w:after="40"/>
              <w:contextualSpacing/>
              <w:rPr>
                <w:sz w:val="18"/>
                <w:szCs w:val="18"/>
              </w:rPr>
            </w:pPr>
          </w:p>
        </w:tc>
      </w:tr>
      <w:tr w:rsidR="00B31F80" w:rsidRPr="00083E63" w14:paraId="3E9B0943" w14:textId="77777777" w:rsidTr="00BE7F11">
        <w:tc>
          <w:tcPr>
            <w:tcW w:w="1397" w:type="dxa"/>
            <w:tcBorders>
              <w:right w:val="single" w:sz="18" w:space="0" w:color="FFFFFF" w:themeColor="background1"/>
            </w:tcBorders>
            <w:shd w:val="clear" w:color="auto" w:fill="9BBB59"/>
            <w:vAlign w:val="center"/>
          </w:tcPr>
          <w:p w14:paraId="4D77ED9C" w14:textId="59AD9C95" w:rsidR="00B31F80" w:rsidRPr="009B44E9" w:rsidRDefault="00B31F80" w:rsidP="00BE7F11">
            <w:pPr>
              <w:spacing w:before="40" w:after="40"/>
              <w:contextualSpacing/>
              <w:rPr>
                <w:b/>
                <w:bCs/>
                <w:color w:val="FFFFFF"/>
                <w:sz w:val="18"/>
                <w:szCs w:val="18"/>
              </w:rPr>
            </w:pPr>
            <w:r>
              <w:rPr>
                <w:b/>
                <w:bCs/>
                <w:color w:val="FFFFFF"/>
                <w:sz w:val="18"/>
                <w:szCs w:val="18"/>
              </w:rPr>
              <w:t>LAC18/19-10</w:t>
            </w:r>
          </w:p>
        </w:tc>
        <w:tc>
          <w:tcPr>
            <w:tcW w:w="2846" w:type="dxa"/>
            <w:tcBorders>
              <w:left w:val="single" w:sz="18" w:space="0" w:color="FFFFFF" w:themeColor="background1"/>
            </w:tcBorders>
            <w:shd w:val="clear" w:color="auto" w:fill="EAF1DD" w:themeFill="accent3" w:themeFillTint="33"/>
          </w:tcPr>
          <w:p w14:paraId="0CE3584F" w14:textId="2FBC582C" w:rsidR="00B31F80" w:rsidRPr="009B44E9" w:rsidRDefault="00B31F80" w:rsidP="00BE7F11">
            <w:pPr>
              <w:spacing w:before="40" w:after="40"/>
              <w:contextualSpacing/>
              <w:rPr>
                <w:sz w:val="18"/>
                <w:szCs w:val="18"/>
              </w:rPr>
            </w:pPr>
            <w:r>
              <w:rPr>
                <w:sz w:val="18"/>
                <w:szCs w:val="18"/>
              </w:rPr>
              <w:t>Booberoi Creek</w:t>
            </w:r>
          </w:p>
        </w:tc>
        <w:tc>
          <w:tcPr>
            <w:tcW w:w="2410" w:type="dxa"/>
            <w:shd w:val="clear" w:color="auto" w:fill="EAF1DD" w:themeFill="accent3" w:themeFillTint="33"/>
          </w:tcPr>
          <w:p w14:paraId="08BF91FD" w14:textId="35F3239D" w:rsidR="00B31F80" w:rsidRPr="009B44E9" w:rsidRDefault="00B31F80" w:rsidP="00BE7F11">
            <w:pPr>
              <w:spacing w:before="40" w:after="40"/>
              <w:contextualSpacing/>
              <w:rPr>
                <w:sz w:val="18"/>
                <w:szCs w:val="18"/>
              </w:rPr>
            </w:pPr>
            <w:r>
              <w:rPr>
                <w:sz w:val="18"/>
                <w:szCs w:val="18"/>
              </w:rPr>
              <w:t>Booberoi Creek Off take</w:t>
            </w:r>
          </w:p>
        </w:tc>
        <w:tc>
          <w:tcPr>
            <w:tcW w:w="2409" w:type="dxa"/>
            <w:shd w:val="clear" w:color="auto" w:fill="EAF1DD" w:themeFill="accent3" w:themeFillTint="33"/>
          </w:tcPr>
          <w:p w14:paraId="38504EBC" w14:textId="64B0884C" w:rsidR="00B31F80" w:rsidRPr="009B44E9" w:rsidRDefault="00B31F80" w:rsidP="00BE7F11">
            <w:pPr>
              <w:spacing w:before="40" w:after="40"/>
              <w:contextualSpacing/>
              <w:rPr>
                <w:sz w:val="18"/>
                <w:szCs w:val="18"/>
              </w:rPr>
            </w:pPr>
            <w:r>
              <w:rPr>
                <w:sz w:val="18"/>
                <w:szCs w:val="18"/>
              </w:rPr>
              <w:t>952</w:t>
            </w:r>
          </w:p>
        </w:tc>
        <w:tc>
          <w:tcPr>
            <w:tcW w:w="3828" w:type="dxa"/>
            <w:vMerge/>
            <w:shd w:val="clear" w:color="auto" w:fill="EAF1DD" w:themeFill="accent3" w:themeFillTint="33"/>
          </w:tcPr>
          <w:p w14:paraId="7BE94222" w14:textId="21CF39C2" w:rsidR="00B31F80" w:rsidRPr="009B44E9" w:rsidRDefault="00B31F80" w:rsidP="00BE7F11">
            <w:pPr>
              <w:spacing w:before="40" w:after="40"/>
              <w:contextualSpacing/>
              <w:rPr>
                <w:sz w:val="18"/>
                <w:szCs w:val="18"/>
              </w:rPr>
            </w:pPr>
          </w:p>
        </w:tc>
      </w:tr>
      <w:tr w:rsidR="00B31F80" w:rsidRPr="00083E63" w14:paraId="3E2A67DE" w14:textId="77777777" w:rsidTr="00BE7F11">
        <w:tc>
          <w:tcPr>
            <w:tcW w:w="1397" w:type="dxa"/>
            <w:tcBorders>
              <w:right w:val="single" w:sz="18" w:space="0" w:color="FFFFFF" w:themeColor="background1"/>
            </w:tcBorders>
            <w:shd w:val="clear" w:color="auto" w:fill="9BBB59"/>
            <w:vAlign w:val="center"/>
          </w:tcPr>
          <w:p w14:paraId="5CBF335E" w14:textId="3A19E871" w:rsidR="00B31F80" w:rsidRPr="009B44E9" w:rsidRDefault="00B31F80" w:rsidP="00BE7F11">
            <w:pPr>
              <w:spacing w:before="40" w:after="40"/>
              <w:contextualSpacing/>
              <w:rPr>
                <w:b/>
                <w:bCs/>
                <w:color w:val="FFFFFF"/>
                <w:sz w:val="18"/>
                <w:szCs w:val="18"/>
              </w:rPr>
            </w:pPr>
            <w:r>
              <w:rPr>
                <w:b/>
                <w:bCs/>
                <w:color w:val="FFFFFF"/>
                <w:sz w:val="18"/>
                <w:szCs w:val="18"/>
              </w:rPr>
              <w:t>LAC18/19-11</w:t>
            </w:r>
          </w:p>
        </w:tc>
        <w:tc>
          <w:tcPr>
            <w:tcW w:w="2846" w:type="dxa"/>
            <w:tcBorders>
              <w:left w:val="single" w:sz="18" w:space="0" w:color="FFFFFF" w:themeColor="background1"/>
            </w:tcBorders>
            <w:shd w:val="clear" w:color="auto" w:fill="EAF1DD" w:themeFill="accent3" w:themeFillTint="33"/>
          </w:tcPr>
          <w:p w14:paraId="2E2289CC" w14:textId="3A9B7EBF" w:rsidR="00B31F80" w:rsidRPr="009B44E9" w:rsidRDefault="00B31F80" w:rsidP="00BE7F11">
            <w:pPr>
              <w:spacing w:before="40" w:after="40"/>
              <w:contextualSpacing/>
              <w:rPr>
                <w:sz w:val="18"/>
                <w:szCs w:val="18"/>
              </w:rPr>
            </w:pPr>
            <w:r>
              <w:rPr>
                <w:sz w:val="18"/>
                <w:szCs w:val="18"/>
              </w:rPr>
              <w:t>Booberoi Creek</w:t>
            </w:r>
          </w:p>
        </w:tc>
        <w:tc>
          <w:tcPr>
            <w:tcW w:w="2410" w:type="dxa"/>
            <w:shd w:val="clear" w:color="auto" w:fill="EAF1DD" w:themeFill="accent3" w:themeFillTint="33"/>
          </w:tcPr>
          <w:p w14:paraId="7E0D191E" w14:textId="1CC89611" w:rsidR="00B31F80" w:rsidRPr="009B44E9" w:rsidRDefault="00B31F80" w:rsidP="00BE7F11">
            <w:pPr>
              <w:spacing w:before="40" w:after="40"/>
              <w:contextualSpacing/>
              <w:rPr>
                <w:sz w:val="18"/>
                <w:szCs w:val="18"/>
              </w:rPr>
            </w:pPr>
            <w:r>
              <w:rPr>
                <w:sz w:val="18"/>
                <w:szCs w:val="18"/>
              </w:rPr>
              <w:t>Booberoi Creek Off take</w:t>
            </w:r>
          </w:p>
        </w:tc>
        <w:tc>
          <w:tcPr>
            <w:tcW w:w="2409" w:type="dxa"/>
            <w:shd w:val="clear" w:color="auto" w:fill="EAF1DD" w:themeFill="accent3" w:themeFillTint="33"/>
          </w:tcPr>
          <w:p w14:paraId="57899513" w14:textId="25827A21" w:rsidR="00B31F80" w:rsidRPr="009B44E9" w:rsidRDefault="00B31F80" w:rsidP="00BE7F11">
            <w:pPr>
              <w:spacing w:before="40" w:after="40"/>
              <w:contextualSpacing/>
              <w:rPr>
                <w:sz w:val="18"/>
                <w:szCs w:val="18"/>
              </w:rPr>
            </w:pPr>
            <w:r>
              <w:rPr>
                <w:sz w:val="18"/>
                <w:szCs w:val="18"/>
              </w:rPr>
              <w:t>304</w:t>
            </w:r>
          </w:p>
        </w:tc>
        <w:tc>
          <w:tcPr>
            <w:tcW w:w="3828" w:type="dxa"/>
            <w:vMerge/>
            <w:shd w:val="clear" w:color="auto" w:fill="EAF1DD" w:themeFill="accent3" w:themeFillTint="33"/>
          </w:tcPr>
          <w:p w14:paraId="5428D96F" w14:textId="25E77A34" w:rsidR="00B31F80" w:rsidRPr="009B44E9" w:rsidRDefault="00B31F80" w:rsidP="00BE7F11">
            <w:pPr>
              <w:spacing w:before="40" w:after="40"/>
              <w:contextualSpacing/>
              <w:rPr>
                <w:sz w:val="18"/>
                <w:szCs w:val="18"/>
              </w:rPr>
            </w:pPr>
          </w:p>
        </w:tc>
      </w:tr>
      <w:tr w:rsidR="008251AE" w:rsidRPr="00083E63" w14:paraId="70488425" w14:textId="77777777" w:rsidTr="00BE7F11">
        <w:trPr>
          <w:trHeight w:val="359"/>
        </w:trPr>
        <w:tc>
          <w:tcPr>
            <w:tcW w:w="1397" w:type="dxa"/>
            <w:tcBorders>
              <w:right w:val="single" w:sz="18" w:space="0" w:color="FFFFFF" w:themeColor="background1"/>
            </w:tcBorders>
            <w:shd w:val="clear" w:color="auto" w:fill="9BBB59"/>
            <w:vAlign w:val="center"/>
          </w:tcPr>
          <w:p w14:paraId="7BDF82BE" w14:textId="61E7E5B5" w:rsidR="008251AE" w:rsidRPr="009B44E9" w:rsidRDefault="000575CE" w:rsidP="00BE7F11">
            <w:pPr>
              <w:spacing w:before="40" w:after="40"/>
              <w:contextualSpacing/>
              <w:rPr>
                <w:b/>
                <w:bCs/>
                <w:color w:val="FFFFFF"/>
                <w:sz w:val="18"/>
                <w:szCs w:val="18"/>
              </w:rPr>
            </w:pPr>
            <w:r>
              <w:rPr>
                <w:b/>
                <w:bCs/>
                <w:color w:val="FFFFFF"/>
                <w:sz w:val="18"/>
                <w:szCs w:val="18"/>
              </w:rPr>
              <w:t>LAC18/19-12</w:t>
            </w:r>
          </w:p>
        </w:tc>
        <w:tc>
          <w:tcPr>
            <w:tcW w:w="2846" w:type="dxa"/>
            <w:tcBorders>
              <w:left w:val="single" w:sz="18" w:space="0" w:color="FFFFFF" w:themeColor="background1"/>
            </w:tcBorders>
            <w:shd w:val="clear" w:color="auto" w:fill="EAF1DD" w:themeFill="accent3" w:themeFillTint="33"/>
          </w:tcPr>
          <w:p w14:paraId="48A79DB9" w14:textId="1EE015EC" w:rsidR="008251AE" w:rsidRPr="009B44E9" w:rsidRDefault="00F276D2" w:rsidP="00BE7F11">
            <w:pPr>
              <w:spacing w:before="40" w:after="40"/>
              <w:contextualSpacing/>
              <w:rPr>
                <w:sz w:val="18"/>
                <w:szCs w:val="18"/>
              </w:rPr>
            </w:pPr>
            <w:r>
              <w:rPr>
                <w:sz w:val="18"/>
                <w:szCs w:val="18"/>
              </w:rPr>
              <w:t>Lower Lachlan River channel</w:t>
            </w:r>
          </w:p>
        </w:tc>
        <w:tc>
          <w:tcPr>
            <w:tcW w:w="2410" w:type="dxa"/>
            <w:shd w:val="clear" w:color="auto" w:fill="EAF1DD" w:themeFill="accent3" w:themeFillTint="33"/>
          </w:tcPr>
          <w:p w14:paraId="615A8EDB" w14:textId="32BB6498" w:rsidR="008251AE" w:rsidRPr="009B44E9" w:rsidRDefault="00F276D2" w:rsidP="00BE7F11">
            <w:pPr>
              <w:spacing w:before="40" w:after="40"/>
              <w:contextualSpacing/>
              <w:rPr>
                <w:sz w:val="18"/>
                <w:szCs w:val="18"/>
              </w:rPr>
            </w:pPr>
            <w:r>
              <w:rPr>
                <w:sz w:val="18"/>
                <w:szCs w:val="18"/>
              </w:rPr>
              <w:t>Booligal</w:t>
            </w:r>
          </w:p>
        </w:tc>
        <w:tc>
          <w:tcPr>
            <w:tcW w:w="2409" w:type="dxa"/>
            <w:shd w:val="clear" w:color="auto" w:fill="EAF1DD" w:themeFill="accent3" w:themeFillTint="33"/>
          </w:tcPr>
          <w:p w14:paraId="6A2760CA" w14:textId="3E127984" w:rsidR="008251AE" w:rsidRPr="009B44E9" w:rsidRDefault="00B31F80" w:rsidP="00BE7F11">
            <w:pPr>
              <w:spacing w:before="40" w:after="40"/>
              <w:contextualSpacing/>
              <w:rPr>
                <w:sz w:val="18"/>
                <w:szCs w:val="18"/>
              </w:rPr>
            </w:pPr>
            <w:r>
              <w:rPr>
                <w:sz w:val="18"/>
                <w:szCs w:val="18"/>
              </w:rPr>
              <w:t>4,936</w:t>
            </w:r>
          </w:p>
        </w:tc>
        <w:tc>
          <w:tcPr>
            <w:tcW w:w="3828" w:type="dxa"/>
            <w:shd w:val="clear" w:color="auto" w:fill="EAF1DD" w:themeFill="accent3" w:themeFillTint="33"/>
          </w:tcPr>
          <w:p w14:paraId="03B9218B" w14:textId="006CD87B" w:rsidR="008251AE" w:rsidRPr="009B44E9" w:rsidRDefault="00F276D2" w:rsidP="00BE7F11">
            <w:pPr>
              <w:spacing w:before="40" w:after="40"/>
              <w:contextualSpacing/>
              <w:rPr>
                <w:sz w:val="18"/>
                <w:szCs w:val="18"/>
              </w:rPr>
            </w:pPr>
            <w:r>
              <w:rPr>
                <w:sz w:val="18"/>
                <w:szCs w:val="18"/>
              </w:rPr>
              <w:t>Water Quality Allowance</w:t>
            </w:r>
          </w:p>
        </w:tc>
      </w:tr>
      <w:bookmarkEnd w:id="57"/>
    </w:tbl>
    <w:p w14:paraId="4D0FAF59" w14:textId="77777777" w:rsidR="008251AE" w:rsidRDefault="008251AE" w:rsidP="008251AE"/>
    <w:p w14:paraId="6DC6C976" w14:textId="77777777" w:rsidR="008251AE" w:rsidRDefault="008251AE" w:rsidP="008251AE">
      <w:pPr>
        <w:sectPr w:rsidR="008251AE" w:rsidSect="006E0321">
          <w:pgSz w:w="16838" w:h="11906" w:orient="landscape"/>
          <w:pgMar w:top="1440" w:right="1440" w:bottom="1440" w:left="1440" w:header="708" w:footer="708" w:gutter="0"/>
          <w:cols w:space="708"/>
          <w:docGrid w:linePitch="360"/>
        </w:sectPr>
      </w:pPr>
    </w:p>
    <w:p w14:paraId="6F76C81C" w14:textId="77777777" w:rsidR="008A2ED2" w:rsidRDefault="00BC1C92" w:rsidP="00B76908">
      <w:pPr>
        <w:pStyle w:val="Heading2"/>
      </w:pPr>
      <w:bookmarkStart w:id="58" w:name="_Toc31985446"/>
      <w:r>
        <w:t>D</w:t>
      </w:r>
      <w:r w:rsidR="00A355BA">
        <w:t xml:space="preserve">esigning flows for </w:t>
      </w:r>
      <w:r>
        <w:t>f</w:t>
      </w:r>
      <w:r w:rsidR="00A355BA">
        <w:t>ish</w:t>
      </w:r>
      <w:bookmarkEnd w:id="58"/>
      <w:r w:rsidR="00A355BA">
        <w:t xml:space="preserve"> </w:t>
      </w:r>
    </w:p>
    <w:p w14:paraId="3AE7C266" w14:textId="0EF7713E" w:rsidR="00565110" w:rsidRDefault="00042C52" w:rsidP="008A2ED2">
      <w:pPr>
        <w:rPr>
          <w:lang w:eastAsia="x-none"/>
        </w:rPr>
      </w:pPr>
      <w:r>
        <w:rPr>
          <w:lang w:eastAsia="x-none"/>
        </w:rPr>
        <w:t>The focus of the 201</w:t>
      </w:r>
      <w:r w:rsidR="00661C48">
        <w:rPr>
          <w:lang w:eastAsia="x-none"/>
        </w:rPr>
        <w:t>8</w:t>
      </w:r>
      <w:r>
        <w:rPr>
          <w:lang w:eastAsia="x-none"/>
        </w:rPr>
        <w:t>-1</w:t>
      </w:r>
      <w:r w:rsidR="00661C48">
        <w:rPr>
          <w:lang w:eastAsia="x-none"/>
        </w:rPr>
        <w:t>9</w:t>
      </w:r>
      <w:r>
        <w:rPr>
          <w:lang w:eastAsia="x-none"/>
        </w:rPr>
        <w:t xml:space="preserve"> watering actions on providing a flow regime that better supports native fish in the river used a conceptualised hydrograph to underpin the design of the flow regime (</w:t>
      </w:r>
      <w:r w:rsidR="00DA7020">
        <w:rPr>
          <w:lang w:eastAsia="x-none"/>
        </w:rPr>
        <w:fldChar w:fldCharType="begin"/>
      </w:r>
      <w:r w:rsidR="00DA7020">
        <w:rPr>
          <w:lang w:eastAsia="x-none"/>
        </w:rPr>
        <w:instrText xml:space="preserve"> REF _Ref527020046 \h </w:instrText>
      </w:r>
      <w:r w:rsidR="00DA7020">
        <w:rPr>
          <w:lang w:eastAsia="x-none"/>
        </w:rPr>
      </w:r>
      <w:r w:rsidR="00DA7020">
        <w:rPr>
          <w:lang w:eastAsia="x-none"/>
        </w:rPr>
        <w:fldChar w:fldCharType="separate"/>
      </w:r>
      <w:r w:rsidR="007F7607">
        <w:t xml:space="preserve">Figure </w:t>
      </w:r>
      <w:r w:rsidR="007F7607">
        <w:rPr>
          <w:noProof/>
        </w:rPr>
        <w:t>5</w:t>
      </w:r>
      <w:r w:rsidR="00DA7020">
        <w:rPr>
          <w:lang w:eastAsia="x-none"/>
        </w:rPr>
        <w:fldChar w:fldCharType="end"/>
      </w:r>
      <w:r>
        <w:rPr>
          <w:lang w:eastAsia="x-none"/>
        </w:rPr>
        <w:t xml:space="preserve">). The conceptual hydrograph is based on </w:t>
      </w:r>
      <w:r w:rsidR="00A81100">
        <w:rPr>
          <w:lang w:eastAsia="x-none"/>
        </w:rPr>
        <w:t xml:space="preserve">current understanding of the </w:t>
      </w:r>
      <w:r>
        <w:rPr>
          <w:lang w:eastAsia="x-none"/>
        </w:rPr>
        <w:t xml:space="preserve">components </w:t>
      </w:r>
      <w:r w:rsidR="00A81100">
        <w:rPr>
          <w:lang w:eastAsia="x-none"/>
        </w:rPr>
        <w:t>of the flow regime</w:t>
      </w:r>
      <w:r w:rsidR="00BD7CDE">
        <w:rPr>
          <w:lang w:eastAsia="x-none"/>
        </w:rPr>
        <w:t xml:space="preserve"> </w:t>
      </w:r>
      <w:r w:rsidR="00DA7020">
        <w:rPr>
          <w:lang w:eastAsia="x-none"/>
        </w:rPr>
        <w:t xml:space="preserve">thought to be relevant to native fish communities </w:t>
      </w:r>
      <w:r w:rsidR="004E46A5">
        <w:rPr>
          <w:lang w:eastAsia="x-none"/>
        </w:rPr>
        <w:fldChar w:fldCharType="begin"/>
      </w:r>
      <w:r w:rsidR="0025324B">
        <w:rPr>
          <w:lang w:eastAsia="x-none"/>
        </w:rPr>
        <w:instrText xml:space="preserve"> ADDIN EN.CITE &lt;EndNote&gt;&lt;Cite&gt;&lt;Author&gt;Ellis&lt;/Author&gt;&lt;Year&gt;2016&lt;/Year&gt;&lt;RecNum&gt;149&lt;/RecNum&gt;&lt;DisplayText&gt;(Ellis et al. 2016)&lt;/DisplayText&gt;&lt;record&gt;&lt;rec-number&gt;149&lt;/rec-number&gt;&lt;foreign-keys&gt;&lt;key app="EN" db-id="0a0zttz0gewd9befav559p5osxw5sftwfpdv" timestamp="1476147514"&gt;149&lt;/key&gt;&lt;/foreign-keys&gt;&lt;ref-type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4E46A5">
        <w:rPr>
          <w:lang w:eastAsia="x-none"/>
        </w:rPr>
        <w:fldChar w:fldCharType="separate"/>
      </w:r>
      <w:r w:rsidR="0025324B">
        <w:rPr>
          <w:noProof/>
          <w:lang w:eastAsia="x-none"/>
        </w:rPr>
        <w:t>(Ellis et al. 2016)</w:t>
      </w:r>
      <w:r w:rsidR="004E46A5">
        <w:rPr>
          <w:lang w:eastAsia="x-none"/>
        </w:rPr>
        <w:fldChar w:fldCharType="end"/>
      </w:r>
      <w:r w:rsidR="00DD323A">
        <w:rPr>
          <w:lang w:eastAsia="x-none"/>
        </w:rPr>
        <w:t>,</w:t>
      </w:r>
      <w:r w:rsidR="00A81100">
        <w:rPr>
          <w:lang w:eastAsia="x-none"/>
        </w:rPr>
        <w:t xml:space="preserve"> </w:t>
      </w:r>
      <w:r w:rsidR="005A04CE">
        <w:rPr>
          <w:lang w:eastAsia="x-none"/>
        </w:rPr>
        <w:t>i.e. the attributes of the flow regime</w:t>
      </w:r>
      <w:r w:rsidR="00A81100">
        <w:rPr>
          <w:lang w:eastAsia="x-none"/>
        </w:rPr>
        <w:t xml:space="preserve"> </w:t>
      </w:r>
      <w:r>
        <w:rPr>
          <w:lang w:eastAsia="x-none"/>
        </w:rPr>
        <w:t xml:space="preserve">required </w:t>
      </w:r>
      <w:r w:rsidR="007D0D6B">
        <w:rPr>
          <w:lang w:eastAsia="x-none"/>
        </w:rPr>
        <w:t xml:space="preserve">to support </w:t>
      </w:r>
      <w:r>
        <w:rPr>
          <w:lang w:eastAsia="x-none"/>
        </w:rPr>
        <w:t xml:space="preserve">native fish </w:t>
      </w:r>
      <w:r w:rsidR="007D0D6B">
        <w:rPr>
          <w:lang w:eastAsia="x-none"/>
        </w:rPr>
        <w:t xml:space="preserve">populations </w:t>
      </w:r>
      <w:r>
        <w:rPr>
          <w:lang w:eastAsia="x-none"/>
        </w:rPr>
        <w:t>in the river.</w:t>
      </w:r>
      <w:r w:rsidR="007D0D6B">
        <w:rPr>
          <w:lang w:eastAsia="x-none"/>
        </w:rPr>
        <w:t xml:space="preserve"> </w:t>
      </w:r>
      <w:r w:rsidR="00565110">
        <w:rPr>
          <w:lang w:eastAsia="x-none"/>
        </w:rPr>
        <w:t>In 201</w:t>
      </w:r>
      <w:r w:rsidR="0000347C">
        <w:rPr>
          <w:lang w:eastAsia="x-none"/>
        </w:rPr>
        <w:t>8</w:t>
      </w:r>
      <w:r w:rsidR="00565110">
        <w:rPr>
          <w:lang w:eastAsia="x-none"/>
        </w:rPr>
        <w:t>-1</w:t>
      </w:r>
      <w:r w:rsidR="0000347C">
        <w:rPr>
          <w:lang w:eastAsia="x-none"/>
        </w:rPr>
        <w:t>9</w:t>
      </w:r>
      <w:r w:rsidR="00565110">
        <w:rPr>
          <w:lang w:eastAsia="x-none"/>
        </w:rPr>
        <w:t xml:space="preserve"> t</w:t>
      </w:r>
      <w:r w:rsidR="007D0D6B">
        <w:rPr>
          <w:lang w:eastAsia="x-none"/>
        </w:rPr>
        <w:t xml:space="preserve">he </w:t>
      </w:r>
      <w:r w:rsidR="005A04CE">
        <w:rPr>
          <w:lang w:eastAsia="x-none"/>
        </w:rPr>
        <w:t xml:space="preserve">interest </w:t>
      </w:r>
      <w:r w:rsidR="007D0D6B">
        <w:rPr>
          <w:lang w:eastAsia="x-none"/>
        </w:rPr>
        <w:t xml:space="preserve">in the Lachlan River system was </w:t>
      </w:r>
      <w:r w:rsidR="00DA7020">
        <w:rPr>
          <w:lang w:eastAsia="x-none"/>
        </w:rPr>
        <w:t>directed at medium/large bodied fish recover</w:t>
      </w:r>
      <w:r w:rsidR="00DD323A">
        <w:rPr>
          <w:lang w:eastAsia="x-none"/>
        </w:rPr>
        <w:t>y</w:t>
      </w:r>
      <w:r w:rsidR="00DA7020">
        <w:rPr>
          <w:lang w:eastAsia="x-none"/>
        </w:rPr>
        <w:t xml:space="preserve"> (in particular </w:t>
      </w:r>
      <w:r w:rsidR="007D0D6B">
        <w:rPr>
          <w:lang w:eastAsia="x-none"/>
        </w:rPr>
        <w:t>Murray cod</w:t>
      </w:r>
      <w:r w:rsidR="00DA7020">
        <w:rPr>
          <w:lang w:eastAsia="x-none"/>
        </w:rPr>
        <w:t>)</w:t>
      </w:r>
      <w:r w:rsidR="0000347C">
        <w:rPr>
          <w:lang w:eastAsia="x-none"/>
        </w:rPr>
        <w:t xml:space="preserve">, building on actions in 2017-18 to support recovery after the </w:t>
      </w:r>
      <w:r w:rsidR="00DA7020">
        <w:rPr>
          <w:lang w:eastAsia="x-none"/>
        </w:rPr>
        <w:t>2016 floods.</w:t>
      </w:r>
    </w:p>
    <w:p w14:paraId="58EF79E8" w14:textId="4274A75D" w:rsidR="004E46A5" w:rsidRDefault="00565110" w:rsidP="007179BC">
      <w:pPr>
        <w:rPr>
          <w:rFonts w:eastAsia="Times New Roman"/>
          <w:lang w:val="en-US" w:eastAsia="en-AU"/>
        </w:rPr>
      </w:pPr>
      <w:r w:rsidRPr="00565110">
        <w:rPr>
          <w:rFonts w:eastAsia="Times New Roman"/>
          <w:lang w:val="en-US" w:eastAsia="en-AU"/>
        </w:rPr>
        <w:t xml:space="preserve">Murray cod spawn in spring, cued by rises in water temperature and increases in day length </w:t>
      </w:r>
      <w:r w:rsidR="004E46A5">
        <w:rPr>
          <w:rFonts w:eastAsia="Times New Roman"/>
          <w:lang w:val="en-US" w:eastAsia="en-AU"/>
        </w:rPr>
        <w:fldChar w:fldCharType="begin"/>
      </w:r>
      <w:r w:rsidR="00740557">
        <w:rPr>
          <w:rFonts w:eastAsia="Times New Roman"/>
          <w:lang w:val="en-US" w:eastAsia="en-AU"/>
        </w:rPr>
        <w:instrText xml:space="preserve"> ADDIN EN.CITE &lt;EndNote&gt;&lt;Cite&gt;&lt;Author&gt;Rowland&lt;/Author&gt;&lt;Year&gt;1998&lt;/Year&gt;&lt;RecNum&gt;235&lt;/RecNum&gt;&lt;DisplayText&gt;(Rowland 1998, Humphries 2005)&lt;/DisplayText&gt;&lt;record&gt;&lt;rec-number&gt;235&lt;/rec-number&gt;&lt;foreign-keys&gt;&lt;key app="EN" db-id="0a0zttz0gewd9befav559p5osxw5sftwfpdv" timestamp="1539573919"&gt;235&lt;/key&gt;&lt;/foreign-keys&gt;&lt;ref-type name="Journal Article"&gt;17&lt;/ref-type&gt;&lt;contributors&gt;&lt;authors&gt;&lt;author&gt;Rowland, S.J.&lt;/author&gt;&lt;/authors&gt;&lt;/contributors&gt;&lt;titles&gt;&lt;title&gt;&lt;style face="normal" font="default" size="100%"&gt;Aspects of the Reproductive Biology of Murray Cod, &lt;/style&gt;&lt;style face="italic" font="default" size="100%"&gt;Maccullochella peelii peelii&lt;/style&gt;&lt;/title&gt;&lt;secondary-title&gt;Proceedings of the Linnean Society of New South Wales&lt;/secondary-title&gt;&lt;/titles&gt;&lt;periodical&gt;&lt;full-title&gt;Proceedings of the Linnean Society of New South Wales&lt;/full-title&gt;&lt;/periodical&gt;&lt;pages&gt;147-162&lt;/pages&gt;&lt;volume&gt;120&lt;/volume&gt;&lt;dates&gt;&lt;year&gt;1998&lt;/year&gt;&lt;/dates&gt;&lt;urls&gt;&lt;/urls&gt;&lt;/record&gt;&lt;/Cite&gt;&lt;Cite&gt;&lt;Author&gt;Humphries&lt;/Author&gt;&lt;Year&gt;2005&lt;/Year&gt;&lt;RecNum&gt;128&lt;/RecNum&gt;&lt;record&gt;&lt;rec-number&gt;128&lt;/rec-number&gt;&lt;foreign-keys&gt;&lt;key app="EN" db-id="0a0zttz0gewd9befav559p5osxw5sftwfpdv" timestamp="1472615257"&gt;128&lt;/key&gt;&lt;/foreign-keys&gt;&lt;ref-type name="Journal Article"&gt;17&lt;/ref-type&gt;&lt;contributors&gt;&lt;authors&gt;&lt;author&gt;Humphries, P.&lt;/author&gt;&lt;/authors&gt;&lt;/contributors&gt;&lt;titles&gt;&lt;title&gt;&lt;style face="normal" font="default" size="100%"&gt;Spawning time and early life history of Murray cod&lt;/style&gt;&lt;style face="italic" font="default" size="100%"&gt;, &lt;/style&gt;&lt;style face="normal" font="default" size="100%"&gt;Maccullochella peelii peelii (Mitchell) in an Australian River&lt;/style&gt;&lt;/title&gt;&lt;secondary-title&gt;Environmental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Fishes&lt;/full-title&gt;&lt;/periodical&gt;&lt;pages&gt;393-407&lt;/pages&gt;&lt;volume&gt;72&lt;/volume&gt;&lt;number&gt;4&lt;/number&gt;&lt;dates&gt;&lt;year&gt;2005&lt;/year&gt;&lt;/dates&gt;&lt;urls&gt;&lt;/urls&gt;&lt;/record&gt;&lt;/Cite&gt;&lt;/EndNote&gt;</w:instrText>
      </w:r>
      <w:r w:rsidR="004E46A5">
        <w:rPr>
          <w:rFonts w:eastAsia="Times New Roman"/>
          <w:lang w:val="en-US" w:eastAsia="en-AU"/>
        </w:rPr>
        <w:fldChar w:fldCharType="separate"/>
      </w:r>
      <w:r w:rsidR="004E46A5">
        <w:rPr>
          <w:rFonts w:eastAsia="Times New Roman"/>
          <w:noProof/>
          <w:lang w:val="en-US" w:eastAsia="en-AU"/>
        </w:rPr>
        <w:t>(Rowland 1998, Humphries 2005)</w:t>
      </w:r>
      <w:r w:rsidR="004E46A5">
        <w:rPr>
          <w:rFonts w:eastAsia="Times New Roman"/>
          <w:lang w:val="en-US" w:eastAsia="en-AU"/>
        </w:rPr>
        <w:fldChar w:fldCharType="end"/>
      </w:r>
      <w:r w:rsidR="004E46A5">
        <w:rPr>
          <w:rFonts w:eastAsia="Times New Roman"/>
          <w:lang w:val="en-US" w:eastAsia="en-AU"/>
        </w:rPr>
        <w:t xml:space="preserve">. </w:t>
      </w:r>
      <w:r w:rsidRPr="00565110">
        <w:rPr>
          <w:rFonts w:eastAsia="Times New Roman"/>
          <w:lang w:val="en-US" w:eastAsia="en-AU"/>
        </w:rPr>
        <w:t>Spawning often follows significant upstream migration if flow conditions permit. Female Murray cod lay their eggs on hard surfaces in the river and th</w:t>
      </w:r>
      <w:r w:rsidR="0094556C">
        <w:rPr>
          <w:rFonts w:eastAsia="Times New Roman"/>
          <w:lang w:val="en-US" w:eastAsia="en-AU"/>
        </w:rPr>
        <w:t xml:space="preserve">ey are fertilized by the male. </w:t>
      </w:r>
      <w:r w:rsidRPr="00565110">
        <w:rPr>
          <w:rFonts w:eastAsia="Times New Roman"/>
          <w:lang w:val="en-US" w:eastAsia="en-AU"/>
        </w:rPr>
        <w:t>The female Murray cod then leave the nesting site and the male remains to guard the eggs during incubation (6-10 days) and the early hatching period.  Approximately 1 week after hatching the larvae disperse from the nesting site by drifting downstream</w:t>
      </w:r>
      <w:r w:rsidR="004E46A5">
        <w:rPr>
          <w:rFonts w:eastAsia="Times New Roman"/>
          <w:lang w:val="en-US" w:eastAsia="en-AU"/>
        </w:rPr>
        <w:t xml:space="preserve"> </w:t>
      </w:r>
      <w:r w:rsidR="004E46A5">
        <w:rPr>
          <w:rFonts w:eastAsia="Times New Roman"/>
          <w:lang w:val="en-US" w:eastAsia="en-AU"/>
        </w:rPr>
        <w:fldChar w:fldCharType="begin"/>
      </w:r>
      <w:r w:rsidR="00740557">
        <w:rPr>
          <w:rFonts w:eastAsia="Times New Roman"/>
          <w:lang w:val="en-US" w:eastAsia="en-AU"/>
        </w:rPr>
        <w:instrText xml:space="preserve"> ADDIN EN.CITE &lt;EndNote&gt;&lt;Cite&gt;&lt;Author&gt;Humphries&lt;/Author&gt;&lt;Year&gt;2005&lt;/Year&gt;&lt;RecNum&gt;128&lt;/RecNum&gt;&lt;DisplayText&gt;(Humphries 2005, Koehn and Harrington 2005)&lt;/DisplayText&gt;&lt;record&gt;&lt;rec-number&gt;128&lt;/rec-number&gt;&lt;foreign-keys&gt;&lt;key app="EN" db-id="0a0zttz0gewd9befav559p5osxw5sftwfpdv" timestamp="1472615257"&gt;128&lt;/key&gt;&lt;/foreign-keys&gt;&lt;ref-type name="Journal Article"&gt;17&lt;/ref-type&gt;&lt;contributors&gt;&lt;authors&gt;&lt;author&gt;Humphries, P.&lt;/author&gt;&lt;/authors&gt;&lt;/contributors&gt;&lt;titles&gt;&lt;title&gt;&lt;style face="normal" font="default" size="100%"&gt;Spawning time and early life history of Murray cod&lt;/style&gt;&lt;style face="italic" font="default" size="100%"&gt;, &lt;/style&gt;&lt;style face="normal" font="default" size="100%"&gt;Maccullochella peelii peelii (Mitchell) in an Australian River&lt;/style&gt;&lt;/title&gt;&lt;secondary-title&gt;Environmental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Cite&gt;&lt;Author&gt;Koehn&lt;/Author&gt;&lt;Year&gt;2005&lt;/Year&gt;&lt;RecNum&gt;236&lt;/RecNum&gt;&lt;record&gt;&lt;rec-number&gt;236&lt;/rec-number&gt;&lt;foreign-keys&gt;&lt;key app="EN" db-id="0a0zttz0gewd9befav559p5osxw5sftwfpdv" timestamp="1539574086"&gt;236&lt;/key&gt;&lt;/foreign-keys&gt;&lt;ref-type name="Journal Article"&gt;17&lt;/ref-type&gt;&lt;contributors&gt;&lt;authors&gt;&lt;author&gt;Koehn, J.D.&lt;/author&gt;&lt;author&gt;Harrington, D.J.&lt;/author&gt;&lt;/authors&gt;&lt;/contributors&gt;&lt;titles&gt;&lt;title&gt;&lt;style face="normal" font="default" size="100%"&gt;Collection and distribution of early life stages of the Murray cod (&lt;/style&gt;&lt;style face="italic" font="default" size="100%"&gt;Maccullochella peelii peelii&lt;/style&gt;&lt;style face="normal" font="default" size="100%"&gt;) in a regulated river&lt;/style&gt;&lt;/title&gt;&lt;secondary-title&gt;Australian Journal of Zoology&lt;/secondary-title&gt;&lt;/titles&gt;&lt;periodical&gt;&lt;full-title&gt;Australian Journal of Zoology&lt;/full-title&gt;&lt;/periodical&gt;&lt;pages&gt;137-144&lt;/pages&gt;&lt;volume&gt;53&lt;/volume&gt;&lt;number&gt;3&lt;/number&gt;&lt;dates&gt;&lt;year&gt;2005&lt;/year&gt;&lt;/dates&gt;&lt;urls&gt;&lt;/urls&gt;&lt;electronic-resource-num&gt;doi:10.1071/ZO04086.&lt;/electronic-resource-num&gt;&lt;/record&gt;&lt;/Cite&gt;&lt;/EndNote&gt;</w:instrText>
      </w:r>
      <w:r w:rsidR="004E46A5">
        <w:rPr>
          <w:rFonts w:eastAsia="Times New Roman"/>
          <w:lang w:val="en-US" w:eastAsia="en-AU"/>
        </w:rPr>
        <w:fldChar w:fldCharType="separate"/>
      </w:r>
      <w:r w:rsidR="004E46A5">
        <w:rPr>
          <w:rFonts w:eastAsia="Times New Roman"/>
          <w:noProof/>
          <w:lang w:val="en-US" w:eastAsia="en-AU"/>
        </w:rPr>
        <w:t>(Humphries 2005, Koehn and Harrington 2005)</w:t>
      </w:r>
      <w:r w:rsidR="004E46A5">
        <w:rPr>
          <w:rFonts w:eastAsia="Times New Roman"/>
          <w:lang w:val="en-US" w:eastAsia="en-AU"/>
        </w:rPr>
        <w:fldChar w:fldCharType="end"/>
      </w:r>
      <w:r w:rsidR="004E46A5">
        <w:rPr>
          <w:rFonts w:eastAsia="Times New Roman"/>
          <w:lang w:val="en-US" w:eastAsia="en-AU"/>
        </w:rPr>
        <w:t>.</w:t>
      </w:r>
    </w:p>
    <w:p w14:paraId="37B6651C" w14:textId="77777777" w:rsidR="00042C52" w:rsidRDefault="00565110" w:rsidP="008A2ED2">
      <w:pPr>
        <w:rPr>
          <w:lang w:eastAsia="x-none"/>
        </w:rPr>
      </w:pPr>
      <w:r>
        <w:rPr>
          <w:lang w:eastAsia="x-none"/>
        </w:rPr>
        <w:t xml:space="preserve">Thus the </w:t>
      </w:r>
      <w:r w:rsidR="005A04CE">
        <w:rPr>
          <w:lang w:eastAsia="x-none"/>
        </w:rPr>
        <w:t>relevant flow components identified were</w:t>
      </w:r>
      <w:r w:rsidR="007D0D6B">
        <w:rPr>
          <w:lang w:eastAsia="x-none"/>
        </w:rPr>
        <w:t>:</w:t>
      </w:r>
    </w:p>
    <w:p w14:paraId="6B51A87A" w14:textId="42BBD69D" w:rsidR="007D0D6B" w:rsidRDefault="007D0D6B" w:rsidP="004B088E">
      <w:pPr>
        <w:pStyle w:val="ListParagraph"/>
        <w:numPr>
          <w:ilvl w:val="0"/>
          <w:numId w:val="10"/>
        </w:numPr>
        <w:rPr>
          <w:lang w:eastAsia="x-none"/>
        </w:rPr>
      </w:pPr>
      <w:r>
        <w:rPr>
          <w:lang w:eastAsia="x-none"/>
        </w:rPr>
        <w:t>Late winter/spring small to large freshes that connect aquatic habitats, promote the exchange of nutrients (particularly carbon) and increase productivity</w:t>
      </w:r>
      <w:r w:rsidR="00A722FF">
        <w:rPr>
          <w:lang w:eastAsia="x-none"/>
        </w:rPr>
        <w:t>.</w:t>
      </w:r>
      <w:r>
        <w:rPr>
          <w:lang w:eastAsia="x-none"/>
        </w:rPr>
        <w:t xml:space="preserve"> </w:t>
      </w:r>
    </w:p>
    <w:p w14:paraId="36B95133" w14:textId="3B252505" w:rsidR="007D0D6B" w:rsidRDefault="007D0D6B" w:rsidP="004B088E">
      <w:pPr>
        <w:pStyle w:val="ListParagraph"/>
        <w:numPr>
          <w:ilvl w:val="0"/>
          <w:numId w:val="10"/>
        </w:numPr>
        <w:rPr>
          <w:lang w:eastAsia="x-none"/>
        </w:rPr>
      </w:pPr>
      <w:r>
        <w:rPr>
          <w:lang w:eastAsia="x-none"/>
        </w:rPr>
        <w:t>High spring base</w:t>
      </w:r>
      <w:r w:rsidR="0042641C">
        <w:rPr>
          <w:lang w:eastAsia="x-none"/>
        </w:rPr>
        <w:t xml:space="preserve"> </w:t>
      </w:r>
      <w:r>
        <w:rPr>
          <w:lang w:eastAsia="x-none"/>
        </w:rPr>
        <w:t>flows to maximise the available nesting habitat</w:t>
      </w:r>
      <w:r w:rsidR="00A722FF">
        <w:rPr>
          <w:lang w:eastAsia="x-none"/>
        </w:rPr>
        <w:t>.</w:t>
      </w:r>
    </w:p>
    <w:p w14:paraId="7E6CD52F" w14:textId="1B09FE72" w:rsidR="007D0D6B" w:rsidRDefault="007D0D6B" w:rsidP="004B088E">
      <w:pPr>
        <w:pStyle w:val="ListParagraph"/>
        <w:numPr>
          <w:ilvl w:val="0"/>
          <w:numId w:val="10"/>
        </w:numPr>
        <w:rPr>
          <w:lang w:eastAsia="x-none"/>
        </w:rPr>
      </w:pPr>
      <w:r>
        <w:rPr>
          <w:lang w:eastAsia="x-none"/>
        </w:rPr>
        <w:t>A small fresh at the end of the nesting season to aid dispersal of larvae</w:t>
      </w:r>
      <w:r w:rsidR="005A04CE">
        <w:rPr>
          <w:lang w:eastAsia="x-none"/>
        </w:rPr>
        <w:t xml:space="preserve"> and provide a productivity pulse</w:t>
      </w:r>
      <w:r w:rsidR="00A722FF">
        <w:rPr>
          <w:lang w:eastAsia="x-none"/>
        </w:rPr>
        <w:t>.</w:t>
      </w:r>
    </w:p>
    <w:p w14:paraId="303B6D1A" w14:textId="697315C8" w:rsidR="007D0D6B" w:rsidRDefault="007D0D6B" w:rsidP="004B088E">
      <w:pPr>
        <w:pStyle w:val="ListParagraph"/>
        <w:numPr>
          <w:ilvl w:val="0"/>
          <w:numId w:val="10"/>
        </w:numPr>
        <w:rPr>
          <w:lang w:eastAsia="x-none"/>
        </w:rPr>
      </w:pPr>
      <w:r>
        <w:rPr>
          <w:lang w:eastAsia="x-none"/>
        </w:rPr>
        <w:t>Summer freshes that provide variability in habitat availability, promote the exchange of nutrients and improve water quality</w:t>
      </w:r>
      <w:r w:rsidR="00A722FF">
        <w:rPr>
          <w:lang w:eastAsia="x-none"/>
        </w:rPr>
        <w:t>.</w:t>
      </w:r>
    </w:p>
    <w:p w14:paraId="72D55030" w14:textId="7F178699" w:rsidR="007D0D6B" w:rsidRDefault="007D0D6B" w:rsidP="004B088E">
      <w:pPr>
        <w:pStyle w:val="ListParagraph"/>
        <w:numPr>
          <w:ilvl w:val="0"/>
          <w:numId w:val="10"/>
        </w:numPr>
        <w:rPr>
          <w:lang w:eastAsia="x-none"/>
        </w:rPr>
      </w:pPr>
      <w:r>
        <w:rPr>
          <w:lang w:eastAsia="x-none"/>
        </w:rPr>
        <w:t>Autumn freshes that maintain refuges, improve water quality and mix</w:t>
      </w:r>
      <w:r w:rsidR="00A722FF">
        <w:rPr>
          <w:lang w:eastAsia="x-none"/>
        </w:rPr>
        <w:t>.</w:t>
      </w:r>
      <w:r>
        <w:rPr>
          <w:lang w:eastAsia="x-none"/>
        </w:rPr>
        <w:t xml:space="preserve"> </w:t>
      </w:r>
    </w:p>
    <w:p w14:paraId="7C724828" w14:textId="2C534F05" w:rsidR="00042C52" w:rsidRDefault="005A04CE" w:rsidP="008A2ED2">
      <w:pPr>
        <w:rPr>
          <w:lang w:eastAsia="x-none"/>
        </w:rPr>
      </w:pPr>
      <w:r>
        <w:rPr>
          <w:lang w:eastAsia="x-none"/>
        </w:rPr>
        <w:t xml:space="preserve">It was not possible to provide all the flow components identified in the conceptual hydrograph using a combination of Commonwealth and NSW environmental water and planned water use targeted the </w:t>
      </w:r>
      <w:r w:rsidR="00163243">
        <w:rPr>
          <w:lang w:eastAsia="x-none"/>
        </w:rPr>
        <w:t xml:space="preserve">maintenance </w:t>
      </w:r>
      <w:r>
        <w:rPr>
          <w:lang w:eastAsia="x-none"/>
        </w:rPr>
        <w:t xml:space="preserve">of available nesting habitat and the provision of a small fresh to support </w:t>
      </w:r>
      <w:r w:rsidR="0000347C">
        <w:rPr>
          <w:lang w:eastAsia="x-none"/>
        </w:rPr>
        <w:t>fish condition prior to breeding.</w:t>
      </w:r>
    </w:p>
    <w:p w14:paraId="47471726" w14:textId="449EA55E" w:rsidR="005A04CE" w:rsidRPr="005A04CE" w:rsidRDefault="005A04CE" w:rsidP="008A2ED2">
      <w:pPr>
        <w:rPr>
          <w:i/>
          <w:lang w:eastAsia="x-none"/>
        </w:rPr>
      </w:pPr>
      <w:r w:rsidRPr="005A04CE">
        <w:rPr>
          <w:i/>
          <w:lang w:eastAsia="x-none"/>
        </w:rPr>
        <w:t>Ma</w:t>
      </w:r>
      <w:r w:rsidR="00163243">
        <w:rPr>
          <w:i/>
          <w:lang w:eastAsia="x-none"/>
        </w:rPr>
        <w:t>intaining</w:t>
      </w:r>
      <w:r w:rsidRPr="005A04CE">
        <w:rPr>
          <w:i/>
          <w:lang w:eastAsia="x-none"/>
        </w:rPr>
        <w:t xml:space="preserve"> habitat availability during nesting</w:t>
      </w:r>
    </w:p>
    <w:p w14:paraId="0D4FE6F2" w14:textId="024B5B46" w:rsidR="00293E73" w:rsidRDefault="00076458" w:rsidP="00293E73">
      <w:pPr>
        <w:jc w:val="both"/>
        <w:rPr>
          <w:rFonts w:eastAsia="Times New Roman"/>
          <w:lang w:val="en-US" w:eastAsia="en-AU"/>
        </w:rPr>
      </w:pPr>
      <w:r>
        <w:rPr>
          <w:rFonts w:eastAsia="Times New Roman"/>
          <w:lang w:val="en-US" w:eastAsia="en-AU"/>
        </w:rPr>
        <w:t>The majority of the water in the river during the spring breeding season is delivered from storages (predominantly Wyangala Dam) to meet irrigation needs. River levels can fluctuate considerably depending on water orders and periods of low demand can result in very low flows. This places Murray cod nesting sites at risk. T</w:t>
      </w:r>
      <w:r w:rsidR="00293E73">
        <w:rPr>
          <w:rFonts w:eastAsia="Times New Roman"/>
          <w:lang w:val="en-US" w:eastAsia="en-AU"/>
        </w:rPr>
        <w:t xml:space="preserve">o avoid sudden drops in river heights, a minimum flow target of </w:t>
      </w:r>
      <w:r w:rsidR="0000347C">
        <w:rPr>
          <w:rFonts w:eastAsia="Times New Roman"/>
          <w:lang w:val="en-US" w:eastAsia="en-AU"/>
        </w:rPr>
        <w:t>8</w:t>
      </w:r>
      <w:r w:rsidR="00293E73" w:rsidRPr="00E8389E">
        <w:rPr>
          <w:rFonts w:eastAsia="Times New Roman"/>
          <w:lang w:val="en-US" w:eastAsia="en-AU"/>
        </w:rPr>
        <w:t>00 ML/day at Cottons Weir (Forbes) was maintained for</w:t>
      </w:r>
      <w:r w:rsidR="00293E73">
        <w:rPr>
          <w:rFonts w:eastAsia="Times New Roman"/>
          <w:lang w:val="en-US" w:eastAsia="en-AU"/>
        </w:rPr>
        <w:t xml:space="preserve"> approximately </w:t>
      </w:r>
      <w:r w:rsidR="009E0CAD">
        <w:rPr>
          <w:rFonts w:eastAsia="Times New Roman"/>
          <w:lang w:val="en-US" w:eastAsia="en-AU"/>
        </w:rPr>
        <w:t>52</w:t>
      </w:r>
      <w:r w:rsidR="0000347C">
        <w:rPr>
          <w:rFonts w:eastAsia="Times New Roman"/>
          <w:lang w:val="en-US" w:eastAsia="en-AU"/>
        </w:rPr>
        <w:t xml:space="preserve"> </w:t>
      </w:r>
      <w:r w:rsidR="00293E73">
        <w:rPr>
          <w:rFonts w:eastAsia="Times New Roman"/>
          <w:lang w:val="en-US" w:eastAsia="en-AU"/>
        </w:rPr>
        <w:t>days (</w:t>
      </w:r>
      <w:r w:rsidR="009E0CAD">
        <w:rPr>
          <w:rFonts w:eastAsia="Times New Roman"/>
          <w:lang w:val="en-US" w:eastAsia="en-AU"/>
        </w:rPr>
        <w:t>19/9 to 10/11/2018</w:t>
      </w:r>
      <w:r w:rsidR="00293E73">
        <w:rPr>
          <w:rFonts w:eastAsia="Times New Roman"/>
          <w:lang w:val="en-US" w:eastAsia="en-AU"/>
        </w:rPr>
        <w:t xml:space="preserve"> at Cottons). Environmental water was only required if downstream demand and WaterNSW operational releases fell below the </w:t>
      </w:r>
      <w:r w:rsidR="009E0CAD">
        <w:rPr>
          <w:rFonts w:eastAsia="Times New Roman"/>
          <w:lang w:val="en-US" w:eastAsia="en-AU"/>
        </w:rPr>
        <w:t>8</w:t>
      </w:r>
      <w:r w:rsidR="00293E73">
        <w:rPr>
          <w:rFonts w:eastAsia="Times New Roman"/>
          <w:lang w:val="en-US" w:eastAsia="en-AU"/>
        </w:rPr>
        <w:t>00</w:t>
      </w:r>
      <w:r w:rsidR="00BE7F11">
        <w:rPr>
          <w:rFonts w:eastAsia="Times New Roman"/>
          <w:lang w:val="en-US" w:eastAsia="en-AU"/>
        </w:rPr>
        <w:t> </w:t>
      </w:r>
      <w:r w:rsidR="00293E73">
        <w:rPr>
          <w:rFonts w:eastAsia="Times New Roman"/>
          <w:lang w:val="en-US" w:eastAsia="en-AU"/>
        </w:rPr>
        <w:t xml:space="preserve">ML/day target. </w:t>
      </w:r>
    </w:p>
    <w:p w14:paraId="4D5B9918" w14:textId="130B2ADE" w:rsidR="00911CDC" w:rsidRDefault="00911CDC" w:rsidP="00293E73">
      <w:pPr>
        <w:jc w:val="both"/>
        <w:rPr>
          <w:rFonts w:eastAsia="Times New Roman"/>
          <w:lang w:val="en-US" w:eastAsia="en-AU"/>
        </w:rPr>
      </w:pPr>
    </w:p>
    <w:p w14:paraId="4E0D1CFD" w14:textId="77777777" w:rsidR="008C1B40" w:rsidRDefault="008C1B40" w:rsidP="00293E73">
      <w:pPr>
        <w:jc w:val="both"/>
        <w:rPr>
          <w:rFonts w:eastAsia="Times New Roman"/>
          <w:lang w:val="en-US" w:eastAsia="en-AU"/>
        </w:rPr>
      </w:pPr>
    </w:p>
    <w:p w14:paraId="681DE5A2" w14:textId="77777777" w:rsidR="008C1B40" w:rsidRPr="008C1B40" w:rsidRDefault="008C1B40" w:rsidP="008C1B40">
      <w:r w:rsidRPr="008C1B40">
        <w:rPr>
          <w:noProof/>
          <w:lang w:eastAsia="en-AU"/>
        </w:rPr>
        <w:drawing>
          <wp:inline distT="0" distB="0" distL="0" distR="0" wp14:anchorId="35BBA5FD" wp14:editId="7ADB9DD1">
            <wp:extent cx="5731510" cy="3943350"/>
            <wp:effectExtent l="0" t="0" r="254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731510" cy="3943350"/>
                    </a:xfrm>
                    <a:prstGeom prst="rect">
                      <a:avLst/>
                    </a:prstGeom>
                    <a:ln>
                      <a:noFill/>
                    </a:ln>
                    <a:extLst>
                      <a:ext uri="{53640926-AAD7-44D8-BBD7-CCE9431645EC}">
                        <a14:shadowObscured xmlns:a14="http://schemas.microsoft.com/office/drawing/2010/main"/>
                      </a:ext>
                    </a:extLst>
                  </pic:spPr>
                </pic:pic>
              </a:graphicData>
            </a:graphic>
          </wp:inline>
        </w:drawing>
      </w:r>
    </w:p>
    <w:p w14:paraId="5EB87EDA" w14:textId="737B539A" w:rsidR="00BE7F11" w:rsidRDefault="008C1B40" w:rsidP="008C1B40">
      <w:pPr>
        <w:pStyle w:val="Caption"/>
      </w:pPr>
      <w:bookmarkStart w:id="59" w:name="_Ref527020046"/>
      <w:bookmarkStart w:id="60" w:name="_Toc31985569"/>
      <w:r>
        <w:t xml:space="preserve">Figure </w:t>
      </w:r>
      <w:r>
        <w:rPr>
          <w:noProof/>
        </w:rPr>
        <w:fldChar w:fldCharType="begin"/>
      </w:r>
      <w:r>
        <w:rPr>
          <w:noProof/>
        </w:rPr>
        <w:instrText xml:space="preserve"> SEQ Figure \* ARABIC </w:instrText>
      </w:r>
      <w:r>
        <w:rPr>
          <w:noProof/>
        </w:rPr>
        <w:fldChar w:fldCharType="separate"/>
      </w:r>
      <w:r w:rsidR="007F7607">
        <w:rPr>
          <w:noProof/>
        </w:rPr>
        <w:t>5</w:t>
      </w:r>
      <w:r>
        <w:rPr>
          <w:noProof/>
        </w:rPr>
        <w:fldChar w:fldCharType="end"/>
      </w:r>
      <w:bookmarkEnd w:id="59"/>
      <w:r>
        <w:t xml:space="preserve">. Conceptual hydrograph identifying key flow components to </w:t>
      </w:r>
      <w:r w:rsidR="006B742F">
        <w:t>support Murray cod populations.</w:t>
      </w:r>
      <w:bookmarkEnd w:id="60"/>
    </w:p>
    <w:p w14:paraId="5DFF5BE1" w14:textId="5C7CE66F" w:rsidR="003B7337" w:rsidRDefault="008C1B40" w:rsidP="008C1B40">
      <w:pPr>
        <w:pStyle w:val="Caption"/>
      </w:pPr>
      <w:r>
        <w:t>Source: Sam Davis, NSW Fisheries</w:t>
      </w:r>
      <w:r w:rsidR="006B742F">
        <w:t xml:space="preserve"> </w:t>
      </w:r>
      <w:r w:rsidR="00DA7020">
        <w:t>based on the work of</w:t>
      </w:r>
      <w:r w:rsidR="006B742F">
        <w:t xml:space="preserve"> Ellis et al. </w:t>
      </w:r>
      <w:r w:rsidR="006B742F">
        <w:fldChar w:fldCharType="begin"/>
      </w:r>
      <w:r w:rsidR="0025324B">
        <w:instrText xml:space="preserve"> ADDIN EN.CITE &lt;EndNote&gt;&lt;Cite ExcludeAuth="1"&gt;&lt;Author&gt;Ellis&lt;/Author&gt;&lt;Year&gt;2016&lt;/Year&gt;&lt;RecNum&gt;149&lt;/RecNum&gt;&lt;DisplayText&gt;(2016)&lt;/DisplayText&gt;&lt;record&gt;&lt;rec-number&gt;149&lt;/rec-number&gt;&lt;foreign-keys&gt;&lt;key app="EN" db-id="0a0zttz0gewd9befav559p5osxw5sftwfpdv" timestamp="1476147514"&gt;149&lt;/key&gt;&lt;/foreign-keys&gt;&lt;ref-type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6B742F">
        <w:fldChar w:fldCharType="separate"/>
      </w:r>
      <w:r w:rsidR="0025324B">
        <w:rPr>
          <w:noProof/>
        </w:rPr>
        <w:t>(2016)</w:t>
      </w:r>
      <w:r w:rsidR="006B742F">
        <w:fldChar w:fldCharType="end"/>
      </w:r>
      <w:r w:rsidR="007D22B1">
        <w:t>.</w:t>
      </w:r>
    </w:p>
    <w:p w14:paraId="15CD5877" w14:textId="77777777" w:rsidR="003B7337" w:rsidRDefault="003B7337">
      <w:pPr>
        <w:spacing w:before="0" w:after="0"/>
        <w:rPr>
          <w:rFonts w:eastAsia="Times New Roman" w:cs="Khmer UI"/>
          <w:bCs/>
          <w:i/>
          <w:sz w:val="22"/>
          <w:szCs w:val="22"/>
        </w:rPr>
      </w:pPr>
      <w:r>
        <w:br w:type="page"/>
      </w:r>
    </w:p>
    <w:p w14:paraId="3A99DA3F" w14:textId="59127BA5" w:rsidR="008A2ED2" w:rsidRDefault="004D5893" w:rsidP="003F32A4">
      <w:pPr>
        <w:pStyle w:val="Heading1"/>
      </w:pPr>
      <w:bookmarkStart w:id="61" w:name="_Ref530384787"/>
      <w:bookmarkStart w:id="62" w:name="_Ref530384832"/>
      <w:bookmarkStart w:id="63" w:name="_Ref18500075"/>
      <w:bookmarkStart w:id="64" w:name="_Ref18500080"/>
      <w:bookmarkStart w:id="65" w:name="_Toc31985447"/>
      <w:r>
        <w:t>Hydrology</w:t>
      </w:r>
      <w:bookmarkEnd w:id="61"/>
      <w:bookmarkEnd w:id="62"/>
      <w:bookmarkEnd w:id="63"/>
      <w:bookmarkEnd w:id="64"/>
      <w:bookmarkEnd w:id="65"/>
    </w:p>
    <w:p w14:paraId="163434D9" w14:textId="77777777" w:rsidR="00CD48E3" w:rsidRDefault="00CD48E3" w:rsidP="00CD48E3">
      <w:pPr>
        <w:pStyle w:val="Heading2"/>
        <w:numPr>
          <w:ilvl w:val="1"/>
          <w:numId w:val="8"/>
        </w:numPr>
      </w:pPr>
      <w:bookmarkStart w:id="66" w:name="_Toc487106781"/>
      <w:bookmarkStart w:id="67" w:name="_Toc499911974"/>
      <w:bookmarkStart w:id="68" w:name="_Toc4574766"/>
      <w:bookmarkStart w:id="69" w:name="_Toc31985448"/>
      <w:r>
        <w:t>Introduction</w:t>
      </w:r>
      <w:bookmarkEnd w:id="66"/>
      <w:bookmarkEnd w:id="67"/>
      <w:bookmarkEnd w:id="68"/>
      <w:bookmarkEnd w:id="69"/>
    </w:p>
    <w:p w14:paraId="6BDC38A1" w14:textId="554669E0" w:rsidR="00CD48E3" w:rsidRDefault="00CD48E3" w:rsidP="00CD48E3">
      <w:pPr>
        <w:rPr>
          <w:lang w:eastAsia="x-none"/>
        </w:rPr>
      </w:pPr>
      <w:r w:rsidRPr="00F67CAF">
        <w:rPr>
          <w:lang w:eastAsia="x-none"/>
        </w:rPr>
        <w:t xml:space="preserve">The provision of water to maintain and restore riverine environments is based on the premise that the hydrological regime is one of the fundamental drivers of the structure and function of riverine and floodplain ecosystems </w:t>
      </w:r>
      <w:r w:rsidRPr="00F67CAF">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747352">
        <w:instrText xml:space="preserve"> ADDIN EN.CITE </w:instrText>
      </w:r>
      <w:r w:rsidR="00747352">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747352">
        <w:instrText xml:space="preserve"> ADDIN EN.CITE.DATA </w:instrText>
      </w:r>
      <w:r w:rsidR="00747352">
        <w:fldChar w:fldCharType="end"/>
      </w:r>
      <w:r w:rsidRPr="00F67CAF">
        <w:rPr>
          <w:lang w:eastAsia="x-none"/>
        </w:rPr>
      </w:r>
      <w:r w:rsidRPr="00F67CAF">
        <w:rPr>
          <w:lang w:eastAsia="x-none"/>
        </w:rPr>
        <w:fldChar w:fldCharType="separate"/>
      </w:r>
      <w:r>
        <w:rPr>
          <w:noProof/>
        </w:rPr>
        <w:t>(Nilsson and Berggren 2000, Bunn and Arthington 2002)</w:t>
      </w:r>
      <w:r w:rsidRPr="00F67CAF">
        <w:fldChar w:fldCharType="end"/>
      </w:r>
      <w:r w:rsidRPr="00F67CAF">
        <w:rPr>
          <w:lang w:eastAsia="x-none"/>
        </w:rPr>
        <w:t xml:space="preserve">. Flow drives physical processes, providing longitudinal and lateral connectivity, moving sediments and nutrients and providing a diversity of hydraulic conditions for aquatic biota </w:t>
      </w:r>
      <w:r w:rsidRPr="00F67CAF">
        <w:fldChar w:fldCharType="begin"/>
      </w:r>
      <w:r w:rsidR="00747352">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 timestamp="1469663138"&gt;77&lt;/key&gt;&lt;/foreign-keys&gt;&lt;ref-type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sidRPr="00F67CAF">
        <w:rPr>
          <w:lang w:eastAsia="x-none"/>
        </w:rPr>
        <w:fldChar w:fldCharType="separate"/>
      </w:r>
      <w:r w:rsidRPr="00F67CAF">
        <w:rPr>
          <w:noProof/>
          <w:lang w:eastAsia="x-none"/>
        </w:rPr>
        <w:t>(Bunn and Arthington 2002)</w:t>
      </w:r>
      <w:r w:rsidRPr="00F67CAF">
        <w:fldChar w:fldCharType="end"/>
      </w:r>
      <w:r w:rsidRPr="00F67CAF">
        <w:rPr>
          <w:lang w:eastAsia="x-none"/>
        </w:rPr>
        <w:t xml:space="preserve">. Altering flow regimes, through various water resource development activities, markedly affects the health of freshwater ecosystems </w:t>
      </w:r>
      <w:r w:rsidR="007163E8" w:rsidRPr="00F67CAF">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MjU4PC9SZWNOdW0+PHJlY29yZD48cmVjLW51bWJlcj4yNTg8L3JlYy1udW1iZXI+PGZvcmVpZ24t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</w:fldData>
        </w:fldChar>
      </w:r>
      <w:r w:rsidR="007163E8">
        <w:instrText xml:space="preserve"> ADDIN EN.CITE </w:instrText>
      </w:r>
      <w:r w:rsidR="007163E8">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MjU4PC9SZWNOdW0+PHJlY29yZD48cmVjLW51bWJlcj4yNTg8L3JlYy1udW1iZXI+PGZvcmVpZ24t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</w:fldData>
        </w:fldChar>
      </w:r>
      <w:r w:rsidR="007163E8">
        <w:instrText xml:space="preserve"> ADDIN EN.CITE.DATA </w:instrText>
      </w:r>
      <w:r w:rsidR="007163E8">
        <w:fldChar w:fldCharType="end"/>
      </w:r>
      <w:r w:rsidR="007163E8" w:rsidRPr="00F67CAF">
        <w:rPr>
          <w:lang w:eastAsia="x-none"/>
        </w:rPr>
      </w:r>
      <w:r w:rsidR="007163E8" w:rsidRPr="00F67CAF">
        <w:rPr>
          <w:lang w:eastAsia="x-none"/>
        </w:rPr>
        <w:fldChar w:fldCharType="separate"/>
      </w:r>
      <w:r w:rsidR="007163E8">
        <w:rPr>
          <w:noProof/>
        </w:rPr>
        <w:t>(Walker and Thoms 1993, Gehrke et al. 1995, Kingsford 2000)</w:t>
      </w:r>
      <w:r w:rsidR="007163E8" w:rsidRPr="00F67CAF">
        <w:fldChar w:fldCharType="end"/>
      </w:r>
      <w:r w:rsidR="007163E8" w:rsidRPr="00F67CAF">
        <w:rPr>
          <w:lang w:eastAsia="x-none"/>
        </w:rPr>
        <w:t xml:space="preserve"> and</w:t>
      </w:r>
      <w:r w:rsidRPr="00F67CAF">
        <w:rPr>
          <w:lang w:eastAsia="x-none"/>
        </w:rPr>
        <w:t xml:space="preserve"> thus returning elements of the natural flow regime is an important part of managing and restoring river health.</w:t>
      </w:r>
      <w:r>
        <w:rPr>
          <w:lang w:eastAsia="x-none"/>
        </w:rPr>
        <w:t xml:space="preserve"> </w:t>
      </w:r>
    </w:p>
    <w:p w14:paraId="7A75637C" w14:textId="174B1DBE" w:rsidR="00CD48E3" w:rsidRDefault="00CD48E3" w:rsidP="00CD48E3">
      <w:r>
        <w:t xml:space="preserve">In this section we evaluate the hydrological outcomes of providing Commonwealth environmental water to the Lower Lachlan river system. There are two components to the evaluation. The first is an evaluation of the hydrological outcomes in relation to the defined hydrological objectives of the watering actions and the second is an evaluation of the watering outcomes framed in the context of evaluation questions defined in the Long Term Intervention Monitoring and Evaluation Plan for the Lachlan river system </w:t>
      </w:r>
      <w:r>
        <w:fldChar w:fldCharType="begin"/>
      </w:r>
      <w:r w:rsidR="00D16F44">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D16F44">
        <w:rPr>
          <w:noProof/>
        </w:rPr>
        <w:t>(Dyer et al. 2014)</w:t>
      </w:r>
      <w:r>
        <w:fldChar w:fldCharType="end"/>
      </w:r>
      <w:r>
        <w:t>. The hydrological outcomes are linked to ecological outcomes and this section provides the analysis of the managed flow and water levels that will underpin the interpretation of the outcomes presented in later sections.</w:t>
      </w:r>
    </w:p>
    <w:p w14:paraId="637409EE" w14:textId="4AB1E402" w:rsidR="00462099" w:rsidRDefault="00CD48E3" w:rsidP="00CD48E3">
      <w:pPr>
        <w:rPr>
          <w:lang w:eastAsia="x-none"/>
        </w:rPr>
      </w:pPr>
      <w:r>
        <w:rPr>
          <w:lang w:val="en-US" w:eastAsia="x-none"/>
        </w:rPr>
        <w:t>The context in which the 2018-19 environmental watering actions were delivered was one in which the river system</w:t>
      </w:r>
      <w:r w:rsidR="003D0B18">
        <w:rPr>
          <w:lang w:val="en-US" w:eastAsia="x-none"/>
        </w:rPr>
        <w:t xml:space="preserve"> was continuing to dry. Conditions were very similar to </w:t>
      </w:r>
      <w:r w:rsidR="00462099">
        <w:rPr>
          <w:lang w:val="en-US" w:eastAsia="x-none"/>
        </w:rPr>
        <w:t>the very</w:t>
      </w:r>
      <w:r>
        <w:rPr>
          <w:lang w:val="en-US" w:eastAsia="x-none"/>
        </w:rPr>
        <w:t xml:space="preserve"> dry</w:t>
      </w:r>
      <w:r w:rsidR="00462099">
        <w:rPr>
          <w:lang w:val="en-US" w:eastAsia="x-none"/>
        </w:rPr>
        <w:t xml:space="preserve"> conditions observed in the first year of the </w:t>
      </w:r>
      <w:r w:rsidR="00E05711">
        <w:rPr>
          <w:lang w:val="en-US" w:eastAsia="x-none"/>
        </w:rPr>
        <w:t>LTIM Project</w:t>
      </w:r>
      <w:r w:rsidR="00462099">
        <w:rPr>
          <w:lang w:val="en-US" w:eastAsia="x-none"/>
        </w:rPr>
        <w:t xml:space="preserve"> (2014)</w:t>
      </w:r>
      <w:r>
        <w:rPr>
          <w:lang w:val="en-US" w:eastAsia="x-none"/>
        </w:rPr>
        <w:t xml:space="preserve">. While water from the 2016-17 floods had persisted across the landscape well into 2017, below average rainfall in 2017 and 2018, accompanied by </w:t>
      </w:r>
      <w:r w:rsidR="00462099">
        <w:rPr>
          <w:lang w:val="en-US" w:eastAsia="x-none"/>
        </w:rPr>
        <w:t xml:space="preserve">higher than average temperatures saw a rapid decline in water availability. The focus for environmental water delivery in 2018-19 was to </w:t>
      </w:r>
      <w:r w:rsidR="00462099">
        <w:rPr>
          <w:lang w:eastAsia="x-none"/>
        </w:rPr>
        <w:t>build on the investment of previous years to continue to support the recovery of instream biota and build the resilience of populations and ecosystems as the catchment continued to dry.</w:t>
      </w:r>
    </w:p>
    <w:p w14:paraId="75ADD0A4" w14:textId="67D87FAD" w:rsidR="00462099" w:rsidRDefault="00462099" w:rsidP="00462099">
      <w:r>
        <w:t xml:space="preserve">Four watering actions involving Commonwealth environmental water were delivered to the </w:t>
      </w:r>
      <w:r w:rsidR="002572F0">
        <w:t xml:space="preserve">Mid and </w:t>
      </w:r>
      <w:r>
        <w:t>Lower Lachlan river system in 2018-</w:t>
      </w:r>
      <w:r w:rsidRPr="00E1585F">
        <w:t>1</w:t>
      </w:r>
      <w:r>
        <w:t>9</w:t>
      </w:r>
      <w:r w:rsidRPr="00E1585F">
        <w:t xml:space="preserve"> (</w:t>
      </w:r>
      <w:r>
        <w:fldChar w:fldCharType="begin"/>
      </w:r>
      <w:r>
        <w:instrText xml:space="preserve"> REF _Ref527034563 \h </w:instrText>
      </w:r>
      <w:r>
        <w:fldChar w:fldCharType="separate"/>
      </w:r>
      <w:r w:rsidR="007F7607" w:rsidRPr="00662A04">
        <w:t xml:space="preserve">Table </w:t>
      </w:r>
      <w:r w:rsidR="007F7607">
        <w:rPr>
          <w:noProof/>
        </w:rPr>
        <w:t>2</w:t>
      </w:r>
      <w:r>
        <w:fldChar w:fldCharType="end"/>
      </w:r>
      <w:r w:rsidR="00D31D5C">
        <w:t xml:space="preserve">, </w:t>
      </w:r>
      <w:r w:rsidR="00507E37">
        <w:t>p.</w:t>
      </w:r>
      <w:r w:rsidR="00D31D5C">
        <w:t xml:space="preserve"> </w:t>
      </w:r>
      <w:r w:rsidR="00D31D5C">
        <w:fldChar w:fldCharType="begin"/>
      </w:r>
      <w:r w:rsidR="00D31D5C">
        <w:instrText xml:space="preserve"> PAGEREF _Ref530139580 \h </w:instrText>
      </w:r>
      <w:r w:rsidR="00D31D5C">
        <w:fldChar w:fldCharType="separate"/>
      </w:r>
      <w:r w:rsidR="007F7607">
        <w:rPr>
          <w:noProof/>
        </w:rPr>
        <w:t>26</w:t>
      </w:r>
      <w:r w:rsidR="00D31D5C">
        <w:fldChar w:fldCharType="end"/>
      </w:r>
      <w:r w:rsidRPr="00E1585F">
        <w:t>)</w:t>
      </w:r>
      <w:r w:rsidR="003D0B18">
        <w:t xml:space="preserve">, all of which were </w:t>
      </w:r>
      <w:r w:rsidR="002572F0">
        <w:t>designed to support lateral and longitudinal connectivity</w:t>
      </w:r>
      <w:r w:rsidR="003D0B18">
        <w:t xml:space="preserve">. </w:t>
      </w:r>
      <w:r>
        <w:t xml:space="preserve">The first </w:t>
      </w:r>
      <w:r w:rsidR="0015069C">
        <w:t xml:space="preserve">two </w:t>
      </w:r>
      <w:r>
        <w:t>action</w:t>
      </w:r>
      <w:r w:rsidR="0015069C">
        <w:t>s</w:t>
      </w:r>
      <w:r>
        <w:t xml:space="preserve"> targeted outcomes for native fish in the main channel of the mid (Forbes) and lower (Hillston) Lachlan River</w:t>
      </w:r>
      <w:r w:rsidR="002572F0">
        <w:t xml:space="preserve">, the third targeted aquatic habitat outcomes in Yarrabandai Lagoon (mid Lachlan River) and the </w:t>
      </w:r>
      <w:r w:rsidR="003D0B18">
        <w:t>fourth</w:t>
      </w:r>
      <w:r w:rsidR="002572F0">
        <w:t xml:space="preserve"> action targeted the Great Cumbung Swamp </w:t>
      </w:r>
      <w:r w:rsidR="003D0B18">
        <w:t xml:space="preserve">at the </w:t>
      </w:r>
      <w:r w:rsidR="002572F0">
        <w:t xml:space="preserve">end of </w:t>
      </w:r>
      <w:r w:rsidR="003D0B18">
        <w:t>the s</w:t>
      </w:r>
      <w:r w:rsidR="002572F0">
        <w:t>ystem</w:t>
      </w:r>
      <w:r>
        <w:t xml:space="preserve">. </w:t>
      </w:r>
      <w:bookmarkStart w:id="70" w:name="_Hlk520209550"/>
      <w:r>
        <w:t xml:space="preserve">Water from these actions was regulated and re-regulated to achieve environmental outcomes at multiple </w:t>
      </w:r>
      <w:r w:rsidRPr="009B44E9">
        <w:t>locations</w:t>
      </w:r>
      <w:bookmarkEnd w:id="70"/>
      <w:r w:rsidRPr="009B44E9">
        <w:t xml:space="preserve"> (se</w:t>
      </w:r>
      <w:r w:rsidR="00DD4166">
        <w:t xml:space="preserve">e section </w:t>
      </w:r>
      <w:r w:rsidR="00DD4166">
        <w:fldChar w:fldCharType="begin"/>
      </w:r>
      <w:r w:rsidR="00DD4166">
        <w:instrText xml:space="preserve"> REF _Ref18500174 \r \h </w:instrText>
      </w:r>
      <w:r w:rsidR="00DD4166">
        <w:fldChar w:fldCharType="separate"/>
      </w:r>
      <w:r w:rsidR="007F7607">
        <w:t>3.4</w:t>
      </w:r>
      <w:r w:rsidR="00DD4166">
        <w:fldChar w:fldCharType="end"/>
      </w:r>
      <w:r w:rsidR="00DD4166">
        <w:t xml:space="preserve">: </w:t>
      </w:r>
      <w:r w:rsidR="00DD4166">
        <w:fldChar w:fldCharType="begin"/>
      </w:r>
      <w:r w:rsidR="00DD4166">
        <w:instrText xml:space="preserve"> REF _Ref18500177 \h </w:instrText>
      </w:r>
      <w:r w:rsidR="00DD4166">
        <w:fldChar w:fldCharType="separate"/>
      </w:r>
      <w:r w:rsidR="007F7607">
        <w:t>Implemented watering actions</w:t>
      </w:r>
      <w:r w:rsidR="00DD4166">
        <w:fldChar w:fldCharType="end"/>
      </w:r>
      <w:r w:rsidR="00DD4166">
        <w:t xml:space="preserve">, </w:t>
      </w:r>
      <w:r w:rsidR="00507E37">
        <w:t>p.</w:t>
      </w:r>
      <w:r w:rsidR="00DD4166">
        <w:t xml:space="preserve"> </w:t>
      </w:r>
      <w:r w:rsidR="00DD4166">
        <w:fldChar w:fldCharType="begin"/>
      </w:r>
      <w:r w:rsidR="00DD4166">
        <w:instrText xml:space="preserve"> PAGEREF _Ref18500169 \h </w:instrText>
      </w:r>
      <w:r w:rsidR="00DD4166">
        <w:fldChar w:fldCharType="separate"/>
      </w:r>
      <w:r w:rsidR="007F7607">
        <w:rPr>
          <w:noProof/>
        </w:rPr>
        <w:t>24</w:t>
      </w:r>
      <w:r w:rsidR="00DD4166">
        <w:fldChar w:fldCharType="end"/>
      </w:r>
      <w:r w:rsidRPr="009B44E9">
        <w:t xml:space="preserve"> for further details).</w:t>
      </w:r>
    </w:p>
    <w:p w14:paraId="7956B621" w14:textId="2C87586C" w:rsidR="001F4C8E" w:rsidRDefault="00462099" w:rsidP="00462099">
      <w:r>
        <w:t xml:space="preserve">The first watering action </w:t>
      </w:r>
      <w:r w:rsidR="003D31F1">
        <w:t xml:space="preserve">was </w:t>
      </w:r>
      <w:r>
        <w:t xml:space="preserve">designed to </w:t>
      </w:r>
      <w:r w:rsidR="003D31F1">
        <w:t>provide a spring pulse in the mid Lachlan</w:t>
      </w:r>
      <w:r w:rsidR="003D31F1" w:rsidRPr="003D31F1">
        <w:t xml:space="preserve"> </w:t>
      </w:r>
      <w:r w:rsidR="003D31F1">
        <w:t>to support native fish outcomes. This watering action</w:t>
      </w:r>
      <w:r w:rsidR="00F438AF">
        <w:t xml:space="preserve"> </w:t>
      </w:r>
      <w:r w:rsidR="00CB5F36">
        <w:t>also</w:t>
      </w:r>
      <w:r w:rsidR="00F438AF">
        <w:t xml:space="preserve"> provide</w:t>
      </w:r>
      <w:r w:rsidR="00CB5F36">
        <w:t>d</w:t>
      </w:r>
      <w:r w:rsidR="00F438AF">
        <w:t xml:space="preserve"> a small flow into Booberoi Creek and part of </w:t>
      </w:r>
      <w:r w:rsidR="00CB5F36">
        <w:t>the</w:t>
      </w:r>
      <w:r w:rsidR="003D31F1">
        <w:t xml:space="preserve"> </w:t>
      </w:r>
      <w:r w:rsidR="005340C3">
        <w:t xml:space="preserve">in-stream flow </w:t>
      </w:r>
      <w:r w:rsidR="003D31F1">
        <w:t xml:space="preserve">was re-regulated through Brewster </w:t>
      </w:r>
      <w:r w:rsidR="005340C3">
        <w:t xml:space="preserve">weir pool </w:t>
      </w:r>
      <w:r w:rsidR="003D31F1">
        <w:t xml:space="preserve">and </w:t>
      </w:r>
      <w:r w:rsidR="005340C3">
        <w:t xml:space="preserve">subsequently </w:t>
      </w:r>
      <w:r w:rsidR="003D31F1">
        <w:t xml:space="preserve">used to provide flow variability in river height in the lower Lachlan. Both elements of this watering action provided flow to the central reedbeds of the Great Cumbung Swamp </w:t>
      </w:r>
      <w:r w:rsidR="001F4C8E">
        <w:t>to</w:t>
      </w:r>
      <w:r w:rsidR="003D31F1">
        <w:t xml:space="preserve"> </w:t>
      </w:r>
      <w:r w:rsidR="001F4C8E">
        <w:t xml:space="preserve">create </w:t>
      </w:r>
      <w:r w:rsidR="003D31F1">
        <w:t>longitudinal connectivity.</w:t>
      </w:r>
      <w:r w:rsidR="001F4C8E">
        <w:t xml:space="preserve"> </w:t>
      </w:r>
    </w:p>
    <w:p w14:paraId="496494C1" w14:textId="35D84F1F" w:rsidR="00ED387C" w:rsidRDefault="001F4C8E" w:rsidP="00ED387C">
      <w:r>
        <w:t xml:space="preserve">The second watering action was designed to prevent rapid drops in river level </w:t>
      </w:r>
      <w:r w:rsidR="005340C3">
        <w:t xml:space="preserve">that are caused by river operations </w:t>
      </w:r>
      <w:r>
        <w:t>and potentially expos</w:t>
      </w:r>
      <w:r w:rsidR="005340C3">
        <w:t>e</w:t>
      </w:r>
      <w:r>
        <w:t xml:space="preserve"> native fish nesting sites. </w:t>
      </w:r>
      <w:r w:rsidR="005340C3">
        <w:t>Commonwealth environmental w</w:t>
      </w:r>
      <w:r>
        <w:t>ater was used to keep the river above 800</w:t>
      </w:r>
      <w:r w:rsidR="00BE7F11">
        <w:t> </w:t>
      </w:r>
      <w:r>
        <w:t>ML/day in the mid Lachlan (Forbes).</w:t>
      </w:r>
      <w:r w:rsidR="00ED387C">
        <w:t xml:space="preserve"> This water was also passed through the system to provide variability in water levels in the lower reaches of the river and provided flow to the central reedbeds of the Great Cumbung Swamp to create longitudinal connectivity.</w:t>
      </w:r>
    </w:p>
    <w:p w14:paraId="4AB83C16" w14:textId="1EE5A279" w:rsidR="001F4C8E" w:rsidRDefault="001F4C8E" w:rsidP="00462099">
      <w:r>
        <w:t xml:space="preserve">The third watering action targeted Yarrabandai Lagoon and involved the </w:t>
      </w:r>
      <w:r w:rsidR="005340C3">
        <w:t>delivery</w:t>
      </w:r>
      <w:r>
        <w:t xml:space="preserve"> of 412</w:t>
      </w:r>
      <w:r w:rsidR="00BE7F11">
        <w:t> </w:t>
      </w:r>
      <w:r>
        <w:t xml:space="preserve">ML </w:t>
      </w:r>
      <w:r w:rsidR="005340C3">
        <w:t xml:space="preserve">over nearly 2 months </w:t>
      </w:r>
      <w:r>
        <w:t>into the wetland to prevent it from drying out. In doing so, it aimed to generate lateral connectivity</w:t>
      </w:r>
      <w:r w:rsidR="009B70EE">
        <w:t xml:space="preserve"> and provide habitat for a range of water dependent species</w:t>
      </w:r>
      <w:r>
        <w:t>.</w:t>
      </w:r>
    </w:p>
    <w:p w14:paraId="46B94B48" w14:textId="29B6D4F8" w:rsidR="001F4C8E" w:rsidRDefault="001F4C8E" w:rsidP="00462099">
      <w:r>
        <w:t>The fourth watering action was designed to provide water to the central reedbeds in the Great Cumbung Swamp, and thus provide connectivity and variability in flows along the lower Lachlan during autumn and winter.</w:t>
      </w:r>
    </w:p>
    <w:p w14:paraId="714CFC9D" w14:textId="1110C091" w:rsidR="00462099" w:rsidRDefault="00462099" w:rsidP="00462099">
      <w:r>
        <w:t>The outcomes for both riverine and wetland hydrology are examined in this technical report and the following questions addressed:</w:t>
      </w:r>
    </w:p>
    <w:p w14:paraId="318405FA" w14:textId="77777777" w:rsidR="00462099" w:rsidRDefault="00462099" w:rsidP="00462099">
      <w:pPr>
        <w:pStyle w:val="Heading3"/>
        <w:numPr>
          <w:ilvl w:val="2"/>
          <w:numId w:val="8"/>
        </w:numPr>
      </w:pPr>
      <w:bookmarkStart w:id="71" w:name="_Toc487106782"/>
      <w:bookmarkStart w:id="72" w:name="_Toc499911975"/>
      <w:bookmarkStart w:id="73" w:name="_Toc4574767"/>
      <w:bookmarkStart w:id="74" w:name="_Toc31985449"/>
      <w:r>
        <w:t>Action specific evaluation questions:</w:t>
      </w:r>
      <w:bookmarkEnd w:id="71"/>
      <w:bookmarkEnd w:id="72"/>
      <w:bookmarkEnd w:id="73"/>
      <w:bookmarkEnd w:id="74"/>
    </w:p>
    <w:p w14:paraId="30E613E0" w14:textId="77777777" w:rsidR="00462099" w:rsidRDefault="00462099" w:rsidP="00462099">
      <w:pPr>
        <w:numPr>
          <w:ilvl w:val="0"/>
          <w:numId w:val="7"/>
        </w:numPr>
        <w:rPr>
          <w:lang w:eastAsia="x-none"/>
        </w:rPr>
      </w:pPr>
      <w:r>
        <w:t>What did Commonwealth environmental water contribute to habitat for native fish and other water dependent vertebrate species?</w:t>
      </w:r>
    </w:p>
    <w:p w14:paraId="059539DE" w14:textId="56D9982D" w:rsidR="00462099" w:rsidRDefault="00462099" w:rsidP="00462099">
      <w:pPr>
        <w:numPr>
          <w:ilvl w:val="0"/>
          <w:numId w:val="7"/>
        </w:numPr>
        <w:rPr>
          <w:lang w:eastAsia="x-none"/>
        </w:rPr>
      </w:pPr>
      <w:r>
        <w:rPr>
          <w:lang w:eastAsia="x-none"/>
        </w:rPr>
        <w:t xml:space="preserve">What did Commonwealth environmental water contribute to hydrological variability in the Lower Lachlan during </w:t>
      </w:r>
      <w:r w:rsidR="001F4C8E">
        <w:rPr>
          <w:lang w:eastAsia="x-none"/>
        </w:rPr>
        <w:t>periods of low flow</w:t>
      </w:r>
      <w:r w:rsidR="00F438AF">
        <w:rPr>
          <w:lang w:eastAsia="x-none"/>
        </w:rPr>
        <w:t>?</w:t>
      </w:r>
    </w:p>
    <w:p w14:paraId="48D9A3AF" w14:textId="77777777" w:rsidR="00462099" w:rsidRDefault="00462099" w:rsidP="00462099">
      <w:pPr>
        <w:pStyle w:val="Heading3"/>
        <w:numPr>
          <w:ilvl w:val="2"/>
          <w:numId w:val="8"/>
        </w:numPr>
      </w:pPr>
      <w:bookmarkStart w:id="75" w:name="_Toc499911976"/>
      <w:bookmarkStart w:id="76" w:name="_Toc4574768"/>
      <w:bookmarkStart w:id="77" w:name="_Toc31985450"/>
      <w:r>
        <w:t>Selected area specific evaluation questions</w:t>
      </w:r>
      <w:r w:rsidRPr="3734553D">
        <w:rPr>
          <w:lang w:val="en-AU"/>
        </w:rPr>
        <w:t>:</w:t>
      </w:r>
      <w:bookmarkEnd w:id="75"/>
      <w:bookmarkEnd w:id="76"/>
      <w:bookmarkEnd w:id="77"/>
    </w:p>
    <w:p w14:paraId="60694697" w14:textId="77777777" w:rsidR="00462099" w:rsidRDefault="00462099" w:rsidP="00462099">
      <w:pPr>
        <w:numPr>
          <w:ilvl w:val="0"/>
          <w:numId w:val="7"/>
        </w:numPr>
        <w:rPr>
          <w:lang w:eastAsia="x-none"/>
        </w:rPr>
      </w:pPr>
      <w:r>
        <w:t>What did Commonwealth environmental water contribute to hydrological connectivity?</w:t>
      </w:r>
    </w:p>
    <w:p w14:paraId="7A662FFF" w14:textId="77777777" w:rsidR="0077227F" w:rsidRDefault="00462099" w:rsidP="00CD48E3">
      <w:pPr>
        <w:rPr>
          <w:lang w:val="en-US" w:eastAsia="x-none"/>
        </w:rPr>
        <w:sectPr w:rsidR="0077227F" w:rsidSect="006E0321">
          <w:pgSz w:w="11906" w:h="16838"/>
          <w:pgMar w:top="1440" w:right="1440" w:bottom="1440" w:left="1440" w:header="708" w:footer="708" w:gutter="0"/>
          <w:cols w:space="708"/>
          <w:docGrid w:linePitch="360"/>
        </w:sectPr>
      </w:pPr>
      <w:r>
        <w:rPr>
          <w:lang w:val="en-US" w:eastAsia="x-none"/>
        </w:rPr>
        <w:t xml:space="preserve"> </w:t>
      </w:r>
    </w:p>
    <w:p w14:paraId="45C1C58B" w14:textId="3EDBE8AF" w:rsidR="0077227F" w:rsidRPr="00E1585F" w:rsidRDefault="0077227F" w:rsidP="0077227F">
      <w:pPr>
        <w:pStyle w:val="Caption"/>
      </w:pPr>
      <w:bookmarkStart w:id="78" w:name="_Ref457403068"/>
      <w:bookmarkStart w:id="79" w:name="_Toc488923834"/>
      <w:bookmarkStart w:id="80" w:name="_Ref464465746"/>
      <w:bookmarkStart w:id="81" w:name="_Toc498514492"/>
      <w:bookmarkStart w:id="82" w:name="_Ref530387682"/>
      <w:bookmarkStart w:id="83" w:name="_Toc4574914"/>
      <w:bookmarkStart w:id="84" w:name="_Toc31985671"/>
      <w:r w:rsidRPr="3734553D">
        <w:rPr>
          <w:rStyle w:val="CaptionChar"/>
          <w:rFonts w:eastAsia="MS Mincho"/>
          <w:i/>
          <w:iCs/>
        </w:rPr>
        <w:t xml:space="preserve">Table </w:t>
      </w:r>
      <w:r w:rsidRPr="00E1585F">
        <w:fldChar w:fldCharType="begin"/>
      </w:r>
      <w:r w:rsidRPr="00E1585F">
        <w:rPr>
          <w:rStyle w:val="CaptionChar"/>
          <w:rFonts w:eastAsia="MS Mincho"/>
          <w:bCs/>
          <w:i/>
        </w:rPr>
        <w:instrText xml:space="preserve"> SEQ Table \* ARABIC </w:instrText>
      </w:r>
      <w:r w:rsidRPr="00E1585F">
        <w:fldChar w:fldCharType="separate"/>
      </w:r>
      <w:r w:rsidR="007F7607">
        <w:rPr>
          <w:rStyle w:val="CaptionChar"/>
          <w:rFonts w:eastAsia="MS Mincho"/>
          <w:bCs/>
          <w:i/>
          <w:noProof/>
        </w:rPr>
        <w:t>4</w:t>
      </w:r>
      <w:r w:rsidRPr="00E1585F">
        <w:fldChar w:fldCharType="end"/>
      </w:r>
      <w:bookmarkEnd w:id="78"/>
      <w:r w:rsidRPr="3734553D">
        <w:rPr>
          <w:rStyle w:val="CaptionChar"/>
          <w:rFonts w:eastAsia="MS Mincho"/>
          <w:i/>
          <w:iCs/>
        </w:rPr>
        <w:t>. The 201</w:t>
      </w:r>
      <w:r>
        <w:rPr>
          <w:rStyle w:val="CaptionChar"/>
          <w:rFonts w:eastAsia="MS Mincho"/>
          <w:i/>
          <w:iCs/>
        </w:rPr>
        <w:t>8</w:t>
      </w:r>
      <w:r w:rsidRPr="3734553D">
        <w:rPr>
          <w:rStyle w:val="CaptionChar"/>
          <w:rFonts w:eastAsia="MS Mincho"/>
          <w:i/>
          <w:iCs/>
        </w:rPr>
        <w:t>-1</w:t>
      </w:r>
      <w:r>
        <w:rPr>
          <w:rStyle w:val="CaptionChar"/>
          <w:rFonts w:eastAsia="MS Mincho"/>
          <w:i/>
          <w:iCs/>
        </w:rPr>
        <w:t>9</w:t>
      </w:r>
      <w:r w:rsidRPr="3734553D">
        <w:rPr>
          <w:rStyle w:val="CaptionChar"/>
          <w:rFonts w:eastAsia="MS Mincho"/>
          <w:i/>
          <w:iCs/>
        </w:rPr>
        <w:t xml:space="preserve"> Commonwealth environmental watering actions in the Lower Lachlan river system and their hydrological objectives</w:t>
      </w:r>
      <w:r w:rsidRPr="00E1585F">
        <w:t>.</w:t>
      </w:r>
      <w:bookmarkEnd w:id="79"/>
      <w:bookmarkEnd w:id="80"/>
      <w:bookmarkEnd w:id="81"/>
      <w:bookmarkEnd w:id="82"/>
      <w:bookmarkEnd w:id="83"/>
      <w:bookmarkEnd w:id="84"/>
      <w:r>
        <w:t xml:space="preserve"> </w:t>
      </w:r>
    </w:p>
    <w:tbl>
      <w:tblPr>
        <w:tblW w:w="1459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809"/>
        <w:gridCol w:w="1591"/>
        <w:gridCol w:w="1843"/>
        <w:gridCol w:w="2126"/>
        <w:gridCol w:w="4343"/>
        <w:gridCol w:w="3879"/>
      </w:tblGrid>
      <w:tr w:rsidR="0077227F" w:rsidRPr="009B44E9" w14:paraId="626006F6" w14:textId="77777777" w:rsidTr="00D40B70">
        <w:tc>
          <w:tcPr>
            <w:tcW w:w="809" w:type="dxa"/>
            <w:tcBorders>
              <w:top w:val="single" w:sz="12" w:space="0" w:color="FFFFFF" w:themeColor="background1"/>
              <w:left w:val="single" w:sz="12" w:space="0" w:color="FFFFFF" w:themeColor="background1"/>
              <w:bottom w:val="single" w:sz="18" w:space="0" w:color="FFFFFF" w:themeColor="background1"/>
              <w:right w:val="single" w:sz="18" w:space="0" w:color="FFFFFF" w:themeColor="background1"/>
            </w:tcBorders>
            <w:shd w:val="clear" w:color="auto" w:fill="9BBB59" w:themeFill="accent3"/>
            <w:hideMark/>
          </w:tcPr>
          <w:p w14:paraId="35C4373E" w14:textId="77777777" w:rsidR="0077227F" w:rsidRPr="009B44E9" w:rsidRDefault="0077227F" w:rsidP="00D40B70">
            <w:pPr>
              <w:spacing w:before="40" w:afterLines="40" w:after="96"/>
              <w:rPr>
                <w:b/>
                <w:bCs/>
                <w:caps/>
                <w:color w:val="FFFFFF" w:themeColor="background1"/>
                <w:sz w:val="18"/>
                <w:szCs w:val="18"/>
              </w:rPr>
            </w:pPr>
            <w:r w:rsidRPr="009B44E9">
              <w:rPr>
                <w:b/>
                <w:bCs/>
                <w:caps/>
                <w:color w:val="FFFFFF" w:themeColor="background1"/>
                <w:sz w:val="18"/>
                <w:szCs w:val="18"/>
              </w:rPr>
              <w:t>Action</w:t>
            </w:r>
          </w:p>
        </w:tc>
        <w:tc>
          <w:tcPr>
            <w:tcW w:w="1591" w:type="dxa"/>
            <w:tcBorders>
              <w:top w:val="single" w:sz="12" w:space="0" w:color="FFFFFF" w:themeColor="background1"/>
              <w:left w:val="single" w:sz="18" w:space="0" w:color="FFFFFF" w:themeColor="background1"/>
              <w:bottom w:val="single" w:sz="18" w:space="0" w:color="FFFFFF" w:themeColor="background1"/>
              <w:right w:val="single" w:sz="12" w:space="0" w:color="FFFFFF" w:themeColor="background1"/>
            </w:tcBorders>
            <w:shd w:val="clear" w:color="auto" w:fill="9BBB59" w:themeFill="accent3"/>
            <w:hideMark/>
          </w:tcPr>
          <w:p w14:paraId="438825E2" w14:textId="77777777" w:rsidR="0077227F" w:rsidRPr="009B44E9" w:rsidRDefault="0077227F" w:rsidP="00D40B70">
            <w:pPr>
              <w:spacing w:before="40" w:afterLines="40" w:after="96"/>
              <w:rPr>
                <w:b/>
                <w:bCs/>
                <w:caps/>
                <w:color w:val="FFFFFF" w:themeColor="background1"/>
                <w:sz w:val="18"/>
                <w:szCs w:val="18"/>
              </w:rPr>
            </w:pPr>
            <w:r w:rsidRPr="009B44E9">
              <w:rPr>
                <w:b/>
                <w:bCs/>
                <w:caps/>
                <w:color w:val="FFFFFF" w:themeColor="background1"/>
                <w:sz w:val="18"/>
                <w:szCs w:val="18"/>
              </w:rPr>
              <w:t xml:space="preserve">Target </w:t>
            </w:r>
          </w:p>
        </w:tc>
        <w:tc>
          <w:tcPr>
            <w:tcW w:w="1843"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hideMark/>
          </w:tcPr>
          <w:p w14:paraId="59221934" w14:textId="77777777" w:rsidR="0077227F" w:rsidRPr="009B44E9" w:rsidRDefault="0077227F" w:rsidP="00D40B70">
            <w:pPr>
              <w:spacing w:before="40" w:afterLines="40" w:after="96"/>
              <w:rPr>
                <w:b/>
                <w:bCs/>
                <w:caps/>
                <w:color w:val="FFFFFF" w:themeColor="background1"/>
                <w:sz w:val="18"/>
                <w:szCs w:val="18"/>
              </w:rPr>
            </w:pPr>
            <w:r w:rsidRPr="009B44E9">
              <w:rPr>
                <w:b/>
                <w:bCs/>
                <w:caps/>
                <w:color w:val="FFFFFF" w:themeColor="background1"/>
                <w:sz w:val="18"/>
                <w:szCs w:val="18"/>
              </w:rPr>
              <w:t>Flow components</w:t>
            </w:r>
          </w:p>
        </w:tc>
        <w:tc>
          <w:tcPr>
            <w:tcW w:w="2126"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hideMark/>
          </w:tcPr>
          <w:p w14:paraId="0C2DD262" w14:textId="4309B9F5" w:rsidR="0077227F" w:rsidRPr="009B44E9" w:rsidRDefault="0077227F" w:rsidP="00D40B70">
            <w:pPr>
              <w:spacing w:before="40" w:afterLines="40" w:after="96"/>
              <w:rPr>
                <w:b/>
                <w:bCs/>
                <w:caps/>
                <w:color w:val="FFFFFF" w:themeColor="background1"/>
                <w:sz w:val="18"/>
                <w:szCs w:val="18"/>
              </w:rPr>
            </w:pPr>
            <w:r w:rsidRPr="009B44E9">
              <w:rPr>
                <w:b/>
                <w:bCs/>
                <w:caps/>
                <w:color w:val="FFFFFF" w:themeColor="background1"/>
                <w:sz w:val="18"/>
                <w:szCs w:val="18"/>
              </w:rPr>
              <w:t>Volumes delivered</w:t>
            </w:r>
          </w:p>
        </w:tc>
        <w:tc>
          <w:tcPr>
            <w:tcW w:w="4343"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tcPr>
          <w:p w14:paraId="54ECC20E" w14:textId="77777777" w:rsidR="0077227F" w:rsidRPr="009B44E9" w:rsidRDefault="0077227F" w:rsidP="00D40B70">
            <w:pPr>
              <w:spacing w:before="40" w:afterLines="40" w:after="96"/>
              <w:rPr>
                <w:b/>
                <w:bCs/>
                <w:caps/>
                <w:color w:val="FFFFFF" w:themeColor="background1"/>
                <w:sz w:val="18"/>
                <w:szCs w:val="18"/>
              </w:rPr>
            </w:pPr>
            <w:r w:rsidRPr="009B44E9">
              <w:rPr>
                <w:b/>
                <w:bCs/>
                <w:caps/>
                <w:color w:val="FFFFFF" w:themeColor="background1"/>
                <w:sz w:val="18"/>
                <w:szCs w:val="18"/>
              </w:rPr>
              <w:t>Hydrological Objectives</w:t>
            </w:r>
          </w:p>
        </w:tc>
        <w:tc>
          <w:tcPr>
            <w:tcW w:w="3879"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tcPr>
          <w:p w14:paraId="19DD85BB" w14:textId="0EA5F13C" w:rsidR="0077227F" w:rsidRPr="009B44E9" w:rsidRDefault="00D22ACB" w:rsidP="00D40B70">
            <w:pPr>
              <w:spacing w:before="40" w:afterLines="40" w:after="96"/>
              <w:rPr>
                <w:b/>
                <w:bCs/>
                <w:caps/>
                <w:color w:val="FFFFFF" w:themeColor="background1"/>
                <w:sz w:val="18"/>
                <w:szCs w:val="18"/>
              </w:rPr>
            </w:pPr>
            <w:r>
              <w:rPr>
                <w:b/>
                <w:bCs/>
                <w:caps/>
                <w:color w:val="FFFFFF" w:themeColor="background1"/>
                <w:sz w:val="18"/>
                <w:szCs w:val="18"/>
              </w:rPr>
              <w:t xml:space="preserve">Specific </w:t>
            </w:r>
            <w:r w:rsidR="0077227F" w:rsidRPr="009B44E9">
              <w:rPr>
                <w:b/>
                <w:bCs/>
                <w:caps/>
                <w:color w:val="FFFFFF" w:themeColor="background1"/>
                <w:sz w:val="18"/>
                <w:szCs w:val="18"/>
              </w:rPr>
              <w:t>Flow targets</w:t>
            </w:r>
          </w:p>
        </w:tc>
      </w:tr>
      <w:tr w:rsidR="0077227F" w:rsidRPr="00D40E7E" w14:paraId="5BDBB198" w14:textId="77777777" w:rsidTr="003B0B99">
        <w:trPr>
          <w:trHeight w:val="1205"/>
        </w:trPr>
        <w:tc>
          <w:tcPr>
            <w:tcW w:w="809" w:type="dxa"/>
            <w:tcBorders>
              <w:top w:val="single" w:sz="18" w:space="0" w:color="FFFFFF" w:themeColor="background1"/>
              <w:right w:val="single" w:sz="18" w:space="0" w:color="FFFFFF" w:themeColor="background1"/>
            </w:tcBorders>
            <w:shd w:val="clear" w:color="auto" w:fill="9BBB59" w:themeFill="accent3"/>
            <w:hideMark/>
          </w:tcPr>
          <w:p w14:paraId="18F7F5C5" w14:textId="545754BF" w:rsidR="0077227F" w:rsidRPr="00D40E7E" w:rsidRDefault="0077227F" w:rsidP="00D40B70">
            <w:pPr>
              <w:spacing w:before="40" w:afterLines="40" w:after="96"/>
              <w:rPr>
                <w:b/>
                <w:bCs/>
                <w:color w:val="FFFFFF" w:themeColor="background1"/>
                <w:sz w:val="18"/>
                <w:szCs w:val="18"/>
              </w:rPr>
            </w:pPr>
            <w:r w:rsidRPr="00D40E7E">
              <w:rPr>
                <w:b/>
                <w:bCs/>
                <w:color w:val="FFFFFF" w:themeColor="background1"/>
                <w:sz w:val="18"/>
                <w:szCs w:val="18"/>
              </w:rPr>
              <w:t>1</w:t>
            </w:r>
            <w:r>
              <w:rPr>
                <w:b/>
                <w:bCs/>
                <w:color w:val="FFFFFF" w:themeColor="background1"/>
                <w:sz w:val="18"/>
                <w:szCs w:val="18"/>
              </w:rPr>
              <w:t>a</w:t>
            </w:r>
          </w:p>
        </w:tc>
        <w:tc>
          <w:tcPr>
            <w:tcW w:w="1591" w:type="dxa"/>
            <w:tcBorders>
              <w:top w:val="single" w:sz="18" w:space="0" w:color="FFFFFF" w:themeColor="background1"/>
              <w:left w:val="single" w:sz="18" w:space="0" w:color="FFFFFF" w:themeColor="background1"/>
            </w:tcBorders>
            <w:shd w:val="clear" w:color="auto" w:fill="EAF1DD" w:themeFill="accent3" w:themeFillTint="33"/>
          </w:tcPr>
          <w:p w14:paraId="7B9C3757" w14:textId="048521B7" w:rsidR="0077227F" w:rsidRPr="00D40E7E" w:rsidRDefault="0077227F" w:rsidP="00D40B70">
            <w:pPr>
              <w:spacing w:before="40" w:afterLines="40" w:after="96"/>
              <w:rPr>
                <w:sz w:val="18"/>
                <w:szCs w:val="18"/>
              </w:rPr>
            </w:pPr>
            <w:r w:rsidRPr="00D40E7E">
              <w:rPr>
                <w:sz w:val="18"/>
                <w:szCs w:val="18"/>
              </w:rPr>
              <w:t xml:space="preserve">Main channel Mid Lachlan River (Forbes) </w:t>
            </w:r>
          </w:p>
        </w:tc>
        <w:tc>
          <w:tcPr>
            <w:tcW w:w="1843" w:type="dxa"/>
            <w:tcBorders>
              <w:top w:val="single" w:sz="18" w:space="0" w:color="FFFFFF" w:themeColor="background1"/>
            </w:tcBorders>
            <w:shd w:val="clear" w:color="auto" w:fill="EAF1DD" w:themeFill="accent3" w:themeFillTint="33"/>
          </w:tcPr>
          <w:p w14:paraId="3DA65A99" w14:textId="57CEA885" w:rsidR="0077227F" w:rsidRPr="00D40E7E" w:rsidRDefault="0077227F" w:rsidP="00D40B70">
            <w:pPr>
              <w:spacing w:before="40" w:afterLines="40" w:after="96"/>
              <w:rPr>
                <w:sz w:val="18"/>
                <w:szCs w:val="18"/>
                <w:lang w:eastAsia="x-none"/>
              </w:rPr>
            </w:pPr>
            <w:r>
              <w:rPr>
                <w:sz w:val="18"/>
                <w:szCs w:val="18"/>
                <w:lang w:eastAsia="x-none"/>
              </w:rPr>
              <w:t>Fresh Flow</w:t>
            </w:r>
          </w:p>
        </w:tc>
        <w:tc>
          <w:tcPr>
            <w:tcW w:w="2126" w:type="dxa"/>
            <w:tcBorders>
              <w:top w:val="single" w:sz="18" w:space="0" w:color="FFFFFF" w:themeColor="background1"/>
            </w:tcBorders>
            <w:shd w:val="clear" w:color="auto" w:fill="EAF1DD" w:themeFill="accent3" w:themeFillTint="33"/>
          </w:tcPr>
          <w:p w14:paraId="1E4EFCF7" w14:textId="29279356" w:rsidR="0077227F" w:rsidRPr="00D40E7E" w:rsidRDefault="00D40B70" w:rsidP="00D40B70">
            <w:pPr>
              <w:spacing w:before="40" w:afterLines="40" w:after="96"/>
              <w:rPr>
                <w:sz w:val="18"/>
                <w:szCs w:val="18"/>
              </w:rPr>
            </w:pPr>
            <w:r>
              <w:rPr>
                <w:sz w:val="18"/>
                <w:szCs w:val="18"/>
              </w:rPr>
              <w:t>10 391 ML</w:t>
            </w:r>
          </w:p>
        </w:tc>
        <w:tc>
          <w:tcPr>
            <w:tcW w:w="4343" w:type="dxa"/>
            <w:tcBorders>
              <w:top w:val="single" w:sz="18" w:space="0" w:color="FFFFFF" w:themeColor="background1"/>
            </w:tcBorders>
            <w:shd w:val="clear" w:color="auto" w:fill="EAF1DD" w:themeFill="accent3" w:themeFillTint="33"/>
          </w:tcPr>
          <w:p w14:paraId="7EC289E3" w14:textId="4BA81193" w:rsidR="0077227F" w:rsidRPr="00D40E7E" w:rsidRDefault="003B0B99" w:rsidP="00D40B70">
            <w:pPr>
              <w:pStyle w:val="ListBullet"/>
              <w:numPr>
                <w:ilvl w:val="0"/>
                <w:numId w:val="0"/>
              </w:numPr>
              <w:spacing w:before="40" w:afterLines="40" w:after="96"/>
              <w:rPr>
                <w:sz w:val="18"/>
                <w:szCs w:val="18"/>
              </w:rPr>
            </w:pPr>
            <w:r>
              <w:rPr>
                <w:sz w:val="18"/>
                <w:szCs w:val="18"/>
              </w:rPr>
              <w:t xml:space="preserve">To be of short duration; </w:t>
            </w:r>
            <w:r w:rsidR="00D40B70">
              <w:rPr>
                <w:sz w:val="18"/>
                <w:szCs w:val="18"/>
              </w:rPr>
              <w:t xml:space="preserve">To provide gradual recession to periods of high flow; To </w:t>
            </w:r>
            <w:r w:rsidR="00D40B70" w:rsidRPr="009D2C27">
              <w:rPr>
                <w:sz w:val="18"/>
                <w:szCs w:val="18"/>
              </w:rPr>
              <w:t>provide flows into distributary Creeks, including Booberoi Creek</w:t>
            </w:r>
            <w:r>
              <w:rPr>
                <w:sz w:val="18"/>
                <w:szCs w:val="18"/>
              </w:rPr>
              <w:t>; To p</w:t>
            </w:r>
            <w:r w:rsidRPr="009D2C27">
              <w:rPr>
                <w:sz w:val="18"/>
                <w:szCs w:val="18"/>
              </w:rPr>
              <w:t>rovide early spring watering for areas of riparian native vegetation along the river channel</w:t>
            </w:r>
            <w:r>
              <w:rPr>
                <w:sz w:val="18"/>
                <w:szCs w:val="18"/>
              </w:rPr>
              <w:t xml:space="preserve">; </w:t>
            </w:r>
            <w:r w:rsidRPr="009B44E9">
              <w:rPr>
                <w:sz w:val="18"/>
                <w:szCs w:val="18"/>
              </w:rPr>
              <w:t>Support lateral and longitudinal connectivity</w:t>
            </w:r>
            <w:r>
              <w:rPr>
                <w:sz w:val="18"/>
                <w:szCs w:val="18"/>
              </w:rPr>
              <w:t>.</w:t>
            </w:r>
          </w:p>
        </w:tc>
        <w:tc>
          <w:tcPr>
            <w:tcW w:w="3879" w:type="dxa"/>
            <w:tcBorders>
              <w:top w:val="single" w:sz="18" w:space="0" w:color="FFFFFF" w:themeColor="background1"/>
            </w:tcBorders>
            <w:shd w:val="clear" w:color="auto" w:fill="EAF1DD" w:themeFill="accent3" w:themeFillTint="33"/>
          </w:tcPr>
          <w:p w14:paraId="73180C75" w14:textId="7D53331F" w:rsidR="0077227F" w:rsidRDefault="00B01180" w:rsidP="00D40B70">
            <w:pPr>
              <w:spacing w:before="40" w:afterLines="40" w:after="96"/>
              <w:rPr>
                <w:sz w:val="18"/>
                <w:szCs w:val="18"/>
              </w:rPr>
            </w:pPr>
            <w:r>
              <w:rPr>
                <w:sz w:val="18"/>
                <w:szCs w:val="18"/>
              </w:rPr>
              <w:t>Ramp flows at Cotton’s Weir, Forbes to 2,600</w:t>
            </w:r>
            <w:r w:rsidR="00953089">
              <w:rPr>
                <w:sz w:val="18"/>
                <w:szCs w:val="18"/>
              </w:rPr>
              <w:t> </w:t>
            </w:r>
            <w:r>
              <w:rPr>
                <w:sz w:val="18"/>
                <w:szCs w:val="18"/>
              </w:rPr>
              <w:t>ML/day (releases commencing Wyangala 24</w:t>
            </w:r>
            <w:r w:rsidR="00373C7A" w:rsidRPr="00373C7A">
              <w:rPr>
                <w:sz w:val="18"/>
                <w:szCs w:val="18"/>
                <w:vertAlign w:val="superscript"/>
              </w:rPr>
              <w:t>th</w:t>
            </w:r>
            <w:r w:rsidR="00373C7A">
              <w:rPr>
                <w:sz w:val="18"/>
                <w:szCs w:val="18"/>
              </w:rPr>
              <w:t xml:space="preserve"> of </w:t>
            </w:r>
            <w:r>
              <w:rPr>
                <w:sz w:val="18"/>
                <w:szCs w:val="18"/>
              </w:rPr>
              <w:t>August)</w:t>
            </w:r>
          </w:p>
          <w:p w14:paraId="50CCCCDA" w14:textId="3B1BDE46" w:rsidR="00B01180" w:rsidRPr="00D40E7E" w:rsidRDefault="00B01180" w:rsidP="00D40B70">
            <w:pPr>
              <w:spacing w:before="40" w:afterLines="40" w:after="96"/>
              <w:rPr>
                <w:sz w:val="18"/>
                <w:szCs w:val="18"/>
              </w:rPr>
            </w:pPr>
            <w:r>
              <w:rPr>
                <w:sz w:val="18"/>
                <w:szCs w:val="18"/>
              </w:rPr>
              <w:t>Allow flows accounted at Forbes to bypass regulating structures to provide a run of river</w:t>
            </w:r>
          </w:p>
        </w:tc>
      </w:tr>
      <w:tr w:rsidR="0077227F" w:rsidRPr="00D40E7E" w14:paraId="6DAB49B3" w14:textId="77777777" w:rsidTr="003B0B99">
        <w:trPr>
          <w:trHeight w:val="1113"/>
        </w:trPr>
        <w:tc>
          <w:tcPr>
            <w:tcW w:w="809" w:type="dxa"/>
            <w:tcBorders>
              <w:top w:val="single" w:sz="18" w:space="0" w:color="FFFFFF" w:themeColor="background1"/>
              <w:right w:val="single" w:sz="18" w:space="0" w:color="FFFFFF" w:themeColor="background1"/>
            </w:tcBorders>
            <w:shd w:val="clear" w:color="auto" w:fill="9BBB59" w:themeFill="accent3"/>
          </w:tcPr>
          <w:p w14:paraId="094799D6" w14:textId="668340BC" w:rsidR="0077227F" w:rsidRPr="00D40E7E" w:rsidRDefault="0077227F" w:rsidP="00D40B70">
            <w:pPr>
              <w:spacing w:before="40" w:afterLines="40" w:after="96"/>
              <w:rPr>
                <w:b/>
                <w:bCs/>
                <w:color w:val="FFFFFF" w:themeColor="background1"/>
                <w:sz w:val="18"/>
                <w:szCs w:val="18"/>
              </w:rPr>
            </w:pPr>
            <w:r>
              <w:rPr>
                <w:b/>
                <w:bCs/>
                <w:color w:val="FFFFFF" w:themeColor="background1"/>
                <w:sz w:val="18"/>
                <w:szCs w:val="18"/>
              </w:rPr>
              <w:t>1b</w:t>
            </w:r>
          </w:p>
        </w:tc>
        <w:tc>
          <w:tcPr>
            <w:tcW w:w="1591" w:type="dxa"/>
            <w:tcBorders>
              <w:top w:val="single" w:sz="18" w:space="0" w:color="FFFFFF" w:themeColor="background1"/>
              <w:left w:val="single" w:sz="18" w:space="0" w:color="FFFFFF" w:themeColor="background1"/>
            </w:tcBorders>
            <w:shd w:val="clear" w:color="auto" w:fill="EAF1DD" w:themeFill="accent3" w:themeFillTint="33"/>
          </w:tcPr>
          <w:p w14:paraId="1AE55187" w14:textId="09EF1777" w:rsidR="0077227F" w:rsidRPr="00D40E7E" w:rsidRDefault="0077227F" w:rsidP="00D40B70">
            <w:pPr>
              <w:spacing w:before="40" w:afterLines="40" w:after="96"/>
              <w:rPr>
                <w:sz w:val="18"/>
                <w:szCs w:val="18"/>
              </w:rPr>
            </w:pPr>
            <w:r w:rsidRPr="00D40E7E">
              <w:rPr>
                <w:sz w:val="18"/>
                <w:szCs w:val="18"/>
              </w:rPr>
              <w:t>Lower Lachlan River (Hillston)</w:t>
            </w:r>
          </w:p>
        </w:tc>
        <w:tc>
          <w:tcPr>
            <w:tcW w:w="1843" w:type="dxa"/>
            <w:tcBorders>
              <w:top w:val="single" w:sz="18" w:space="0" w:color="FFFFFF" w:themeColor="background1"/>
            </w:tcBorders>
            <w:shd w:val="clear" w:color="auto" w:fill="EAF1DD" w:themeFill="accent3" w:themeFillTint="33"/>
          </w:tcPr>
          <w:p w14:paraId="6A757704" w14:textId="2C327CEA" w:rsidR="0077227F" w:rsidRPr="00D40E7E" w:rsidRDefault="0077227F" w:rsidP="00D40B70">
            <w:pPr>
              <w:spacing w:before="40" w:afterLines="40" w:after="96"/>
              <w:rPr>
                <w:sz w:val="18"/>
                <w:szCs w:val="18"/>
                <w:lang w:eastAsia="x-none"/>
              </w:rPr>
            </w:pPr>
            <w:r>
              <w:rPr>
                <w:sz w:val="18"/>
                <w:szCs w:val="18"/>
                <w:lang w:eastAsia="x-none"/>
              </w:rPr>
              <w:t>Fresh Flow</w:t>
            </w:r>
          </w:p>
        </w:tc>
        <w:tc>
          <w:tcPr>
            <w:tcW w:w="2126" w:type="dxa"/>
            <w:tcBorders>
              <w:top w:val="single" w:sz="18" w:space="0" w:color="FFFFFF" w:themeColor="background1"/>
            </w:tcBorders>
            <w:shd w:val="clear" w:color="auto" w:fill="EAF1DD" w:themeFill="accent3" w:themeFillTint="33"/>
          </w:tcPr>
          <w:p w14:paraId="3763BF87" w14:textId="04D05E7A" w:rsidR="0077227F" w:rsidRPr="00D40E7E" w:rsidRDefault="001356C6" w:rsidP="00D40B70">
            <w:pPr>
              <w:spacing w:before="40" w:afterLines="40" w:after="96"/>
              <w:rPr>
                <w:sz w:val="18"/>
                <w:szCs w:val="18"/>
              </w:rPr>
            </w:pPr>
            <w:r>
              <w:rPr>
                <w:sz w:val="18"/>
                <w:szCs w:val="18"/>
              </w:rPr>
              <w:t>1</w:t>
            </w:r>
            <w:r w:rsidR="00DF4FDA">
              <w:rPr>
                <w:sz w:val="18"/>
                <w:szCs w:val="18"/>
              </w:rPr>
              <w:t>,</w:t>
            </w:r>
            <w:r>
              <w:rPr>
                <w:sz w:val="18"/>
                <w:szCs w:val="18"/>
              </w:rPr>
              <w:t>820 ML (re-regulated from the Forbes flow</w:t>
            </w:r>
            <w:r w:rsidR="00993C35">
              <w:rPr>
                <w:sz w:val="18"/>
                <w:szCs w:val="18"/>
              </w:rPr>
              <w:t xml:space="preserve"> – Action 1a</w:t>
            </w:r>
            <w:r>
              <w:rPr>
                <w:sz w:val="18"/>
                <w:szCs w:val="18"/>
              </w:rPr>
              <w:t>)</w:t>
            </w:r>
          </w:p>
        </w:tc>
        <w:tc>
          <w:tcPr>
            <w:tcW w:w="4343" w:type="dxa"/>
            <w:tcBorders>
              <w:top w:val="single" w:sz="18" w:space="0" w:color="FFFFFF" w:themeColor="background1"/>
            </w:tcBorders>
            <w:shd w:val="clear" w:color="auto" w:fill="EAF1DD" w:themeFill="accent3" w:themeFillTint="33"/>
          </w:tcPr>
          <w:p w14:paraId="08B7672D" w14:textId="5E9C8F25" w:rsidR="0077227F" w:rsidRPr="00D40E7E" w:rsidRDefault="003B0B99" w:rsidP="003B0B99">
            <w:pPr>
              <w:pStyle w:val="ListBullet"/>
              <w:numPr>
                <w:ilvl w:val="0"/>
                <w:numId w:val="0"/>
              </w:numPr>
              <w:spacing w:before="40" w:afterLines="40" w:after="96"/>
              <w:rPr>
                <w:sz w:val="18"/>
                <w:szCs w:val="18"/>
              </w:rPr>
            </w:pPr>
            <w:r>
              <w:rPr>
                <w:sz w:val="18"/>
                <w:szCs w:val="18"/>
              </w:rPr>
              <w:t>No explicit objectives, but the provision of variability in water level is implied in the objectives for primary production.</w:t>
            </w:r>
          </w:p>
        </w:tc>
        <w:tc>
          <w:tcPr>
            <w:tcW w:w="3879" w:type="dxa"/>
            <w:tcBorders>
              <w:top w:val="single" w:sz="18" w:space="0" w:color="FFFFFF" w:themeColor="background1"/>
            </w:tcBorders>
            <w:shd w:val="clear" w:color="auto" w:fill="EAF1DD" w:themeFill="accent3" w:themeFillTint="33"/>
          </w:tcPr>
          <w:p w14:paraId="7EFDE79C" w14:textId="28BFE0B9" w:rsidR="0077227F" w:rsidRPr="00D40E7E" w:rsidRDefault="00F438AF" w:rsidP="00D40B70">
            <w:pPr>
              <w:spacing w:before="40" w:afterLines="40" w:after="96"/>
              <w:rPr>
                <w:sz w:val="18"/>
                <w:szCs w:val="18"/>
              </w:rPr>
            </w:pPr>
            <w:r>
              <w:rPr>
                <w:sz w:val="18"/>
                <w:szCs w:val="18"/>
              </w:rPr>
              <w:t>Release flow to mimic a small fresh.</w:t>
            </w:r>
          </w:p>
        </w:tc>
      </w:tr>
      <w:tr w:rsidR="0077227F" w:rsidRPr="00D40E7E" w14:paraId="1E63C426" w14:textId="77777777" w:rsidTr="00D40B70">
        <w:tc>
          <w:tcPr>
            <w:tcW w:w="809" w:type="dxa"/>
            <w:tcBorders>
              <w:right w:val="single" w:sz="18" w:space="0" w:color="FFFFFF" w:themeColor="background1"/>
            </w:tcBorders>
            <w:shd w:val="clear" w:color="auto" w:fill="9BBB59" w:themeFill="accent3"/>
          </w:tcPr>
          <w:p w14:paraId="1638EB5D" w14:textId="4C3C7AFB" w:rsidR="0077227F" w:rsidRPr="00D40E7E" w:rsidRDefault="0077227F" w:rsidP="00D40B70">
            <w:pPr>
              <w:spacing w:before="40" w:afterLines="40" w:after="96"/>
              <w:rPr>
                <w:b/>
                <w:bCs/>
                <w:color w:val="FFFFFF" w:themeColor="background1"/>
                <w:sz w:val="18"/>
                <w:szCs w:val="18"/>
              </w:rPr>
            </w:pPr>
            <w:r>
              <w:rPr>
                <w:b/>
                <w:bCs/>
                <w:color w:val="FFFFFF" w:themeColor="background1"/>
                <w:sz w:val="18"/>
                <w:szCs w:val="18"/>
              </w:rPr>
              <w:t>2</w:t>
            </w:r>
          </w:p>
        </w:tc>
        <w:tc>
          <w:tcPr>
            <w:tcW w:w="1591" w:type="dxa"/>
            <w:tcBorders>
              <w:left w:val="single" w:sz="18" w:space="0" w:color="FFFFFF" w:themeColor="background1"/>
            </w:tcBorders>
            <w:shd w:val="clear" w:color="auto" w:fill="EAF1DD" w:themeFill="accent3" w:themeFillTint="33"/>
          </w:tcPr>
          <w:p w14:paraId="20AA0BC7" w14:textId="6E178D03" w:rsidR="0077227F" w:rsidRPr="00D40E7E" w:rsidRDefault="0077227F" w:rsidP="00D40B70">
            <w:pPr>
              <w:spacing w:before="40" w:afterLines="40" w:after="96"/>
              <w:rPr>
                <w:sz w:val="18"/>
                <w:szCs w:val="18"/>
              </w:rPr>
            </w:pPr>
            <w:r w:rsidRPr="00D40E7E">
              <w:rPr>
                <w:sz w:val="18"/>
                <w:szCs w:val="18"/>
              </w:rPr>
              <w:t>Main channel Mid Lachlan River (Forbes)</w:t>
            </w:r>
          </w:p>
        </w:tc>
        <w:tc>
          <w:tcPr>
            <w:tcW w:w="1843" w:type="dxa"/>
            <w:shd w:val="clear" w:color="auto" w:fill="EAF1DD" w:themeFill="accent3" w:themeFillTint="33"/>
          </w:tcPr>
          <w:p w14:paraId="32E75298" w14:textId="137246C1" w:rsidR="0077227F" w:rsidRPr="00D40E7E" w:rsidRDefault="0077227F" w:rsidP="00D40B70">
            <w:pPr>
              <w:spacing w:before="40" w:afterLines="40" w:after="96"/>
              <w:rPr>
                <w:sz w:val="18"/>
                <w:szCs w:val="18"/>
              </w:rPr>
            </w:pPr>
            <w:r>
              <w:rPr>
                <w:sz w:val="18"/>
                <w:szCs w:val="18"/>
              </w:rPr>
              <w:t>Base Flow</w:t>
            </w:r>
          </w:p>
        </w:tc>
        <w:tc>
          <w:tcPr>
            <w:tcW w:w="2126" w:type="dxa"/>
            <w:shd w:val="clear" w:color="auto" w:fill="EAF1DD" w:themeFill="accent3" w:themeFillTint="33"/>
          </w:tcPr>
          <w:p w14:paraId="6F5868A8" w14:textId="44F51BC4" w:rsidR="0077227F" w:rsidRPr="00D40E7E" w:rsidRDefault="001356C6" w:rsidP="00D40B70">
            <w:pPr>
              <w:spacing w:before="40" w:afterLines="40" w:after="96"/>
              <w:rPr>
                <w:sz w:val="18"/>
                <w:szCs w:val="18"/>
                <w:highlight w:val="yellow"/>
              </w:rPr>
            </w:pPr>
            <w:r w:rsidRPr="00BD4B58">
              <w:rPr>
                <w:sz w:val="18"/>
                <w:szCs w:val="18"/>
              </w:rPr>
              <w:t>2</w:t>
            </w:r>
            <w:r w:rsidR="00DF4FDA" w:rsidRPr="00BD4B58">
              <w:rPr>
                <w:sz w:val="18"/>
                <w:szCs w:val="18"/>
              </w:rPr>
              <w:t>,</w:t>
            </w:r>
            <w:r w:rsidRPr="00BD4B58">
              <w:rPr>
                <w:sz w:val="18"/>
                <w:szCs w:val="18"/>
              </w:rPr>
              <w:t>032</w:t>
            </w:r>
            <w:r w:rsidR="00953089">
              <w:rPr>
                <w:sz w:val="18"/>
                <w:szCs w:val="18"/>
              </w:rPr>
              <w:t xml:space="preserve"> ML</w:t>
            </w:r>
          </w:p>
        </w:tc>
        <w:tc>
          <w:tcPr>
            <w:tcW w:w="4343" w:type="dxa"/>
            <w:shd w:val="clear" w:color="auto" w:fill="EAF1DD" w:themeFill="accent3" w:themeFillTint="33"/>
          </w:tcPr>
          <w:p w14:paraId="2DB3F443" w14:textId="41F257BD" w:rsidR="0077227F" w:rsidRPr="00D40E7E" w:rsidRDefault="003B0B99" w:rsidP="0077227F">
            <w:pPr>
              <w:pStyle w:val="ListBullet"/>
              <w:numPr>
                <w:ilvl w:val="0"/>
                <w:numId w:val="0"/>
              </w:numPr>
              <w:spacing w:before="40" w:afterLines="40" w:after="96"/>
              <w:rPr>
                <w:sz w:val="18"/>
                <w:szCs w:val="18"/>
              </w:rPr>
            </w:pPr>
            <w:r w:rsidRPr="009B44E9">
              <w:rPr>
                <w:sz w:val="18"/>
                <w:szCs w:val="18"/>
              </w:rPr>
              <w:t xml:space="preserve">To </w:t>
            </w:r>
            <w:r w:rsidR="00993C35">
              <w:rPr>
                <w:sz w:val="18"/>
                <w:szCs w:val="18"/>
              </w:rPr>
              <w:t>a</w:t>
            </w:r>
            <w:r w:rsidRPr="009B44E9">
              <w:rPr>
                <w:sz w:val="18"/>
                <w:szCs w:val="18"/>
              </w:rPr>
              <w:t>void rapid drops in water level from late September to early December</w:t>
            </w:r>
            <w:r w:rsidR="00993C35">
              <w:rPr>
                <w:sz w:val="18"/>
                <w:szCs w:val="18"/>
              </w:rPr>
              <w:t xml:space="preserve"> to protect native fish spawning activities.</w:t>
            </w:r>
          </w:p>
        </w:tc>
        <w:tc>
          <w:tcPr>
            <w:tcW w:w="3879" w:type="dxa"/>
            <w:shd w:val="clear" w:color="auto" w:fill="EAF1DD" w:themeFill="accent3" w:themeFillTint="33"/>
          </w:tcPr>
          <w:p w14:paraId="6BAE724C" w14:textId="117DE086" w:rsidR="0077227F" w:rsidRPr="00D40E7E" w:rsidRDefault="003B0B99" w:rsidP="00D40B70">
            <w:pPr>
              <w:spacing w:before="40" w:afterLines="40" w:after="96"/>
              <w:rPr>
                <w:sz w:val="18"/>
                <w:szCs w:val="18"/>
              </w:rPr>
            </w:pPr>
            <w:r>
              <w:rPr>
                <w:sz w:val="18"/>
                <w:szCs w:val="18"/>
              </w:rPr>
              <w:t xml:space="preserve">Maintain </w:t>
            </w:r>
            <w:r w:rsidR="00B01180">
              <w:rPr>
                <w:sz w:val="18"/>
                <w:szCs w:val="18"/>
              </w:rPr>
              <w:t xml:space="preserve">flows at or </w:t>
            </w:r>
            <w:r>
              <w:rPr>
                <w:sz w:val="18"/>
                <w:szCs w:val="18"/>
              </w:rPr>
              <w:t>above 800 ML/day</w:t>
            </w:r>
            <w:r w:rsidR="001356C6">
              <w:rPr>
                <w:sz w:val="18"/>
                <w:szCs w:val="18"/>
              </w:rPr>
              <w:t xml:space="preserve"> between 1</w:t>
            </w:r>
            <w:r w:rsidR="00B01180">
              <w:rPr>
                <w:sz w:val="18"/>
                <w:szCs w:val="18"/>
              </w:rPr>
              <w:t>7</w:t>
            </w:r>
            <w:r w:rsidR="001356C6">
              <w:rPr>
                <w:sz w:val="18"/>
                <w:szCs w:val="18"/>
              </w:rPr>
              <w:t>/10/2018 and 3/12/2018</w:t>
            </w:r>
          </w:p>
        </w:tc>
      </w:tr>
      <w:tr w:rsidR="0077227F" w:rsidRPr="00D40E7E" w14:paraId="0BB28406" w14:textId="77777777" w:rsidTr="0077227F">
        <w:tc>
          <w:tcPr>
            <w:tcW w:w="809" w:type="dxa"/>
            <w:tcBorders>
              <w:right w:val="single" w:sz="18" w:space="0" w:color="FFFFFF" w:themeColor="background1"/>
            </w:tcBorders>
            <w:shd w:val="clear" w:color="auto" w:fill="9BBB59" w:themeFill="accent3"/>
            <w:hideMark/>
          </w:tcPr>
          <w:p w14:paraId="7468A710" w14:textId="00C3268E" w:rsidR="0077227F" w:rsidRPr="00D40E7E" w:rsidRDefault="0077227F" w:rsidP="00D40B70">
            <w:pPr>
              <w:spacing w:before="40" w:afterLines="40" w:after="96"/>
              <w:rPr>
                <w:b/>
                <w:bCs/>
                <w:color w:val="FFFFFF" w:themeColor="background1"/>
                <w:sz w:val="18"/>
                <w:szCs w:val="18"/>
              </w:rPr>
            </w:pPr>
            <w:r>
              <w:rPr>
                <w:b/>
                <w:bCs/>
                <w:color w:val="FFFFFF" w:themeColor="background1"/>
                <w:sz w:val="18"/>
                <w:szCs w:val="18"/>
              </w:rPr>
              <w:t>3</w:t>
            </w:r>
          </w:p>
        </w:tc>
        <w:tc>
          <w:tcPr>
            <w:tcW w:w="1591" w:type="dxa"/>
            <w:tcBorders>
              <w:left w:val="single" w:sz="18" w:space="0" w:color="FFFFFF" w:themeColor="background1"/>
            </w:tcBorders>
            <w:shd w:val="clear" w:color="auto" w:fill="EAF1DD" w:themeFill="accent3" w:themeFillTint="33"/>
          </w:tcPr>
          <w:p w14:paraId="6DDE1908" w14:textId="4904C6CC" w:rsidR="0077227F" w:rsidRPr="00D40E7E" w:rsidRDefault="0077227F" w:rsidP="00D40B70">
            <w:pPr>
              <w:spacing w:before="40" w:afterLines="40" w:after="96"/>
              <w:rPr>
                <w:sz w:val="18"/>
                <w:szCs w:val="18"/>
              </w:rPr>
            </w:pPr>
            <w:r>
              <w:rPr>
                <w:sz w:val="18"/>
                <w:szCs w:val="18"/>
              </w:rPr>
              <w:t>Yarrabandai Lagoon</w:t>
            </w:r>
          </w:p>
        </w:tc>
        <w:tc>
          <w:tcPr>
            <w:tcW w:w="1843" w:type="dxa"/>
            <w:shd w:val="clear" w:color="auto" w:fill="EAF1DD" w:themeFill="accent3" w:themeFillTint="33"/>
          </w:tcPr>
          <w:p w14:paraId="692FDF21" w14:textId="77C18918" w:rsidR="0077227F" w:rsidRPr="00D40E7E" w:rsidRDefault="0077227F" w:rsidP="00D40B70">
            <w:pPr>
              <w:spacing w:before="40" w:afterLines="40" w:after="96"/>
              <w:rPr>
                <w:sz w:val="18"/>
                <w:szCs w:val="18"/>
                <w:lang w:eastAsia="x-none"/>
              </w:rPr>
            </w:pPr>
            <w:r>
              <w:rPr>
                <w:sz w:val="18"/>
                <w:szCs w:val="18"/>
                <w:lang w:eastAsia="x-none"/>
              </w:rPr>
              <w:t>Wetland flow</w:t>
            </w:r>
          </w:p>
        </w:tc>
        <w:tc>
          <w:tcPr>
            <w:tcW w:w="2126" w:type="dxa"/>
            <w:shd w:val="clear" w:color="auto" w:fill="EAF1DD" w:themeFill="accent3" w:themeFillTint="33"/>
          </w:tcPr>
          <w:p w14:paraId="6814BD9C" w14:textId="01AB0A95" w:rsidR="0077227F" w:rsidRPr="00D40E7E" w:rsidRDefault="001356C6" w:rsidP="00D40B70">
            <w:pPr>
              <w:spacing w:before="40" w:afterLines="40" w:after="96"/>
              <w:rPr>
                <w:sz w:val="18"/>
                <w:szCs w:val="18"/>
              </w:rPr>
            </w:pPr>
            <w:r>
              <w:rPr>
                <w:sz w:val="18"/>
                <w:szCs w:val="18"/>
              </w:rPr>
              <w:t>412 ML</w:t>
            </w:r>
          </w:p>
        </w:tc>
        <w:tc>
          <w:tcPr>
            <w:tcW w:w="4343" w:type="dxa"/>
            <w:shd w:val="clear" w:color="auto" w:fill="EAF1DD" w:themeFill="accent3" w:themeFillTint="33"/>
          </w:tcPr>
          <w:p w14:paraId="7EBB05AD" w14:textId="1D3C2E75" w:rsidR="0077227F" w:rsidRPr="00D40E7E" w:rsidRDefault="003B0B99" w:rsidP="0077227F">
            <w:pPr>
              <w:spacing w:before="40" w:afterLines="40" w:after="96"/>
              <w:rPr>
                <w:sz w:val="18"/>
                <w:szCs w:val="18"/>
              </w:rPr>
            </w:pPr>
            <w:r>
              <w:rPr>
                <w:sz w:val="18"/>
                <w:szCs w:val="18"/>
              </w:rPr>
              <w:t>Support lateral and longitudinal connectivity.</w:t>
            </w:r>
          </w:p>
        </w:tc>
        <w:tc>
          <w:tcPr>
            <w:tcW w:w="3879" w:type="dxa"/>
            <w:shd w:val="clear" w:color="auto" w:fill="EAF1DD" w:themeFill="accent3" w:themeFillTint="33"/>
          </w:tcPr>
          <w:p w14:paraId="67D5AF49" w14:textId="22F1C44C" w:rsidR="0077227F" w:rsidRPr="00D40E7E" w:rsidRDefault="00BD4B58" w:rsidP="00D40B70">
            <w:pPr>
              <w:spacing w:before="40" w:afterLines="40" w:after="96"/>
              <w:rPr>
                <w:sz w:val="18"/>
                <w:szCs w:val="18"/>
              </w:rPr>
            </w:pPr>
            <w:r>
              <w:rPr>
                <w:sz w:val="18"/>
                <w:szCs w:val="18"/>
              </w:rPr>
              <w:t>Provide Commonwealth environmental water to fill the lagoon which occurred between the 18</w:t>
            </w:r>
            <w:r w:rsidRPr="009B70EE">
              <w:rPr>
                <w:sz w:val="18"/>
                <w:szCs w:val="18"/>
                <w:vertAlign w:val="superscript"/>
              </w:rPr>
              <w:t>th</w:t>
            </w:r>
            <w:r>
              <w:rPr>
                <w:sz w:val="18"/>
                <w:szCs w:val="18"/>
              </w:rPr>
              <w:t xml:space="preserve"> March and the 29</w:t>
            </w:r>
            <w:r w:rsidRPr="009B70EE">
              <w:rPr>
                <w:sz w:val="18"/>
                <w:szCs w:val="18"/>
                <w:vertAlign w:val="superscript"/>
              </w:rPr>
              <w:t>th</w:t>
            </w:r>
            <w:r>
              <w:rPr>
                <w:sz w:val="18"/>
                <w:szCs w:val="18"/>
              </w:rPr>
              <w:t xml:space="preserve"> May</w:t>
            </w:r>
          </w:p>
        </w:tc>
      </w:tr>
      <w:tr w:rsidR="0077227F" w:rsidRPr="00D40E7E" w14:paraId="2635C8D1" w14:textId="77777777" w:rsidTr="0077227F">
        <w:tc>
          <w:tcPr>
            <w:tcW w:w="809" w:type="dxa"/>
            <w:tcBorders>
              <w:right w:val="single" w:sz="18" w:space="0" w:color="FFFFFF" w:themeColor="background1"/>
            </w:tcBorders>
            <w:shd w:val="clear" w:color="auto" w:fill="9BBB59" w:themeFill="accent3"/>
          </w:tcPr>
          <w:p w14:paraId="4DD6E35D" w14:textId="59AACAC9" w:rsidR="0077227F" w:rsidRPr="00D40E7E" w:rsidRDefault="0077227F" w:rsidP="00D40B70">
            <w:pPr>
              <w:spacing w:before="40" w:afterLines="40" w:after="96"/>
              <w:rPr>
                <w:b/>
                <w:bCs/>
                <w:color w:val="FFFFFF" w:themeColor="background1"/>
                <w:sz w:val="18"/>
                <w:szCs w:val="18"/>
              </w:rPr>
            </w:pPr>
            <w:r>
              <w:rPr>
                <w:b/>
                <w:bCs/>
                <w:color w:val="FFFFFF" w:themeColor="background1"/>
                <w:sz w:val="18"/>
                <w:szCs w:val="18"/>
              </w:rPr>
              <w:t>4</w:t>
            </w:r>
          </w:p>
        </w:tc>
        <w:tc>
          <w:tcPr>
            <w:tcW w:w="1591" w:type="dxa"/>
            <w:tcBorders>
              <w:left w:val="single" w:sz="18" w:space="0" w:color="FFFFFF" w:themeColor="background1"/>
            </w:tcBorders>
            <w:shd w:val="clear" w:color="auto" w:fill="EAF1DD" w:themeFill="accent3" w:themeFillTint="33"/>
          </w:tcPr>
          <w:p w14:paraId="47DD4246" w14:textId="0CF620B1" w:rsidR="0077227F" w:rsidRPr="00D40E7E" w:rsidRDefault="0077227F" w:rsidP="00D40B70">
            <w:pPr>
              <w:spacing w:before="40" w:afterLines="40" w:after="96"/>
              <w:rPr>
                <w:sz w:val="18"/>
                <w:szCs w:val="18"/>
              </w:rPr>
            </w:pPr>
            <w:r w:rsidRPr="00D40E7E">
              <w:rPr>
                <w:sz w:val="18"/>
                <w:szCs w:val="18"/>
              </w:rPr>
              <w:t xml:space="preserve">Main channel </w:t>
            </w:r>
            <w:r>
              <w:rPr>
                <w:sz w:val="18"/>
                <w:szCs w:val="18"/>
              </w:rPr>
              <w:t>Lower Lachlan</w:t>
            </w:r>
            <w:r w:rsidRPr="00D40E7E">
              <w:rPr>
                <w:sz w:val="18"/>
                <w:szCs w:val="18"/>
              </w:rPr>
              <w:t xml:space="preserve"> River (Booligal)</w:t>
            </w:r>
          </w:p>
        </w:tc>
        <w:tc>
          <w:tcPr>
            <w:tcW w:w="1843" w:type="dxa"/>
            <w:shd w:val="clear" w:color="auto" w:fill="EAF1DD" w:themeFill="accent3" w:themeFillTint="33"/>
          </w:tcPr>
          <w:p w14:paraId="0E4448F4" w14:textId="4335CCC1" w:rsidR="0077227F" w:rsidRPr="00D40E7E" w:rsidRDefault="0077227F" w:rsidP="00D40B70">
            <w:pPr>
              <w:spacing w:before="40" w:afterLines="40" w:after="96"/>
              <w:rPr>
                <w:sz w:val="18"/>
                <w:szCs w:val="18"/>
                <w:lang w:eastAsia="x-none"/>
              </w:rPr>
            </w:pPr>
            <w:r>
              <w:rPr>
                <w:sz w:val="18"/>
                <w:szCs w:val="18"/>
                <w:lang w:eastAsia="x-none"/>
              </w:rPr>
              <w:t>Fresh flow</w:t>
            </w:r>
          </w:p>
        </w:tc>
        <w:tc>
          <w:tcPr>
            <w:tcW w:w="2126" w:type="dxa"/>
            <w:shd w:val="clear" w:color="auto" w:fill="EAF1DD" w:themeFill="accent3" w:themeFillTint="33"/>
          </w:tcPr>
          <w:p w14:paraId="6CAF8417" w14:textId="1EDAB18A" w:rsidR="0077227F" w:rsidRPr="00D40E7E" w:rsidRDefault="001356C6" w:rsidP="00D40B70">
            <w:pPr>
              <w:spacing w:before="40" w:afterLines="40" w:after="96"/>
              <w:rPr>
                <w:sz w:val="18"/>
                <w:szCs w:val="18"/>
              </w:rPr>
            </w:pPr>
            <w:r>
              <w:rPr>
                <w:sz w:val="18"/>
                <w:szCs w:val="18"/>
              </w:rPr>
              <w:t>5</w:t>
            </w:r>
            <w:r w:rsidR="00DF4FDA">
              <w:rPr>
                <w:sz w:val="18"/>
                <w:szCs w:val="18"/>
              </w:rPr>
              <w:t>,</w:t>
            </w:r>
            <w:r>
              <w:rPr>
                <w:sz w:val="18"/>
                <w:szCs w:val="18"/>
              </w:rPr>
              <w:t>338 ML</w:t>
            </w:r>
          </w:p>
        </w:tc>
        <w:tc>
          <w:tcPr>
            <w:tcW w:w="4343" w:type="dxa"/>
            <w:shd w:val="clear" w:color="auto" w:fill="EAF1DD" w:themeFill="accent3" w:themeFillTint="33"/>
          </w:tcPr>
          <w:p w14:paraId="00FB7B04" w14:textId="3AB65C17" w:rsidR="003B0B99" w:rsidRDefault="003B0B99" w:rsidP="003B0B99">
            <w:pPr>
              <w:pStyle w:val="ListBullet"/>
              <w:numPr>
                <w:ilvl w:val="0"/>
                <w:numId w:val="0"/>
              </w:numPr>
              <w:spacing w:before="40" w:afterLines="40" w:after="96"/>
              <w:rPr>
                <w:sz w:val="18"/>
                <w:szCs w:val="18"/>
              </w:rPr>
            </w:pPr>
            <w:r>
              <w:rPr>
                <w:sz w:val="18"/>
                <w:szCs w:val="18"/>
              </w:rPr>
              <w:t>P</w:t>
            </w:r>
            <w:r w:rsidRPr="0000347C">
              <w:rPr>
                <w:sz w:val="18"/>
                <w:szCs w:val="18"/>
              </w:rPr>
              <w:t>rovide connectivity and variability to flows along the lower Lachlan during autumn-winter</w:t>
            </w:r>
            <w:r>
              <w:rPr>
                <w:sz w:val="18"/>
                <w:szCs w:val="18"/>
              </w:rPr>
              <w:t xml:space="preserve">; </w:t>
            </w:r>
            <w:r w:rsidRPr="009B44E9">
              <w:rPr>
                <w:sz w:val="18"/>
                <w:szCs w:val="18"/>
              </w:rPr>
              <w:t>Support lateral and longitudinal connectivity</w:t>
            </w:r>
            <w:r>
              <w:rPr>
                <w:sz w:val="18"/>
                <w:szCs w:val="18"/>
              </w:rPr>
              <w:t>.</w:t>
            </w:r>
          </w:p>
          <w:p w14:paraId="246B6330" w14:textId="7E6EF009" w:rsidR="0077227F" w:rsidRPr="00D40E7E" w:rsidRDefault="0077227F" w:rsidP="0077227F">
            <w:pPr>
              <w:spacing w:before="40" w:afterLines="40" w:after="96"/>
              <w:rPr>
                <w:sz w:val="18"/>
                <w:szCs w:val="18"/>
              </w:rPr>
            </w:pPr>
          </w:p>
        </w:tc>
        <w:tc>
          <w:tcPr>
            <w:tcW w:w="3879" w:type="dxa"/>
            <w:shd w:val="clear" w:color="auto" w:fill="EAF1DD" w:themeFill="accent3" w:themeFillTint="33"/>
          </w:tcPr>
          <w:p w14:paraId="46C8F397" w14:textId="51A2BE10" w:rsidR="0077227F" w:rsidRPr="00D40E7E" w:rsidRDefault="003B0B99" w:rsidP="00D40B70">
            <w:pPr>
              <w:spacing w:before="40" w:afterLines="40" w:after="96"/>
              <w:rPr>
                <w:sz w:val="18"/>
                <w:szCs w:val="18"/>
              </w:rPr>
            </w:pPr>
            <w:r>
              <w:rPr>
                <w:sz w:val="18"/>
                <w:szCs w:val="18"/>
              </w:rPr>
              <w:t>500 ML/day for 9 days at Booligal</w:t>
            </w:r>
          </w:p>
        </w:tc>
      </w:tr>
    </w:tbl>
    <w:p w14:paraId="6D5E35B0" w14:textId="4B94D757" w:rsidR="0077227F" w:rsidRDefault="0077227F" w:rsidP="0077227F">
      <w:pPr>
        <w:pStyle w:val="Normalnote"/>
      </w:pPr>
    </w:p>
    <w:p w14:paraId="70AA0654" w14:textId="77777777" w:rsidR="0077227F" w:rsidRDefault="0077227F" w:rsidP="00CD48E3">
      <w:pPr>
        <w:rPr>
          <w:lang w:val="en-US" w:eastAsia="x-none"/>
        </w:rPr>
      </w:pPr>
    </w:p>
    <w:p w14:paraId="42C1D3F8" w14:textId="0F3B4A9C" w:rsidR="0077227F" w:rsidRDefault="0077227F" w:rsidP="00CD48E3">
      <w:pPr>
        <w:rPr>
          <w:lang w:val="en-US" w:eastAsia="x-none"/>
        </w:rPr>
        <w:sectPr w:rsidR="0077227F" w:rsidSect="006E0321">
          <w:pgSz w:w="16838" w:h="11906" w:orient="landscape"/>
          <w:pgMar w:top="1440" w:right="1440" w:bottom="1440" w:left="1440" w:header="708" w:footer="708" w:gutter="0"/>
          <w:cols w:space="708"/>
          <w:docGrid w:linePitch="360"/>
        </w:sectPr>
      </w:pPr>
    </w:p>
    <w:p w14:paraId="52DDA7F3" w14:textId="77777777" w:rsidR="001356C6" w:rsidRPr="00143A2F" w:rsidRDefault="001356C6" w:rsidP="001356C6">
      <w:pPr>
        <w:pStyle w:val="Heading2"/>
        <w:numPr>
          <w:ilvl w:val="1"/>
          <w:numId w:val="8"/>
        </w:numPr>
        <w:rPr>
          <w:lang w:val="en-AU"/>
        </w:rPr>
      </w:pPr>
      <w:bookmarkStart w:id="85" w:name="_Toc4574769"/>
      <w:bookmarkStart w:id="86" w:name="_Toc31985451"/>
      <w:r>
        <w:t>Methods</w:t>
      </w:r>
      <w:bookmarkEnd w:id="85"/>
      <w:bookmarkEnd w:id="86"/>
    </w:p>
    <w:p w14:paraId="18AA2BDA" w14:textId="1376AADB" w:rsidR="001356C6" w:rsidRDefault="001356C6" w:rsidP="001356C6">
      <w:r w:rsidRPr="3734553D">
        <w:rPr>
          <w:lang w:val="en-GB"/>
        </w:rPr>
        <w:t>The evaluation of the hydrological outcomes used a combination of flow data, river height data, wetland inundation information and observations.</w:t>
      </w:r>
      <w:r>
        <w:rPr>
          <w:lang w:val="en-GB"/>
        </w:rPr>
        <w:t xml:space="preserve"> </w:t>
      </w:r>
      <w:r>
        <w:t>Mean daily discharge (ML/day) and daily mean ‘stage’ (as relative water level in metres) data were obtained from the NSW WaterInfo site (</w:t>
      </w:r>
      <w:hyperlink r:id="rId33" w:history="1">
        <w:r>
          <w:rPr>
            <w:rStyle w:val="Hyperlink"/>
          </w:rPr>
          <w:t>http://waterinfo.nsw.gov.au/</w:t>
        </w:r>
      </w:hyperlink>
      <w:r>
        <w:t>) for gauging sites within the Selected Area (</w:t>
      </w:r>
      <w:r>
        <w:fldChar w:fldCharType="begin"/>
      </w:r>
      <w:r>
        <w:instrText xml:space="preserve"> REF _Ref459993709 \h </w:instrText>
      </w:r>
      <w:r>
        <w:fldChar w:fldCharType="separate"/>
      </w:r>
      <w:r w:rsidR="007F7607">
        <w:t xml:space="preserve">Figure </w:t>
      </w:r>
      <w:r w:rsidR="007F7607">
        <w:rPr>
          <w:noProof/>
        </w:rPr>
        <w:t>6</w:t>
      </w:r>
      <w:r>
        <w:fldChar w:fldCharType="end"/>
      </w:r>
      <w:r>
        <w:t>) and from the mid Lachlan (</w:t>
      </w:r>
      <w:r>
        <w:fldChar w:fldCharType="begin"/>
      </w:r>
      <w:r>
        <w:instrText xml:space="preserve"> REF _Ref530139299 \h </w:instrText>
      </w:r>
      <w:r>
        <w:fldChar w:fldCharType="separate"/>
      </w:r>
      <w:r w:rsidR="007F7607">
        <w:t xml:space="preserve">Figure </w:t>
      </w:r>
      <w:r w:rsidR="007F7607">
        <w:rPr>
          <w:noProof/>
        </w:rPr>
        <w:t>7</w:t>
      </w:r>
      <w:r>
        <w:fldChar w:fldCharType="end"/>
      </w:r>
      <w:r>
        <w:t xml:space="preserve">). The selected gauging sites were those relevant to the locations at which monitoring activities were occurring as well as sites that could be used to evaluate the hydrological outcomes of Commonwealth environmental water. </w:t>
      </w:r>
    </w:p>
    <w:p w14:paraId="5360F86D" w14:textId="77777777" w:rsidR="001356C6" w:rsidRDefault="001356C6" w:rsidP="001356C6">
      <w:r>
        <w:t xml:space="preserve">Data apportioning the daily contribution of Commonwealth and NSW environmental water (ML/day) to the flow in the river was provided by the Commonwealth Environmental Water Office and the NSW Office of Environment and Heritage. These contributions were subtracted from the flow at the relevant water accounting locations to produce hydrographs illustrating the relative contribution to the flow. </w:t>
      </w:r>
    </w:p>
    <w:p w14:paraId="4A274A35" w14:textId="446C7098" w:rsidR="001356C6" w:rsidRDefault="001356C6" w:rsidP="001356C6">
      <w:r>
        <w:t>River levels were obtained from the gauges and the water levels in the absence of Commonwealth and NSW environmental water were estimated from the rating curves at each site</w:t>
      </w:r>
      <w:r w:rsidR="0030124A">
        <w:t xml:space="preserve"> or were modelled based on empirical relationships between sites.</w:t>
      </w:r>
    </w:p>
    <w:p w14:paraId="6056C093" w14:textId="77777777" w:rsidR="001356C6" w:rsidRDefault="001356C6" w:rsidP="001356C6"/>
    <w:p w14:paraId="7B26A1C3" w14:textId="77777777" w:rsidR="001356C6" w:rsidRDefault="001356C6" w:rsidP="001356C6">
      <w:pPr>
        <w:pStyle w:val="Normalnote"/>
        <w:keepNext/>
        <w:jc w:val="both"/>
      </w:pPr>
      <w:bookmarkStart w:id="87" w:name="_Ref381792490"/>
      <w:bookmarkStart w:id="88" w:name="_Toc433024961"/>
      <w:bookmarkStart w:id="89" w:name="_Toc427569086"/>
      <w:r>
        <w:rPr>
          <w:noProof/>
        </w:rPr>
        <w:drawing>
          <wp:inline distT="0" distB="0" distL="0" distR="0" wp14:anchorId="692A31C9" wp14:editId="12C4E7F4">
            <wp:extent cx="5600700" cy="3954780"/>
            <wp:effectExtent l="0" t="0" r="0" b="7620"/>
            <wp:docPr id="82" name="Picture 82" descr="Lachlan_2016_gauge plus m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chlan_2016_gauge plus merr"/>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600700" cy="3954780"/>
                    </a:xfrm>
                    <a:prstGeom prst="rect">
                      <a:avLst/>
                    </a:prstGeom>
                    <a:noFill/>
                    <a:ln>
                      <a:noFill/>
                    </a:ln>
                  </pic:spPr>
                </pic:pic>
              </a:graphicData>
            </a:graphic>
          </wp:inline>
        </w:drawing>
      </w:r>
    </w:p>
    <w:p w14:paraId="1418B84B" w14:textId="760079E7" w:rsidR="001356C6" w:rsidRDefault="001356C6" w:rsidP="001356C6">
      <w:pPr>
        <w:pStyle w:val="Caption"/>
      </w:pPr>
      <w:bookmarkStart w:id="90" w:name="_Ref459993709"/>
      <w:bookmarkStart w:id="91" w:name="_Toc488923823"/>
      <w:bookmarkStart w:id="92" w:name="_Toc499912078"/>
      <w:bookmarkStart w:id="93" w:name="_Toc4574846"/>
      <w:bookmarkStart w:id="94" w:name="_Toc31985570"/>
      <w:bookmarkStart w:id="95" w:name="_Ref459982860"/>
      <w:r>
        <w:t xml:space="preserve">Figure </w:t>
      </w:r>
      <w:r w:rsidRPr="3734553D">
        <w:fldChar w:fldCharType="begin"/>
      </w:r>
      <w:r>
        <w:instrText xml:space="preserve"> SEQ Figure \* ARABIC </w:instrText>
      </w:r>
      <w:r w:rsidRPr="3734553D">
        <w:fldChar w:fldCharType="separate"/>
      </w:r>
      <w:r w:rsidR="007F7607">
        <w:rPr>
          <w:noProof/>
        </w:rPr>
        <w:t>6</w:t>
      </w:r>
      <w:r w:rsidRPr="3734553D">
        <w:fldChar w:fldCharType="end"/>
      </w:r>
      <w:bookmarkEnd w:id="90"/>
      <w:r>
        <w:t>. The location of relevant gauging stations in the Lower Lachlan river system.</w:t>
      </w:r>
      <w:bookmarkEnd w:id="91"/>
      <w:bookmarkEnd w:id="92"/>
      <w:bookmarkEnd w:id="93"/>
      <w:bookmarkEnd w:id="94"/>
    </w:p>
    <w:p w14:paraId="64769A30" w14:textId="77777777" w:rsidR="00CE0F58" w:rsidRPr="00CE0F58" w:rsidRDefault="00CE0F58" w:rsidP="00CE0F58"/>
    <w:p w14:paraId="1362D1DE" w14:textId="77777777" w:rsidR="001356C6" w:rsidRDefault="001356C6" w:rsidP="001356C6">
      <w:r>
        <w:rPr>
          <w:noProof/>
          <w:lang w:eastAsia="en-AU"/>
        </w:rPr>
        <w:drawing>
          <wp:inline distT="0" distB="0" distL="0" distR="0" wp14:anchorId="27033FC1" wp14:editId="42B186DC">
            <wp:extent cx="5582093" cy="2518272"/>
            <wp:effectExtent l="0" t="0" r="0" b="0"/>
            <wp:docPr id="42" name="Picture 42" descr="Y:\Associated Organisations\Institute for Applied Ecology\Research Groups\Freshwater Ecology\Freshwater Projects\Lachlan River CEWH LTIM\GIS\MAPs and doc with maps\Lachlan_2018_mid lachlan 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ssociated Organisations\Institute for Applied Ecology\Research Groups\Freshwater Ecology\Freshwater Projects\Lachlan River CEWH LTIM\GIS\MAPs and doc with maps\Lachlan_2018_mid lachlan gauge.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580000" cy="2517328"/>
                    </a:xfrm>
                    <a:prstGeom prst="rect">
                      <a:avLst/>
                    </a:prstGeom>
                    <a:noFill/>
                    <a:ln>
                      <a:noFill/>
                    </a:ln>
                    <a:extLst>
                      <a:ext uri="{53640926-AAD7-44D8-BBD7-CCE9431645EC}">
                        <a14:shadowObscured xmlns:a14="http://schemas.microsoft.com/office/drawing/2010/main"/>
                      </a:ext>
                    </a:extLst>
                  </pic:spPr>
                </pic:pic>
              </a:graphicData>
            </a:graphic>
          </wp:inline>
        </w:drawing>
      </w:r>
    </w:p>
    <w:p w14:paraId="5119E31A" w14:textId="3BE8EF7C" w:rsidR="001356C6" w:rsidRDefault="001356C6" w:rsidP="001356C6">
      <w:pPr>
        <w:pStyle w:val="Caption"/>
      </w:pPr>
      <w:bookmarkStart w:id="96" w:name="_Ref530139299"/>
      <w:bookmarkStart w:id="97" w:name="_Toc4574847"/>
      <w:bookmarkStart w:id="98" w:name="_Toc31985571"/>
      <w:bookmarkEnd w:id="87"/>
      <w:bookmarkEnd w:id="88"/>
      <w:bookmarkEnd w:id="89"/>
      <w:bookmarkEnd w:id="95"/>
      <w:r>
        <w:t xml:space="preserve">Figure </w:t>
      </w:r>
      <w:r w:rsidRPr="3734553D">
        <w:fldChar w:fldCharType="begin"/>
      </w:r>
      <w:r>
        <w:instrText xml:space="preserve"> SEQ Figure \* ARABIC </w:instrText>
      </w:r>
      <w:r w:rsidRPr="3734553D">
        <w:fldChar w:fldCharType="separate"/>
      </w:r>
      <w:r w:rsidR="007F7607">
        <w:rPr>
          <w:noProof/>
        </w:rPr>
        <w:t>7</w:t>
      </w:r>
      <w:r w:rsidRPr="3734553D">
        <w:fldChar w:fldCharType="end"/>
      </w:r>
      <w:bookmarkEnd w:id="96"/>
      <w:r>
        <w:t>. The location of relevant gauging stations in the mid Lachlan river system.</w:t>
      </w:r>
      <w:bookmarkEnd w:id="97"/>
      <w:bookmarkEnd w:id="98"/>
    </w:p>
    <w:p w14:paraId="0EF0CD51" w14:textId="77777777" w:rsidR="00CD48E3" w:rsidRDefault="00CD48E3" w:rsidP="00CD48E3">
      <w:pPr>
        <w:rPr>
          <w:lang w:val="en-US" w:eastAsia="x-none"/>
        </w:rPr>
      </w:pPr>
    </w:p>
    <w:p w14:paraId="1B9568EE" w14:textId="77777777" w:rsidR="001356C6" w:rsidRDefault="001356C6" w:rsidP="001356C6">
      <w:pPr>
        <w:pStyle w:val="Heading2"/>
        <w:numPr>
          <w:ilvl w:val="1"/>
          <w:numId w:val="8"/>
        </w:numPr>
      </w:pPr>
      <w:bookmarkStart w:id="99" w:name="_Toc4574770"/>
      <w:bookmarkStart w:id="100" w:name="_Toc31985452"/>
      <w:r>
        <w:t>Results</w:t>
      </w:r>
      <w:bookmarkStart w:id="101" w:name="_Toc487106785"/>
      <w:bookmarkStart w:id="102" w:name="_Ref493580127"/>
      <w:bookmarkStart w:id="103" w:name="_Toc499911978"/>
      <w:bookmarkEnd w:id="99"/>
      <w:bookmarkEnd w:id="101"/>
      <w:bookmarkEnd w:id="102"/>
      <w:bookmarkEnd w:id="103"/>
      <w:bookmarkEnd w:id="100"/>
    </w:p>
    <w:p w14:paraId="4DE72D21" w14:textId="6BC82DEE" w:rsidR="001356C6" w:rsidRPr="009720F3" w:rsidRDefault="00BD4B58" w:rsidP="001356C6">
      <w:r>
        <w:t xml:space="preserve">A total of 18 173ML of Commonwealth environmental water was used in the Lachlan </w:t>
      </w:r>
      <w:r w:rsidR="00000CE1">
        <w:t>r</w:t>
      </w:r>
      <w:r>
        <w:t xml:space="preserve">iver system in 2018-2019. This </w:t>
      </w:r>
      <w:r w:rsidR="001356C6">
        <w:t xml:space="preserve">contributed approximately </w:t>
      </w:r>
      <w:r w:rsidR="00881B65">
        <w:t>4</w:t>
      </w:r>
      <w:r w:rsidR="001356C6">
        <w:t>% of the flow in the river at Forbes</w:t>
      </w:r>
      <w:r w:rsidR="00B01180">
        <w:t>,</w:t>
      </w:r>
      <w:r w:rsidR="00881B65">
        <w:t xml:space="preserve"> </w:t>
      </w:r>
      <w:r w:rsidR="00F66C20">
        <w:t>1</w:t>
      </w:r>
      <w:r w:rsidR="00272975">
        <w:t>1</w:t>
      </w:r>
      <w:r w:rsidR="00F66C20">
        <w:t xml:space="preserve">% at </w:t>
      </w:r>
      <w:r w:rsidR="001356C6">
        <w:t>Hillston</w:t>
      </w:r>
      <w:r w:rsidR="00F66C20">
        <w:t xml:space="preserve"> and </w:t>
      </w:r>
      <w:r w:rsidR="00272975">
        <w:t>24</w:t>
      </w:r>
      <w:r w:rsidR="001356C6">
        <w:t>%</w:t>
      </w:r>
      <w:r w:rsidR="00F66C20">
        <w:t xml:space="preserve"> at Booligal (</w:t>
      </w:r>
      <w:r w:rsidR="00F66C20">
        <w:fldChar w:fldCharType="begin"/>
      </w:r>
      <w:r w:rsidR="00F66C20">
        <w:instrText xml:space="preserve"> REF _Ref521424152 \h </w:instrText>
      </w:r>
      <w:r w:rsidR="00F66C20">
        <w:fldChar w:fldCharType="separate"/>
      </w:r>
      <w:r w:rsidR="007F7607" w:rsidRPr="009720F3">
        <w:t xml:space="preserve">Table </w:t>
      </w:r>
      <w:r w:rsidR="007F7607">
        <w:rPr>
          <w:noProof/>
        </w:rPr>
        <w:t>5</w:t>
      </w:r>
      <w:r w:rsidR="00F66C20">
        <w:fldChar w:fldCharType="end"/>
      </w:r>
      <w:r w:rsidR="00F66C20">
        <w:t>)</w:t>
      </w:r>
      <w:r w:rsidR="001356C6" w:rsidRPr="009720F3">
        <w:t>.</w:t>
      </w:r>
      <w:r w:rsidR="00F66C20">
        <w:t xml:space="preserve"> The latter figure </w:t>
      </w:r>
      <w:r w:rsidR="00272975">
        <w:t xml:space="preserve">is </w:t>
      </w:r>
      <w:r w:rsidR="00F66C20">
        <w:t>an overestimate as losses have not been taken into consideration</w:t>
      </w:r>
      <w:r w:rsidR="00B01180">
        <w:t xml:space="preserve">. </w:t>
      </w:r>
    </w:p>
    <w:p w14:paraId="7FCB3BD0" w14:textId="00353FF1" w:rsidR="001356C6" w:rsidRPr="009720F3" w:rsidRDefault="001356C6" w:rsidP="001356C6">
      <w:pPr>
        <w:pStyle w:val="Caption"/>
      </w:pPr>
      <w:bookmarkStart w:id="104" w:name="_Ref521424152"/>
      <w:bookmarkStart w:id="105" w:name="_Toc4574915"/>
      <w:bookmarkStart w:id="106" w:name="_Toc31985672"/>
      <w:r w:rsidRPr="009720F3">
        <w:t xml:space="preserve">Table </w:t>
      </w:r>
      <w:r w:rsidRPr="009720F3">
        <w:rPr>
          <w:noProof/>
        </w:rPr>
        <w:fldChar w:fldCharType="begin"/>
      </w:r>
      <w:r w:rsidRPr="009720F3">
        <w:rPr>
          <w:noProof/>
        </w:rPr>
        <w:instrText xml:space="preserve"> SEQ Table \* ARABIC </w:instrText>
      </w:r>
      <w:r w:rsidRPr="009720F3">
        <w:rPr>
          <w:noProof/>
        </w:rPr>
        <w:fldChar w:fldCharType="separate"/>
      </w:r>
      <w:r w:rsidR="007F7607">
        <w:rPr>
          <w:noProof/>
        </w:rPr>
        <w:t>5</w:t>
      </w:r>
      <w:r w:rsidRPr="009720F3">
        <w:rPr>
          <w:noProof/>
        </w:rPr>
        <w:fldChar w:fldCharType="end"/>
      </w:r>
      <w:bookmarkEnd w:id="104"/>
      <w:r w:rsidRPr="009720F3">
        <w:t>. The 201</w:t>
      </w:r>
      <w:r w:rsidR="00C60FD8">
        <w:t>8</w:t>
      </w:r>
      <w:r w:rsidRPr="009720F3">
        <w:t>-1</w:t>
      </w:r>
      <w:r w:rsidR="00C60FD8">
        <w:t>9</w:t>
      </w:r>
      <w:r w:rsidRPr="009720F3">
        <w:t xml:space="preserve"> accounted </w:t>
      </w:r>
      <w:r w:rsidR="000A54FA">
        <w:t xml:space="preserve">Commonwealth </w:t>
      </w:r>
      <w:r w:rsidRPr="009720F3">
        <w:t>environmental water in the Lower Lachlan river system.</w:t>
      </w:r>
      <w:bookmarkEnd w:id="105"/>
      <w:bookmarkEnd w:id="106"/>
      <w:r w:rsidRPr="009720F3">
        <w:t xml:space="preserve"> </w:t>
      </w:r>
    </w:p>
    <w:tbl>
      <w:tblPr>
        <w:tblStyle w:val="GridTable5Dark-Accent310"/>
        <w:tblW w:w="0" w:type="auto"/>
        <w:jc w:val="center"/>
        <w:tblLook w:val="04A0" w:firstRow="1" w:lastRow="0" w:firstColumn="1" w:lastColumn="0" w:noHBand="0" w:noVBand="1"/>
      </w:tblPr>
      <w:tblGrid>
        <w:gridCol w:w="2092"/>
        <w:gridCol w:w="1803"/>
        <w:gridCol w:w="2768"/>
      </w:tblGrid>
      <w:tr w:rsidR="00881B65" w:rsidRPr="009720F3" w14:paraId="343F20BC" w14:textId="77777777" w:rsidTr="00881B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2" w:type="dxa"/>
          </w:tcPr>
          <w:p w14:paraId="32C28CC1" w14:textId="77777777" w:rsidR="00881B65" w:rsidRPr="009720F3" w:rsidRDefault="00881B65" w:rsidP="00CE2EDC">
            <w:pPr>
              <w:spacing w:before="40" w:after="40"/>
              <w:rPr>
                <w:caps/>
                <w:sz w:val="18"/>
                <w:szCs w:val="20"/>
              </w:rPr>
            </w:pPr>
          </w:p>
        </w:tc>
        <w:tc>
          <w:tcPr>
            <w:tcW w:w="1803" w:type="dxa"/>
          </w:tcPr>
          <w:p w14:paraId="6C9E9B0E" w14:textId="77777777" w:rsidR="00881B65" w:rsidRPr="009720F3" w:rsidRDefault="00881B65" w:rsidP="00CE2EDC">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sidRPr="009720F3">
              <w:rPr>
                <w:caps/>
                <w:sz w:val="18"/>
                <w:szCs w:val="20"/>
              </w:rPr>
              <w:t>Total Annual Flow (ML)</w:t>
            </w:r>
          </w:p>
        </w:tc>
        <w:tc>
          <w:tcPr>
            <w:tcW w:w="2768" w:type="dxa"/>
          </w:tcPr>
          <w:p w14:paraId="1BAF6B37" w14:textId="77777777" w:rsidR="00881B65" w:rsidRPr="009720F3" w:rsidRDefault="00881B65" w:rsidP="00CE2EDC">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sidRPr="009720F3">
              <w:rPr>
                <w:caps/>
                <w:sz w:val="18"/>
                <w:szCs w:val="20"/>
              </w:rPr>
              <w:t>Commonwealth Environmental Water (ML)</w:t>
            </w:r>
          </w:p>
        </w:tc>
      </w:tr>
      <w:tr w:rsidR="00881B65" w:rsidRPr="009720F3" w14:paraId="2FE07326" w14:textId="77777777" w:rsidTr="00881B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2" w:type="dxa"/>
          </w:tcPr>
          <w:p w14:paraId="74D7A8E8" w14:textId="77777777" w:rsidR="00881B65" w:rsidRPr="009720F3" w:rsidRDefault="00881B65" w:rsidP="00CE2EDC">
            <w:pPr>
              <w:spacing w:before="40" w:after="40"/>
              <w:rPr>
                <w:sz w:val="18"/>
                <w:szCs w:val="20"/>
              </w:rPr>
            </w:pPr>
            <w:r w:rsidRPr="009720F3">
              <w:rPr>
                <w:sz w:val="18"/>
                <w:szCs w:val="20"/>
              </w:rPr>
              <w:t>Forbes (Cotton’s Weir)</w:t>
            </w:r>
          </w:p>
        </w:tc>
        <w:tc>
          <w:tcPr>
            <w:tcW w:w="1803" w:type="dxa"/>
          </w:tcPr>
          <w:p w14:paraId="1077B99B" w14:textId="572EB389" w:rsidR="00881B65" w:rsidRPr="009720F3" w:rsidRDefault="00881B65" w:rsidP="00CE2EDC">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sidRPr="009720F3">
              <w:rPr>
                <w:sz w:val="18"/>
                <w:szCs w:val="20"/>
              </w:rPr>
              <w:t>4</w:t>
            </w:r>
            <w:r>
              <w:rPr>
                <w:sz w:val="18"/>
                <w:szCs w:val="20"/>
              </w:rPr>
              <w:t>58 838</w:t>
            </w:r>
          </w:p>
        </w:tc>
        <w:tc>
          <w:tcPr>
            <w:tcW w:w="2768" w:type="dxa"/>
          </w:tcPr>
          <w:p w14:paraId="5C182362" w14:textId="038E63C8" w:rsidR="00881B65" w:rsidRPr="009720F3" w:rsidRDefault="00881B65" w:rsidP="00CE2EDC">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18 173</w:t>
            </w:r>
          </w:p>
        </w:tc>
      </w:tr>
      <w:tr w:rsidR="00881B65" w:rsidRPr="009720F3" w14:paraId="6FD00C9F" w14:textId="77777777" w:rsidTr="00881B65">
        <w:trPr>
          <w:jc w:val="center"/>
        </w:trPr>
        <w:tc>
          <w:tcPr>
            <w:cnfStyle w:val="001000000000" w:firstRow="0" w:lastRow="0" w:firstColumn="1" w:lastColumn="0" w:oddVBand="0" w:evenVBand="0" w:oddHBand="0" w:evenHBand="0" w:firstRowFirstColumn="0" w:firstRowLastColumn="0" w:lastRowFirstColumn="0" w:lastRowLastColumn="0"/>
            <w:tcW w:w="2092" w:type="dxa"/>
          </w:tcPr>
          <w:p w14:paraId="50AE4EBF" w14:textId="0556ED6B" w:rsidR="00881B65" w:rsidRPr="009720F3" w:rsidRDefault="00881B65" w:rsidP="00CE2EDC">
            <w:pPr>
              <w:spacing w:before="40" w:after="40"/>
              <w:rPr>
                <w:sz w:val="18"/>
                <w:szCs w:val="20"/>
              </w:rPr>
            </w:pPr>
            <w:r w:rsidRPr="009720F3">
              <w:rPr>
                <w:sz w:val="18"/>
                <w:szCs w:val="20"/>
              </w:rPr>
              <w:t>Hillston Weir</w:t>
            </w:r>
            <w:r w:rsidR="00F66C20" w:rsidRPr="00F66C20">
              <w:rPr>
                <w:sz w:val="18"/>
                <w:szCs w:val="20"/>
                <w:vertAlign w:val="superscript"/>
              </w:rPr>
              <w:t>1</w:t>
            </w:r>
          </w:p>
        </w:tc>
        <w:tc>
          <w:tcPr>
            <w:tcW w:w="1803" w:type="dxa"/>
          </w:tcPr>
          <w:p w14:paraId="4A0FDC57" w14:textId="07B2232B" w:rsidR="00881B65" w:rsidRPr="009720F3" w:rsidRDefault="00881B65" w:rsidP="00CE2EDC">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98 131</w:t>
            </w:r>
          </w:p>
        </w:tc>
        <w:tc>
          <w:tcPr>
            <w:tcW w:w="2768" w:type="dxa"/>
          </w:tcPr>
          <w:p w14:paraId="5D84BF1C" w14:textId="14D190C7" w:rsidR="00881B65" w:rsidRPr="009720F3" w:rsidRDefault="00272975" w:rsidP="00CE2EDC">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10 834</w:t>
            </w:r>
          </w:p>
        </w:tc>
      </w:tr>
      <w:tr w:rsidR="00881B65" w14:paraId="11FE0739" w14:textId="77777777" w:rsidTr="00881B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2" w:type="dxa"/>
          </w:tcPr>
          <w:p w14:paraId="1B812254" w14:textId="326FEDFD" w:rsidR="00881B65" w:rsidRPr="009720F3" w:rsidRDefault="00881B65" w:rsidP="00CE2EDC">
            <w:pPr>
              <w:spacing w:before="40" w:after="40"/>
              <w:rPr>
                <w:sz w:val="18"/>
                <w:szCs w:val="20"/>
              </w:rPr>
            </w:pPr>
            <w:r w:rsidRPr="009720F3">
              <w:rPr>
                <w:sz w:val="18"/>
                <w:szCs w:val="20"/>
              </w:rPr>
              <w:t>Booligal</w:t>
            </w:r>
            <w:r w:rsidR="00F66C20" w:rsidRPr="00F66C20">
              <w:rPr>
                <w:sz w:val="18"/>
                <w:szCs w:val="20"/>
                <w:vertAlign w:val="superscript"/>
              </w:rPr>
              <w:t>1</w:t>
            </w:r>
          </w:p>
        </w:tc>
        <w:tc>
          <w:tcPr>
            <w:tcW w:w="1803" w:type="dxa"/>
          </w:tcPr>
          <w:p w14:paraId="440EC004" w14:textId="2E2C7091" w:rsidR="00881B65" w:rsidRPr="009720F3" w:rsidRDefault="00F66C20" w:rsidP="00CE2EDC">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44 063</w:t>
            </w:r>
          </w:p>
        </w:tc>
        <w:tc>
          <w:tcPr>
            <w:tcW w:w="2768" w:type="dxa"/>
          </w:tcPr>
          <w:p w14:paraId="04E92895" w14:textId="33F7E377" w:rsidR="00272975" w:rsidRPr="009720F3" w:rsidRDefault="00272975" w:rsidP="00CE2EDC">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10 834</w:t>
            </w:r>
          </w:p>
        </w:tc>
      </w:tr>
    </w:tbl>
    <w:p w14:paraId="5967CDFA" w14:textId="0D9109FF" w:rsidR="001356C6" w:rsidRDefault="001356C6" w:rsidP="001356C6">
      <w:r w:rsidRPr="00AE6D79">
        <w:rPr>
          <w:vertAlign w:val="superscript"/>
        </w:rPr>
        <w:t>1</w:t>
      </w:r>
      <w:r>
        <w:t xml:space="preserve"> </w:t>
      </w:r>
      <w:r w:rsidR="00F66C20">
        <w:rPr>
          <w:sz w:val="18"/>
        </w:rPr>
        <w:t>Assumes that all flow except that delivered to Yarrabandai Lagoon reaches Hillston Weir and then Booligal Weir</w:t>
      </w:r>
      <w:r w:rsidR="00272975">
        <w:rPr>
          <w:sz w:val="18"/>
        </w:rPr>
        <w:t xml:space="preserve"> and a 40% loss rate applied between Cotton’s Weir and Hillston Weir based on data from NSW Water</w:t>
      </w:r>
      <w:r w:rsidRPr="00AE6D79">
        <w:rPr>
          <w:sz w:val="18"/>
        </w:rPr>
        <w:t xml:space="preserve">. </w:t>
      </w:r>
      <w:r w:rsidR="00272975">
        <w:rPr>
          <w:sz w:val="18"/>
        </w:rPr>
        <w:t>No loss applied between Hillston Weir and Booligal.</w:t>
      </w:r>
    </w:p>
    <w:p w14:paraId="7E55D977" w14:textId="439B69E7" w:rsidR="001356C6" w:rsidRDefault="001356C6" w:rsidP="001356C6">
      <w:r>
        <w:t>While the volume of Commonwealth environmental water was a small proportion of the annual flow in the river at Forbes</w:t>
      </w:r>
      <w:r w:rsidR="00BD4B58">
        <w:t xml:space="preserve"> (4%)</w:t>
      </w:r>
      <w:r>
        <w:t xml:space="preserve">, </w:t>
      </w:r>
      <w:r w:rsidR="00355D31">
        <w:t xml:space="preserve">it </w:t>
      </w:r>
      <w:r>
        <w:t xml:space="preserve">was </w:t>
      </w:r>
      <w:r w:rsidR="00843F24">
        <w:t xml:space="preserve">a significant proportion of the flow in the lower river (24% of annual flow at Booligal). Commonwealth environmental water was </w:t>
      </w:r>
      <w:r>
        <w:t xml:space="preserve">strategically delivered </w:t>
      </w:r>
      <w:r w:rsidR="00843F24">
        <w:t xml:space="preserve">in both the mid and Lower Lachlan </w:t>
      </w:r>
      <w:r>
        <w:t>to modify the flow regime</w:t>
      </w:r>
      <w:r w:rsidR="00843F24">
        <w:t xml:space="preserve"> to support specific ecological objectives</w:t>
      </w:r>
      <w:r w:rsidRPr="001A2168">
        <w:t>.</w:t>
      </w:r>
      <w:r w:rsidR="005C2055">
        <w:t xml:space="preserve"> </w:t>
      </w:r>
      <w:r w:rsidRPr="001A2168">
        <w:t xml:space="preserve">The details of </w:t>
      </w:r>
      <w:r w:rsidR="00843F24">
        <w:t xml:space="preserve">each of the watering actions </w:t>
      </w:r>
      <w:r w:rsidRPr="001A2168">
        <w:t>are described in the following sections.</w:t>
      </w:r>
    </w:p>
    <w:p w14:paraId="3C3A993C" w14:textId="2F15763A" w:rsidR="00CE0F58" w:rsidRDefault="00CE0F58">
      <w:pPr>
        <w:spacing w:before="0" w:after="0"/>
      </w:pPr>
      <w:r>
        <w:br w:type="page"/>
      </w:r>
    </w:p>
    <w:p w14:paraId="5F71E78F" w14:textId="1B195D68" w:rsidR="00B01180" w:rsidRDefault="00B01180" w:rsidP="00B01180">
      <w:pPr>
        <w:pStyle w:val="Heading3"/>
      </w:pPr>
      <w:bookmarkStart w:id="107" w:name="_Ref31876974"/>
      <w:bookmarkStart w:id="108" w:name="_Ref31876978"/>
      <w:bookmarkStart w:id="109" w:name="_Toc31985453"/>
      <w:r>
        <w:t>Watering Action</w:t>
      </w:r>
      <w:r>
        <w:rPr>
          <w:lang w:val="en-US"/>
        </w:rPr>
        <w:t>s</w:t>
      </w:r>
      <w:r>
        <w:t xml:space="preserve"> 1</w:t>
      </w:r>
      <w:r>
        <w:rPr>
          <w:lang w:val="en-US"/>
        </w:rPr>
        <w:t xml:space="preserve"> and 2</w:t>
      </w:r>
      <w:r>
        <w:t>:  Supporting native fish outcomes</w:t>
      </w:r>
      <w:bookmarkEnd w:id="107"/>
      <w:bookmarkEnd w:id="108"/>
      <w:bookmarkEnd w:id="109"/>
    </w:p>
    <w:p w14:paraId="775F3840" w14:textId="1C7A4CEC" w:rsidR="00EB768B" w:rsidRDefault="00EB768B" w:rsidP="00EB768B">
      <w:pPr>
        <w:rPr>
          <w:lang w:eastAsia="x-none"/>
        </w:rPr>
      </w:pPr>
      <w:r>
        <w:t xml:space="preserve">The first two watering actions were delivered to provide flow components that support native fish outcomes. This included: </w:t>
      </w:r>
    </w:p>
    <w:p w14:paraId="1AFDE052" w14:textId="05FAB216" w:rsidR="00EB768B" w:rsidRDefault="00EB768B" w:rsidP="00EB768B">
      <w:pPr>
        <w:pStyle w:val="ListParagraph"/>
        <w:numPr>
          <w:ilvl w:val="0"/>
          <w:numId w:val="9"/>
        </w:numPr>
        <w:rPr>
          <w:lang w:eastAsia="x-none"/>
        </w:rPr>
      </w:pPr>
      <w:r>
        <w:rPr>
          <w:lang w:val="en-US" w:eastAsia="x-none"/>
        </w:rPr>
        <w:t>a spring fresh which aimed to support the condition and movement of native fish, such as Murray cod prior to the spawning season, and</w:t>
      </w:r>
    </w:p>
    <w:p w14:paraId="18936104" w14:textId="6C845FA1" w:rsidR="00EB768B" w:rsidRDefault="00EB768B" w:rsidP="00EB768B">
      <w:pPr>
        <w:pStyle w:val="ListParagraph"/>
        <w:numPr>
          <w:ilvl w:val="0"/>
          <w:numId w:val="9"/>
        </w:numPr>
        <w:rPr>
          <w:lang w:eastAsia="x-none"/>
        </w:rPr>
      </w:pPr>
      <w:r>
        <w:rPr>
          <w:lang w:val="en-US" w:eastAsia="x-none"/>
        </w:rPr>
        <w:t xml:space="preserve">maintaining </w:t>
      </w:r>
      <w:r w:rsidR="00BD4B58">
        <w:rPr>
          <w:lang w:val="en-US" w:eastAsia="x-none"/>
        </w:rPr>
        <w:t xml:space="preserve">a </w:t>
      </w:r>
      <w:r>
        <w:rPr>
          <w:lang w:val="en-US" w:eastAsia="x-none"/>
        </w:rPr>
        <w:t xml:space="preserve">base flow in the river to prevent </w:t>
      </w:r>
      <w:r w:rsidR="00BD4B58">
        <w:rPr>
          <w:lang w:val="en-US" w:eastAsia="x-none"/>
        </w:rPr>
        <w:t>a</w:t>
      </w:r>
      <w:r>
        <w:rPr>
          <w:lang w:val="en-US" w:eastAsia="x-none"/>
        </w:rPr>
        <w:t xml:space="preserve"> drop in river level</w:t>
      </w:r>
      <w:r w:rsidR="00BD4B58">
        <w:rPr>
          <w:lang w:val="en-US" w:eastAsia="x-none"/>
        </w:rPr>
        <w:t xml:space="preserve"> below 800</w:t>
      </w:r>
      <w:r w:rsidR="00953089">
        <w:rPr>
          <w:lang w:val="en-US" w:eastAsia="x-none"/>
        </w:rPr>
        <w:t> </w:t>
      </w:r>
      <w:r w:rsidR="00BD4B58">
        <w:rPr>
          <w:lang w:val="en-US" w:eastAsia="x-none"/>
        </w:rPr>
        <w:t>ML/day at Forbes (Cotton’s Weir)</w:t>
      </w:r>
      <w:r>
        <w:rPr>
          <w:lang w:val="en-US" w:eastAsia="x-none"/>
        </w:rPr>
        <w:t xml:space="preserve"> and the potential for nesting sites to be exposed or abandoned</w:t>
      </w:r>
      <w:r>
        <w:rPr>
          <w:lang w:eastAsia="x-none"/>
        </w:rPr>
        <w:t>.</w:t>
      </w:r>
    </w:p>
    <w:p w14:paraId="68FD84E8" w14:textId="3709DDA1" w:rsidR="00EB768B" w:rsidRDefault="00EB768B" w:rsidP="00EB768B">
      <w:pPr>
        <w:rPr>
          <w:lang w:eastAsia="x-none"/>
        </w:rPr>
      </w:pPr>
      <w:r>
        <w:rPr>
          <w:lang w:eastAsia="x-none"/>
        </w:rPr>
        <w:t xml:space="preserve">The targets were set for Forbes (Cotton’s Weir). No flow targets were set for the </w:t>
      </w:r>
      <w:r w:rsidR="007829E7">
        <w:rPr>
          <w:lang w:eastAsia="x-none"/>
        </w:rPr>
        <w:t>Lower Lachlan r</w:t>
      </w:r>
      <w:r>
        <w:rPr>
          <w:lang w:eastAsia="x-none"/>
        </w:rPr>
        <w:t xml:space="preserve">iver </w:t>
      </w:r>
      <w:r w:rsidR="007829E7">
        <w:rPr>
          <w:lang w:eastAsia="x-none"/>
        </w:rPr>
        <w:t>system</w:t>
      </w:r>
      <w:r w:rsidR="00000CE1">
        <w:rPr>
          <w:lang w:eastAsia="x-none"/>
        </w:rPr>
        <w:t>,</w:t>
      </w:r>
      <w:r w:rsidR="007829E7">
        <w:rPr>
          <w:lang w:eastAsia="x-none"/>
        </w:rPr>
        <w:t xml:space="preserve"> </w:t>
      </w:r>
      <w:r>
        <w:rPr>
          <w:lang w:eastAsia="x-none"/>
        </w:rPr>
        <w:t xml:space="preserve">but the flows were to continue through the river system to provide a ‘run of river’. </w:t>
      </w:r>
    </w:p>
    <w:p w14:paraId="55DFB55C" w14:textId="4DA7E0F3" w:rsidR="00EB768B" w:rsidRDefault="00EB768B" w:rsidP="00EB768B">
      <w:pPr>
        <w:rPr>
          <w:lang w:eastAsia="x-none"/>
        </w:rPr>
      </w:pPr>
      <w:r>
        <w:rPr>
          <w:lang w:eastAsia="x-none"/>
        </w:rPr>
        <w:t>Watering action 1 commenced on the 29</w:t>
      </w:r>
      <w:r w:rsidRPr="00EB768B">
        <w:rPr>
          <w:vertAlign w:val="superscript"/>
          <w:lang w:eastAsia="x-none"/>
        </w:rPr>
        <w:t>th</w:t>
      </w:r>
      <w:r>
        <w:rPr>
          <w:lang w:eastAsia="x-none"/>
        </w:rPr>
        <w:t xml:space="preserve"> August at Forbes</w:t>
      </w:r>
      <w:r w:rsidR="00B76788">
        <w:rPr>
          <w:lang w:eastAsia="x-none"/>
        </w:rPr>
        <w:t xml:space="preserve"> (Cotton’s Weir) rising quickly to around 2</w:t>
      </w:r>
      <w:r w:rsidR="00282E26">
        <w:rPr>
          <w:lang w:eastAsia="x-none"/>
        </w:rPr>
        <w:t>,</w:t>
      </w:r>
      <w:r w:rsidR="00B76788">
        <w:rPr>
          <w:lang w:eastAsia="x-none"/>
        </w:rPr>
        <w:t>600 ML/day for around 6 days with a peak of just over 2</w:t>
      </w:r>
      <w:r w:rsidR="00282E26">
        <w:rPr>
          <w:lang w:eastAsia="x-none"/>
        </w:rPr>
        <w:t>,</w:t>
      </w:r>
      <w:r w:rsidR="00B76788">
        <w:rPr>
          <w:lang w:eastAsia="x-none"/>
        </w:rPr>
        <w:t>700 ML/day on the 2</w:t>
      </w:r>
      <w:r w:rsidR="00B76788" w:rsidRPr="00B76788">
        <w:rPr>
          <w:vertAlign w:val="superscript"/>
          <w:lang w:eastAsia="x-none"/>
        </w:rPr>
        <w:t>nd</w:t>
      </w:r>
      <w:r w:rsidR="00282E26">
        <w:rPr>
          <w:lang w:eastAsia="x-none"/>
        </w:rPr>
        <w:t xml:space="preserve"> </w:t>
      </w:r>
      <w:r w:rsidR="00B76788">
        <w:rPr>
          <w:lang w:eastAsia="x-none"/>
        </w:rPr>
        <w:t>September before receding until the 15</w:t>
      </w:r>
      <w:r w:rsidR="00B76788" w:rsidRPr="00B76788">
        <w:rPr>
          <w:vertAlign w:val="superscript"/>
          <w:lang w:eastAsia="x-none"/>
        </w:rPr>
        <w:t>th</w:t>
      </w:r>
      <w:r w:rsidR="00B76788">
        <w:rPr>
          <w:lang w:eastAsia="x-none"/>
        </w:rPr>
        <w:t xml:space="preserve"> September</w:t>
      </w:r>
      <w:r w:rsidR="00190A04">
        <w:rPr>
          <w:lang w:eastAsia="x-none"/>
        </w:rPr>
        <w:t xml:space="preserve"> (</w:t>
      </w:r>
      <w:r w:rsidR="00190A04">
        <w:rPr>
          <w:lang w:eastAsia="x-none"/>
        </w:rPr>
        <w:fldChar w:fldCharType="begin"/>
      </w:r>
      <w:r w:rsidR="00190A04">
        <w:rPr>
          <w:lang w:eastAsia="x-none"/>
        </w:rPr>
        <w:instrText xml:space="preserve"> REF _Ref18006449 \h </w:instrText>
      </w:r>
      <w:r w:rsidR="00190A04">
        <w:rPr>
          <w:lang w:eastAsia="x-none"/>
        </w:rPr>
      </w:r>
      <w:r w:rsidR="00190A04">
        <w:rPr>
          <w:lang w:eastAsia="x-none"/>
        </w:rPr>
        <w:fldChar w:fldCharType="separate"/>
      </w:r>
      <w:r w:rsidR="007F7607">
        <w:t xml:space="preserve">Figure </w:t>
      </w:r>
      <w:r w:rsidR="007F7607">
        <w:rPr>
          <w:noProof/>
        </w:rPr>
        <w:t>8</w:t>
      </w:r>
      <w:r w:rsidR="00190A04">
        <w:rPr>
          <w:lang w:eastAsia="x-none"/>
        </w:rPr>
        <w:fldChar w:fldCharType="end"/>
      </w:r>
      <w:r w:rsidR="00190A04">
        <w:rPr>
          <w:lang w:eastAsia="x-none"/>
        </w:rPr>
        <w:t>)</w:t>
      </w:r>
      <w:r w:rsidR="00B76788">
        <w:rPr>
          <w:lang w:eastAsia="x-none"/>
        </w:rPr>
        <w:t xml:space="preserve">. </w:t>
      </w:r>
      <w:r w:rsidR="00190A04">
        <w:rPr>
          <w:lang w:eastAsia="x-none"/>
        </w:rPr>
        <w:t>This watering action built on operational releases to increase water levels to almost 2</w:t>
      </w:r>
      <w:r w:rsidR="00282E26">
        <w:rPr>
          <w:lang w:eastAsia="x-none"/>
        </w:rPr>
        <w:t>,</w:t>
      </w:r>
      <w:r w:rsidR="00190A04">
        <w:rPr>
          <w:lang w:eastAsia="x-none"/>
        </w:rPr>
        <w:t>700 ML/day and modified the operational recession to generate a more natural hydrograph as water levels dropped to just below 1</w:t>
      </w:r>
      <w:r w:rsidR="00282E26">
        <w:rPr>
          <w:lang w:eastAsia="x-none"/>
        </w:rPr>
        <w:t>,</w:t>
      </w:r>
      <w:r w:rsidR="00190A04">
        <w:rPr>
          <w:lang w:eastAsia="x-none"/>
        </w:rPr>
        <w:t xml:space="preserve">000 ML/day. </w:t>
      </w:r>
    </w:p>
    <w:p w14:paraId="2DB6D0D9" w14:textId="788D4B56" w:rsidR="00FA1D03" w:rsidRDefault="00190A04" w:rsidP="00FA1D03">
      <w:pPr>
        <w:rPr>
          <w:lang w:eastAsia="x-none"/>
        </w:rPr>
      </w:pPr>
      <w:r>
        <w:rPr>
          <w:lang w:eastAsia="x-none"/>
        </w:rPr>
        <w:t xml:space="preserve">Watering action 2 </w:t>
      </w:r>
      <w:r w:rsidR="00BD4B58">
        <w:rPr>
          <w:lang w:eastAsia="x-none"/>
        </w:rPr>
        <w:t>made</w:t>
      </w:r>
      <w:r w:rsidR="002010FC">
        <w:rPr>
          <w:lang w:eastAsia="x-none"/>
        </w:rPr>
        <w:t xml:space="preserve"> Commonwealth environmental water </w:t>
      </w:r>
      <w:r w:rsidR="00BD4B58">
        <w:rPr>
          <w:lang w:eastAsia="x-none"/>
        </w:rPr>
        <w:t xml:space="preserve">available </w:t>
      </w:r>
      <w:r w:rsidR="002010FC">
        <w:rPr>
          <w:lang w:eastAsia="x-none"/>
        </w:rPr>
        <w:t>to keep the river above 800 ML/day</w:t>
      </w:r>
      <w:r w:rsidR="00BD4B58">
        <w:rPr>
          <w:lang w:eastAsia="x-none"/>
        </w:rPr>
        <w:t xml:space="preserve"> at Forbes (Cotton’s Weir)</w:t>
      </w:r>
      <w:r w:rsidR="002010FC">
        <w:rPr>
          <w:lang w:eastAsia="x-none"/>
        </w:rPr>
        <w:t xml:space="preserve"> between the 17</w:t>
      </w:r>
      <w:r w:rsidR="002010FC" w:rsidRPr="002010FC">
        <w:rPr>
          <w:vertAlign w:val="superscript"/>
          <w:lang w:eastAsia="x-none"/>
        </w:rPr>
        <w:t>th</w:t>
      </w:r>
      <w:r w:rsidR="002010FC">
        <w:rPr>
          <w:lang w:eastAsia="x-none"/>
        </w:rPr>
        <w:t xml:space="preserve"> October and the 3</w:t>
      </w:r>
      <w:r w:rsidR="002010FC" w:rsidRPr="002010FC">
        <w:rPr>
          <w:vertAlign w:val="superscript"/>
          <w:lang w:eastAsia="x-none"/>
        </w:rPr>
        <w:t>rd</w:t>
      </w:r>
      <w:r w:rsidR="002010FC">
        <w:rPr>
          <w:lang w:eastAsia="x-none"/>
        </w:rPr>
        <w:t xml:space="preserve"> December. During this period, operational releases maintained flows above the specified level for the majority of the time, with only 2</w:t>
      </w:r>
      <w:r w:rsidR="00953089">
        <w:rPr>
          <w:lang w:eastAsia="x-none"/>
        </w:rPr>
        <w:t>,</w:t>
      </w:r>
      <w:r w:rsidR="002010FC">
        <w:rPr>
          <w:lang w:eastAsia="x-none"/>
        </w:rPr>
        <w:t xml:space="preserve">032 ML </w:t>
      </w:r>
      <w:r w:rsidR="00FA1D03">
        <w:rPr>
          <w:lang w:eastAsia="x-none"/>
        </w:rPr>
        <w:t xml:space="preserve">of Commonwealth environmental </w:t>
      </w:r>
      <w:r w:rsidR="002010FC">
        <w:rPr>
          <w:lang w:eastAsia="x-none"/>
        </w:rPr>
        <w:t>water used between the 22</w:t>
      </w:r>
      <w:r w:rsidR="002010FC" w:rsidRPr="002010FC">
        <w:rPr>
          <w:vertAlign w:val="superscript"/>
          <w:lang w:eastAsia="x-none"/>
        </w:rPr>
        <w:t>nd</w:t>
      </w:r>
      <w:r w:rsidR="002010FC">
        <w:rPr>
          <w:lang w:eastAsia="x-none"/>
        </w:rPr>
        <w:t xml:space="preserve"> and the 30</w:t>
      </w:r>
      <w:r w:rsidR="002010FC" w:rsidRPr="002010FC">
        <w:rPr>
          <w:vertAlign w:val="superscript"/>
          <w:lang w:eastAsia="x-none"/>
        </w:rPr>
        <w:t>th</w:t>
      </w:r>
      <w:r w:rsidR="002010FC">
        <w:rPr>
          <w:lang w:eastAsia="x-none"/>
        </w:rPr>
        <w:t xml:space="preserve"> October to prevent water levels dropping (</w:t>
      </w:r>
      <w:r w:rsidR="002010FC">
        <w:rPr>
          <w:lang w:eastAsia="x-none"/>
        </w:rPr>
        <w:fldChar w:fldCharType="begin"/>
      </w:r>
      <w:r w:rsidR="002010FC">
        <w:rPr>
          <w:lang w:eastAsia="x-none"/>
        </w:rPr>
        <w:instrText xml:space="preserve"> REF _Ref18006449 \h </w:instrText>
      </w:r>
      <w:r w:rsidR="002010FC">
        <w:rPr>
          <w:lang w:eastAsia="x-none"/>
        </w:rPr>
      </w:r>
      <w:r w:rsidR="002010FC">
        <w:rPr>
          <w:lang w:eastAsia="x-none"/>
        </w:rPr>
        <w:fldChar w:fldCharType="separate"/>
      </w:r>
      <w:r w:rsidR="007F7607">
        <w:t xml:space="preserve">Figure </w:t>
      </w:r>
      <w:r w:rsidR="007F7607">
        <w:rPr>
          <w:noProof/>
        </w:rPr>
        <w:t>8</w:t>
      </w:r>
      <w:r w:rsidR="002010FC">
        <w:rPr>
          <w:lang w:eastAsia="x-none"/>
        </w:rPr>
        <w:fldChar w:fldCharType="end"/>
      </w:r>
      <w:r w:rsidR="002010FC">
        <w:rPr>
          <w:lang w:eastAsia="x-none"/>
        </w:rPr>
        <w:t xml:space="preserve">). </w:t>
      </w:r>
      <w:r w:rsidR="00FA1D03">
        <w:rPr>
          <w:lang w:eastAsia="x-none"/>
        </w:rPr>
        <w:t>The use of Commonwealth water prevented the river from dropping between 0.05 and 0.</w:t>
      </w:r>
      <w:r w:rsidR="000A6CF5">
        <w:rPr>
          <w:lang w:eastAsia="x-none"/>
        </w:rPr>
        <w:t>25</w:t>
      </w:r>
      <w:r w:rsidR="00FA1D03">
        <w:rPr>
          <w:lang w:eastAsia="x-none"/>
        </w:rPr>
        <w:t xml:space="preserve"> m</w:t>
      </w:r>
      <w:r w:rsidR="00E219FB">
        <w:rPr>
          <w:lang w:eastAsia="x-none"/>
        </w:rPr>
        <w:t>,</w:t>
      </w:r>
      <w:r w:rsidR="00456556">
        <w:rPr>
          <w:lang w:eastAsia="x-none"/>
        </w:rPr>
        <w:t xml:space="preserve"> depending on location in the river. Small drops were prevented </w:t>
      </w:r>
      <w:r w:rsidR="00947C81">
        <w:rPr>
          <w:lang w:eastAsia="x-none"/>
        </w:rPr>
        <w:t xml:space="preserve">in </w:t>
      </w:r>
      <w:r w:rsidR="00456556">
        <w:rPr>
          <w:lang w:eastAsia="x-none"/>
        </w:rPr>
        <w:t xml:space="preserve">the </w:t>
      </w:r>
      <w:r w:rsidR="00947C81">
        <w:rPr>
          <w:lang w:eastAsia="x-none"/>
        </w:rPr>
        <w:t>weir pools such as Cotton’s Weir (</w:t>
      </w:r>
      <w:r w:rsidR="00947C81">
        <w:rPr>
          <w:lang w:eastAsia="x-none"/>
        </w:rPr>
        <w:fldChar w:fldCharType="begin"/>
      </w:r>
      <w:r w:rsidR="00947C81">
        <w:rPr>
          <w:lang w:eastAsia="x-none"/>
        </w:rPr>
        <w:instrText xml:space="preserve"> REF _Ref18006449 \h </w:instrText>
      </w:r>
      <w:r w:rsidR="00947C81">
        <w:rPr>
          <w:lang w:eastAsia="x-none"/>
        </w:rPr>
      </w:r>
      <w:r w:rsidR="00947C81">
        <w:rPr>
          <w:lang w:eastAsia="x-none"/>
        </w:rPr>
        <w:fldChar w:fldCharType="separate"/>
      </w:r>
      <w:r w:rsidR="007F7607">
        <w:t xml:space="preserve">Figure </w:t>
      </w:r>
      <w:r w:rsidR="007F7607">
        <w:rPr>
          <w:noProof/>
        </w:rPr>
        <w:t>8</w:t>
      </w:r>
      <w:r w:rsidR="00947C81">
        <w:rPr>
          <w:lang w:eastAsia="x-none"/>
        </w:rPr>
        <w:fldChar w:fldCharType="end"/>
      </w:r>
      <w:r w:rsidR="00947C81">
        <w:rPr>
          <w:lang w:eastAsia="x-none"/>
        </w:rPr>
        <w:t xml:space="preserve">) and </w:t>
      </w:r>
      <w:r w:rsidR="00456556">
        <w:rPr>
          <w:lang w:eastAsia="x-none"/>
        </w:rPr>
        <w:t>greater drops prevented</w:t>
      </w:r>
      <w:r w:rsidR="00947C81">
        <w:rPr>
          <w:lang w:eastAsia="x-none"/>
        </w:rPr>
        <w:t xml:space="preserve"> in the free flowing river such at Iron Bridge (</w:t>
      </w:r>
      <w:r w:rsidR="00456556">
        <w:rPr>
          <w:lang w:eastAsia="x-none"/>
        </w:rPr>
        <w:fldChar w:fldCharType="begin"/>
      </w:r>
      <w:r w:rsidR="00456556">
        <w:rPr>
          <w:lang w:eastAsia="x-none"/>
        </w:rPr>
        <w:instrText xml:space="preserve"> REF _Ref23831003 \h </w:instrText>
      </w:r>
      <w:r w:rsidR="00456556">
        <w:rPr>
          <w:lang w:eastAsia="x-none"/>
        </w:rPr>
      </w:r>
      <w:r w:rsidR="00456556">
        <w:rPr>
          <w:lang w:eastAsia="x-none"/>
        </w:rPr>
        <w:fldChar w:fldCharType="separate"/>
      </w:r>
      <w:r w:rsidR="007F7607">
        <w:t xml:space="preserve">Figure </w:t>
      </w:r>
      <w:r w:rsidR="007F7607">
        <w:rPr>
          <w:noProof/>
        </w:rPr>
        <w:t>9</w:t>
      </w:r>
      <w:r w:rsidR="00456556">
        <w:rPr>
          <w:lang w:eastAsia="x-none"/>
        </w:rPr>
        <w:fldChar w:fldCharType="end"/>
      </w:r>
      <w:r w:rsidR="00456556">
        <w:rPr>
          <w:lang w:eastAsia="x-none"/>
        </w:rPr>
        <w:t>)</w:t>
      </w:r>
      <w:r w:rsidR="00FA1D03">
        <w:rPr>
          <w:lang w:eastAsia="x-none"/>
        </w:rPr>
        <w:t>.</w:t>
      </w:r>
    </w:p>
    <w:p w14:paraId="5BECB32A" w14:textId="417682A5" w:rsidR="00190A04" w:rsidRDefault="00FA1D03" w:rsidP="00EB768B">
      <w:pPr>
        <w:rPr>
          <w:lang w:eastAsia="x-none"/>
        </w:rPr>
      </w:pPr>
      <w:r>
        <w:rPr>
          <w:lang w:eastAsia="x-none"/>
        </w:rPr>
        <w:t>No Commonwealth environmental water was used after the 30</w:t>
      </w:r>
      <w:r w:rsidRPr="00FA1D03">
        <w:rPr>
          <w:vertAlign w:val="superscript"/>
          <w:lang w:eastAsia="x-none"/>
        </w:rPr>
        <w:t>th</w:t>
      </w:r>
      <w:r>
        <w:rPr>
          <w:lang w:eastAsia="x-none"/>
        </w:rPr>
        <w:t xml:space="preserve"> October and f</w:t>
      </w:r>
      <w:r w:rsidR="002010FC">
        <w:rPr>
          <w:lang w:eastAsia="x-none"/>
        </w:rPr>
        <w:t>lows dropped below 800 ML/day</w:t>
      </w:r>
      <w:r>
        <w:rPr>
          <w:lang w:eastAsia="x-none"/>
        </w:rPr>
        <w:t xml:space="preserve"> to between 730 and 775 ML/day</w:t>
      </w:r>
      <w:r w:rsidR="002010FC">
        <w:rPr>
          <w:lang w:eastAsia="x-none"/>
        </w:rPr>
        <w:t xml:space="preserve"> for four days at the start of November before returning to flows that were well above 800 ML/day. </w:t>
      </w:r>
      <w:r>
        <w:rPr>
          <w:lang w:eastAsia="x-none"/>
        </w:rPr>
        <w:t xml:space="preserve">This was a drop of </w:t>
      </w:r>
      <w:r w:rsidR="00456556">
        <w:rPr>
          <w:lang w:eastAsia="x-none"/>
        </w:rPr>
        <w:t>less than 5 cm</w:t>
      </w:r>
      <w:r>
        <w:rPr>
          <w:lang w:eastAsia="x-none"/>
        </w:rPr>
        <w:t xml:space="preserve"> in water level.</w:t>
      </w:r>
      <w:r w:rsidR="002010FC">
        <w:rPr>
          <w:lang w:eastAsia="x-none"/>
        </w:rPr>
        <w:t xml:space="preserve"> </w:t>
      </w:r>
    </w:p>
    <w:p w14:paraId="431D0689" w14:textId="5D8B649E" w:rsidR="002435C1" w:rsidRDefault="002435C1" w:rsidP="002435C1">
      <w:pPr>
        <w:keepNext/>
      </w:pPr>
      <w:r>
        <w:rPr>
          <w:noProof/>
          <w:lang w:eastAsia="en-AU"/>
        </w:rPr>
        <w:drawing>
          <wp:inline distT="0" distB="0" distL="0" distR="0" wp14:anchorId="14A108A9" wp14:editId="73C47FAE">
            <wp:extent cx="5638800" cy="367921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672536" cy="3701230"/>
                    </a:xfrm>
                    <a:prstGeom prst="rect">
                      <a:avLst/>
                    </a:prstGeom>
                    <a:noFill/>
                  </pic:spPr>
                </pic:pic>
              </a:graphicData>
            </a:graphic>
          </wp:inline>
        </w:drawing>
      </w:r>
    </w:p>
    <w:p w14:paraId="479FF0E4" w14:textId="4B80D1DC" w:rsidR="00190A04" w:rsidRDefault="00232C31" w:rsidP="002435C1">
      <w:pPr>
        <w:keepNext/>
      </w:pPr>
      <w:r>
        <w:rPr>
          <w:noProof/>
          <w:lang w:eastAsia="en-AU"/>
        </w:rPr>
        <w:drawing>
          <wp:inline distT="0" distB="0" distL="0" distR="0" wp14:anchorId="13323FDC" wp14:editId="27FFB1E0">
            <wp:extent cx="5583600" cy="364320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583600" cy="3643200"/>
                    </a:xfrm>
                    <a:prstGeom prst="rect">
                      <a:avLst/>
                    </a:prstGeom>
                    <a:noFill/>
                  </pic:spPr>
                </pic:pic>
              </a:graphicData>
            </a:graphic>
          </wp:inline>
        </w:drawing>
      </w:r>
    </w:p>
    <w:p w14:paraId="522DD642" w14:textId="120A77D5" w:rsidR="002435C1" w:rsidRDefault="002435C1" w:rsidP="002435C1">
      <w:pPr>
        <w:pStyle w:val="Caption"/>
      </w:pPr>
      <w:bookmarkStart w:id="110" w:name="_Ref18006449"/>
      <w:bookmarkStart w:id="111" w:name="_Toc31985572"/>
      <w:r>
        <w:t xml:space="preserve">Figure </w:t>
      </w:r>
      <w:r>
        <w:fldChar w:fldCharType="begin"/>
      </w:r>
      <w:r>
        <w:instrText>SEQ Figure \* ARABIC</w:instrText>
      </w:r>
      <w:r>
        <w:fldChar w:fldCharType="separate"/>
      </w:r>
      <w:r w:rsidR="007F7607">
        <w:rPr>
          <w:noProof/>
        </w:rPr>
        <w:t>8</w:t>
      </w:r>
      <w:r>
        <w:fldChar w:fldCharType="end"/>
      </w:r>
      <w:bookmarkEnd w:id="110"/>
      <w:r>
        <w:t xml:space="preserve">. Flow (top) </w:t>
      </w:r>
      <w:r w:rsidR="00190A04">
        <w:t xml:space="preserve">and </w:t>
      </w:r>
      <w:r w:rsidR="00232C31">
        <w:t xml:space="preserve">estimated </w:t>
      </w:r>
      <w:r w:rsidR="00190A04">
        <w:t xml:space="preserve">water level (bottom) </w:t>
      </w:r>
      <w:r>
        <w:t>at Cotton’s Weir (Forbes) for the period 1 July 2018 to 30 June 2019 showing Watering Actions 1 and 2.</w:t>
      </w:r>
      <w:bookmarkEnd w:id="111"/>
      <w:r>
        <w:t xml:space="preserve"> </w:t>
      </w:r>
    </w:p>
    <w:p w14:paraId="0820F9F2" w14:textId="71FB61FB" w:rsidR="004174D9" w:rsidRDefault="002435C1" w:rsidP="004174D9">
      <w:pPr>
        <w:pStyle w:val="Caption"/>
      </w:pPr>
      <w:r>
        <w:t xml:space="preserve">Commonwealth (green) environmental water are shown along with estimates of river flow (flow including the licensed delivery of water but not including environmental water) in </w:t>
      </w:r>
      <w:r w:rsidRPr="00B801C0">
        <w:t>grey.</w:t>
      </w:r>
      <w:r>
        <w:t xml:space="preserve"> The orange horizontal line shows the target 800 ML/day.</w:t>
      </w:r>
      <w:r w:rsidRPr="00B801C0">
        <w:t xml:space="preserve"> Refer to</w:t>
      </w:r>
      <w:r w:rsidR="00D11E50">
        <w:t xml:space="preserve"> </w:t>
      </w:r>
      <w:r w:rsidR="00D11E50">
        <w:fldChar w:fldCharType="begin"/>
      </w:r>
      <w:r w:rsidR="00D11E50">
        <w:instrText xml:space="preserve"> REF _Ref530139299 \h </w:instrText>
      </w:r>
      <w:r w:rsidR="00D11E50">
        <w:fldChar w:fldCharType="separate"/>
      </w:r>
      <w:r w:rsidR="007F7607">
        <w:t xml:space="preserve">Figure </w:t>
      </w:r>
      <w:r w:rsidR="007F7607">
        <w:rPr>
          <w:noProof/>
        </w:rPr>
        <w:t>7</w:t>
      </w:r>
      <w:r w:rsidR="00D11E50">
        <w:fldChar w:fldCharType="end"/>
      </w:r>
      <w:r w:rsidR="00D11E50">
        <w:t xml:space="preserve"> </w:t>
      </w:r>
      <w:r w:rsidRPr="00B801C0">
        <w:t>for gauge location.</w:t>
      </w:r>
    </w:p>
    <w:p w14:paraId="11DB2DE9" w14:textId="77777777" w:rsidR="00456556" w:rsidRDefault="00456556" w:rsidP="00456556">
      <w:pPr>
        <w:keepNext/>
      </w:pPr>
      <w:r>
        <w:rPr>
          <w:noProof/>
          <w:lang w:eastAsia="en-AU"/>
        </w:rPr>
        <w:drawing>
          <wp:inline distT="0" distB="0" distL="0" distR="0" wp14:anchorId="70B1DE9D" wp14:editId="4F083049">
            <wp:extent cx="5580000" cy="364320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580000" cy="3643200"/>
                    </a:xfrm>
                    <a:prstGeom prst="rect">
                      <a:avLst/>
                    </a:prstGeom>
                    <a:noFill/>
                  </pic:spPr>
                </pic:pic>
              </a:graphicData>
            </a:graphic>
          </wp:inline>
        </w:drawing>
      </w:r>
    </w:p>
    <w:p w14:paraId="2E150E47" w14:textId="02D06955" w:rsidR="00456556" w:rsidRDefault="00456556" w:rsidP="00456556">
      <w:pPr>
        <w:pStyle w:val="Caption"/>
      </w:pPr>
      <w:bookmarkStart w:id="112" w:name="_Ref23831003"/>
      <w:bookmarkStart w:id="113" w:name="_Toc31985573"/>
      <w:r>
        <w:t xml:space="preserve">Figure </w:t>
      </w:r>
      <w:r>
        <w:fldChar w:fldCharType="begin"/>
      </w:r>
      <w:r>
        <w:instrText>SEQ Figure \* ARABIC</w:instrText>
      </w:r>
      <w:r>
        <w:fldChar w:fldCharType="separate"/>
      </w:r>
      <w:r w:rsidR="007F7607">
        <w:rPr>
          <w:noProof/>
        </w:rPr>
        <w:t>9</w:t>
      </w:r>
      <w:r>
        <w:fldChar w:fldCharType="end"/>
      </w:r>
      <w:bookmarkEnd w:id="112"/>
      <w:r>
        <w:t>. Estimated water level at Iron Bridge (Forbes) for the period 1 July 2018 to 30 June 2019 showing Watering Actions 1 and 2.</w:t>
      </w:r>
      <w:bookmarkEnd w:id="113"/>
      <w:r>
        <w:t xml:space="preserve"> </w:t>
      </w:r>
    </w:p>
    <w:p w14:paraId="205E467E" w14:textId="118F6E70" w:rsidR="00947C81" w:rsidRDefault="00456556" w:rsidP="00456556">
      <w:pPr>
        <w:pStyle w:val="Caption"/>
      </w:pPr>
      <w:r>
        <w:t xml:space="preserve">Commonwealth (green) environmental water are shown along with estimates of river flow (flow including the licensed delivery of water but not including environmental water) in </w:t>
      </w:r>
      <w:r w:rsidRPr="00B801C0">
        <w:t>grey.</w:t>
      </w:r>
      <w:r>
        <w:t xml:space="preserve"> The orange horizontal line shows the target 800 ML/day.</w:t>
      </w:r>
      <w:r w:rsidRPr="00B801C0">
        <w:t xml:space="preserve"> Refer to</w:t>
      </w:r>
      <w:r>
        <w:t xml:space="preserve"> </w:t>
      </w:r>
      <w:r>
        <w:fldChar w:fldCharType="begin"/>
      </w:r>
      <w:r>
        <w:instrText xml:space="preserve"> REF _Ref530139299 \h </w:instrText>
      </w:r>
      <w:r>
        <w:fldChar w:fldCharType="separate"/>
      </w:r>
      <w:r w:rsidR="007F7607">
        <w:t xml:space="preserve">Figure </w:t>
      </w:r>
      <w:r w:rsidR="007F7607">
        <w:rPr>
          <w:noProof/>
        </w:rPr>
        <w:t>7</w:t>
      </w:r>
      <w:r>
        <w:fldChar w:fldCharType="end"/>
      </w:r>
      <w:r>
        <w:t xml:space="preserve"> </w:t>
      </w:r>
      <w:r w:rsidRPr="00B801C0">
        <w:t>for gauge location.</w:t>
      </w:r>
    </w:p>
    <w:p w14:paraId="477D79EA" w14:textId="2473BA90" w:rsidR="00D570DE" w:rsidRDefault="00502E24" w:rsidP="00502E24">
      <w:pPr>
        <w:rPr>
          <w:lang w:eastAsia="x-none"/>
        </w:rPr>
      </w:pPr>
      <w:r>
        <w:rPr>
          <w:lang w:eastAsia="x-none"/>
        </w:rPr>
        <w:t>Watering Action</w:t>
      </w:r>
      <w:r w:rsidR="006C11BF">
        <w:rPr>
          <w:lang w:eastAsia="x-none"/>
        </w:rPr>
        <w:t>s</w:t>
      </w:r>
      <w:r>
        <w:rPr>
          <w:lang w:eastAsia="x-none"/>
        </w:rPr>
        <w:t xml:space="preserve"> 1</w:t>
      </w:r>
      <w:r w:rsidR="006C11BF">
        <w:rPr>
          <w:lang w:eastAsia="x-none"/>
        </w:rPr>
        <w:t xml:space="preserve"> and 2</w:t>
      </w:r>
      <w:r>
        <w:rPr>
          <w:lang w:eastAsia="x-none"/>
        </w:rPr>
        <w:t xml:space="preserve"> w</w:t>
      </w:r>
      <w:r w:rsidR="00232C31">
        <w:rPr>
          <w:lang w:eastAsia="x-none"/>
        </w:rPr>
        <w:t>ere</w:t>
      </w:r>
      <w:r>
        <w:rPr>
          <w:lang w:eastAsia="x-none"/>
        </w:rPr>
        <w:t xml:space="preserve"> passed through the river system as a ‘run of river’. </w:t>
      </w:r>
      <w:r w:rsidR="00FA1D03">
        <w:rPr>
          <w:lang w:eastAsia="x-none"/>
        </w:rPr>
        <w:t>Watering Action 1</w:t>
      </w:r>
      <w:r w:rsidR="001957B1">
        <w:rPr>
          <w:lang w:eastAsia="x-none"/>
        </w:rPr>
        <w:t xml:space="preserve"> </w:t>
      </w:r>
      <w:r>
        <w:rPr>
          <w:lang w:eastAsia="x-none"/>
        </w:rPr>
        <w:t>reached Hillston on the 15</w:t>
      </w:r>
      <w:r w:rsidRPr="00502E24">
        <w:rPr>
          <w:vertAlign w:val="superscript"/>
          <w:lang w:eastAsia="x-none"/>
        </w:rPr>
        <w:t>th</w:t>
      </w:r>
      <w:r>
        <w:rPr>
          <w:lang w:eastAsia="x-none"/>
        </w:rPr>
        <w:t xml:space="preserve"> September </w:t>
      </w:r>
      <w:r w:rsidR="00D570DE">
        <w:rPr>
          <w:lang w:eastAsia="x-none"/>
        </w:rPr>
        <w:t>with</w:t>
      </w:r>
      <w:r w:rsidR="0031553B">
        <w:rPr>
          <w:lang w:eastAsia="x-none"/>
        </w:rPr>
        <w:t xml:space="preserve"> a peak of 950 ML/day on the 18</w:t>
      </w:r>
      <w:r w:rsidR="0031553B" w:rsidRPr="0031553B">
        <w:rPr>
          <w:vertAlign w:val="superscript"/>
          <w:lang w:eastAsia="x-none"/>
        </w:rPr>
        <w:t>th</w:t>
      </w:r>
      <w:r w:rsidR="0031553B">
        <w:rPr>
          <w:lang w:eastAsia="x-none"/>
        </w:rPr>
        <w:t xml:space="preserve"> September. Part of Watering Action 1 was re-regulated through Brewster Weir and release</w:t>
      </w:r>
      <w:r w:rsidR="006C11BF">
        <w:rPr>
          <w:lang w:eastAsia="x-none"/>
        </w:rPr>
        <w:t>d</w:t>
      </w:r>
      <w:r w:rsidR="0031553B">
        <w:rPr>
          <w:lang w:eastAsia="x-none"/>
        </w:rPr>
        <w:t xml:space="preserve"> as a small fresh between the </w:t>
      </w:r>
      <w:r w:rsidR="006C11BF">
        <w:rPr>
          <w:lang w:eastAsia="x-none"/>
        </w:rPr>
        <w:t>20</w:t>
      </w:r>
      <w:r w:rsidR="006C11BF" w:rsidRPr="006C11BF">
        <w:rPr>
          <w:vertAlign w:val="superscript"/>
          <w:lang w:eastAsia="x-none"/>
        </w:rPr>
        <w:t>th</w:t>
      </w:r>
      <w:r w:rsidR="006C11BF">
        <w:rPr>
          <w:lang w:eastAsia="x-none"/>
        </w:rPr>
        <w:t xml:space="preserve"> and 24</w:t>
      </w:r>
      <w:r w:rsidR="006C11BF" w:rsidRPr="006C11BF">
        <w:rPr>
          <w:vertAlign w:val="superscript"/>
          <w:lang w:eastAsia="x-none"/>
        </w:rPr>
        <w:t>th</w:t>
      </w:r>
      <w:r w:rsidR="006C11BF">
        <w:rPr>
          <w:lang w:eastAsia="x-none"/>
        </w:rPr>
        <w:t xml:space="preserve"> October. This fresh passed Hillston between the 22</w:t>
      </w:r>
      <w:r w:rsidR="006C11BF" w:rsidRPr="006C11BF">
        <w:rPr>
          <w:vertAlign w:val="superscript"/>
          <w:lang w:eastAsia="x-none"/>
        </w:rPr>
        <w:t>nd</w:t>
      </w:r>
      <w:r w:rsidR="006C11BF">
        <w:rPr>
          <w:lang w:eastAsia="x-none"/>
        </w:rPr>
        <w:t xml:space="preserve"> and 28</w:t>
      </w:r>
      <w:r w:rsidR="006C11BF" w:rsidRPr="006C11BF">
        <w:rPr>
          <w:vertAlign w:val="superscript"/>
          <w:lang w:eastAsia="x-none"/>
        </w:rPr>
        <w:t>th</w:t>
      </w:r>
      <w:r w:rsidR="006C11BF">
        <w:rPr>
          <w:lang w:eastAsia="x-none"/>
        </w:rPr>
        <w:t xml:space="preserve"> October (</w:t>
      </w:r>
      <w:r w:rsidR="006C11BF">
        <w:rPr>
          <w:lang w:eastAsia="x-none"/>
        </w:rPr>
        <w:fldChar w:fldCharType="begin"/>
      </w:r>
      <w:r w:rsidR="006C11BF">
        <w:rPr>
          <w:lang w:eastAsia="x-none"/>
        </w:rPr>
        <w:instrText xml:space="preserve"> REF _Ref18007974 \h </w:instrText>
      </w:r>
      <w:r w:rsidR="006C11BF">
        <w:rPr>
          <w:lang w:eastAsia="x-none"/>
        </w:rPr>
      </w:r>
      <w:r w:rsidR="006C11BF">
        <w:rPr>
          <w:lang w:eastAsia="x-none"/>
        </w:rPr>
        <w:fldChar w:fldCharType="separate"/>
      </w:r>
      <w:r w:rsidR="007F7607">
        <w:t xml:space="preserve">Figure </w:t>
      </w:r>
      <w:r w:rsidR="007F7607">
        <w:rPr>
          <w:noProof/>
        </w:rPr>
        <w:t>10</w:t>
      </w:r>
      <w:r w:rsidR="006C11BF">
        <w:rPr>
          <w:lang w:eastAsia="x-none"/>
        </w:rPr>
        <w:fldChar w:fldCharType="end"/>
      </w:r>
      <w:r w:rsidR="006C11BF">
        <w:rPr>
          <w:lang w:eastAsia="x-none"/>
        </w:rPr>
        <w:t>) with a peak of 528 ML/day on the 24</w:t>
      </w:r>
      <w:r w:rsidR="006C11BF" w:rsidRPr="006C11BF">
        <w:rPr>
          <w:vertAlign w:val="superscript"/>
          <w:lang w:eastAsia="x-none"/>
        </w:rPr>
        <w:t>th</w:t>
      </w:r>
      <w:r w:rsidR="006C11BF">
        <w:rPr>
          <w:lang w:eastAsia="x-none"/>
        </w:rPr>
        <w:t xml:space="preserve"> October, just prior to the passage of Watering Action 2 which peaked at 471 ML/day on the 11</w:t>
      </w:r>
      <w:r w:rsidR="006C11BF" w:rsidRPr="006C11BF">
        <w:rPr>
          <w:vertAlign w:val="superscript"/>
          <w:lang w:eastAsia="x-none"/>
        </w:rPr>
        <w:t>th</w:t>
      </w:r>
      <w:r w:rsidR="006C11BF">
        <w:rPr>
          <w:lang w:eastAsia="x-none"/>
        </w:rPr>
        <w:t xml:space="preserve"> November.  </w:t>
      </w:r>
    </w:p>
    <w:p w14:paraId="62069000" w14:textId="21E9D07D" w:rsidR="00CB72CC" w:rsidRDefault="0034495A" w:rsidP="00502E24">
      <w:pPr>
        <w:rPr>
          <w:lang w:eastAsia="x-none"/>
        </w:rPr>
      </w:pPr>
      <w:r>
        <w:rPr>
          <w:lang w:eastAsia="x-none"/>
        </w:rPr>
        <w:t>Watering Action 1 increased water levels during the September fresh at Hillston Weir by approximately 0.2 m and the re-regulated late October component increased water levels by approximately 0.3 m (</w:t>
      </w:r>
      <w:r>
        <w:rPr>
          <w:lang w:eastAsia="x-none"/>
        </w:rPr>
        <w:fldChar w:fldCharType="begin"/>
      </w:r>
      <w:r>
        <w:rPr>
          <w:lang w:eastAsia="x-none"/>
        </w:rPr>
        <w:instrText xml:space="preserve"> REF _Ref18007974 \h </w:instrText>
      </w:r>
      <w:r>
        <w:rPr>
          <w:lang w:eastAsia="x-none"/>
        </w:rPr>
      </w:r>
      <w:r>
        <w:rPr>
          <w:lang w:eastAsia="x-none"/>
        </w:rPr>
        <w:fldChar w:fldCharType="separate"/>
      </w:r>
      <w:r w:rsidR="007F7607">
        <w:t xml:space="preserve">Figure </w:t>
      </w:r>
      <w:r w:rsidR="007F7607">
        <w:rPr>
          <w:noProof/>
        </w:rPr>
        <w:t>10</w:t>
      </w:r>
      <w:r>
        <w:rPr>
          <w:lang w:eastAsia="x-none"/>
        </w:rPr>
        <w:fldChar w:fldCharType="end"/>
      </w:r>
      <w:r>
        <w:rPr>
          <w:lang w:eastAsia="x-none"/>
        </w:rPr>
        <w:t>). Watering Action 2 increased water levels at Hillston Weir by approximately 0.15 m. Weir pools, by nature, are not representative of the rest of the river channel, tending to attenuate peaks in flow.</w:t>
      </w:r>
      <w:r w:rsidR="00252003">
        <w:rPr>
          <w:lang w:eastAsia="x-none"/>
        </w:rPr>
        <w:t xml:space="preserve"> T</w:t>
      </w:r>
      <w:r>
        <w:rPr>
          <w:lang w:eastAsia="x-none"/>
        </w:rPr>
        <w:t xml:space="preserve">he water level changes associated with these freshes in the river channel </w:t>
      </w:r>
      <w:r w:rsidR="006B0F69">
        <w:rPr>
          <w:lang w:eastAsia="x-none"/>
        </w:rPr>
        <w:t>were</w:t>
      </w:r>
      <w:r>
        <w:rPr>
          <w:lang w:eastAsia="x-none"/>
        </w:rPr>
        <w:t xml:space="preserve"> far greater</w:t>
      </w:r>
      <w:r w:rsidR="006B0F69">
        <w:rPr>
          <w:lang w:eastAsia="x-none"/>
        </w:rPr>
        <w:t xml:space="preserve"> as </w:t>
      </w:r>
      <w:r w:rsidR="00252003">
        <w:rPr>
          <w:lang w:eastAsia="x-none"/>
        </w:rPr>
        <w:t>illustrated by the estimate of water level changes at Whealbah (</w:t>
      </w:r>
      <w:r w:rsidR="00252003">
        <w:rPr>
          <w:lang w:eastAsia="x-none"/>
        </w:rPr>
        <w:fldChar w:fldCharType="begin"/>
      </w:r>
      <w:r w:rsidR="00252003">
        <w:rPr>
          <w:lang w:eastAsia="x-none"/>
        </w:rPr>
        <w:instrText xml:space="preserve"> REF _Ref21104689 \h </w:instrText>
      </w:r>
      <w:r w:rsidR="00252003">
        <w:rPr>
          <w:lang w:eastAsia="x-none"/>
        </w:rPr>
      </w:r>
      <w:r w:rsidR="00252003">
        <w:rPr>
          <w:lang w:eastAsia="x-none"/>
        </w:rPr>
        <w:fldChar w:fldCharType="separate"/>
      </w:r>
      <w:r w:rsidR="007F7607">
        <w:t xml:space="preserve">Figure </w:t>
      </w:r>
      <w:r w:rsidR="007F7607">
        <w:rPr>
          <w:noProof/>
        </w:rPr>
        <w:t>11</w:t>
      </w:r>
      <w:r w:rsidR="00252003">
        <w:rPr>
          <w:lang w:eastAsia="x-none"/>
        </w:rPr>
        <w:fldChar w:fldCharType="end"/>
      </w:r>
      <w:r w:rsidR="00252003">
        <w:rPr>
          <w:lang w:eastAsia="x-none"/>
        </w:rPr>
        <w:t xml:space="preserve">) downstream of Hillston weir, where the changes in water level associated with the Commonwealth watering actions were </w:t>
      </w:r>
      <w:r w:rsidR="006B0F69">
        <w:rPr>
          <w:lang w:eastAsia="x-none"/>
        </w:rPr>
        <w:t>between 0.7 and 1.5 m.</w:t>
      </w:r>
      <w:r w:rsidR="00252003">
        <w:rPr>
          <w:lang w:eastAsia="x-none"/>
        </w:rPr>
        <w:t xml:space="preserve"> It should be noted that the data used to generate </w:t>
      </w:r>
      <w:r w:rsidR="00252003">
        <w:rPr>
          <w:lang w:eastAsia="x-none"/>
        </w:rPr>
        <w:fldChar w:fldCharType="begin"/>
      </w:r>
      <w:r w:rsidR="00252003">
        <w:rPr>
          <w:lang w:eastAsia="x-none"/>
        </w:rPr>
        <w:instrText xml:space="preserve"> REF _Ref21104689 \h </w:instrText>
      </w:r>
      <w:r w:rsidR="00252003">
        <w:rPr>
          <w:lang w:eastAsia="x-none"/>
        </w:rPr>
      </w:r>
      <w:r w:rsidR="00252003">
        <w:rPr>
          <w:lang w:eastAsia="x-none"/>
        </w:rPr>
        <w:fldChar w:fldCharType="separate"/>
      </w:r>
      <w:r w:rsidR="007F7607">
        <w:t xml:space="preserve">Figure </w:t>
      </w:r>
      <w:r w:rsidR="007F7607">
        <w:rPr>
          <w:noProof/>
        </w:rPr>
        <w:t>11</w:t>
      </w:r>
      <w:r w:rsidR="00252003">
        <w:rPr>
          <w:lang w:eastAsia="x-none"/>
        </w:rPr>
        <w:fldChar w:fldCharType="end"/>
      </w:r>
      <w:r w:rsidR="00252003">
        <w:rPr>
          <w:lang w:eastAsia="x-none"/>
        </w:rPr>
        <w:t xml:space="preserve"> have not been adjusted for losses or for</w:t>
      </w:r>
      <w:r w:rsidR="005D1023">
        <w:rPr>
          <w:lang w:eastAsia="x-none"/>
        </w:rPr>
        <w:t xml:space="preserve"> licensed</w:t>
      </w:r>
      <w:r w:rsidR="00252003">
        <w:rPr>
          <w:lang w:eastAsia="x-none"/>
        </w:rPr>
        <w:t xml:space="preserve"> extractions and are </w:t>
      </w:r>
      <w:r w:rsidR="005D1023">
        <w:rPr>
          <w:lang w:eastAsia="x-none"/>
        </w:rPr>
        <w:t>an illustration only</w:t>
      </w:r>
      <w:r w:rsidR="00252003">
        <w:rPr>
          <w:lang w:eastAsia="x-none"/>
        </w:rPr>
        <w:t>.</w:t>
      </w:r>
      <w:r>
        <w:rPr>
          <w:lang w:eastAsia="x-none"/>
        </w:rPr>
        <w:t xml:space="preserve"> </w:t>
      </w:r>
    </w:p>
    <w:p w14:paraId="2FD7574D" w14:textId="3A46C47A" w:rsidR="00502E24" w:rsidRDefault="00D570DE" w:rsidP="00502E24">
      <w:pPr>
        <w:rPr>
          <w:lang w:eastAsia="x-none"/>
        </w:rPr>
      </w:pPr>
      <w:r>
        <w:rPr>
          <w:lang w:eastAsia="x-none"/>
        </w:rPr>
        <w:t xml:space="preserve">The three small freshes passed </w:t>
      </w:r>
      <w:r w:rsidR="006B5043">
        <w:rPr>
          <w:lang w:eastAsia="x-none"/>
        </w:rPr>
        <w:t>Booligal between the end of September and November (</w:t>
      </w:r>
      <w:r w:rsidR="006B5043">
        <w:rPr>
          <w:lang w:eastAsia="x-none"/>
        </w:rPr>
        <w:fldChar w:fldCharType="begin"/>
      </w:r>
      <w:r w:rsidR="006B5043">
        <w:rPr>
          <w:lang w:eastAsia="x-none"/>
        </w:rPr>
        <w:instrText xml:space="preserve"> REF _Ref18065707 \h </w:instrText>
      </w:r>
      <w:r w:rsidR="006B5043">
        <w:rPr>
          <w:lang w:eastAsia="x-none"/>
        </w:rPr>
      </w:r>
      <w:r w:rsidR="006B5043">
        <w:rPr>
          <w:lang w:eastAsia="x-none"/>
        </w:rPr>
        <w:fldChar w:fldCharType="separate"/>
      </w:r>
      <w:r w:rsidR="007F7607">
        <w:t xml:space="preserve">Figure </w:t>
      </w:r>
      <w:r w:rsidR="007F7607">
        <w:rPr>
          <w:noProof/>
        </w:rPr>
        <w:t>12</w:t>
      </w:r>
      <w:r w:rsidR="006B5043">
        <w:rPr>
          <w:lang w:eastAsia="x-none"/>
        </w:rPr>
        <w:fldChar w:fldCharType="end"/>
      </w:r>
      <w:r w:rsidR="006B5043">
        <w:rPr>
          <w:lang w:eastAsia="x-none"/>
        </w:rPr>
        <w:t xml:space="preserve">) and </w:t>
      </w:r>
      <w:r>
        <w:rPr>
          <w:lang w:eastAsia="x-none"/>
        </w:rPr>
        <w:t>Corrong between October and December (</w:t>
      </w:r>
      <w:r>
        <w:rPr>
          <w:lang w:eastAsia="x-none"/>
        </w:rPr>
        <w:fldChar w:fldCharType="begin"/>
      </w:r>
      <w:r>
        <w:rPr>
          <w:lang w:eastAsia="x-none"/>
        </w:rPr>
        <w:instrText xml:space="preserve"> REF _Ref18010443 \h </w:instrText>
      </w:r>
      <w:r>
        <w:rPr>
          <w:lang w:eastAsia="x-none"/>
        </w:rPr>
      </w:r>
      <w:r>
        <w:rPr>
          <w:lang w:eastAsia="x-none"/>
        </w:rPr>
        <w:fldChar w:fldCharType="separate"/>
      </w:r>
      <w:r w:rsidR="007F7607">
        <w:t xml:space="preserve">Figure </w:t>
      </w:r>
      <w:r w:rsidR="007F7607">
        <w:rPr>
          <w:noProof/>
        </w:rPr>
        <w:t>13</w:t>
      </w:r>
      <w:r>
        <w:rPr>
          <w:lang w:eastAsia="x-none"/>
        </w:rPr>
        <w:fldChar w:fldCharType="end"/>
      </w:r>
      <w:r>
        <w:rPr>
          <w:lang w:eastAsia="x-none"/>
        </w:rPr>
        <w:t>) before passing into the Great Cumbung Swamp</w:t>
      </w:r>
      <w:r w:rsidR="00105370">
        <w:rPr>
          <w:lang w:eastAsia="x-none"/>
        </w:rPr>
        <w:t xml:space="preserve"> (</w:t>
      </w:r>
      <w:r w:rsidR="00105370">
        <w:rPr>
          <w:lang w:eastAsia="x-none"/>
        </w:rPr>
        <w:fldChar w:fldCharType="begin"/>
      </w:r>
      <w:r w:rsidR="00105370">
        <w:rPr>
          <w:lang w:eastAsia="x-none"/>
        </w:rPr>
        <w:instrText xml:space="preserve"> REF _Ref18325079 \h </w:instrText>
      </w:r>
      <w:r w:rsidR="00105370">
        <w:rPr>
          <w:lang w:eastAsia="x-none"/>
        </w:rPr>
      </w:r>
      <w:r w:rsidR="00105370">
        <w:rPr>
          <w:lang w:eastAsia="x-none"/>
        </w:rPr>
        <w:fldChar w:fldCharType="separate"/>
      </w:r>
      <w:r w:rsidR="007F7607">
        <w:t xml:space="preserve">Figure </w:t>
      </w:r>
      <w:r w:rsidR="007F7607">
        <w:rPr>
          <w:noProof/>
        </w:rPr>
        <w:t>14</w:t>
      </w:r>
      <w:r w:rsidR="00105370">
        <w:rPr>
          <w:lang w:eastAsia="x-none"/>
        </w:rPr>
        <w:fldChar w:fldCharType="end"/>
      </w:r>
      <w:r>
        <w:rPr>
          <w:lang w:eastAsia="x-none"/>
        </w:rPr>
        <w:t>)</w:t>
      </w:r>
      <w:r w:rsidR="00105370">
        <w:rPr>
          <w:lang w:eastAsia="x-none"/>
        </w:rPr>
        <w:t xml:space="preserve">. </w:t>
      </w:r>
      <w:r w:rsidR="006C11BF">
        <w:rPr>
          <w:lang w:eastAsia="x-none"/>
        </w:rPr>
        <w:t>In combination the water management during this period introduced 3 freshes into the Lower Lachlan river system that would otherwise not have occurred.</w:t>
      </w:r>
    </w:p>
    <w:p w14:paraId="53A459A4" w14:textId="626DC188" w:rsidR="00502E24" w:rsidRDefault="00105370" w:rsidP="00502E24">
      <w:pPr>
        <w:keepNext/>
        <w:spacing w:after="0"/>
      </w:pPr>
      <w:r>
        <w:rPr>
          <w:noProof/>
          <w:lang w:eastAsia="en-AU"/>
        </w:rPr>
        <w:drawing>
          <wp:inline distT="0" distB="0" distL="0" distR="0" wp14:anchorId="0A9F7826" wp14:editId="41BB7E15">
            <wp:extent cx="5583600" cy="36432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583600" cy="3643200"/>
                    </a:xfrm>
                    <a:prstGeom prst="rect">
                      <a:avLst/>
                    </a:prstGeom>
                    <a:noFill/>
                  </pic:spPr>
                </pic:pic>
              </a:graphicData>
            </a:graphic>
          </wp:inline>
        </w:drawing>
      </w:r>
    </w:p>
    <w:p w14:paraId="27A67A31" w14:textId="120F17DF" w:rsidR="00742F65" w:rsidRDefault="00CB72CC" w:rsidP="00502E24">
      <w:pPr>
        <w:keepNext/>
        <w:spacing w:after="0"/>
      </w:pPr>
      <w:r>
        <w:rPr>
          <w:noProof/>
          <w:lang w:eastAsia="en-AU"/>
        </w:rPr>
        <w:drawing>
          <wp:inline distT="0" distB="0" distL="0" distR="0" wp14:anchorId="1A2FC5CF" wp14:editId="4DFD6405">
            <wp:extent cx="5583600" cy="3643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583600" cy="3643200"/>
                    </a:xfrm>
                    <a:prstGeom prst="rect">
                      <a:avLst/>
                    </a:prstGeom>
                    <a:noFill/>
                  </pic:spPr>
                </pic:pic>
              </a:graphicData>
            </a:graphic>
          </wp:inline>
        </w:drawing>
      </w:r>
    </w:p>
    <w:p w14:paraId="3FD30087" w14:textId="5A66F3CD" w:rsidR="00502E24" w:rsidRDefault="00502E24" w:rsidP="00502E24">
      <w:pPr>
        <w:pStyle w:val="Caption"/>
      </w:pPr>
      <w:bookmarkStart w:id="114" w:name="_Ref18007974"/>
      <w:bookmarkStart w:id="115" w:name="_Toc31985574"/>
      <w:r>
        <w:t xml:space="preserve">Figure </w:t>
      </w:r>
      <w:r>
        <w:fldChar w:fldCharType="begin"/>
      </w:r>
      <w:r>
        <w:instrText>SEQ Figure \* ARABIC</w:instrText>
      </w:r>
      <w:r>
        <w:fldChar w:fldCharType="separate"/>
      </w:r>
      <w:r w:rsidR="007F7607">
        <w:rPr>
          <w:noProof/>
        </w:rPr>
        <w:t>10</w:t>
      </w:r>
      <w:r>
        <w:fldChar w:fldCharType="end"/>
      </w:r>
      <w:bookmarkEnd w:id="114"/>
      <w:r>
        <w:t>. Flow at Hillston Weir</w:t>
      </w:r>
      <w:r w:rsidR="00CB72CC">
        <w:t xml:space="preserve"> (top) and estimated water level (bottom)</w:t>
      </w:r>
      <w:r>
        <w:t xml:space="preserve"> for the period 1 July 2018 to 30 June 2019 showing </w:t>
      </w:r>
      <w:r w:rsidR="00CB72CC">
        <w:t xml:space="preserve">Commonwealth </w:t>
      </w:r>
      <w:r>
        <w:t>Watering Actions 1 and 2 as well as the approximate timing of Watering Action 4.</w:t>
      </w:r>
      <w:bookmarkEnd w:id="115"/>
      <w:r>
        <w:t xml:space="preserve"> </w:t>
      </w:r>
    </w:p>
    <w:p w14:paraId="1CC81004" w14:textId="28F15B02" w:rsidR="00502E24" w:rsidRDefault="00502E24" w:rsidP="00502E24">
      <w:pPr>
        <w:pStyle w:val="Caption"/>
      </w:pPr>
      <w:r>
        <w:t xml:space="preserve">Commonwealth environmental water </w:t>
      </w:r>
      <w:r w:rsidR="00CB72CC">
        <w:t xml:space="preserve">(green) is </w:t>
      </w:r>
      <w:r>
        <w:t xml:space="preserve">shown along with estimates of river flow (flow including the licensed delivery of water but not including environmental water) in grey. Refer to </w:t>
      </w:r>
      <w:r w:rsidR="00D11E50">
        <w:fldChar w:fldCharType="begin"/>
      </w:r>
      <w:r w:rsidR="00D11E50">
        <w:instrText xml:space="preserve"> REF _Ref459993709 \h </w:instrText>
      </w:r>
      <w:r w:rsidR="00D11E50">
        <w:fldChar w:fldCharType="separate"/>
      </w:r>
      <w:r w:rsidR="007F7607">
        <w:t xml:space="preserve">Figure </w:t>
      </w:r>
      <w:r w:rsidR="007F7607">
        <w:rPr>
          <w:noProof/>
        </w:rPr>
        <w:t>6</w:t>
      </w:r>
      <w:r w:rsidR="00D11E50">
        <w:fldChar w:fldCharType="end"/>
      </w:r>
      <w:r w:rsidR="00D11E50">
        <w:t xml:space="preserve"> </w:t>
      </w:r>
      <w:r>
        <w:t>for gauging location and to text for the explanation of the watering actions.</w:t>
      </w:r>
    </w:p>
    <w:p w14:paraId="7DA90EB4" w14:textId="401D03C9" w:rsidR="001957B1" w:rsidRDefault="001957B1" w:rsidP="001957B1"/>
    <w:p w14:paraId="32342582" w14:textId="6D4685CC" w:rsidR="00252003" w:rsidRDefault="00534427" w:rsidP="00252003">
      <w:pPr>
        <w:keepNext/>
      </w:pPr>
      <w:r>
        <w:rPr>
          <w:noProof/>
          <w:lang w:eastAsia="en-AU"/>
        </w:rPr>
        <w:drawing>
          <wp:inline distT="0" distB="0" distL="0" distR="0" wp14:anchorId="3B000B43" wp14:editId="4E4B850F">
            <wp:extent cx="5544000" cy="3617362"/>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544000" cy="3617362"/>
                    </a:xfrm>
                    <a:prstGeom prst="rect">
                      <a:avLst/>
                    </a:prstGeom>
                    <a:noFill/>
                  </pic:spPr>
                </pic:pic>
              </a:graphicData>
            </a:graphic>
          </wp:inline>
        </w:drawing>
      </w:r>
    </w:p>
    <w:p w14:paraId="566510DA" w14:textId="15A70F86" w:rsidR="00252003" w:rsidRDefault="00252003" w:rsidP="00252003">
      <w:pPr>
        <w:pStyle w:val="Caption"/>
      </w:pPr>
      <w:bookmarkStart w:id="116" w:name="_Ref21104689"/>
      <w:bookmarkStart w:id="117" w:name="_Toc31985575"/>
      <w:r>
        <w:t xml:space="preserve">Figure </w:t>
      </w:r>
      <w:r>
        <w:fldChar w:fldCharType="begin"/>
      </w:r>
      <w:r>
        <w:instrText>SEQ Figure \* ARABIC</w:instrText>
      </w:r>
      <w:r>
        <w:fldChar w:fldCharType="separate"/>
      </w:r>
      <w:r w:rsidR="007F7607">
        <w:rPr>
          <w:noProof/>
        </w:rPr>
        <w:t>11</w:t>
      </w:r>
      <w:r>
        <w:fldChar w:fldCharType="end"/>
      </w:r>
      <w:bookmarkEnd w:id="116"/>
      <w:r>
        <w:t>. Estimated water level at Whealbah for the period 1 July 2018 to 30 June 2019 showing Commonwealth Watering Actions 1 and 2</w:t>
      </w:r>
      <w:r w:rsidR="00534427">
        <w:t>, along with the timing of Watering Action 4</w:t>
      </w:r>
      <w:r>
        <w:t>.</w:t>
      </w:r>
      <w:bookmarkEnd w:id="117"/>
      <w:r>
        <w:t xml:space="preserve"> </w:t>
      </w:r>
    </w:p>
    <w:p w14:paraId="34C46FFC" w14:textId="35B8F0FE" w:rsidR="00CE0F58" w:rsidRDefault="00252003" w:rsidP="00252003">
      <w:pPr>
        <w:pStyle w:val="Caption"/>
      </w:pPr>
      <w:r>
        <w:t xml:space="preserve">Commonwealth environmental water (green) is shown along with estimates of river flow (flow including the licensed delivery of water but not including environmental water) in grey. Refer to </w:t>
      </w:r>
      <w:r>
        <w:fldChar w:fldCharType="begin"/>
      </w:r>
      <w:r>
        <w:instrText xml:space="preserve"> REF _Ref459993709 \h </w:instrText>
      </w:r>
      <w:r>
        <w:fldChar w:fldCharType="separate"/>
      </w:r>
      <w:r w:rsidR="007F7607">
        <w:t xml:space="preserve">Figure </w:t>
      </w:r>
      <w:r w:rsidR="007F7607">
        <w:rPr>
          <w:noProof/>
        </w:rPr>
        <w:t>6</w:t>
      </w:r>
      <w:r>
        <w:fldChar w:fldCharType="end"/>
      </w:r>
      <w:r>
        <w:t xml:space="preserve"> for gauging location and to text for the explanation of the watering actions.</w:t>
      </w:r>
    </w:p>
    <w:p w14:paraId="7E4464D7" w14:textId="459050E9" w:rsidR="00252003" w:rsidRDefault="00252003" w:rsidP="00252003">
      <w:pPr>
        <w:pStyle w:val="Caption"/>
      </w:pPr>
      <w:r>
        <w:t>Note that the data used to generate this figure have not applied any losses to Commonwealth water nor have they taken into consideration licensed extraction that may have occurred.</w:t>
      </w:r>
    </w:p>
    <w:p w14:paraId="4C7CE411" w14:textId="77777777" w:rsidR="00CE0F58" w:rsidRPr="00CE0F58" w:rsidRDefault="00CE0F58" w:rsidP="00CE0F58"/>
    <w:p w14:paraId="129B84F2" w14:textId="19A39D0F" w:rsidR="003F6D7C" w:rsidRDefault="00534427" w:rsidP="003F6D7C">
      <w:pPr>
        <w:keepNext/>
      </w:pPr>
      <w:r>
        <w:rPr>
          <w:noProof/>
          <w:lang w:eastAsia="en-AU"/>
        </w:rPr>
        <w:drawing>
          <wp:inline distT="0" distB="0" distL="0" distR="0" wp14:anchorId="07C9F24C" wp14:editId="77F81884">
            <wp:extent cx="5544000" cy="3617362"/>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544000" cy="3617362"/>
                    </a:xfrm>
                    <a:prstGeom prst="rect">
                      <a:avLst/>
                    </a:prstGeom>
                    <a:noFill/>
                  </pic:spPr>
                </pic:pic>
              </a:graphicData>
            </a:graphic>
          </wp:inline>
        </w:drawing>
      </w:r>
    </w:p>
    <w:p w14:paraId="327E45FA" w14:textId="7B4E41E7" w:rsidR="003F6D7C" w:rsidRDefault="003F6D7C" w:rsidP="003F6D7C">
      <w:pPr>
        <w:pStyle w:val="Caption"/>
      </w:pPr>
      <w:bookmarkStart w:id="118" w:name="_Ref18065707"/>
      <w:bookmarkStart w:id="119" w:name="_Toc31985576"/>
      <w:r>
        <w:t xml:space="preserve">Figure </w:t>
      </w:r>
      <w:r>
        <w:fldChar w:fldCharType="begin"/>
      </w:r>
      <w:r>
        <w:instrText>SEQ Figure \* ARABIC</w:instrText>
      </w:r>
      <w:r>
        <w:fldChar w:fldCharType="separate"/>
      </w:r>
      <w:r w:rsidR="007F7607">
        <w:rPr>
          <w:noProof/>
        </w:rPr>
        <w:t>12</w:t>
      </w:r>
      <w:r>
        <w:fldChar w:fldCharType="end"/>
      </w:r>
      <w:bookmarkEnd w:id="118"/>
      <w:r>
        <w:t>. Flow at Booligal for the period 1 July 2018 to 30 June 2019 showing</w:t>
      </w:r>
      <w:r w:rsidR="00534427">
        <w:t xml:space="preserve"> estimated</w:t>
      </w:r>
      <w:r>
        <w:t xml:space="preserve"> Watering Actions 1</w:t>
      </w:r>
      <w:r w:rsidR="00BD6DDF">
        <w:t xml:space="preserve"> </w:t>
      </w:r>
      <w:r w:rsidR="00534427">
        <w:t xml:space="preserve">and </w:t>
      </w:r>
      <w:r w:rsidR="00BD6DDF">
        <w:t xml:space="preserve">2 and </w:t>
      </w:r>
      <w:r w:rsidR="00534427">
        <w:t xml:space="preserve">accounted Watering Action </w:t>
      </w:r>
      <w:r w:rsidR="00BD6DDF">
        <w:t>4</w:t>
      </w:r>
      <w:r>
        <w:t>.</w:t>
      </w:r>
      <w:bookmarkEnd w:id="119"/>
      <w:r>
        <w:t xml:space="preserve"> </w:t>
      </w:r>
    </w:p>
    <w:p w14:paraId="50A023C3" w14:textId="34A63F95" w:rsidR="001957B1" w:rsidRPr="001957B1" w:rsidRDefault="003F6D7C" w:rsidP="003F6D7C">
      <w:pPr>
        <w:pStyle w:val="Caption"/>
      </w:pPr>
      <w:r>
        <w:t>Commonwealth environmental water</w:t>
      </w:r>
      <w:r w:rsidR="00813063">
        <w:t xml:space="preserve"> (green)</w:t>
      </w:r>
      <w:r>
        <w:t xml:space="preserve"> </w:t>
      </w:r>
      <w:r w:rsidR="00BD6DDF">
        <w:t xml:space="preserve">is estimated as is </w:t>
      </w:r>
      <w:r>
        <w:t>river flow (flow including the licensed delivery of water but not including environmental water) in grey. Refer to</w:t>
      </w:r>
      <w:r w:rsidR="00D11E50">
        <w:t xml:space="preserve"> </w:t>
      </w:r>
      <w:r w:rsidR="00D11E50">
        <w:fldChar w:fldCharType="begin"/>
      </w:r>
      <w:r w:rsidR="00D11E50">
        <w:instrText xml:space="preserve"> REF _Ref459993709 \h </w:instrText>
      </w:r>
      <w:r w:rsidR="00D11E50">
        <w:fldChar w:fldCharType="separate"/>
      </w:r>
      <w:r w:rsidR="007F7607">
        <w:t xml:space="preserve">Figure </w:t>
      </w:r>
      <w:r w:rsidR="007F7607">
        <w:rPr>
          <w:noProof/>
        </w:rPr>
        <w:t>6</w:t>
      </w:r>
      <w:r w:rsidR="00D11E50">
        <w:fldChar w:fldCharType="end"/>
      </w:r>
      <w:r>
        <w:t xml:space="preserve"> for gauging location and to text for the explanation of the watering actions.</w:t>
      </w:r>
    </w:p>
    <w:p w14:paraId="71A3FC83" w14:textId="77777777" w:rsidR="007A50F8" w:rsidRDefault="007A50F8" w:rsidP="007A50F8">
      <w:pPr>
        <w:keepNext/>
        <w:spacing w:after="0"/>
      </w:pPr>
      <w:r>
        <w:rPr>
          <w:noProof/>
          <w:lang w:eastAsia="en-AU"/>
        </w:rPr>
        <w:drawing>
          <wp:inline distT="0" distB="0" distL="0" distR="0" wp14:anchorId="42738C63" wp14:editId="187137BB">
            <wp:extent cx="5486400" cy="3580676"/>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514654" cy="3599116"/>
                    </a:xfrm>
                    <a:prstGeom prst="rect">
                      <a:avLst/>
                    </a:prstGeom>
                    <a:noFill/>
                  </pic:spPr>
                </pic:pic>
              </a:graphicData>
            </a:graphic>
          </wp:inline>
        </w:drawing>
      </w:r>
    </w:p>
    <w:p w14:paraId="45B89FDF" w14:textId="49066902" w:rsidR="007A50F8" w:rsidRDefault="007A50F8" w:rsidP="007A50F8">
      <w:pPr>
        <w:pStyle w:val="Caption"/>
      </w:pPr>
      <w:bookmarkStart w:id="120" w:name="_Ref18010443"/>
      <w:bookmarkStart w:id="121" w:name="_Toc31985577"/>
      <w:r>
        <w:t xml:space="preserve">Figure </w:t>
      </w:r>
      <w:r>
        <w:fldChar w:fldCharType="begin"/>
      </w:r>
      <w:r>
        <w:instrText>SEQ Figure \* ARABIC</w:instrText>
      </w:r>
      <w:r>
        <w:fldChar w:fldCharType="separate"/>
      </w:r>
      <w:r w:rsidR="007F7607">
        <w:rPr>
          <w:noProof/>
        </w:rPr>
        <w:t>13</w:t>
      </w:r>
      <w:r>
        <w:fldChar w:fldCharType="end"/>
      </w:r>
      <w:bookmarkEnd w:id="120"/>
      <w:r>
        <w:t>. Flow at Corrong (Four Mile) for the period 1 July 2018 to 30 June 2019.</w:t>
      </w:r>
      <w:bookmarkEnd w:id="121"/>
      <w:r>
        <w:t xml:space="preserve"> </w:t>
      </w:r>
    </w:p>
    <w:p w14:paraId="56D9F737" w14:textId="413DE78C" w:rsidR="007A50F8" w:rsidRDefault="007A50F8" w:rsidP="007A50F8">
      <w:pPr>
        <w:pStyle w:val="Caption"/>
      </w:pPr>
      <w:r>
        <w:t xml:space="preserve">The approximate timing of the Commonwealth environmental watering actions are shown </w:t>
      </w:r>
      <w:r w:rsidR="00CC4BE8">
        <w:t>in</w:t>
      </w:r>
      <w:r>
        <w:t xml:space="preserve"> green</w:t>
      </w:r>
      <w:r w:rsidR="00CC4BE8">
        <w:t>.</w:t>
      </w:r>
      <w:r>
        <w:t xml:space="preserve"> Refer to</w:t>
      </w:r>
      <w:r w:rsidR="00D11E50">
        <w:t xml:space="preserve"> </w:t>
      </w:r>
      <w:r w:rsidR="00D11E50">
        <w:fldChar w:fldCharType="begin"/>
      </w:r>
      <w:r w:rsidR="00D11E50">
        <w:instrText xml:space="preserve"> REF _Ref459993709 \h </w:instrText>
      </w:r>
      <w:r w:rsidR="00D11E50">
        <w:fldChar w:fldCharType="separate"/>
      </w:r>
      <w:r w:rsidR="007F7607">
        <w:t xml:space="preserve">Figure </w:t>
      </w:r>
      <w:r w:rsidR="007F7607">
        <w:rPr>
          <w:noProof/>
        </w:rPr>
        <w:t>6</w:t>
      </w:r>
      <w:r w:rsidR="00D11E50">
        <w:fldChar w:fldCharType="end"/>
      </w:r>
      <w:r>
        <w:t xml:space="preserve"> for gauging location and to text for the explanation of the watering actions.</w:t>
      </w:r>
    </w:p>
    <w:p w14:paraId="528EEFAE" w14:textId="668B0DAF" w:rsidR="00232C31" w:rsidRDefault="00232C31" w:rsidP="00232C31">
      <w:pPr>
        <w:keepNext/>
      </w:pPr>
      <w:r>
        <w:rPr>
          <w:noProof/>
          <w:lang w:eastAsia="en-AU"/>
        </w:rPr>
        <w:drawing>
          <wp:inline distT="0" distB="0" distL="0" distR="0" wp14:anchorId="2071F091" wp14:editId="4E26A92A">
            <wp:extent cx="5724525" cy="3009900"/>
            <wp:effectExtent l="0" t="0" r="9525"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24525" cy="3009900"/>
                    </a:xfrm>
                    <a:prstGeom prst="rect">
                      <a:avLst/>
                    </a:prstGeom>
                    <a:noFill/>
                    <a:ln>
                      <a:noFill/>
                    </a:ln>
                  </pic:spPr>
                </pic:pic>
              </a:graphicData>
            </a:graphic>
          </wp:inline>
        </w:drawing>
      </w:r>
    </w:p>
    <w:p w14:paraId="7F98F180" w14:textId="2975B02A" w:rsidR="00105370" w:rsidRDefault="00105370" w:rsidP="00232C31">
      <w:pPr>
        <w:keepNext/>
      </w:pPr>
      <w:r>
        <w:rPr>
          <w:noProof/>
          <w:lang w:eastAsia="en-AU"/>
        </w:rPr>
        <w:drawing>
          <wp:inline distT="0" distB="0" distL="0" distR="0" wp14:anchorId="22F40E0E" wp14:editId="07CBFDEA">
            <wp:extent cx="5715000" cy="2962275"/>
            <wp:effectExtent l="0" t="0" r="0"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15000" cy="2962275"/>
                    </a:xfrm>
                    <a:prstGeom prst="rect">
                      <a:avLst/>
                    </a:prstGeom>
                    <a:noFill/>
                    <a:ln>
                      <a:noFill/>
                    </a:ln>
                  </pic:spPr>
                </pic:pic>
              </a:graphicData>
            </a:graphic>
          </wp:inline>
        </w:drawing>
      </w:r>
    </w:p>
    <w:p w14:paraId="4538BCFB" w14:textId="6EF342FB" w:rsidR="00F06A3C" w:rsidRDefault="00232C31" w:rsidP="00232C31">
      <w:pPr>
        <w:pStyle w:val="Caption"/>
      </w:pPr>
      <w:bookmarkStart w:id="122" w:name="_Ref18325079"/>
      <w:bookmarkStart w:id="123" w:name="_Toc31985578"/>
      <w:r>
        <w:t xml:space="preserve">Figure </w:t>
      </w:r>
      <w:r>
        <w:fldChar w:fldCharType="begin"/>
      </w:r>
      <w:r>
        <w:instrText>SEQ Figure \* ARABIC</w:instrText>
      </w:r>
      <w:r>
        <w:fldChar w:fldCharType="separate"/>
      </w:r>
      <w:r w:rsidR="007F7607">
        <w:rPr>
          <w:noProof/>
        </w:rPr>
        <w:t>14</w:t>
      </w:r>
      <w:r>
        <w:fldChar w:fldCharType="end"/>
      </w:r>
      <w:bookmarkEnd w:id="122"/>
      <w:r>
        <w:t xml:space="preserve">. Sentinel imagery </w:t>
      </w:r>
      <w:r w:rsidR="00105370">
        <w:t>from the Great Cumbung Swamp prior to the arrival of environmental water (6</w:t>
      </w:r>
      <w:r w:rsidR="00105370" w:rsidRPr="00105370">
        <w:rPr>
          <w:vertAlign w:val="superscript"/>
        </w:rPr>
        <w:t>th</w:t>
      </w:r>
      <w:r w:rsidR="00105370">
        <w:t xml:space="preserve"> October 2018, upper image), and at the peak of the spring/summer watering (21</w:t>
      </w:r>
      <w:r w:rsidR="00105370" w:rsidRPr="00105370">
        <w:rPr>
          <w:vertAlign w:val="superscript"/>
        </w:rPr>
        <w:t>st</w:t>
      </w:r>
      <w:r w:rsidR="00105370">
        <w:t xml:space="preserve"> October 2018, lower image).</w:t>
      </w:r>
      <w:bookmarkEnd w:id="123"/>
      <w:r w:rsidR="00105370">
        <w:t xml:space="preserve"> </w:t>
      </w:r>
    </w:p>
    <w:p w14:paraId="59901740" w14:textId="133DCEF1" w:rsidR="00232C31" w:rsidRDefault="00105370" w:rsidP="00232C31">
      <w:pPr>
        <w:pStyle w:val="Caption"/>
      </w:pPr>
      <w:r>
        <w:t xml:space="preserve">Images sourced from </w:t>
      </w:r>
      <w:r w:rsidRPr="00823365">
        <w:t>https://www.sentinel-hub.com/explore/sentinel-playground</w:t>
      </w:r>
    </w:p>
    <w:p w14:paraId="244D960D" w14:textId="77777777" w:rsidR="00534427" w:rsidRDefault="00534427">
      <w:pPr>
        <w:spacing w:before="0" w:after="0"/>
      </w:pPr>
      <w:r>
        <w:rPr>
          <w:caps/>
        </w:rPr>
        <w:br w:type="page"/>
      </w:r>
    </w:p>
    <w:p w14:paraId="7ECBBC9B" w14:textId="1B6F9FAE" w:rsidR="00F438AF" w:rsidRDefault="00F438AF" w:rsidP="00FC2925">
      <w:pPr>
        <w:pStyle w:val="Heading3"/>
        <w:rPr>
          <w:lang w:val="en-US"/>
        </w:rPr>
      </w:pPr>
      <w:bookmarkStart w:id="124" w:name="_Toc31985454"/>
      <w:r w:rsidRPr="00FC2925">
        <w:rPr>
          <w:lang w:val="en-US"/>
        </w:rPr>
        <w:t>Watering Action 3:  Yarrabandai Lagoon</w:t>
      </w:r>
      <w:bookmarkEnd w:id="124"/>
    </w:p>
    <w:p w14:paraId="33FB78C1" w14:textId="116E2C30" w:rsidR="00823C3A" w:rsidRDefault="00823C3A" w:rsidP="00FC2925">
      <w:pPr>
        <w:rPr>
          <w:lang w:val="en-US" w:eastAsia="x-none"/>
        </w:rPr>
      </w:pPr>
      <w:r>
        <w:rPr>
          <w:lang w:val="en-GB"/>
        </w:rPr>
        <w:t>The third Commonwealth environmental watering action targeted riparian vegetation and habitat for aquatic species in Yarrabandai (formerly Burrawang West) Lagoon (</w:t>
      </w:r>
      <w:r>
        <w:rPr>
          <w:lang w:val="en-GB"/>
        </w:rPr>
        <w:fldChar w:fldCharType="begin"/>
      </w:r>
      <w:r>
        <w:rPr>
          <w:lang w:val="en-GB"/>
        </w:rPr>
        <w:instrText xml:space="preserve"> REF _Ref21250124 \h </w:instrText>
      </w:r>
      <w:r>
        <w:rPr>
          <w:lang w:val="en-GB"/>
        </w:rPr>
      </w:r>
      <w:r>
        <w:rPr>
          <w:lang w:val="en-GB"/>
        </w:rPr>
        <w:fldChar w:fldCharType="separate"/>
      </w:r>
      <w:r w:rsidR="007F7607">
        <w:t xml:space="preserve">Figure </w:t>
      </w:r>
      <w:r w:rsidR="007F7607">
        <w:rPr>
          <w:noProof/>
        </w:rPr>
        <w:t>15</w:t>
      </w:r>
      <w:r>
        <w:rPr>
          <w:lang w:val="en-GB"/>
        </w:rPr>
        <w:fldChar w:fldCharType="end"/>
      </w:r>
      <w:r>
        <w:rPr>
          <w:lang w:val="en-GB"/>
        </w:rPr>
        <w:t>). A total of 412 ML of Commonwealth environmental water was delivered across three water transfers (250 ML, 100 ML and 62 ML) between the 18</w:t>
      </w:r>
      <w:r w:rsidRPr="00823C3A">
        <w:rPr>
          <w:vertAlign w:val="superscript"/>
          <w:lang w:val="en-GB"/>
        </w:rPr>
        <w:t>th</w:t>
      </w:r>
      <w:r>
        <w:rPr>
          <w:lang w:val="en-GB"/>
        </w:rPr>
        <w:t xml:space="preserve"> March and the 29</w:t>
      </w:r>
      <w:r w:rsidRPr="00823C3A">
        <w:rPr>
          <w:vertAlign w:val="superscript"/>
          <w:lang w:val="en-GB"/>
        </w:rPr>
        <w:t>th</w:t>
      </w:r>
      <w:r>
        <w:rPr>
          <w:lang w:val="en-GB"/>
        </w:rPr>
        <w:t xml:space="preserve"> May 2019 to fill the lagoon (</w:t>
      </w:r>
      <w:r>
        <w:rPr>
          <w:lang w:val="en-GB"/>
        </w:rPr>
        <w:fldChar w:fldCharType="begin"/>
      </w:r>
      <w:r>
        <w:rPr>
          <w:lang w:val="en-GB"/>
        </w:rPr>
        <w:instrText xml:space="preserve"> REF _Ref21250255 \h </w:instrText>
      </w:r>
      <w:r>
        <w:rPr>
          <w:lang w:val="en-GB"/>
        </w:rPr>
      </w:r>
      <w:r>
        <w:rPr>
          <w:lang w:val="en-GB"/>
        </w:rPr>
        <w:fldChar w:fldCharType="separate"/>
      </w:r>
      <w:r w:rsidR="007F7607">
        <w:t xml:space="preserve">Figure </w:t>
      </w:r>
      <w:r w:rsidR="007F7607">
        <w:rPr>
          <w:noProof/>
        </w:rPr>
        <w:t>16</w:t>
      </w:r>
      <w:r>
        <w:rPr>
          <w:lang w:val="en-GB"/>
        </w:rPr>
        <w:fldChar w:fldCharType="end"/>
      </w:r>
      <w:r>
        <w:rPr>
          <w:lang w:val="en-GB"/>
        </w:rPr>
        <w:t xml:space="preserve">). </w:t>
      </w:r>
      <w:r w:rsidR="00FC2925">
        <w:rPr>
          <w:lang w:val="en-US" w:eastAsia="x-none"/>
        </w:rPr>
        <w:t xml:space="preserve">This action was not monitored under the </w:t>
      </w:r>
      <w:r w:rsidR="00E05711">
        <w:rPr>
          <w:lang w:val="en-US" w:eastAsia="x-none"/>
        </w:rPr>
        <w:t>LTIM Project</w:t>
      </w:r>
      <w:r w:rsidR="00FC2925">
        <w:rPr>
          <w:lang w:val="en-US" w:eastAsia="x-none"/>
        </w:rPr>
        <w:t xml:space="preserve"> in 2018-19. </w:t>
      </w:r>
    </w:p>
    <w:p w14:paraId="488F62A7" w14:textId="5B2639E1" w:rsidR="00FC2925" w:rsidRDefault="00FC2925" w:rsidP="00FC2925">
      <w:pPr>
        <w:rPr>
          <w:lang w:val="en-US" w:eastAsia="x-none"/>
        </w:rPr>
      </w:pPr>
      <w:r w:rsidRPr="006E233A">
        <w:rPr>
          <w:lang w:val="en-US" w:eastAsia="x-none"/>
        </w:rPr>
        <w:t>A bird survey of the site was conducted on 6</w:t>
      </w:r>
      <w:r w:rsidR="00953089" w:rsidRPr="00953089">
        <w:rPr>
          <w:vertAlign w:val="superscript"/>
          <w:lang w:val="en-US" w:eastAsia="x-none"/>
        </w:rPr>
        <w:t>th</w:t>
      </w:r>
      <w:r w:rsidR="00953089">
        <w:rPr>
          <w:lang w:val="en-US" w:eastAsia="x-none"/>
        </w:rPr>
        <w:t xml:space="preserve"> of</w:t>
      </w:r>
      <w:r w:rsidRPr="006E233A">
        <w:rPr>
          <w:lang w:val="en-US" w:eastAsia="x-none"/>
        </w:rPr>
        <w:t xml:space="preserve"> April 2019</w:t>
      </w:r>
      <w:r>
        <w:rPr>
          <w:lang w:val="en-US" w:eastAsia="x-none"/>
        </w:rPr>
        <w:t xml:space="preserve"> by NSW DPIE.</w:t>
      </w:r>
    </w:p>
    <w:p w14:paraId="3FC88512" w14:textId="77777777" w:rsidR="00FC2925" w:rsidRDefault="00FC2925" w:rsidP="00FC2925">
      <w:pPr>
        <w:rPr>
          <w:lang w:val="en-US" w:eastAsia="x-none"/>
        </w:rPr>
      </w:pPr>
    </w:p>
    <w:p w14:paraId="0AA5ECAB" w14:textId="77777777" w:rsidR="00FC2925" w:rsidRDefault="00FC2925" w:rsidP="00FC2925">
      <w:pPr>
        <w:rPr>
          <w:lang w:val="en-US" w:eastAsia="x-none"/>
        </w:rPr>
      </w:pPr>
      <w:r>
        <w:rPr>
          <w:noProof/>
          <w:lang w:eastAsia="en-AU"/>
        </w:rPr>
        <w:drawing>
          <wp:inline distT="0" distB="0" distL="0" distR="0" wp14:anchorId="32E4F530" wp14:editId="149EF61A">
            <wp:extent cx="5731510" cy="4053564"/>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4053564"/>
                    </a:xfrm>
                    <a:prstGeom prst="rect">
                      <a:avLst/>
                    </a:prstGeom>
                    <a:noFill/>
                    <a:ln>
                      <a:noFill/>
                    </a:ln>
                  </pic:spPr>
                </pic:pic>
              </a:graphicData>
            </a:graphic>
          </wp:inline>
        </w:drawing>
      </w:r>
    </w:p>
    <w:p w14:paraId="1A750988" w14:textId="5B9EBF2F" w:rsidR="00FC2925" w:rsidRPr="007F1E4C" w:rsidRDefault="00FC2925" w:rsidP="00FC2925">
      <w:pPr>
        <w:pStyle w:val="Caption"/>
      </w:pPr>
      <w:bookmarkStart w:id="125" w:name="_Ref21250124"/>
      <w:bookmarkStart w:id="126" w:name="_Toc31985579"/>
      <w:r>
        <w:t xml:space="preserve">Figure </w:t>
      </w:r>
      <w:r>
        <w:fldChar w:fldCharType="begin"/>
      </w:r>
      <w:r>
        <w:instrText>SEQ Figure \* ARABIC</w:instrText>
      </w:r>
      <w:r>
        <w:fldChar w:fldCharType="separate"/>
      </w:r>
      <w:r w:rsidR="007F7607">
        <w:rPr>
          <w:noProof/>
        </w:rPr>
        <w:t>15</w:t>
      </w:r>
      <w:r>
        <w:fldChar w:fldCharType="end"/>
      </w:r>
      <w:bookmarkEnd w:id="125"/>
      <w:r>
        <w:t>. Map showing the location of Yarrabandai Lagoon (formerly known as Burrawang West Lagoon). Map by NSW DPIE.</w:t>
      </w:r>
      <w:bookmarkEnd w:id="126"/>
    </w:p>
    <w:p w14:paraId="56555B6B" w14:textId="77777777" w:rsidR="00823C3A" w:rsidRDefault="00823C3A">
      <w:pPr>
        <w:spacing w:before="0" w:after="0"/>
        <w:rPr>
          <w:lang w:val="en-US" w:eastAsia="x-none"/>
        </w:rPr>
      </w:pPr>
      <w:r>
        <w:rPr>
          <w:lang w:val="en-US" w:eastAsia="x-none"/>
        </w:rPr>
        <w:br w:type="page"/>
      </w:r>
    </w:p>
    <w:p w14:paraId="44213FDC" w14:textId="12B21ED4" w:rsidR="00FC2925" w:rsidRDefault="00FC2925" w:rsidP="00FC2925">
      <w:pPr>
        <w:rPr>
          <w:lang w:val="en-US" w:eastAsia="x-none"/>
        </w:rPr>
      </w:pPr>
      <w:r>
        <w:rPr>
          <w:noProof/>
          <w:lang w:eastAsia="en-AU"/>
        </w:rPr>
        <w:drawing>
          <wp:inline distT="0" distB="0" distL="0" distR="0" wp14:anchorId="3153F7BF" wp14:editId="7D542BFB">
            <wp:extent cx="5731510" cy="221107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731510" cy="2211070"/>
                    </a:xfrm>
                    <a:prstGeom prst="rect">
                      <a:avLst/>
                    </a:prstGeom>
                  </pic:spPr>
                </pic:pic>
              </a:graphicData>
            </a:graphic>
          </wp:inline>
        </w:drawing>
      </w:r>
    </w:p>
    <w:p w14:paraId="51E874B8" w14:textId="77777777" w:rsidR="00FC2925" w:rsidRDefault="00FC2925" w:rsidP="00FC2925">
      <w:pPr>
        <w:rPr>
          <w:lang w:val="en-US" w:eastAsia="x-none"/>
        </w:rPr>
      </w:pPr>
      <w:r>
        <w:rPr>
          <w:noProof/>
          <w:lang w:eastAsia="en-AU"/>
        </w:rPr>
        <w:drawing>
          <wp:inline distT="0" distB="0" distL="0" distR="0" wp14:anchorId="212834F8" wp14:editId="1E84E071">
            <wp:extent cx="5731510" cy="221297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731510" cy="2212975"/>
                    </a:xfrm>
                    <a:prstGeom prst="rect">
                      <a:avLst/>
                    </a:prstGeom>
                  </pic:spPr>
                </pic:pic>
              </a:graphicData>
            </a:graphic>
          </wp:inline>
        </w:drawing>
      </w:r>
    </w:p>
    <w:p w14:paraId="5DD2963A" w14:textId="339D78A8" w:rsidR="00FC2925" w:rsidRDefault="00FC2925" w:rsidP="00FC2925">
      <w:pPr>
        <w:pStyle w:val="Caption"/>
      </w:pPr>
      <w:bookmarkStart w:id="127" w:name="_Ref21250255"/>
      <w:bookmarkStart w:id="128" w:name="_Toc31985580"/>
      <w:r>
        <w:t xml:space="preserve">Figure </w:t>
      </w:r>
      <w:r>
        <w:rPr>
          <w:noProof/>
        </w:rPr>
        <w:fldChar w:fldCharType="begin"/>
      </w:r>
      <w:r>
        <w:rPr>
          <w:noProof/>
        </w:rPr>
        <w:instrText xml:space="preserve"> SEQ Figure \* ARABIC </w:instrText>
      </w:r>
      <w:r>
        <w:rPr>
          <w:noProof/>
        </w:rPr>
        <w:fldChar w:fldCharType="separate"/>
      </w:r>
      <w:r w:rsidR="007F7607">
        <w:rPr>
          <w:noProof/>
        </w:rPr>
        <w:t>16</w:t>
      </w:r>
      <w:r>
        <w:rPr>
          <w:noProof/>
        </w:rPr>
        <w:fldChar w:fldCharType="end"/>
      </w:r>
      <w:bookmarkEnd w:id="127"/>
      <w:r>
        <w:t>. Sentinel imagery of Yarrabandai Lagoon area prior to the arrival of environmental water (</w:t>
      </w:r>
      <w:r w:rsidR="00823C3A">
        <w:t>1</w:t>
      </w:r>
      <w:r w:rsidR="00823C3A" w:rsidRPr="00823C3A">
        <w:rPr>
          <w:vertAlign w:val="superscript"/>
        </w:rPr>
        <w:t>st</w:t>
      </w:r>
      <w:r w:rsidR="00823C3A">
        <w:t xml:space="preserve"> </w:t>
      </w:r>
      <w:r>
        <w:t>March 2019, upper image), and towards the peak of the watering (30</w:t>
      </w:r>
      <w:r w:rsidRPr="004D0A74">
        <w:rPr>
          <w:vertAlign w:val="superscript"/>
        </w:rPr>
        <w:t>th</w:t>
      </w:r>
      <w:r>
        <w:t xml:space="preserve"> May 2019, lower image). </w:t>
      </w:r>
      <w:r>
        <w:br/>
        <w:t xml:space="preserve">Images sourced from </w:t>
      </w:r>
      <w:hyperlink r:id="rId49" w:history="1">
        <w:r w:rsidRPr="00123E63">
          <w:rPr>
            <w:rStyle w:val="Hyperlink"/>
            <w:rFonts w:cs="Khmer UI"/>
          </w:rPr>
          <w:t>https://www.sentinel-hub.com/explore/sentinel-playground</w:t>
        </w:r>
        <w:bookmarkEnd w:id="128"/>
      </w:hyperlink>
    </w:p>
    <w:p w14:paraId="72DA11AC" w14:textId="4F824145" w:rsidR="00534427" w:rsidRDefault="00534427">
      <w:pPr>
        <w:spacing w:before="0" w:after="0"/>
      </w:pPr>
      <w:r>
        <w:br w:type="page"/>
      </w:r>
    </w:p>
    <w:p w14:paraId="2950ABA4" w14:textId="2BA8F4DB" w:rsidR="006B5043" w:rsidRDefault="00D570DE" w:rsidP="00D570DE">
      <w:pPr>
        <w:pStyle w:val="Heading3"/>
      </w:pPr>
      <w:bookmarkStart w:id="129" w:name="_Toc31985455"/>
      <w:r>
        <w:t xml:space="preserve">Watering Action 4: </w:t>
      </w:r>
      <w:r w:rsidR="00B542C5">
        <w:rPr>
          <w:lang w:val="en-US"/>
        </w:rPr>
        <w:t>Autumn-Winter Fresh</w:t>
      </w:r>
      <w:bookmarkEnd w:id="129"/>
    </w:p>
    <w:p w14:paraId="71586438" w14:textId="5FEB7C2F" w:rsidR="006B5043" w:rsidRDefault="00B542C5" w:rsidP="006B5043">
      <w:pPr>
        <w:rPr>
          <w:lang w:val="en-US" w:eastAsia="x-none"/>
        </w:rPr>
      </w:pPr>
      <w:r>
        <w:rPr>
          <w:lang w:val="en-US" w:eastAsia="x-none"/>
        </w:rPr>
        <w:t>Watering action 4 passed Booligal between the 7</w:t>
      </w:r>
      <w:r w:rsidRPr="00B542C5">
        <w:rPr>
          <w:vertAlign w:val="superscript"/>
          <w:lang w:val="en-US" w:eastAsia="x-none"/>
        </w:rPr>
        <w:t>th</w:t>
      </w:r>
      <w:r>
        <w:rPr>
          <w:lang w:val="en-US" w:eastAsia="x-none"/>
        </w:rPr>
        <w:t xml:space="preserve"> and 27</w:t>
      </w:r>
      <w:r w:rsidRPr="00B542C5">
        <w:rPr>
          <w:vertAlign w:val="superscript"/>
          <w:lang w:val="en-US" w:eastAsia="x-none"/>
        </w:rPr>
        <w:t>th</w:t>
      </w:r>
      <w:r>
        <w:rPr>
          <w:lang w:val="en-US" w:eastAsia="x-none"/>
        </w:rPr>
        <w:t xml:space="preserve"> June (</w:t>
      </w:r>
      <w:r>
        <w:rPr>
          <w:lang w:val="en-US" w:eastAsia="x-none"/>
        </w:rPr>
        <w:fldChar w:fldCharType="begin"/>
      </w:r>
      <w:r>
        <w:rPr>
          <w:lang w:val="en-US" w:eastAsia="x-none"/>
        </w:rPr>
        <w:instrText xml:space="preserve"> REF _Ref18065707 \h </w:instrText>
      </w:r>
      <w:r>
        <w:rPr>
          <w:lang w:val="en-US" w:eastAsia="x-none"/>
        </w:rPr>
      </w:r>
      <w:r>
        <w:rPr>
          <w:lang w:val="en-US" w:eastAsia="x-none"/>
        </w:rPr>
        <w:fldChar w:fldCharType="separate"/>
      </w:r>
      <w:r w:rsidR="007F7607">
        <w:t xml:space="preserve">Figure </w:t>
      </w:r>
      <w:r w:rsidR="007F7607">
        <w:rPr>
          <w:noProof/>
        </w:rPr>
        <w:t>12</w:t>
      </w:r>
      <w:r>
        <w:rPr>
          <w:lang w:val="en-US" w:eastAsia="x-none"/>
        </w:rPr>
        <w:fldChar w:fldCharType="end"/>
      </w:r>
      <w:r>
        <w:rPr>
          <w:lang w:val="en-US" w:eastAsia="x-none"/>
        </w:rPr>
        <w:t>). It peaked at just over 500</w:t>
      </w:r>
      <w:r w:rsidR="00BE7F11">
        <w:rPr>
          <w:lang w:val="en-US" w:eastAsia="x-none"/>
        </w:rPr>
        <w:t> </w:t>
      </w:r>
      <w:r>
        <w:rPr>
          <w:lang w:val="en-US" w:eastAsia="x-none"/>
        </w:rPr>
        <w:t>ML/day on the 17</w:t>
      </w:r>
      <w:r w:rsidRPr="00B542C5">
        <w:rPr>
          <w:vertAlign w:val="superscript"/>
          <w:lang w:val="en-US" w:eastAsia="x-none"/>
        </w:rPr>
        <w:t>th</w:t>
      </w:r>
      <w:r>
        <w:rPr>
          <w:lang w:val="en-US" w:eastAsia="x-none"/>
        </w:rPr>
        <w:t xml:space="preserve"> June but did not achieve the planned 9 days of 500</w:t>
      </w:r>
      <w:r w:rsidR="00BE7F11">
        <w:rPr>
          <w:lang w:val="en-US" w:eastAsia="x-none"/>
        </w:rPr>
        <w:t> </w:t>
      </w:r>
      <w:r>
        <w:rPr>
          <w:lang w:val="en-US" w:eastAsia="x-none"/>
        </w:rPr>
        <w:t xml:space="preserve">ML/day because of operational constraints. This watering action </w:t>
      </w:r>
      <w:r w:rsidR="00077AD0">
        <w:rPr>
          <w:lang w:val="en-US" w:eastAsia="x-none"/>
        </w:rPr>
        <w:t>had reached</w:t>
      </w:r>
      <w:r>
        <w:rPr>
          <w:lang w:val="en-US" w:eastAsia="x-none"/>
        </w:rPr>
        <w:t xml:space="preserve"> the Great Cumbung Swamp by the </w:t>
      </w:r>
      <w:r w:rsidR="00077AD0">
        <w:rPr>
          <w:lang w:val="en-US" w:eastAsia="x-none"/>
        </w:rPr>
        <w:t>3</w:t>
      </w:r>
      <w:r>
        <w:rPr>
          <w:lang w:val="en-US" w:eastAsia="x-none"/>
        </w:rPr>
        <w:t>0</w:t>
      </w:r>
      <w:r w:rsidRPr="00B542C5">
        <w:rPr>
          <w:vertAlign w:val="superscript"/>
          <w:lang w:val="en-US" w:eastAsia="x-none"/>
        </w:rPr>
        <w:t>th</w:t>
      </w:r>
      <w:r>
        <w:rPr>
          <w:lang w:val="en-US" w:eastAsia="x-none"/>
        </w:rPr>
        <w:t xml:space="preserve"> June with</w:t>
      </w:r>
      <w:r w:rsidR="00077AD0">
        <w:rPr>
          <w:lang w:val="en-US" w:eastAsia="x-none"/>
        </w:rPr>
        <w:t xml:space="preserve"> an observable increase in surface water (</w:t>
      </w:r>
      <w:r w:rsidR="00077AD0">
        <w:rPr>
          <w:lang w:val="en-US" w:eastAsia="x-none"/>
        </w:rPr>
        <w:fldChar w:fldCharType="begin"/>
      </w:r>
      <w:r w:rsidR="00077AD0">
        <w:rPr>
          <w:lang w:val="en-US" w:eastAsia="x-none"/>
        </w:rPr>
        <w:instrText xml:space="preserve"> REF _Ref18326845 \h </w:instrText>
      </w:r>
      <w:r w:rsidR="00077AD0">
        <w:rPr>
          <w:lang w:val="en-US" w:eastAsia="x-none"/>
        </w:rPr>
      </w:r>
      <w:r w:rsidR="00077AD0">
        <w:rPr>
          <w:lang w:val="en-US" w:eastAsia="x-none"/>
        </w:rPr>
        <w:fldChar w:fldCharType="separate"/>
      </w:r>
      <w:r w:rsidR="007F7607">
        <w:t xml:space="preserve">Figure </w:t>
      </w:r>
      <w:r w:rsidR="007F7607">
        <w:rPr>
          <w:noProof/>
        </w:rPr>
        <w:t>17</w:t>
      </w:r>
      <w:r w:rsidR="00077AD0">
        <w:rPr>
          <w:lang w:val="en-US" w:eastAsia="x-none"/>
        </w:rPr>
        <w:fldChar w:fldCharType="end"/>
      </w:r>
      <w:r w:rsidR="00077AD0">
        <w:rPr>
          <w:lang w:val="en-US" w:eastAsia="x-none"/>
        </w:rPr>
        <w:t>). The surface water peaked around the 10</w:t>
      </w:r>
      <w:r w:rsidR="00077AD0" w:rsidRPr="00077AD0">
        <w:rPr>
          <w:vertAlign w:val="superscript"/>
          <w:lang w:val="en-US" w:eastAsia="x-none"/>
        </w:rPr>
        <w:t>th</w:t>
      </w:r>
      <w:r w:rsidR="00077AD0">
        <w:rPr>
          <w:lang w:val="en-US" w:eastAsia="x-none"/>
        </w:rPr>
        <w:t xml:space="preserve"> July and had completely receded by the 17</w:t>
      </w:r>
      <w:r w:rsidR="00077AD0" w:rsidRPr="00077AD0">
        <w:rPr>
          <w:vertAlign w:val="superscript"/>
          <w:lang w:val="en-US" w:eastAsia="x-none"/>
        </w:rPr>
        <w:t>th</w:t>
      </w:r>
      <w:r w:rsidR="00077AD0">
        <w:rPr>
          <w:lang w:val="en-US" w:eastAsia="x-none"/>
        </w:rPr>
        <w:t xml:space="preserve"> August 2019 (</w:t>
      </w:r>
      <w:r w:rsidR="00077AD0">
        <w:rPr>
          <w:lang w:val="en-US" w:eastAsia="x-none"/>
        </w:rPr>
        <w:fldChar w:fldCharType="begin"/>
      </w:r>
      <w:r w:rsidR="00077AD0">
        <w:rPr>
          <w:lang w:val="en-US" w:eastAsia="x-none"/>
        </w:rPr>
        <w:instrText xml:space="preserve"> REF _Ref18326845 \h </w:instrText>
      </w:r>
      <w:r w:rsidR="00077AD0">
        <w:rPr>
          <w:lang w:val="en-US" w:eastAsia="x-none"/>
        </w:rPr>
      </w:r>
      <w:r w:rsidR="00077AD0">
        <w:rPr>
          <w:lang w:val="en-US" w:eastAsia="x-none"/>
        </w:rPr>
        <w:fldChar w:fldCharType="separate"/>
      </w:r>
      <w:r w:rsidR="007F7607">
        <w:t xml:space="preserve">Figure </w:t>
      </w:r>
      <w:r w:rsidR="007F7607">
        <w:rPr>
          <w:noProof/>
        </w:rPr>
        <w:t>17</w:t>
      </w:r>
      <w:r w:rsidR="00077AD0">
        <w:rPr>
          <w:lang w:val="en-US" w:eastAsia="x-none"/>
        </w:rPr>
        <w:fldChar w:fldCharType="end"/>
      </w:r>
      <w:r w:rsidR="00077AD0">
        <w:rPr>
          <w:lang w:val="en-US" w:eastAsia="x-none"/>
        </w:rPr>
        <w:t>).</w:t>
      </w:r>
    </w:p>
    <w:p w14:paraId="2F0F8985" w14:textId="021B8106" w:rsidR="00B542C5" w:rsidRDefault="00B542C5" w:rsidP="006B5043">
      <w:pPr>
        <w:rPr>
          <w:lang w:val="en-US" w:eastAsia="x-none"/>
        </w:rPr>
      </w:pPr>
    </w:p>
    <w:p w14:paraId="2DCEE0FF" w14:textId="77777777" w:rsidR="00B542C5" w:rsidRDefault="00B542C5" w:rsidP="00B542C5">
      <w:pPr>
        <w:rPr>
          <w:noProof/>
        </w:rPr>
      </w:pPr>
      <w:r>
        <w:rPr>
          <w:noProof/>
          <w:lang w:eastAsia="en-AU"/>
        </w:rPr>
        <w:drawing>
          <wp:inline distT="0" distB="0" distL="0" distR="0" wp14:anchorId="5151A217" wp14:editId="43C41F87">
            <wp:extent cx="5715000" cy="30861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715000" cy="3086100"/>
                    </a:xfrm>
                    <a:prstGeom prst="rect">
                      <a:avLst/>
                    </a:prstGeom>
                    <a:noFill/>
                    <a:ln>
                      <a:noFill/>
                    </a:ln>
                  </pic:spPr>
                </pic:pic>
              </a:graphicData>
            </a:graphic>
          </wp:inline>
        </w:drawing>
      </w:r>
    </w:p>
    <w:p w14:paraId="163C395E" w14:textId="77777777" w:rsidR="00B542C5" w:rsidRDefault="00B542C5" w:rsidP="00B542C5">
      <w:pPr>
        <w:rPr>
          <w:noProof/>
        </w:rPr>
      </w:pPr>
      <w:r>
        <w:rPr>
          <w:noProof/>
          <w:lang w:eastAsia="en-AU"/>
        </w:rPr>
        <w:drawing>
          <wp:inline distT="0" distB="0" distL="0" distR="0" wp14:anchorId="55FA4958" wp14:editId="7DDCA3DC">
            <wp:extent cx="5724525" cy="3305175"/>
            <wp:effectExtent l="0" t="0" r="9525"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24525" cy="3305175"/>
                    </a:xfrm>
                    <a:prstGeom prst="rect">
                      <a:avLst/>
                    </a:prstGeom>
                    <a:noFill/>
                    <a:ln>
                      <a:noFill/>
                    </a:ln>
                  </pic:spPr>
                </pic:pic>
              </a:graphicData>
            </a:graphic>
          </wp:inline>
        </w:drawing>
      </w:r>
    </w:p>
    <w:p w14:paraId="1E4619E6" w14:textId="77777777" w:rsidR="00B542C5" w:rsidRDefault="00B542C5" w:rsidP="00B542C5">
      <w:pPr>
        <w:keepNext/>
      </w:pPr>
      <w:r>
        <w:rPr>
          <w:noProof/>
          <w:lang w:eastAsia="en-AU"/>
        </w:rPr>
        <w:drawing>
          <wp:inline distT="0" distB="0" distL="0" distR="0" wp14:anchorId="14872889" wp14:editId="202ABBC1">
            <wp:extent cx="5724525" cy="3371850"/>
            <wp:effectExtent l="0" t="0" r="9525"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24525" cy="3371850"/>
                    </a:xfrm>
                    <a:prstGeom prst="rect">
                      <a:avLst/>
                    </a:prstGeom>
                    <a:noFill/>
                    <a:ln>
                      <a:noFill/>
                    </a:ln>
                  </pic:spPr>
                </pic:pic>
              </a:graphicData>
            </a:graphic>
          </wp:inline>
        </w:drawing>
      </w:r>
    </w:p>
    <w:p w14:paraId="37E2C226" w14:textId="7762B03F" w:rsidR="00F06A3C" w:rsidRDefault="00B542C5" w:rsidP="00B542C5">
      <w:pPr>
        <w:pStyle w:val="Caption"/>
      </w:pPr>
      <w:bookmarkStart w:id="130" w:name="_Ref18326845"/>
      <w:bookmarkStart w:id="131" w:name="_Toc31985581"/>
      <w:r>
        <w:t xml:space="preserve">Figure </w:t>
      </w:r>
      <w:r>
        <w:fldChar w:fldCharType="begin"/>
      </w:r>
      <w:r>
        <w:instrText>SEQ Figure \* ARABIC</w:instrText>
      </w:r>
      <w:r>
        <w:fldChar w:fldCharType="separate"/>
      </w:r>
      <w:r w:rsidR="007F7607">
        <w:rPr>
          <w:noProof/>
        </w:rPr>
        <w:t>17</w:t>
      </w:r>
      <w:r>
        <w:fldChar w:fldCharType="end"/>
      </w:r>
      <w:bookmarkEnd w:id="130"/>
      <w:r>
        <w:t>. Sentinel imagery from the Great Cumbung Swamp as the autumn/</w:t>
      </w:r>
      <w:r w:rsidR="00F06A3C">
        <w:t xml:space="preserve"> </w:t>
      </w:r>
      <w:r>
        <w:t>winter pulse arrived (30</w:t>
      </w:r>
      <w:r w:rsidRPr="00B542C5">
        <w:rPr>
          <w:vertAlign w:val="superscript"/>
        </w:rPr>
        <w:t>th</w:t>
      </w:r>
      <w:r>
        <w:t xml:space="preserve"> June 2019, upper image), at maximum extent of inundation (10</w:t>
      </w:r>
      <w:r w:rsidRPr="00B542C5">
        <w:rPr>
          <w:vertAlign w:val="superscript"/>
        </w:rPr>
        <w:t>th</w:t>
      </w:r>
      <w:r>
        <w:t xml:space="preserve"> July 2019, middle image) and once the water had receded (17</w:t>
      </w:r>
      <w:r w:rsidRPr="00B542C5">
        <w:rPr>
          <w:vertAlign w:val="superscript"/>
        </w:rPr>
        <w:t>th</w:t>
      </w:r>
      <w:r>
        <w:t xml:space="preserve"> August 2019, lower image).</w:t>
      </w:r>
      <w:bookmarkEnd w:id="131"/>
      <w:r>
        <w:t xml:space="preserve"> </w:t>
      </w:r>
    </w:p>
    <w:p w14:paraId="5FEE337A" w14:textId="7A700E55" w:rsidR="00B542C5" w:rsidRDefault="00B542C5" w:rsidP="00B542C5">
      <w:pPr>
        <w:pStyle w:val="Caption"/>
        <w:rPr>
          <w:noProof/>
        </w:rPr>
      </w:pPr>
      <w:r>
        <w:t xml:space="preserve">Images sourced from </w:t>
      </w:r>
      <w:r w:rsidRPr="00823365">
        <w:t>https://www.sentinel-hub.com/explore/sentinel-playground</w:t>
      </w:r>
    </w:p>
    <w:p w14:paraId="74317527" w14:textId="77777777" w:rsidR="00B542C5" w:rsidRPr="00E05ED4" w:rsidRDefault="00B542C5" w:rsidP="006B5043">
      <w:pPr>
        <w:rPr>
          <w:lang w:val="en-US" w:eastAsia="x-none"/>
        </w:rPr>
      </w:pPr>
    </w:p>
    <w:p w14:paraId="5F353F5F" w14:textId="77777777" w:rsidR="006B5043" w:rsidRDefault="006B5043" w:rsidP="006B5043">
      <w:pPr>
        <w:pStyle w:val="Heading2"/>
        <w:numPr>
          <w:ilvl w:val="1"/>
          <w:numId w:val="8"/>
        </w:numPr>
      </w:pPr>
      <w:bookmarkStart w:id="132" w:name="_Toc532211855"/>
      <w:bookmarkStart w:id="133" w:name="_Toc31985456"/>
      <w:r>
        <w:t>Evaluation</w:t>
      </w:r>
      <w:bookmarkStart w:id="134" w:name="_Toc487106790"/>
      <w:bookmarkStart w:id="135" w:name="_Toc499911982"/>
      <w:bookmarkEnd w:id="132"/>
      <w:bookmarkEnd w:id="134"/>
      <w:bookmarkEnd w:id="135"/>
      <w:bookmarkEnd w:id="133"/>
    </w:p>
    <w:p w14:paraId="23E23D3E" w14:textId="243F38F7" w:rsidR="00BF3A66" w:rsidRDefault="00BF3A66" w:rsidP="006B5043">
      <w:r>
        <w:t>The hydrological analysis presented here provides the context for evaluating observed ecological responses. The evaluation provided in this section is confined to the hydrological metrics, subsequent chapters address the ecological outcomes and evaluate the efficacy of the watering actions for achieving ecological outcomes.</w:t>
      </w:r>
    </w:p>
    <w:p w14:paraId="3BD9564A" w14:textId="2EBB320A" w:rsidR="00BD4B58" w:rsidRDefault="006B5043" w:rsidP="006B5043">
      <w:r>
        <w:t xml:space="preserve">The four environmental watering actions delivered in 2018-19 </w:t>
      </w:r>
      <w:r w:rsidR="000C42B2">
        <w:t>were modest</w:t>
      </w:r>
      <w:r w:rsidR="000A6CF5">
        <w:t>,</w:t>
      </w:r>
      <w:r w:rsidR="000C42B2">
        <w:t xml:space="preserve"> using a third of the Commonwealth’s available volume in the Lachlan River system. In combination, the volumes delivered contributed </w:t>
      </w:r>
      <w:r w:rsidR="00BD4B58">
        <w:t>approximately 4% of the flow in the river at Forbes, 11% at Hillston and 24% at Booligal</w:t>
      </w:r>
      <w:r w:rsidR="000C42B2" w:rsidRPr="000C42B2">
        <w:t xml:space="preserve"> </w:t>
      </w:r>
      <w:r w:rsidR="000C42B2">
        <w:t xml:space="preserve">in 2018-19. While Commonwealth environmental water made an almost negligible contribution to the mid Lachlan (4% of the flow at Forbes), it provided almost one quarter (24%) of the flow at Booligal illustrating the relative </w:t>
      </w:r>
      <w:r w:rsidR="008F2885">
        <w:t>importance of Commonwealth water in the lower reaches of the river.</w:t>
      </w:r>
    </w:p>
    <w:p w14:paraId="0BEE1334" w14:textId="16A7BBB9" w:rsidR="006B5043" w:rsidRDefault="006B5043" w:rsidP="006B5043">
      <w:pPr>
        <w:rPr>
          <w:lang w:eastAsia="x-none"/>
        </w:rPr>
      </w:pPr>
      <w:r>
        <w:t>In relation to the effects of Commonwealth environmental water, the evaluation questions are addressed as follows:</w:t>
      </w:r>
    </w:p>
    <w:p w14:paraId="47637ADF" w14:textId="77777777" w:rsidR="006B5043" w:rsidRDefault="006B5043" w:rsidP="00D437E3">
      <w:pPr>
        <w:numPr>
          <w:ilvl w:val="0"/>
          <w:numId w:val="29"/>
        </w:numPr>
        <w:rPr>
          <w:lang w:eastAsia="x-none"/>
        </w:rPr>
      </w:pPr>
      <w:r>
        <w:t>What did Commonwealth environmental water contribute to habitat for native fish and other water dependent vertebrate species?</w:t>
      </w:r>
    </w:p>
    <w:p w14:paraId="7C36F15F" w14:textId="4CE71072" w:rsidR="00050BA8" w:rsidRPr="009C454E" w:rsidRDefault="006455DB" w:rsidP="006B5043">
      <w:r w:rsidRPr="009C454E">
        <w:t xml:space="preserve">The first </w:t>
      </w:r>
      <w:r w:rsidR="00367904" w:rsidRPr="009C454E">
        <w:t xml:space="preserve">watering action </w:t>
      </w:r>
      <w:r w:rsidRPr="009C454E">
        <w:t>provided a</w:t>
      </w:r>
      <w:r w:rsidR="00367904" w:rsidRPr="009C454E">
        <w:t>n early</w:t>
      </w:r>
      <w:r w:rsidRPr="009C454E">
        <w:t xml:space="preserve"> spring fresh </w:t>
      </w:r>
      <w:r w:rsidR="00367904" w:rsidRPr="009C454E">
        <w:t xml:space="preserve">in the mid Lachlan river system reshaping the operational hydrograph, increasing the peak by 0.2 m </w:t>
      </w:r>
      <w:r w:rsidR="00050BA8" w:rsidRPr="009C454E">
        <w:t xml:space="preserve">(in total the river rose almost 0.4 m) </w:t>
      </w:r>
      <w:r w:rsidR="00367904" w:rsidRPr="009C454E">
        <w:t xml:space="preserve">and achieving a smooth recession. </w:t>
      </w:r>
      <w:r w:rsidR="00050BA8" w:rsidRPr="009C454E">
        <w:t>By leveraging operational flows, t</w:t>
      </w:r>
      <w:r w:rsidR="00367904" w:rsidRPr="009C454E">
        <w:t xml:space="preserve">his watering </w:t>
      </w:r>
      <w:r w:rsidR="00050BA8" w:rsidRPr="009C454E">
        <w:t xml:space="preserve">action provided an </w:t>
      </w:r>
      <w:r w:rsidR="008F2885">
        <w:t xml:space="preserve">efficient </w:t>
      </w:r>
      <w:r w:rsidR="00050BA8" w:rsidRPr="009C454E">
        <w:t>opportunity for a boost in productivity in the river channel and opportunities for short term movement of fish prior to spawning.</w:t>
      </w:r>
    </w:p>
    <w:p w14:paraId="30FC39F6" w14:textId="15B0C915" w:rsidR="0026097E" w:rsidRDefault="00050BA8" w:rsidP="006B5043">
      <w:pPr>
        <w:rPr>
          <w:lang w:eastAsia="x-none"/>
        </w:rPr>
      </w:pPr>
      <w:r w:rsidRPr="009C454E">
        <w:t xml:space="preserve">As Watering Action 1 passed downstream, the contribution to habitat became more </w:t>
      </w:r>
      <w:r w:rsidR="005E4C1A">
        <w:t>noticeable</w:t>
      </w:r>
      <w:r w:rsidRPr="009C454E">
        <w:t xml:space="preserve">. </w:t>
      </w:r>
      <w:r w:rsidR="009C454E" w:rsidRPr="009C454E">
        <w:t xml:space="preserve">Through a process of re-regulation, it provided two small freshes in the lower river, with rises in river height of up to 0.4 m at Booligal. This magnitude of river rise was maintained to the edge of the Great Cumbung Swamp, likely inundating in-channel habitats.  </w:t>
      </w:r>
      <w:r w:rsidR="009C454E" w:rsidRPr="009C454E">
        <w:rPr>
          <w:lang w:eastAsia="x-none"/>
        </w:rPr>
        <w:t xml:space="preserve">This water then passed into the Great Cumbung Swamp </w:t>
      </w:r>
      <w:r w:rsidR="0026097E">
        <w:rPr>
          <w:lang w:eastAsia="x-none"/>
        </w:rPr>
        <w:t>(</w:t>
      </w:r>
      <w:r w:rsidR="009C454E" w:rsidRPr="009C454E">
        <w:rPr>
          <w:lang w:eastAsia="x-none"/>
        </w:rPr>
        <w:fldChar w:fldCharType="begin"/>
      </w:r>
      <w:r w:rsidR="009C454E" w:rsidRPr="009C454E">
        <w:rPr>
          <w:lang w:eastAsia="x-none"/>
        </w:rPr>
        <w:instrText xml:space="preserve"> REF _Ref18325079 \h </w:instrText>
      </w:r>
      <w:r w:rsidR="009C454E">
        <w:rPr>
          <w:lang w:eastAsia="x-none"/>
        </w:rPr>
        <w:instrText xml:space="preserve"> \* MERGEFORMAT </w:instrText>
      </w:r>
      <w:r w:rsidR="009C454E" w:rsidRPr="009C454E">
        <w:rPr>
          <w:lang w:eastAsia="x-none"/>
        </w:rPr>
      </w:r>
      <w:r w:rsidR="009C454E" w:rsidRPr="009C454E">
        <w:rPr>
          <w:lang w:eastAsia="x-none"/>
        </w:rPr>
        <w:fldChar w:fldCharType="separate"/>
      </w:r>
      <w:r w:rsidR="007F7607">
        <w:t xml:space="preserve">Figure </w:t>
      </w:r>
      <w:r w:rsidR="007F7607">
        <w:rPr>
          <w:noProof/>
        </w:rPr>
        <w:t>14</w:t>
      </w:r>
      <w:r w:rsidR="009C454E" w:rsidRPr="009C454E">
        <w:rPr>
          <w:lang w:eastAsia="x-none"/>
        </w:rPr>
        <w:fldChar w:fldCharType="end"/>
      </w:r>
      <w:r w:rsidR="009C454E" w:rsidRPr="009C454E">
        <w:rPr>
          <w:lang w:eastAsia="x-none"/>
        </w:rPr>
        <w:t>)</w:t>
      </w:r>
      <w:r w:rsidR="0026097E">
        <w:rPr>
          <w:lang w:eastAsia="x-none"/>
        </w:rPr>
        <w:t xml:space="preserve"> providing almost 6 weeks of inundation to side channels and low lying areas in the Swamp in mid to late spring</w:t>
      </w:r>
      <w:r w:rsidR="009C454E" w:rsidRPr="009C454E">
        <w:rPr>
          <w:lang w:eastAsia="x-none"/>
        </w:rPr>
        <w:t>.</w:t>
      </w:r>
      <w:r w:rsidR="005E4C1A">
        <w:rPr>
          <w:lang w:eastAsia="x-none"/>
        </w:rPr>
        <w:t xml:space="preserve">  </w:t>
      </w:r>
    </w:p>
    <w:p w14:paraId="39143F99" w14:textId="16A0A16A" w:rsidR="006455DB" w:rsidRDefault="009C454E" w:rsidP="006B5043">
      <w:pPr>
        <w:rPr>
          <w:highlight w:val="yellow"/>
        </w:rPr>
      </w:pPr>
      <w:r w:rsidRPr="009C454E">
        <w:t>Additionally, p</w:t>
      </w:r>
      <w:r w:rsidR="00050BA8" w:rsidRPr="009C454E">
        <w:t xml:space="preserve">art of </w:t>
      </w:r>
      <w:r w:rsidR="0026097E">
        <w:t>the first</w:t>
      </w:r>
      <w:r w:rsidR="00050BA8" w:rsidRPr="009C454E">
        <w:t xml:space="preserve"> watering action (761</w:t>
      </w:r>
      <w:r w:rsidR="00BE7F11">
        <w:t> </w:t>
      </w:r>
      <w:r w:rsidR="00050BA8" w:rsidRPr="009C454E">
        <w:t>ML)</w:t>
      </w:r>
      <w:r w:rsidRPr="009C454E">
        <w:t xml:space="preserve"> was delivered to Booberoi Creek providing habitat for fish and other water dependent species.</w:t>
      </w:r>
      <w:r>
        <w:rPr>
          <w:highlight w:val="yellow"/>
        </w:rPr>
        <w:t xml:space="preserve"> </w:t>
      </w:r>
    </w:p>
    <w:p w14:paraId="4E6D93B4" w14:textId="48C0BB43" w:rsidR="006B5043" w:rsidRPr="005E4C1A" w:rsidRDefault="006B5043" w:rsidP="006B5043">
      <w:r w:rsidRPr="005E4C1A">
        <w:t xml:space="preserve">The </w:t>
      </w:r>
      <w:r w:rsidR="009C454E" w:rsidRPr="005E4C1A">
        <w:t>second</w:t>
      </w:r>
      <w:r w:rsidRPr="005E4C1A">
        <w:t xml:space="preserve"> watering action</w:t>
      </w:r>
      <w:r w:rsidR="005E4C1A">
        <w:t xml:space="preserve"> </w:t>
      </w:r>
      <w:r w:rsidRPr="005E4C1A">
        <w:t>maintained water levels in the river at Forbes between October and early December at around 0.</w:t>
      </w:r>
      <w:r w:rsidR="009C454E" w:rsidRPr="005E4C1A">
        <w:t>6</w:t>
      </w:r>
      <w:r w:rsidRPr="005E4C1A">
        <w:t xml:space="preserve"> m, preventing the river from dropping </w:t>
      </w:r>
      <w:r w:rsidR="000A6CF5">
        <w:t>between 0.05 and 0.25</w:t>
      </w:r>
      <w:r w:rsidRPr="005E4C1A">
        <w:t xml:space="preserve"> m during peak fish breeding season. While the river at the accounting point is trapezoidal in shape, there is some variability in channel shape in the mid Lachlan and the maintenance of water level will have prevented the exposure of</w:t>
      </w:r>
      <w:r w:rsidR="005E4C1A" w:rsidRPr="005E4C1A">
        <w:t xml:space="preserve"> </w:t>
      </w:r>
      <w:r w:rsidRPr="005E4C1A">
        <w:t>small sections of banks during this time.</w:t>
      </w:r>
      <w:r w:rsidR="008F2885">
        <w:t xml:space="preserve"> </w:t>
      </w:r>
      <w:r w:rsidRPr="005E4C1A">
        <w:t xml:space="preserve">During </w:t>
      </w:r>
      <w:r w:rsidR="005E4C1A" w:rsidRPr="005E4C1A">
        <w:t>this time</w:t>
      </w:r>
      <w:r w:rsidRPr="005E4C1A">
        <w:t>, normal operational flows in the river resulted in water levels that fluctuated between 0.6 and 0.</w:t>
      </w:r>
      <w:r w:rsidR="005E4C1A" w:rsidRPr="005E4C1A">
        <w:t>9</w:t>
      </w:r>
      <w:r w:rsidRPr="005E4C1A">
        <w:t xml:space="preserve"> m in height</w:t>
      </w:r>
      <w:r w:rsidR="005E4C1A" w:rsidRPr="005E4C1A">
        <w:t>, sometimes with sharp drops in river level of almost 0.3 m</w:t>
      </w:r>
      <w:r w:rsidRPr="005E4C1A">
        <w:t>.</w:t>
      </w:r>
    </w:p>
    <w:p w14:paraId="6D4A967F" w14:textId="77777777" w:rsidR="006B5043" w:rsidRDefault="006B5043" w:rsidP="00D437E3">
      <w:pPr>
        <w:numPr>
          <w:ilvl w:val="0"/>
          <w:numId w:val="29"/>
        </w:numPr>
        <w:rPr>
          <w:lang w:eastAsia="x-none"/>
        </w:rPr>
      </w:pPr>
      <w:r>
        <w:rPr>
          <w:lang w:eastAsia="x-none"/>
        </w:rPr>
        <w:t>What did Commonwealth environmental water contribute to hydrological variability in the Lower Lachlan during periods of low flow.</w:t>
      </w:r>
    </w:p>
    <w:p w14:paraId="4357423C" w14:textId="77777777" w:rsidR="00BB1E93" w:rsidRPr="00BB1E93" w:rsidRDefault="005E4C1A" w:rsidP="006B5043">
      <w:r w:rsidRPr="00BB1E93">
        <w:t xml:space="preserve">Three of the </w:t>
      </w:r>
      <w:r w:rsidR="006B5043" w:rsidRPr="00BB1E93">
        <w:t>watering actions provided in 201</w:t>
      </w:r>
      <w:r w:rsidR="00BB1E93" w:rsidRPr="00BB1E93">
        <w:t>8</w:t>
      </w:r>
      <w:r w:rsidR="006B5043" w:rsidRPr="00BB1E93">
        <w:t>-1</w:t>
      </w:r>
      <w:r w:rsidR="00BB1E93" w:rsidRPr="00BB1E93">
        <w:t>9</w:t>
      </w:r>
      <w:r w:rsidR="006B5043" w:rsidRPr="00BB1E93">
        <w:t xml:space="preserve"> strategically provided small fresh</w:t>
      </w:r>
      <w:r w:rsidR="00BB1E93" w:rsidRPr="00BB1E93">
        <w:t>es</w:t>
      </w:r>
      <w:r w:rsidR="006B5043" w:rsidRPr="00BB1E93">
        <w:t xml:space="preserve"> in </w:t>
      </w:r>
      <w:r w:rsidR="00BB1E93" w:rsidRPr="00BB1E93">
        <w:t xml:space="preserve">the river.  In the mid reaches, a single fresh was provided at </w:t>
      </w:r>
      <w:r w:rsidR="006B5043" w:rsidRPr="00BB1E93">
        <w:t xml:space="preserve">Forbes </w:t>
      </w:r>
      <w:r w:rsidR="00BB1E93" w:rsidRPr="00BB1E93">
        <w:t xml:space="preserve">in early spring. This fresh provided one of few (4) pulses to exceed 2,000 ML/day and one of 3 pulses that exceeded a river height of 0.9 m during the 2018-19 watering year. </w:t>
      </w:r>
    </w:p>
    <w:p w14:paraId="617C84FD" w14:textId="5563D95C" w:rsidR="006B5043" w:rsidRDefault="00BB1E93" w:rsidP="006B5043">
      <w:r w:rsidRPr="00BB1E93">
        <w:t xml:space="preserve">In the lower reaches (Booligal), the watering actions resulted in four </w:t>
      </w:r>
      <w:r w:rsidR="006B5043" w:rsidRPr="00BB1E93">
        <w:t>small fresh</w:t>
      </w:r>
      <w:r w:rsidRPr="00BB1E93">
        <w:t>es: three in spring and a fourth in early winter</w:t>
      </w:r>
      <w:r w:rsidR="006B5043" w:rsidRPr="00BB1E93">
        <w:t xml:space="preserve">. </w:t>
      </w:r>
      <w:r w:rsidRPr="00BB1E93">
        <w:t>These more than doubled the number of freshes at Booligal that exceeded 200</w:t>
      </w:r>
      <w:r w:rsidR="00BE7F11">
        <w:t> </w:t>
      </w:r>
      <w:r w:rsidRPr="00BB1E93">
        <w:t>ML/day during 2018-19 and provided the only freshes to reach 500</w:t>
      </w:r>
      <w:r w:rsidR="00BE7F11">
        <w:t> </w:t>
      </w:r>
      <w:r w:rsidRPr="00BB1E93">
        <w:t xml:space="preserve">ML/day for the watering year.  </w:t>
      </w:r>
    </w:p>
    <w:p w14:paraId="0106CBAF" w14:textId="77777777" w:rsidR="006B5043" w:rsidRDefault="006B5043" w:rsidP="00D437E3">
      <w:pPr>
        <w:numPr>
          <w:ilvl w:val="0"/>
          <w:numId w:val="30"/>
        </w:numPr>
        <w:rPr>
          <w:lang w:eastAsia="x-none"/>
        </w:rPr>
      </w:pPr>
      <w:r>
        <w:t>What did Commonwealth environmental water contribute to hydrological connectivity?</w:t>
      </w:r>
    </w:p>
    <w:p w14:paraId="7CC0B005" w14:textId="50401D83" w:rsidR="006B5043" w:rsidRPr="0026097E" w:rsidRDefault="006B5043" w:rsidP="006B5043">
      <w:pPr>
        <w:rPr>
          <w:lang w:eastAsia="x-none"/>
        </w:rPr>
      </w:pPr>
      <w:r w:rsidRPr="0026097E">
        <w:rPr>
          <w:lang w:eastAsia="x-none"/>
        </w:rPr>
        <w:t>The watering actions delivered in 201</w:t>
      </w:r>
      <w:r w:rsidR="00BB1E93" w:rsidRPr="0026097E">
        <w:rPr>
          <w:lang w:eastAsia="x-none"/>
        </w:rPr>
        <w:t>8</w:t>
      </w:r>
      <w:r w:rsidRPr="0026097E">
        <w:rPr>
          <w:lang w:eastAsia="x-none"/>
        </w:rPr>
        <w:t>-1</w:t>
      </w:r>
      <w:r w:rsidR="00BB1E93" w:rsidRPr="0026097E">
        <w:rPr>
          <w:lang w:eastAsia="x-none"/>
        </w:rPr>
        <w:t>9</w:t>
      </w:r>
      <w:r w:rsidRPr="0026097E">
        <w:rPr>
          <w:lang w:eastAsia="x-none"/>
        </w:rPr>
        <w:t xml:space="preserve"> connected in-channel habitats and provided flow to the end of the river system. Commonwealth environmental water achieved short periods of connectivity in channel, raising river levels </w:t>
      </w:r>
      <w:r w:rsidR="00BB1E93" w:rsidRPr="0026097E">
        <w:rPr>
          <w:lang w:eastAsia="x-none"/>
        </w:rPr>
        <w:t>between 0.1 and 0.4 m in height.</w:t>
      </w:r>
      <w:r w:rsidRPr="0026097E">
        <w:rPr>
          <w:lang w:eastAsia="x-none"/>
        </w:rPr>
        <w:t xml:space="preserve"> As the water progressed downstream, </w:t>
      </w:r>
      <w:r w:rsidR="00BB1E93" w:rsidRPr="0026097E">
        <w:rPr>
          <w:lang w:eastAsia="x-none"/>
        </w:rPr>
        <w:t xml:space="preserve">environmental water became a greater proportion of the flow in the river, </w:t>
      </w:r>
      <w:r w:rsidR="002256BE" w:rsidRPr="0026097E">
        <w:rPr>
          <w:lang w:eastAsia="x-none"/>
        </w:rPr>
        <w:t xml:space="preserve">with around 24% of the flow in the river at Booligal provided by Commonwealth environmental water. </w:t>
      </w:r>
    </w:p>
    <w:p w14:paraId="072D998C" w14:textId="26365BF1" w:rsidR="006B5043" w:rsidRDefault="006B5043" w:rsidP="006B5043">
      <w:pPr>
        <w:rPr>
          <w:lang w:eastAsia="x-none"/>
        </w:rPr>
      </w:pPr>
      <w:r w:rsidRPr="0026097E">
        <w:rPr>
          <w:lang w:eastAsia="x-none"/>
        </w:rPr>
        <w:t xml:space="preserve">The longitudinal connections provided by Commonwealth environmental water were significant with the environmental flows providing water to the </w:t>
      </w:r>
      <w:r w:rsidR="007C4A09">
        <w:rPr>
          <w:lang w:eastAsia="x-none"/>
        </w:rPr>
        <w:t xml:space="preserve">Great </w:t>
      </w:r>
      <w:r w:rsidRPr="0026097E">
        <w:rPr>
          <w:lang w:eastAsia="x-none"/>
        </w:rPr>
        <w:t xml:space="preserve">Cumbung Swamp for </w:t>
      </w:r>
      <w:r w:rsidR="0026097E" w:rsidRPr="0026097E">
        <w:rPr>
          <w:lang w:eastAsia="x-none"/>
        </w:rPr>
        <w:t>six weeks in late spring</w:t>
      </w:r>
      <w:r w:rsidRPr="0026097E">
        <w:rPr>
          <w:lang w:eastAsia="x-none"/>
        </w:rPr>
        <w:t>. This generated opportunities for water birds to access habitat and provided water to the aquatic vegetation.</w:t>
      </w:r>
    </w:p>
    <w:p w14:paraId="51CF5136" w14:textId="77777777" w:rsidR="006B5043" w:rsidRPr="006B5043" w:rsidRDefault="006B5043" w:rsidP="006B5043">
      <w:pPr>
        <w:rPr>
          <w:lang w:val="en-US" w:eastAsia="x-none"/>
        </w:rPr>
      </w:pPr>
      <w:bookmarkStart w:id="136" w:name="_Toc499911983"/>
      <w:bookmarkStart w:id="137" w:name="_Toc532211856"/>
    </w:p>
    <w:p w14:paraId="7B6833E6" w14:textId="67211AE1" w:rsidR="006B5043" w:rsidRPr="00D469E0" w:rsidRDefault="006B5043" w:rsidP="00FF0903">
      <w:pPr>
        <w:pStyle w:val="Heading2"/>
      </w:pPr>
      <w:bookmarkStart w:id="138" w:name="_Toc31985457"/>
      <w:r>
        <w:t xml:space="preserve">Final </w:t>
      </w:r>
      <w:r>
        <w:rPr>
          <w:lang w:val="en-AU"/>
        </w:rPr>
        <w:t>c</w:t>
      </w:r>
      <w:r>
        <w:t>omments and recommendations</w:t>
      </w:r>
      <w:bookmarkEnd w:id="136"/>
      <w:bookmarkEnd w:id="137"/>
      <w:bookmarkEnd w:id="138"/>
    </w:p>
    <w:p w14:paraId="679BE68E" w14:textId="3146D746" w:rsidR="006B5043" w:rsidRDefault="006B5043" w:rsidP="006B5043">
      <w:r>
        <w:t>The hydrological analysis presented here provides the context for evaluating observed ecological responses. The watering actions delivered were designed for specific ecological outcomes and the responses observed will be used to inform the design of future watering actions. Recommendations specific to hydrology are limited and relate to the relationship between the flow and the inundation of specific habitat.</w:t>
      </w:r>
      <w:r w:rsidR="00BF3A66">
        <w:t xml:space="preserve"> Further recommendations relating to the potential of the watering actions to achieve the ecological objectives are addressed in subsequent chapters of the technical report.</w:t>
      </w:r>
    </w:p>
    <w:p w14:paraId="32F94DE4" w14:textId="3765EE03" w:rsidR="00445885" w:rsidRDefault="006B5043" w:rsidP="00D437E3">
      <w:pPr>
        <w:pStyle w:val="ListParagraph"/>
        <w:numPr>
          <w:ilvl w:val="0"/>
          <w:numId w:val="31"/>
        </w:numPr>
      </w:pPr>
      <w:bookmarkStart w:id="139" w:name="_Hlk21251459"/>
      <w:r>
        <w:t>The use of environmental water to maintain a flow rate of 800 ML/day used 2</w:t>
      </w:r>
      <w:r w:rsidR="00BE7F11">
        <w:t>,</w:t>
      </w:r>
      <w:r>
        <w:t>032</w:t>
      </w:r>
      <w:r w:rsidR="00BE7F11">
        <w:t> </w:t>
      </w:r>
      <w:r>
        <w:t>ML to prevent the river from varying by 5-</w:t>
      </w:r>
      <w:r w:rsidR="00D457D7">
        <w:t>25</w:t>
      </w:r>
      <w:r>
        <w:t xml:space="preserve"> cm. While possible, it is unlikely that </w:t>
      </w:r>
      <w:r w:rsidR="00105370">
        <w:t xml:space="preserve">a drop in river level </w:t>
      </w:r>
      <w:r w:rsidR="00B8320F">
        <w:t xml:space="preserve">of less than </w:t>
      </w:r>
      <w:r w:rsidR="00D457D7">
        <w:t>25</w:t>
      </w:r>
      <w:r w:rsidR="00B8320F">
        <w:t xml:space="preserve"> cm </w:t>
      </w:r>
      <w:r w:rsidR="00105370">
        <w:t xml:space="preserve">would have resulted in </w:t>
      </w:r>
      <w:r>
        <w:t>significant exposure of nesting sites</w:t>
      </w:r>
      <w:r w:rsidR="00445885">
        <w:t xml:space="preserve">, particularly as it was </w:t>
      </w:r>
      <w:r w:rsidR="00B8320F">
        <w:t xml:space="preserve">noted that there were significant </w:t>
      </w:r>
      <w:r w:rsidR="00D457D7">
        <w:t>changes</w:t>
      </w:r>
      <w:r w:rsidR="00B8320F">
        <w:t xml:space="preserve"> in water level as a result of the delivery of water orders that were above the 800</w:t>
      </w:r>
      <w:r w:rsidR="00953089">
        <w:t> </w:t>
      </w:r>
      <w:r w:rsidR="00B8320F">
        <w:t>ML/day threshold.</w:t>
      </w:r>
      <w:r w:rsidR="00445885">
        <w:t xml:space="preserve"> In future, it is recommended that the establishment of threshold flow values be based on an analysis of where the critical flow-water level thresholds are within the river and habitat mapping that can better inform the water level required to maintain nesting habitats.</w:t>
      </w:r>
    </w:p>
    <w:p w14:paraId="62E8B3EB" w14:textId="4C334E72" w:rsidR="006B5043" w:rsidRDefault="00B8320F" w:rsidP="00D437E3">
      <w:pPr>
        <w:pStyle w:val="ListParagraph"/>
        <w:numPr>
          <w:ilvl w:val="0"/>
          <w:numId w:val="31"/>
        </w:numPr>
      </w:pPr>
      <w:r>
        <w:t xml:space="preserve">It would be useful to evaluate the consequences of </w:t>
      </w:r>
      <w:r w:rsidR="00445885">
        <w:t>the</w:t>
      </w:r>
      <w:r>
        <w:t xml:space="preserve"> </w:t>
      </w:r>
      <w:r w:rsidR="00445885">
        <w:t xml:space="preserve">sudden </w:t>
      </w:r>
      <w:r>
        <w:t>drops</w:t>
      </w:r>
      <w:r w:rsidR="00445885">
        <w:t xml:space="preserve"> in water level that were above 800 ML/day,</w:t>
      </w:r>
      <w:r>
        <w:t xml:space="preserve"> as it may be valuable to work with operational delivery to modify the rate of recession to mitigate sudden drops rather than establish a fixed floor.</w:t>
      </w:r>
      <w:r w:rsidRPr="00B8320F">
        <w:t xml:space="preserve"> </w:t>
      </w:r>
      <w:r w:rsidR="00F42406">
        <w:t xml:space="preserve">This is addressed in further detail in </w:t>
      </w:r>
      <w:r w:rsidR="00D457D7">
        <w:t>the larval fish chapter.</w:t>
      </w:r>
    </w:p>
    <w:p w14:paraId="23DD93E6" w14:textId="42B4B251" w:rsidR="006B5043" w:rsidRDefault="006B5043" w:rsidP="00D437E3">
      <w:pPr>
        <w:pStyle w:val="ListParagraph"/>
        <w:numPr>
          <w:ilvl w:val="0"/>
          <w:numId w:val="31"/>
        </w:numPr>
      </w:pPr>
      <w:bookmarkStart w:id="140" w:name="_Hlk24533156"/>
      <w:bookmarkEnd w:id="139"/>
      <w:r>
        <w:rPr>
          <w:lang w:eastAsia="x-none"/>
        </w:rPr>
        <w:t xml:space="preserve">The style of environmental water management employed in the Lachlan catchment </w:t>
      </w:r>
      <w:r w:rsidR="00B8320F">
        <w:rPr>
          <w:lang w:eastAsia="x-none"/>
        </w:rPr>
        <w:t>for the past three years</w:t>
      </w:r>
      <w:r>
        <w:rPr>
          <w:lang w:eastAsia="x-none"/>
        </w:rPr>
        <w:t xml:space="preserve"> is responsive </w:t>
      </w:r>
      <w:bookmarkEnd w:id="140"/>
      <w:r>
        <w:rPr>
          <w:lang w:eastAsia="x-none"/>
        </w:rPr>
        <w:t xml:space="preserve">and </w:t>
      </w:r>
      <w:r w:rsidR="00B8320F">
        <w:rPr>
          <w:lang w:eastAsia="x-none"/>
        </w:rPr>
        <w:t xml:space="preserve">uses </w:t>
      </w:r>
      <w:r>
        <w:rPr>
          <w:lang w:eastAsia="x-none"/>
        </w:rPr>
        <w:t xml:space="preserve">a single parcel of water to achieve multiple benefits throughout the river system. While such as approach is an efficient and effective use of water it </w:t>
      </w:r>
      <w:r w:rsidR="00B8320F">
        <w:rPr>
          <w:lang w:eastAsia="x-none"/>
        </w:rPr>
        <w:t xml:space="preserve">has </w:t>
      </w:r>
      <w:r>
        <w:rPr>
          <w:lang w:eastAsia="x-none"/>
        </w:rPr>
        <w:t>present</w:t>
      </w:r>
      <w:r w:rsidR="00B8320F">
        <w:rPr>
          <w:lang w:eastAsia="x-none"/>
        </w:rPr>
        <w:t>ed</w:t>
      </w:r>
      <w:r>
        <w:rPr>
          <w:lang w:eastAsia="x-none"/>
        </w:rPr>
        <w:t xml:space="preserve"> substantial challenges for evaluating the watering actions. Documentation of the watering actions </w:t>
      </w:r>
      <w:r w:rsidR="00B8320F">
        <w:rPr>
          <w:lang w:eastAsia="x-none"/>
        </w:rPr>
        <w:t xml:space="preserve">has </w:t>
      </w:r>
      <w:r>
        <w:rPr>
          <w:lang w:eastAsia="x-none"/>
        </w:rPr>
        <w:t xml:space="preserve">improved </w:t>
      </w:r>
      <w:r w:rsidR="00B8320F">
        <w:rPr>
          <w:lang w:eastAsia="x-none"/>
        </w:rPr>
        <w:t>considerably in 2018-19</w:t>
      </w:r>
      <w:r>
        <w:rPr>
          <w:lang w:eastAsia="x-none"/>
        </w:rPr>
        <w:t xml:space="preserve">, but </w:t>
      </w:r>
      <w:r w:rsidR="00B8320F">
        <w:rPr>
          <w:lang w:eastAsia="x-none"/>
        </w:rPr>
        <w:t xml:space="preserve">there remain </w:t>
      </w:r>
      <w:r>
        <w:rPr>
          <w:lang w:eastAsia="x-none"/>
        </w:rPr>
        <w:t xml:space="preserve">some difficulties, particularly with the </w:t>
      </w:r>
      <w:r w:rsidR="00B8320F">
        <w:rPr>
          <w:lang w:eastAsia="x-none"/>
        </w:rPr>
        <w:t xml:space="preserve">timely provision of </w:t>
      </w:r>
      <w:r>
        <w:rPr>
          <w:lang w:eastAsia="x-none"/>
        </w:rPr>
        <w:t xml:space="preserve">accounting </w:t>
      </w:r>
      <w:r w:rsidR="00B8320F">
        <w:rPr>
          <w:lang w:eastAsia="x-none"/>
        </w:rPr>
        <w:t>data</w:t>
      </w:r>
      <w:r>
        <w:rPr>
          <w:lang w:eastAsia="x-none"/>
        </w:rPr>
        <w:t xml:space="preserve">. </w:t>
      </w:r>
      <w:r w:rsidR="00B8320F">
        <w:rPr>
          <w:lang w:eastAsia="x-none"/>
        </w:rPr>
        <w:t xml:space="preserve">Accounting of the spring watering actions was provided early which </w:t>
      </w:r>
      <w:r w:rsidR="00F42406">
        <w:rPr>
          <w:lang w:eastAsia="x-none"/>
        </w:rPr>
        <w:t xml:space="preserve">was </w:t>
      </w:r>
      <w:r w:rsidR="00B8320F">
        <w:rPr>
          <w:lang w:eastAsia="x-none"/>
        </w:rPr>
        <w:t xml:space="preserve">incredibly valuable </w:t>
      </w:r>
      <w:r w:rsidR="00F42406">
        <w:rPr>
          <w:lang w:eastAsia="x-none"/>
        </w:rPr>
        <w:t xml:space="preserve">for timely </w:t>
      </w:r>
      <w:r w:rsidR="00B8320F">
        <w:rPr>
          <w:lang w:eastAsia="x-none"/>
        </w:rPr>
        <w:t>report</w:t>
      </w:r>
      <w:r w:rsidR="00F42406">
        <w:rPr>
          <w:lang w:eastAsia="x-none"/>
        </w:rPr>
        <w:t>ing</w:t>
      </w:r>
      <w:r w:rsidR="00B8320F">
        <w:rPr>
          <w:lang w:eastAsia="x-none"/>
        </w:rPr>
        <w:t>, however data for the winter fresh</w:t>
      </w:r>
      <w:r w:rsidR="00F42406">
        <w:rPr>
          <w:lang w:eastAsia="x-none"/>
        </w:rPr>
        <w:t xml:space="preserve"> were not provided until September which was challenging.</w:t>
      </w:r>
      <w:r w:rsidR="00B8320F">
        <w:rPr>
          <w:lang w:eastAsia="x-none"/>
        </w:rPr>
        <w:t xml:space="preserve"> </w:t>
      </w:r>
      <w:r>
        <w:rPr>
          <w:lang w:eastAsia="x-none"/>
        </w:rPr>
        <w:t xml:space="preserve">It </w:t>
      </w:r>
      <w:r w:rsidR="00B8320F">
        <w:rPr>
          <w:lang w:eastAsia="x-none"/>
        </w:rPr>
        <w:t xml:space="preserve">remains a recommendation that </w:t>
      </w:r>
      <w:r w:rsidR="00F42406">
        <w:rPr>
          <w:lang w:eastAsia="x-none"/>
        </w:rPr>
        <w:t>more regular</w:t>
      </w:r>
      <w:r>
        <w:rPr>
          <w:lang w:eastAsia="x-none"/>
        </w:rPr>
        <w:t xml:space="preserve"> accounts be prepared </w:t>
      </w:r>
      <w:r w:rsidR="00F42406">
        <w:rPr>
          <w:lang w:eastAsia="x-none"/>
        </w:rPr>
        <w:t>to support the reporting requirements</w:t>
      </w:r>
      <w:r>
        <w:rPr>
          <w:lang w:eastAsia="x-none"/>
        </w:rPr>
        <w:t xml:space="preserve">.  </w:t>
      </w:r>
    </w:p>
    <w:p w14:paraId="00AF9AFC" w14:textId="1A0A2B5A" w:rsidR="00CD48E3" w:rsidRPr="00034E40" w:rsidRDefault="00CD48E3" w:rsidP="00D570DE">
      <w:pPr>
        <w:pStyle w:val="Heading3"/>
      </w:pPr>
      <w:r w:rsidRPr="00034E40">
        <w:br w:type="page"/>
      </w:r>
    </w:p>
    <w:p w14:paraId="281C2162" w14:textId="1F000304" w:rsidR="00131F12" w:rsidRDefault="00131F12" w:rsidP="00131F12">
      <w:pPr>
        <w:pStyle w:val="Heading1"/>
      </w:pPr>
      <w:bookmarkStart w:id="141" w:name="_Toc527986368"/>
      <w:bookmarkStart w:id="142" w:name="_Ref22825809"/>
      <w:bookmarkStart w:id="143" w:name="_Ref22825829"/>
      <w:bookmarkStart w:id="144" w:name="_Ref23973764"/>
      <w:bookmarkStart w:id="145" w:name="_Ref31981333"/>
      <w:bookmarkStart w:id="146" w:name="_Ref31981334"/>
      <w:bookmarkStart w:id="147" w:name="_Ref31983239"/>
      <w:bookmarkStart w:id="148" w:name="_Ref31983240"/>
      <w:bookmarkStart w:id="149" w:name="_Toc31985458"/>
      <w:bookmarkEnd w:id="11"/>
      <w:r w:rsidRPr="00131F12">
        <w:t>Stream metabolism and water quality</w:t>
      </w:r>
      <w:bookmarkEnd w:id="141"/>
      <w:bookmarkEnd w:id="142"/>
      <w:bookmarkEnd w:id="143"/>
      <w:bookmarkEnd w:id="144"/>
      <w:bookmarkEnd w:id="145"/>
      <w:bookmarkEnd w:id="146"/>
      <w:bookmarkEnd w:id="147"/>
      <w:bookmarkEnd w:id="148"/>
      <w:bookmarkEnd w:id="149"/>
    </w:p>
    <w:p w14:paraId="0F0A2BFB" w14:textId="77777777" w:rsidR="005D4E80" w:rsidRPr="00131F12" w:rsidRDefault="005D4E80" w:rsidP="005D4E80">
      <w:pPr>
        <w:pStyle w:val="Heading2"/>
      </w:pPr>
      <w:bookmarkStart w:id="150" w:name="_Toc527986369"/>
      <w:bookmarkStart w:id="151" w:name="_Toc4574776"/>
      <w:bookmarkStart w:id="152" w:name="_Toc31985459"/>
      <w:r w:rsidRPr="00131F12">
        <w:t>Introduction</w:t>
      </w:r>
      <w:bookmarkEnd w:id="150"/>
      <w:bookmarkEnd w:id="151"/>
      <w:bookmarkEnd w:id="152"/>
    </w:p>
    <w:p w14:paraId="75A27366" w14:textId="77777777" w:rsidR="005C0B99" w:rsidRPr="00131F12" w:rsidRDefault="005C0B99" w:rsidP="005C0B99">
      <w:r w:rsidRPr="00131F12">
        <w:t xml:space="preserve">The energetic base of food webs in freshwater systems is provided either by primary production (the energy fixed by photosynthesis occurring in plants and algae) or by breakdown of organic matter such as leaves, wood and organic carbon dissolved in the water </w:t>
      </w:r>
      <w:r w:rsidRPr="00131F12">
        <w:fldChar w:fldCharType="begin"/>
      </w:r>
      <w:r>
        <w:instrText xml:space="preserve"> ADDIN EN.CITE &lt;EndNote&gt;&lt;Cite&gt;&lt;Author&gt;Bunn&lt;/Author&gt;&lt;Year&gt;2006&lt;/Year&gt;&lt;RecNum&gt;114&lt;/RecNum&gt;&lt;DisplayText&gt;(Bunn et al. 2006)&lt;/DisplayText&gt;&lt;record&gt;&lt;rec-number&gt;114&lt;/rec-number&gt;&lt;foreign-keys&gt;&lt;key app="EN" db-id="0a0zttz0gewd9befav559p5osxw5sftwfpdv" timestamp="1472612358"&gt;114&lt;/key&gt;&lt;/foreign-keys&gt;&lt;ref-type name="Book Section"&gt;5&lt;/ref-type&gt;&lt;contributors&gt;&lt;authors&gt;&lt;author&gt;Bunn, S.E.&lt;/author&gt;&lt;author&gt;Balcombe, S.R.&lt;/author&gt;&lt;author&gt;Davies, P.M.&lt;/author&gt;&lt;author&gt;Fellows, C.S.&lt;/author&gt;&lt;author&gt;McKenzie-Smith, F.J. &lt;/author&gt;&lt;/authors&gt;&lt;secondary-authors&gt;&lt;author&gt;Kingsford, R.T.&lt;/author&gt;&lt;/secondary-authors&gt;&lt;/contributors&gt;&lt;titles&gt;&lt;title&gt;Aquatic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rsidRPr="00131F12">
        <w:fldChar w:fldCharType="separate"/>
      </w:r>
      <w:r>
        <w:rPr>
          <w:noProof/>
        </w:rPr>
        <w:t>(Bunn et al. 2006)</w:t>
      </w:r>
      <w:r w:rsidRPr="00131F12">
        <w:fldChar w:fldCharType="end"/>
      </w:r>
      <w:r w:rsidRPr="00131F12">
        <w:t>. Those processes are both influenced by the availability of key nutrients, particularly nitrogen and phosphorus, and water temperature and light. Primary production (referred to as gross primary production, GPP) and organic matter processing or decomposition (known as ecosystem respiration, ER) can be measured through continuous monitoring of changes in the concentration of oxygen in the water (described as measurements of open channel stream metabolism).</w:t>
      </w:r>
    </w:p>
    <w:p w14:paraId="7431F667" w14:textId="77777777" w:rsidR="005C0B99" w:rsidRPr="00131F12" w:rsidRDefault="005C0B99" w:rsidP="005C0B99">
      <w:r w:rsidRPr="00131F12">
        <w:t xml:space="preserve">The delivery of environmental flows has the potential to increase primary production and organic matter breakdown by mobilising carbon and nutrients off the floodplain or from upstream </w:t>
      </w:r>
      <w:r w:rsidRPr="00131F12">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dXRvcnM+PGF1dGhvcnM+PGF1dGhvcj5NREZSQzwvYXV0aG9yPjwvYXV0aG9ycz48L2NvbnRyaWJ1
dG9ycz48dGl0bGVzPjx0aXRsZT5Mb25nLXRlcm0gSW50ZXJ2ZW50aW9uIE1vbml0b3JpbmcgLSBH
ZW5lcmljIENhdXNlIGFuZCBFZmZlY3QgRGlhZ3JhbXMuIFJlcG9ydCBwcmVwYXJlZCBmb3IgdGhl
IENvbW1vbndlYWx0aCBFbnZpcm9ubWVudGFsIFdhdGVyIE9mZmljZTwvdGl0bGU+PC90aXRsZXM+
PHBhZ2VzPjE2MzwvcGFnZXM+PGRhdGVzPjx5ZWFyPjIwMTM8L3llYXI+PC9kYXRlcz48cHVibGlz
aGVyPk11cnJheS1EYXJsaW5nIEZyZXNod2F0ZXIgUmVzZWFyY2ggQ2VudHJlIChNREZSQyk8L3B1
Ymxpc2hlcj48dXJscz48L3VybHM+PC9yZWNvcmQ+PC9DaXRlPjwvRW5kTm90ZT4A
</w:fldData>
        </w:fldChar>
      </w:r>
      <w:r>
        <w:instrText xml:space="preserve"> ADDIN EN.CITE </w:instrText>
      </w:r>
      <w:r>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dXRvcnM+PGF1dGhvcnM+PGF1dGhvcj5NREZSQzwvYXV0aG9yPjwvYXV0aG9ycz48L2NvbnRyaWJ1
dG9ycz48dGl0bGVzPjx0aXRsZT5Mb25nLXRlcm0gSW50ZXJ2ZW50aW9uIE1vbml0b3JpbmcgLSBH
ZW5lcmljIENhdXNlIGFuZCBFZmZlY3QgRGlhZ3JhbXMuIFJlcG9ydCBwcmVwYXJlZCBmb3IgdGhl
IENvbW1vbndlYWx0aCBFbnZpcm9ubWVudGFsIFdhdGVyIE9mZmljZTwvdGl0bGU+PC90aXRsZXM+
PHBhZ2VzPjE2MzwvcGFnZXM+PGRhdGVzPjx5ZWFyPjIwMTM8L3llYXI+PC9kYXRlcz48cHVibGlz
aGVyPk11cnJheS1EYXJsaW5nIEZyZXNod2F0ZXIgUmVzZWFyY2ggQ2VudHJlIChNREZSQyk8L3B1
Ymxpc2hlcj48dXJscz48L3VybHM+PC9yZWNvcmQ+PC9DaXRlPjwvRW5kTm90ZT4A
</w:fldData>
        </w:fldChar>
      </w:r>
      <w:r>
        <w:instrText xml:space="preserve"> ADDIN EN.CITE.DATA </w:instrText>
      </w:r>
      <w:r>
        <w:fldChar w:fldCharType="end"/>
      </w:r>
      <w:r w:rsidRPr="00131F12">
        <w:fldChar w:fldCharType="separate"/>
      </w:r>
      <w:r>
        <w:rPr>
          <w:noProof/>
        </w:rPr>
        <w:t>(Boulton and Lake 1992, MDFRC 2013, Stewardson et al. 2013)</w:t>
      </w:r>
      <w:r w:rsidRPr="00131F12">
        <w:fldChar w:fldCharType="end"/>
      </w:r>
      <w:r w:rsidRPr="00131F12">
        <w:t>.</w:t>
      </w:r>
    </w:p>
    <w:p w14:paraId="26248F05" w14:textId="0EB3601B" w:rsidR="005D4E80" w:rsidRDefault="005D4E80" w:rsidP="005D4E80">
      <w:pPr>
        <w:rPr>
          <w:color w:val="000000" w:themeColor="text1"/>
        </w:rPr>
      </w:pPr>
      <w:r w:rsidRPr="001C4537">
        <w:rPr>
          <w:color w:val="000000" w:themeColor="text1"/>
        </w:rPr>
        <w:t xml:space="preserve">In this section we evaluate the outcomes of providing Commonwealth environmental water to the Lower and Mid Lachlan river system in terms of measured changes in water nutrients </w:t>
      </w:r>
      <w:r>
        <w:rPr>
          <w:color w:val="000000" w:themeColor="text1"/>
        </w:rPr>
        <w:t xml:space="preserve">and </w:t>
      </w:r>
      <w:r w:rsidRPr="001C4537">
        <w:rPr>
          <w:color w:val="000000" w:themeColor="text1"/>
        </w:rPr>
        <w:t>GPP</w:t>
      </w:r>
      <w:r>
        <w:rPr>
          <w:color w:val="000000" w:themeColor="text1"/>
        </w:rPr>
        <w:t>, ER, K and the GPP/ER ratio</w:t>
      </w:r>
      <w:r w:rsidRPr="001C4537">
        <w:rPr>
          <w:color w:val="000000" w:themeColor="text1"/>
        </w:rPr>
        <w:t xml:space="preserve">. The 2018-19 </w:t>
      </w:r>
      <w:r>
        <w:rPr>
          <w:color w:val="000000" w:themeColor="text1"/>
        </w:rPr>
        <w:t>C</w:t>
      </w:r>
      <w:r w:rsidRPr="001C4537">
        <w:rPr>
          <w:color w:val="000000" w:themeColor="text1"/>
        </w:rPr>
        <w:t>ommonwealth environmental watering actions in the Lower and Mid Lachlan river system are described in</w:t>
      </w:r>
      <w:r>
        <w:rPr>
          <w:color w:val="000000" w:themeColor="text1"/>
        </w:rPr>
        <w:t xml:space="preserve"> </w:t>
      </w:r>
      <w:r w:rsidRPr="00EA3B2B">
        <w:rPr>
          <w:color w:val="000000" w:themeColor="text1"/>
        </w:rPr>
        <w:t xml:space="preserve">detail in sections </w:t>
      </w:r>
      <w:r w:rsidR="00EA3B2B" w:rsidRPr="00EA3B2B">
        <w:rPr>
          <w:color w:val="000000" w:themeColor="text1"/>
        </w:rPr>
        <w:fldChar w:fldCharType="begin"/>
      </w:r>
      <w:r w:rsidR="00EA3B2B" w:rsidRPr="00EA3B2B">
        <w:rPr>
          <w:color w:val="000000" w:themeColor="text1"/>
        </w:rPr>
        <w:instrText xml:space="preserve"> REF _Ref18500686 \r \h </w:instrText>
      </w:r>
      <w:r w:rsidR="00EA3B2B">
        <w:rPr>
          <w:color w:val="000000" w:themeColor="text1"/>
        </w:rPr>
        <w:instrText xml:space="preserve"> \* MERGEFORMAT </w:instrText>
      </w:r>
      <w:r w:rsidR="00EA3B2B" w:rsidRPr="00EA3B2B">
        <w:rPr>
          <w:color w:val="000000" w:themeColor="text1"/>
        </w:rPr>
      </w:r>
      <w:r w:rsidR="00EA3B2B" w:rsidRPr="00EA3B2B">
        <w:rPr>
          <w:color w:val="000000" w:themeColor="text1"/>
        </w:rPr>
        <w:fldChar w:fldCharType="separate"/>
      </w:r>
      <w:r w:rsidR="007F7607">
        <w:rPr>
          <w:color w:val="000000" w:themeColor="text1"/>
        </w:rPr>
        <w:t>3</w:t>
      </w:r>
      <w:r w:rsidR="00EA3B2B" w:rsidRPr="00EA3B2B">
        <w:rPr>
          <w:color w:val="000000" w:themeColor="text1"/>
        </w:rPr>
        <w:fldChar w:fldCharType="end"/>
      </w:r>
      <w:r w:rsidR="005C0B99">
        <w:rPr>
          <w:color w:val="000000" w:themeColor="text1"/>
        </w:rPr>
        <w:t>:</w:t>
      </w:r>
      <w:r w:rsidR="00EA3B2B">
        <w:rPr>
          <w:color w:val="000000" w:themeColor="text1"/>
        </w:rPr>
        <w:t xml:space="preserve"> </w:t>
      </w:r>
      <w:r w:rsidR="005C0B99">
        <w:rPr>
          <w:color w:val="000000" w:themeColor="text1"/>
        </w:rPr>
        <w:fldChar w:fldCharType="begin"/>
      </w:r>
      <w:r w:rsidR="005C0B99">
        <w:rPr>
          <w:color w:val="000000" w:themeColor="text1"/>
        </w:rPr>
        <w:instrText xml:space="preserve"> REF _Ref18500686 \h </w:instrText>
      </w:r>
      <w:r w:rsidR="005C0B99">
        <w:rPr>
          <w:color w:val="000000" w:themeColor="text1"/>
        </w:rPr>
      </w:r>
      <w:r w:rsidR="005C0B99">
        <w:rPr>
          <w:color w:val="000000" w:themeColor="text1"/>
        </w:rPr>
        <w:fldChar w:fldCharType="separate"/>
      </w:r>
      <w:r w:rsidR="007F7607">
        <w:t>2018-19 Watering Actions</w:t>
      </w:r>
      <w:r w:rsidR="005C0B99">
        <w:rPr>
          <w:color w:val="000000" w:themeColor="text1"/>
        </w:rPr>
        <w:fldChar w:fldCharType="end"/>
      </w:r>
      <w:r w:rsidR="005C0B99">
        <w:rPr>
          <w:color w:val="000000" w:themeColor="text1"/>
        </w:rPr>
        <w:t xml:space="preserve"> (</w:t>
      </w:r>
      <w:r w:rsidR="00507E37">
        <w:rPr>
          <w:color w:val="000000" w:themeColor="text1"/>
        </w:rPr>
        <w:t>p.</w:t>
      </w:r>
      <w:r w:rsidR="005C0B99">
        <w:rPr>
          <w:color w:val="000000" w:themeColor="text1"/>
        </w:rPr>
        <w:t xml:space="preserve"> </w:t>
      </w:r>
      <w:r w:rsidR="005C0B99">
        <w:rPr>
          <w:color w:val="000000" w:themeColor="text1"/>
        </w:rPr>
        <w:fldChar w:fldCharType="begin"/>
      </w:r>
      <w:r w:rsidR="005C0B99">
        <w:rPr>
          <w:color w:val="000000" w:themeColor="text1"/>
        </w:rPr>
        <w:instrText xml:space="preserve"> PAGEREF _Ref18500686 \h </w:instrText>
      </w:r>
      <w:r w:rsidR="005C0B99">
        <w:rPr>
          <w:color w:val="000000" w:themeColor="text1"/>
        </w:rPr>
      </w:r>
      <w:r w:rsidR="005C0B99">
        <w:rPr>
          <w:color w:val="000000" w:themeColor="text1"/>
        </w:rPr>
        <w:fldChar w:fldCharType="separate"/>
      </w:r>
      <w:r w:rsidR="007F7607">
        <w:rPr>
          <w:noProof/>
          <w:color w:val="000000" w:themeColor="text1"/>
        </w:rPr>
        <w:t>20</w:t>
      </w:r>
      <w:r w:rsidR="005C0B99">
        <w:rPr>
          <w:color w:val="000000" w:themeColor="text1"/>
        </w:rPr>
        <w:fldChar w:fldCharType="end"/>
      </w:r>
      <w:r w:rsidR="005C0B99">
        <w:rPr>
          <w:color w:val="000000" w:themeColor="text1"/>
        </w:rPr>
        <w:t>)</w:t>
      </w:r>
      <w:r w:rsidRPr="001C4537">
        <w:rPr>
          <w:color w:val="000000" w:themeColor="text1"/>
        </w:rPr>
        <w:t xml:space="preserve">. </w:t>
      </w:r>
    </w:p>
    <w:p w14:paraId="3BF20F0B" w14:textId="77777777" w:rsidR="00CF483E" w:rsidRDefault="005C0B99" w:rsidP="005C0B99">
      <w:pPr>
        <w:rPr>
          <w:color w:val="000000" w:themeColor="text1"/>
        </w:rPr>
      </w:pPr>
      <w:bookmarkStart w:id="153" w:name="_Toc527986370"/>
      <w:bookmarkStart w:id="154" w:name="_Toc4574777"/>
      <w:r w:rsidRPr="00DB00BD">
        <w:rPr>
          <w:color w:val="000000" w:themeColor="text1"/>
        </w:rPr>
        <w:t xml:space="preserve">On </w:t>
      </w:r>
      <w:r>
        <w:rPr>
          <w:color w:val="000000" w:themeColor="text1"/>
        </w:rPr>
        <w:t xml:space="preserve">the </w:t>
      </w:r>
      <w:r w:rsidRPr="00DB00BD">
        <w:rPr>
          <w:color w:val="000000" w:themeColor="text1"/>
        </w:rPr>
        <w:t>14</w:t>
      </w:r>
      <w:r w:rsidRPr="00DB00BD">
        <w:rPr>
          <w:color w:val="000000" w:themeColor="text1"/>
          <w:vertAlign w:val="superscript"/>
        </w:rPr>
        <w:t>th</w:t>
      </w:r>
      <w:r w:rsidRPr="00DB00BD">
        <w:rPr>
          <w:color w:val="000000" w:themeColor="text1"/>
        </w:rPr>
        <w:t xml:space="preserve"> </w:t>
      </w:r>
      <w:r>
        <w:rPr>
          <w:color w:val="000000" w:themeColor="text1"/>
        </w:rPr>
        <w:t xml:space="preserve">of </w:t>
      </w:r>
      <w:r w:rsidRPr="00DB00BD">
        <w:rPr>
          <w:color w:val="000000" w:themeColor="text1"/>
        </w:rPr>
        <w:t xml:space="preserve">March 2018 the CEWO </w:t>
      </w:r>
      <w:r>
        <w:rPr>
          <w:color w:val="000000" w:themeColor="text1"/>
        </w:rPr>
        <w:t xml:space="preserve">requested </w:t>
      </w:r>
      <w:r w:rsidRPr="00DB00BD">
        <w:rPr>
          <w:color w:val="000000" w:themeColor="text1"/>
        </w:rPr>
        <w:t>that</w:t>
      </w:r>
      <w:r>
        <w:rPr>
          <w:color w:val="000000" w:themeColor="text1"/>
        </w:rPr>
        <w:t xml:space="preserve"> due to the presence of b</w:t>
      </w:r>
      <w:r w:rsidRPr="00DB00BD">
        <w:rPr>
          <w:color w:val="000000" w:themeColor="text1"/>
        </w:rPr>
        <w:t xml:space="preserve">lue-green algae </w:t>
      </w:r>
      <w:r>
        <w:rPr>
          <w:color w:val="000000" w:themeColor="text1"/>
        </w:rPr>
        <w:t>in the</w:t>
      </w:r>
      <w:r w:rsidRPr="00DB00BD">
        <w:rPr>
          <w:color w:val="000000" w:themeColor="text1"/>
        </w:rPr>
        <w:t xml:space="preserve"> Lachlan River at Willandra Weir</w:t>
      </w:r>
      <w:r>
        <w:rPr>
          <w:color w:val="000000" w:themeColor="text1"/>
        </w:rPr>
        <w:t xml:space="preserve">, </w:t>
      </w:r>
      <w:r w:rsidRPr="00DB00BD">
        <w:rPr>
          <w:color w:val="000000" w:themeColor="text1"/>
        </w:rPr>
        <w:t xml:space="preserve">that all proposed autumn watering actions be suspended where there is a risk </w:t>
      </w:r>
      <w:r>
        <w:rPr>
          <w:color w:val="000000" w:themeColor="text1"/>
        </w:rPr>
        <w:t>of</w:t>
      </w:r>
      <w:r w:rsidRPr="00DB00BD">
        <w:rPr>
          <w:color w:val="000000" w:themeColor="text1"/>
        </w:rPr>
        <w:t xml:space="preserve"> adverse impact</w:t>
      </w:r>
      <w:r>
        <w:rPr>
          <w:color w:val="000000" w:themeColor="text1"/>
        </w:rPr>
        <w:t>s</w:t>
      </w:r>
      <w:r w:rsidRPr="00DB00BD">
        <w:rPr>
          <w:color w:val="000000" w:themeColor="text1"/>
        </w:rPr>
        <w:t xml:space="preserve"> on downstream communities.</w:t>
      </w:r>
      <w:r>
        <w:rPr>
          <w:color w:val="000000" w:themeColor="text1"/>
        </w:rPr>
        <w:t xml:space="preserve"> As a consequence, flows were maintained at reasonably low levels in autumn, with flow deliveries concentrated later in the year after cooler temperatures had reduced blue-green algae. </w:t>
      </w:r>
    </w:p>
    <w:p w14:paraId="3134DE00" w14:textId="39615DC4" w:rsidR="005C0B99" w:rsidRDefault="005C0B99" w:rsidP="005C0B99">
      <w:pPr>
        <w:rPr>
          <w:color w:val="000000" w:themeColor="text1"/>
        </w:rPr>
      </w:pPr>
      <w:r>
        <w:rPr>
          <w:color w:val="000000" w:themeColor="text1"/>
        </w:rPr>
        <w:t>Briefly here, f</w:t>
      </w:r>
      <w:r w:rsidRPr="00BC249B">
        <w:rPr>
          <w:color w:val="000000" w:themeColor="text1"/>
        </w:rPr>
        <w:t>our watering ac</w:t>
      </w:r>
      <w:r>
        <w:rPr>
          <w:color w:val="000000" w:themeColor="text1"/>
        </w:rPr>
        <w:t>tions were delivered in 2018-19 totalling</w:t>
      </w:r>
      <w:r w:rsidRPr="00BC249B">
        <w:rPr>
          <w:color w:val="000000" w:themeColor="text1"/>
        </w:rPr>
        <w:t xml:space="preserve"> 18</w:t>
      </w:r>
      <w:r w:rsidR="00953089">
        <w:rPr>
          <w:color w:val="000000" w:themeColor="text1"/>
        </w:rPr>
        <w:t xml:space="preserve"> </w:t>
      </w:r>
      <w:r w:rsidRPr="00BC249B">
        <w:rPr>
          <w:color w:val="000000" w:themeColor="text1"/>
        </w:rPr>
        <w:t>173</w:t>
      </w:r>
      <w:r>
        <w:rPr>
          <w:color w:val="000000" w:themeColor="text1"/>
        </w:rPr>
        <w:t> </w:t>
      </w:r>
      <w:r w:rsidRPr="00BC249B">
        <w:rPr>
          <w:color w:val="000000" w:themeColor="text1"/>
        </w:rPr>
        <w:t xml:space="preserve">ML </w:t>
      </w:r>
      <w:r>
        <w:rPr>
          <w:color w:val="000000" w:themeColor="text1"/>
        </w:rPr>
        <w:t xml:space="preserve">of environmental water, </w:t>
      </w:r>
      <w:r w:rsidRPr="00BC249B">
        <w:rPr>
          <w:color w:val="000000" w:themeColor="text1"/>
        </w:rPr>
        <w:t>target</w:t>
      </w:r>
      <w:r>
        <w:rPr>
          <w:color w:val="000000" w:themeColor="text1"/>
        </w:rPr>
        <w:t>ing</w:t>
      </w:r>
      <w:r w:rsidRPr="00BC249B">
        <w:rPr>
          <w:color w:val="000000" w:themeColor="text1"/>
        </w:rPr>
        <w:t xml:space="preserve"> multiple locations and ecological objectives at different times through the river system</w:t>
      </w:r>
      <w:r>
        <w:rPr>
          <w:color w:val="000000" w:themeColor="text1"/>
        </w:rPr>
        <w:t xml:space="preserve">. </w:t>
      </w:r>
      <w:r w:rsidRPr="00BC249B">
        <w:rPr>
          <w:color w:val="000000" w:themeColor="text1"/>
        </w:rPr>
        <w:t>Complementary watering actions by NSW OEH were used to target other locations and ecological objectives during 2018-19</w:t>
      </w:r>
      <w:r>
        <w:rPr>
          <w:color w:val="000000" w:themeColor="text1"/>
        </w:rPr>
        <w:t>.</w:t>
      </w:r>
    </w:p>
    <w:p w14:paraId="54356C48" w14:textId="77777777" w:rsidR="005C0B99" w:rsidRDefault="005C0B99" w:rsidP="005C0B99">
      <w:pPr>
        <w:rPr>
          <w:color w:val="000000" w:themeColor="text1"/>
        </w:rPr>
      </w:pPr>
      <w:bookmarkStart w:id="155" w:name="_Hlk18050278"/>
      <w:r w:rsidRPr="00E57583">
        <w:rPr>
          <w:color w:val="000000" w:themeColor="text1"/>
          <w:u w:val="single"/>
        </w:rPr>
        <w:t>Watering Action 1</w:t>
      </w:r>
      <w:r>
        <w:rPr>
          <w:color w:val="000000" w:themeColor="text1"/>
        </w:rPr>
        <w:t xml:space="preserve"> was a spring fresh commencing </w:t>
      </w:r>
      <w:r w:rsidRPr="00BC249B">
        <w:rPr>
          <w:color w:val="000000" w:themeColor="text1"/>
        </w:rPr>
        <w:t>on 29</w:t>
      </w:r>
      <w:r w:rsidRPr="00735664">
        <w:rPr>
          <w:color w:val="000000" w:themeColor="text1"/>
          <w:vertAlign w:val="superscript"/>
        </w:rPr>
        <w:t>th</w:t>
      </w:r>
      <w:r>
        <w:rPr>
          <w:color w:val="000000" w:themeColor="text1"/>
        </w:rPr>
        <w:t xml:space="preserve"> </w:t>
      </w:r>
      <w:r w:rsidRPr="00BC249B">
        <w:rPr>
          <w:color w:val="000000" w:themeColor="text1"/>
        </w:rPr>
        <w:t>August 2018</w:t>
      </w:r>
      <w:r>
        <w:rPr>
          <w:color w:val="000000" w:themeColor="text1"/>
        </w:rPr>
        <w:t xml:space="preserve"> targeting</w:t>
      </w:r>
      <w:r w:rsidRPr="00BC249B">
        <w:rPr>
          <w:color w:val="000000" w:themeColor="text1"/>
        </w:rPr>
        <w:t xml:space="preserve"> native fish and strea</w:t>
      </w:r>
      <w:r>
        <w:rPr>
          <w:color w:val="000000" w:themeColor="text1"/>
        </w:rPr>
        <w:t xml:space="preserve">m productivity outcomes in </w:t>
      </w:r>
      <w:r w:rsidRPr="00BC249B">
        <w:rPr>
          <w:color w:val="000000" w:themeColor="text1"/>
        </w:rPr>
        <w:t xml:space="preserve">the mid and lower Lachlan River. </w:t>
      </w:r>
      <w:r>
        <w:rPr>
          <w:color w:val="000000" w:themeColor="text1"/>
        </w:rPr>
        <w:t xml:space="preserve">Some </w:t>
      </w:r>
      <w:r w:rsidRPr="00BC249B">
        <w:rPr>
          <w:color w:val="000000" w:themeColor="text1"/>
        </w:rPr>
        <w:t xml:space="preserve">of </w:t>
      </w:r>
      <w:r>
        <w:rPr>
          <w:color w:val="000000" w:themeColor="text1"/>
        </w:rPr>
        <w:t xml:space="preserve">this flow was held </w:t>
      </w:r>
      <w:r w:rsidRPr="00BC249B">
        <w:rPr>
          <w:color w:val="000000" w:themeColor="text1"/>
        </w:rPr>
        <w:t>in Lake Br</w:t>
      </w:r>
      <w:r>
        <w:rPr>
          <w:color w:val="000000" w:themeColor="text1"/>
        </w:rPr>
        <w:t xml:space="preserve">ewster and released between </w:t>
      </w:r>
      <w:r w:rsidRPr="00BC249B">
        <w:rPr>
          <w:color w:val="000000" w:themeColor="text1"/>
        </w:rPr>
        <w:t>20</w:t>
      </w:r>
      <w:r w:rsidRPr="0012119B">
        <w:rPr>
          <w:color w:val="000000" w:themeColor="text1"/>
          <w:vertAlign w:val="superscript"/>
        </w:rPr>
        <w:t>th</w:t>
      </w:r>
      <w:r>
        <w:rPr>
          <w:color w:val="000000" w:themeColor="text1"/>
        </w:rPr>
        <w:t xml:space="preserve"> - 23</w:t>
      </w:r>
      <w:r w:rsidRPr="00735664">
        <w:rPr>
          <w:color w:val="000000" w:themeColor="text1"/>
          <w:vertAlign w:val="superscript"/>
        </w:rPr>
        <w:t>rd</w:t>
      </w:r>
      <w:r>
        <w:rPr>
          <w:color w:val="000000" w:themeColor="text1"/>
        </w:rPr>
        <w:t xml:space="preserve"> </w:t>
      </w:r>
      <w:r w:rsidRPr="00BC249B">
        <w:rPr>
          <w:color w:val="000000" w:themeColor="text1"/>
        </w:rPr>
        <w:t>October to mimic a small rain event</w:t>
      </w:r>
      <w:r>
        <w:rPr>
          <w:color w:val="000000" w:themeColor="text1"/>
        </w:rPr>
        <w:t xml:space="preserve">. </w:t>
      </w:r>
    </w:p>
    <w:p w14:paraId="2087EE89" w14:textId="77777777" w:rsidR="005C0B99" w:rsidRPr="00BC249B" w:rsidRDefault="005C0B99" w:rsidP="005C0B99">
      <w:pPr>
        <w:rPr>
          <w:color w:val="000000" w:themeColor="text1"/>
        </w:rPr>
      </w:pPr>
      <w:r w:rsidRPr="00E57583">
        <w:rPr>
          <w:color w:val="000000" w:themeColor="text1"/>
          <w:u w:val="single"/>
        </w:rPr>
        <w:t>Watering Action 2</w:t>
      </w:r>
      <w:r>
        <w:rPr>
          <w:color w:val="000000" w:themeColor="text1"/>
        </w:rPr>
        <w:t xml:space="preserve"> sought to generate</w:t>
      </w:r>
      <w:r w:rsidRPr="00BC249B">
        <w:rPr>
          <w:color w:val="000000" w:themeColor="text1"/>
        </w:rPr>
        <w:t xml:space="preserve"> minimum stable flows</w:t>
      </w:r>
      <w:r>
        <w:rPr>
          <w:color w:val="000000" w:themeColor="text1"/>
        </w:rPr>
        <w:t xml:space="preserve"> of 800 ML/day in the mid Lachlan R</w:t>
      </w:r>
      <w:r w:rsidRPr="00BC249B">
        <w:rPr>
          <w:color w:val="000000" w:themeColor="text1"/>
        </w:rPr>
        <w:t>iver</w:t>
      </w:r>
      <w:r>
        <w:rPr>
          <w:color w:val="000000" w:themeColor="text1"/>
        </w:rPr>
        <w:t xml:space="preserve">, preventing rapid drops in flow which could expose Murray cod and </w:t>
      </w:r>
      <w:r w:rsidRPr="00BC249B">
        <w:rPr>
          <w:color w:val="000000" w:themeColor="text1"/>
        </w:rPr>
        <w:t>catfish nests</w:t>
      </w:r>
      <w:r>
        <w:rPr>
          <w:color w:val="000000" w:themeColor="text1"/>
        </w:rPr>
        <w:t xml:space="preserve">. </w:t>
      </w:r>
      <w:r w:rsidRPr="00BC249B">
        <w:rPr>
          <w:color w:val="000000" w:themeColor="text1"/>
        </w:rPr>
        <w:t>Releases</w:t>
      </w:r>
      <w:r>
        <w:rPr>
          <w:color w:val="000000" w:themeColor="text1"/>
        </w:rPr>
        <w:t xml:space="preserve"> of CEW</w:t>
      </w:r>
      <w:r w:rsidRPr="00BC249B">
        <w:rPr>
          <w:color w:val="000000" w:themeColor="text1"/>
        </w:rPr>
        <w:t xml:space="preserve"> for this action</w:t>
      </w:r>
      <w:r>
        <w:rPr>
          <w:color w:val="000000" w:themeColor="text1"/>
        </w:rPr>
        <w:t xml:space="preserve"> occurred between 22</w:t>
      </w:r>
      <w:r w:rsidRPr="00DB00BD">
        <w:rPr>
          <w:color w:val="000000" w:themeColor="text1"/>
          <w:vertAlign w:val="superscript"/>
        </w:rPr>
        <w:t>nd</w:t>
      </w:r>
      <w:r>
        <w:rPr>
          <w:color w:val="000000" w:themeColor="text1"/>
          <w:vertAlign w:val="superscript"/>
        </w:rPr>
        <w:t xml:space="preserve"> </w:t>
      </w:r>
      <w:r>
        <w:rPr>
          <w:color w:val="000000" w:themeColor="text1"/>
        </w:rPr>
        <w:t>- 30</w:t>
      </w:r>
      <w:r w:rsidRPr="00735664">
        <w:rPr>
          <w:color w:val="000000" w:themeColor="text1"/>
          <w:vertAlign w:val="superscript"/>
        </w:rPr>
        <w:t>th</w:t>
      </w:r>
      <w:r>
        <w:rPr>
          <w:color w:val="000000" w:themeColor="text1"/>
        </w:rPr>
        <w:t xml:space="preserve"> of October, complementing operating flows which were provided between the 17</w:t>
      </w:r>
      <w:r w:rsidRPr="00DB00BD">
        <w:rPr>
          <w:color w:val="000000" w:themeColor="text1"/>
          <w:vertAlign w:val="superscript"/>
        </w:rPr>
        <w:t>th</w:t>
      </w:r>
      <w:r>
        <w:rPr>
          <w:color w:val="000000" w:themeColor="text1"/>
        </w:rPr>
        <w:t xml:space="preserve"> of October and </w:t>
      </w:r>
      <w:r w:rsidRPr="00BC249B">
        <w:rPr>
          <w:color w:val="000000" w:themeColor="text1"/>
        </w:rPr>
        <w:t>3</w:t>
      </w:r>
      <w:r w:rsidRPr="00735664">
        <w:rPr>
          <w:color w:val="000000" w:themeColor="text1"/>
          <w:vertAlign w:val="superscript"/>
        </w:rPr>
        <w:t>rd</w:t>
      </w:r>
      <w:r>
        <w:rPr>
          <w:color w:val="000000" w:themeColor="text1"/>
        </w:rPr>
        <w:t xml:space="preserve"> </w:t>
      </w:r>
      <w:r w:rsidRPr="00BC249B">
        <w:rPr>
          <w:color w:val="000000" w:themeColor="text1"/>
        </w:rPr>
        <w:t>December 2018.</w:t>
      </w:r>
    </w:p>
    <w:p w14:paraId="19D6B239" w14:textId="77777777" w:rsidR="005C0B99" w:rsidRPr="00BC249B" w:rsidRDefault="005C0B99" w:rsidP="005C0B99">
      <w:pPr>
        <w:rPr>
          <w:color w:val="000000" w:themeColor="text1"/>
        </w:rPr>
      </w:pPr>
      <w:r w:rsidRPr="00E57583">
        <w:rPr>
          <w:color w:val="000000" w:themeColor="text1"/>
          <w:u w:val="single"/>
        </w:rPr>
        <w:t>Watering Action 3</w:t>
      </w:r>
      <w:r>
        <w:rPr>
          <w:color w:val="000000" w:themeColor="text1"/>
        </w:rPr>
        <w:t xml:space="preserve"> was a </w:t>
      </w:r>
      <w:r w:rsidRPr="00BC249B">
        <w:rPr>
          <w:color w:val="000000" w:themeColor="text1"/>
        </w:rPr>
        <w:t>small watering action targeting riparian vegetation and habitat for aquatic species in Yarrabandai (formerly Burrawang West) Lagoon</w:t>
      </w:r>
      <w:r>
        <w:rPr>
          <w:color w:val="000000" w:themeColor="text1"/>
        </w:rPr>
        <w:t>. Delivery of this flow occurred from</w:t>
      </w:r>
      <w:r w:rsidRPr="00BC249B">
        <w:rPr>
          <w:color w:val="000000" w:themeColor="text1"/>
        </w:rPr>
        <w:t xml:space="preserve"> 18</w:t>
      </w:r>
      <w:r w:rsidRPr="0012119B">
        <w:rPr>
          <w:color w:val="000000" w:themeColor="text1"/>
          <w:vertAlign w:val="superscript"/>
        </w:rPr>
        <w:t>th</w:t>
      </w:r>
      <w:r w:rsidRPr="00BC249B">
        <w:rPr>
          <w:color w:val="000000" w:themeColor="text1"/>
        </w:rPr>
        <w:t xml:space="preserve"> March</w:t>
      </w:r>
      <w:r>
        <w:rPr>
          <w:color w:val="000000" w:themeColor="text1"/>
        </w:rPr>
        <w:t xml:space="preserve"> - 29</w:t>
      </w:r>
      <w:r w:rsidRPr="00BC249B">
        <w:rPr>
          <w:color w:val="000000" w:themeColor="text1"/>
          <w:vertAlign w:val="superscript"/>
        </w:rPr>
        <w:t>th</w:t>
      </w:r>
      <w:r>
        <w:rPr>
          <w:color w:val="000000" w:themeColor="text1"/>
        </w:rPr>
        <w:t xml:space="preserve"> May</w:t>
      </w:r>
      <w:r w:rsidRPr="00BC249B">
        <w:rPr>
          <w:color w:val="000000" w:themeColor="text1"/>
        </w:rPr>
        <w:t xml:space="preserve"> 2019</w:t>
      </w:r>
      <w:r>
        <w:rPr>
          <w:color w:val="000000" w:themeColor="text1"/>
        </w:rPr>
        <w:t xml:space="preserve">. </w:t>
      </w:r>
    </w:p>
    <w:p w14:paraId="5C7FEDE0" w14:textId="158A59FA" w:rsidR="005C0B99" w:rsidRDefault="005C0B99" w:rsidP="005C0B99">
      <w:pPr>
        <w:rPr>
          <w:color w:val="000000" w:themeColor="text1"/>
        </w:rPr>
      </w:pPr>
      <w:r w:rsidRPr="00E57583">
        <w:rPr>
          <w:color w:val="000000" w:themeColor="text1"/>
          <w:u w:val="single"/>
        </w:rPr>
        <w:t>Watering Action 4</w:t>
      </w:r>
      <w:r>
        <w:rPr>
          <w:color w:val="000000" w:themeColor="text1"/>
        </w:rPr>
        <w:t xml:space="preserve"> targeted</w:t>
      </w:r>
      <w:r w:rsidRPr="00BC249B">
        <w:rPr>
          <w:color w:val="000000" w:themeColor="text1"/>
        </w:rPr>
        <w:t xml:space="preserve"> the Great Cumbung Swamp</w:t>
      </w:r>
      <w:r>
        <w:rPr>
          <w:color w:val="000000" w:themeColor="text1"/>
        </w:rPr>
        <w:t xml:space="preserve"> in the lower Lachlan and sourced 5,</w:t>
      </w:r>
      <w:r w:rsidRPr="00BC249B">
        <w:rPr>
          <w:color w:val="000000" w:themeColor="text1"/>
        </w:rPr>
        <w:t>338</w:t>
      </w:r>
      <w:r>
        <w:rPr>
          <w:color w:val="000000" w:themeColor="text1"/>
        </w:rPr>
        <w:t> </w:t>
      </w:r>
      <w:r w:rsidRPr="00BC249B">
        <w:rPr>
          <w:color w:val="000000" w:themeColor="text1"/>
        </w:rPr>
        <w:t xml:space="preserve">ML </w:t>
      </w:r>
      <w:r>
        <w:rPr>
          <w:color w:val="000000" w:themeColor="text1"/>
        </w:rPr>
        <w:t xml:space="preserve">of water from </w:t>
      </w:r>
      <w:r w:rsidRPr="00BC249B">
        <w:rPr>
          <w:color w:val="000000" w:themeColor="text1"/>
        </w:rPr>
        <w:t>Lake Brewster</w:t>
      </w:r>
      <w:r>
        <w:rPr>
          <w:color w:val="000000" w:themeColor="text1"/>
        </w:rPr>
        <w:t xml:space="preserve"> between </w:t>
      </w:r>
      <w:r w:rsidRPr="00BC249B">
        <w:rPr>
          <w:color w:val="000000" w:themeColor="text1"/>
        </w:rPr>
        <w:t>9</w:t>
      </w:r>
      <w:r w:rsidRPr="00BC249B">
        <w:rPr>
          <w:color w:val="000000" w:themeColor="text1"/>
          <w:vertAlign w:val="superscript"/>
        </w:rPr>
        <w:t>th</w:t>
      </w:r>
      <w:r>
        <w:rPr>
          <w:color w:val="000000" w:themeColor="text1"/>
          <w:vertAlign w:val="superscript"/>
        </w:rPr>
        <w:t xml:space="preserve"> </w:t>
      </w:r>
      <w:r>
        <w:rPr>
          <w:color w:val="000000" w:themeColor="text1"/>
        </w:rPr>
        <w:t>- 28</w:t>
      </w:r>
      <w:r w:rsidRPr="00BC249B">
        <w:rPr>
          <w:color w:val="000000" w:themeColor="text1"/>
          <w:vertAlign w:val="superscript"/>
        </w:rPr>
        <w:t>th</w:t>
      </w:r>
      <w:r>
        <w:rPr>
          <w:color w:val="000000" w:themeColor="text1"/>
        </w:rPr>
        <w:t xml:space="preserve"> June. </w:t>
      </w:r>
    </w:p>
    <w:p w14:paraId="77AA9399" w14:textId="304CEB5B" w:rsidR="00D457D7" w:rsidRDefault="00D457D7" w:rsidP="005C0B99">
      <w:pPr>
        <w:rPr>
          <w:color w:val="000000" w:themeColor="text1"/>
        </w:rPr>
      </w:pPr>
      <w:r>
        <w:rPr>
          <w:color w:val="000000" w:themeColor="text1"/>
        </w:rPr>
        <w:t xml:space="preserve">In evaluating the </w:t>
      </w:r>
      <w:r w:rsidRPr="001C4537">
        <w:rPr>
          <w:color w:val="000000" w:themeColor="text1"/>
        </w:rPr>
        <w:t>outcomes of providing Commonwealth environmental water to the Lower and Mid Lachlan river system</w:t>
      </w:r>
      <w:r>
        <w:rPr>
          <w:color w:val="000000" w:themeColor="text1"/>
        </w:rPr>
        <w:t xml:space="preserve"> the following evaluation questions are addressed.</w:t>
      </w:r>
    </w:p>
    <w:p w14:paraId="75705DE2" w14:textId="0F346392" w:rsidR="005D4E80" w:rsidRPr="00131F12" w:rsidRDefault="00D457D7" w:rsidP="005D4E80">
      <w:pPr>
        <w:pStyle w:val="Heading3"/>
      </w:pPr>
      <w:bookmarkStart w:id="156" w:name="_Toc31985460"/>
      <w:bookmarkEnd w:id="155"/>
      <w:r>
        <w:rPr>
          <w:lang w:val="en-US"/>
        </w:rPr>
        <w:t xml:space="preserve">Selected Area </w:t>
      </w:r>
      <w:r w:rsidR="00F10576">
        <w:rPr>
          <w:lang w:val="en-US"/>
        </w:rPr>
        <w:t>S</w:t>
      </w:r>
      <w:r w:rsidR="005D4E80" w:rsidRPr="00131F12">
        <w:t>pecific evaluation questions:</w:t>
      </w:r>
      <w:bookmarkEnd w:id="153"/>
      <w:bookmarkEnd w:id="154"/>
      <w:bookmarkEnd w:id="156"/>
    </w:p>
    <w:p w14:paraId="72CE92B2" w14:textId="77777777" w:rsidR="005D4E80" w:rsidRPr="00131F12" w:rsidRDefault="005D4E80" w:rsidP="005D4E80">
      <w:pPr>
        <w:ind w:left="1134" w:hanging="425"/>
      </w:pPr>
      <w:r w:rsidRPr="00131F12">
        <w:t>1)</w:t>
      </w:r>
      <w:r w:rsidRPr="00131F12">
        <w:tab/>
        <w:t xml:space="preserve">What did Commonwealth environmental water contribute to </w:t>
      </w:r>
      <w:r>
        <w:t>primary production in the mid and lower Lachlan River</w:t>
      </w:r>
      <w:r w:rsidRPr="00131F12">
        <w:t xml:space="preserve">? </w:t>
      </w:r>
    </w:p>
    <w:p w14:paraId="79DEB092" w14:textId="77777777" w:rsidR="005D4E80" w:rsidRPr="00131F12" w:rsidRDefault="005D4E80" w:rsidP="005D4E80">
      <w:pPr>
        <w:ind w:left="1134" w:hanging="425"/>
      </w:pPr>
      <w:r w:rsidRPr="00131F12">
        <w:t>2)</w:t>
      </w:r>
      <w:r w:rsidRPr="00131F12">
        <w:tab/>
        <w:t xml:space="preserve">What did Commonwealth environmental </w:t>
      </w:r>
      <w:r>
        <w:t xml:space="preserve">water </w:t>
      </w:r>
      <w:r w:rsidRPr="00131F12">
        <w:t xml:space="preserve">contribute to patterns and rates of ecosystem respiration (ER) and primary productivity (GPP) </w:t>
      </w:r>
      <w:r>
        <w:t>in the mid and lower Lachlan River</w:t>
      </w:r>
      <w:r w:rsidRPr="00131F12">
        <w:t>?</w:t>
      </w:r>
    </w:p>
    <w:p w14:paraId="093E2850" w14:textId="77777777" w:rsidR="005D4E80" w:rsidRPr="00131F12" w:rsidRDefault="005D4E80" w:rsidP="005D4E80">
      <w:pPr>
        <w:pStyle w:val="Heading2"/>
      </w:pPr>
      <w:bookmarkStart w:id="157" w:name="_Toc527986371"/>
      <w:bookmarkStart w:id="158" w:name="_Toc4574778"/>
      <w:bookmarkStart w:id="159" w:name="_Toc31985461"/>
      <w:r w:rsidRPr="00131F12">
        <w:t>Methods</w:t>
      </w:r>
      <w:bookmarkEnd w:id="157"/>
      <w:bookmarkEnd w:id="158"/>
      <w:bookmarkEnd w:id="159"/>
    </w:p>
    <w:p w14:paraId="309D36BE" w14:textId="30241960" w:rsidR="005D4E80" w:rsidRDefault="005D4E80" w:rsidP="005D4E80">
      <w:pPr>
        <w:rPr>
          <w:lang w:val="en-GB"/>
        </w:rPr>
      </w:pPr>
      <w:r w:rsidRPr="00DD4166">
        <w:rPr>
          <w:lang w:val="en-GB"/>
        </w:rPr>
        <w:t>The evaluation of the stream metabolism and water quality outcomes used a combination of river height data (</w:t>
      </w:r>
      <w:r w:rsidR="00DD4166" w:rsidRPr="00DD4166">
        <w:rPr>
          <w:lang w:val="en-GB"/>
        </w:rPr>
        <w:t xml:space="preserve">as described in section </w:t>
      </w:r>
      <w:r w:rsidR="00DD4166" w:rsidRPr="00DD4166">
        <w:rPr>
          <w:lang w:val="en-GB"/>
        </w:rPr>
        <w:fldChar w:fldCharType="begin"/>
      </w:r>
      <w:r w:rsidR="00DD4166" w:rsidRPr="00DD4166">
        <w:rPr>
          <w:lang w:val="en-GB"/>
        </w:rPr>
        <w:instrText xml:space="preserve"> REF _Ref18500075 \r \h </w:instrText>
      </w:r>
      <w:r w:rsidR="00DD4166">
        <w:rPr>
          <w:lang w:val="en-GB"/>
        </w:rPr>
        <w:instrText xml:space="preserve"> \* MERGEFORMAT </w:instrText>
      </w:r>
      <w:r w:rsidR="00DD4166" w:rsidRPr="00DD4166">
        <w:rPr>
          <w:lang w:val="en-GB"/>
        </w:rPr>
      </w:r>
      <w:r w:rsidR="00DD4166" w:rsidRPr="00DD4166">
        <w:rPr>
          <w:lang w:val="en-GB"/>
        </w:rPr>
        <w:fldChar w:fldCharType="separate"/>
      </w:r>
      <w:r w:rsidR="007F7607">
        <w:rPr>
          <w:lang w:val="en-GB"/>
        </w:rPr>
        <w:t>4</w:t>
      </w:r>
      <w:r w:rsidR="00DD4166" w:rsidRPr="00DD4166">
        <w:rPr>
          <w:lang w:val="en-GB"/>
        </w:rPr>
        <w:fldChar w:fldCharType="end"/>
      </w:r>
      <w:r w:rsidR="00DD4166">
        <w:rPr>
          <w:lang w:val="en-GB"/>
        </w:rPr>
        <w:t>,</w:t>
      </w:r>
      <w:r w:rsidR="00DD4166" w:rsidRPr="00DD4166">
        <w:rPr>
          <w:lang w:val="en-GB"/>
        </w:rPr>
        <w:t xml:space="preserve"> </w:t>
      </w:r>
      <w:r w:rsidR="00DD4166" w:rsidRPr="00DD4166">
        <w:rPr>
          <w:lang w:val="en-GB"/>
        </w:rPr>
        <w:fldChar w:fldCharType="begin"/>
      </w:r>
      <w:r w:rsidR="00DD4166" w:rsidRPr="00DD4166">
        <w:rPr>
          <w:lang w:val="en-GB"/>
        </w:rPr>
        <w:instrText xml:space="preserve"> REF _Ref18500080 \h </w:instrText>
      </w:r>
      <w:r w:rsidR="00DD4166">
        <w:rPr>
          <w:lang w:val="en-GB"/>
        </w:rPr>
        <w:instrText xml:space="preserve"> \* MERGEFORMAT </w:instrText>
      </w:r>
      <w:r w:rsidR="00DD4166" w:rsidRPr="00DD4166">
        <w:rPr>
          <w:lang w:val="en-GB"/>
        </w:rPr>
      </w:r>
      <w:r w:rsidR="00DD4166" w:rsidRPr="00DD4166">
        <w:rPr>
          <w:lang w:val="en-GB"/>
        </w:rPr>
        <w:fldChar w:fldCharType="separate"/>
      </w:r>
      <w:r w:rsidR="007F7607">
        <w:t>Hydrology</w:t>
      </w:r>
      <w:r w:rsidR="00DD4166" w:rsidRPr="00DD4166">
        <w:rPr>
          <w:lang w:val="en-GB"/>
        </w:rPr>
        <w:fldChar w:fldCharType="end"/>
      </w:r>
      <w:r w:rsidRPr="00DD4166">
        <w:rPr>
          <w:lang w:val="en-GB"/>
        </w:rPr>
        <w:t>), water</w:t>
      </w:r>
      <w:r w:rsidRPr="003F2F95">
        <w:rPr>
          <w:lang w:val="en-GB"/>
        </w:rPr>
        <w:t xml:space="preserve"> quality data and stream metabolism data (dissolved oxygen measurements modelled to calculate GPP</w:t>
      </w:r>
      <w:r w:rsidR="004E69F3">
        <w:rPr>
          <w:lang w:val="en-GB"/>
        </w:rPr>
        <w:t xml:space="preserve">, </w:t>
      </w:r>
      <w:r w:rsidRPr="003F2F95">
        <w:rPr>
          <w:lang w:val="en-GB"/>
        </w:rPr>
        <w:t>ER</w:t>
      </w:r>
      <w:r>
        <w:rPr>
          <w:lang w:val="en-GB"/>
        </w:rPr>
        <w:t>, and reaeration K</w:t>
      </w:r>
      <w:r w:rsidRPr="003F2F95">
        <w:rPr>
          <w:lang w:val="en-GB"/>
        </w:rPr>
        <w:t>).</w:t>
      </w:r>
      <w:r>
        <w:rPr>
          <w:lang w:val="en-GB"/>
        </w:rPr>
        <w:t xml:space="preserve"> </w:t>
      </w:r>
    </w:p>
    <w:p w14:paraId="3B4C09A0" w14:textId="279123AC" w:rsidR="00CF483E" w:rsidRPr="00D40CA6" w:rsidRDefault="00CF483E" w:rsidP="00CF483E">
      <w:r w:rsidRPr="001C4537">
        <w:rPr>
          <w:color w:val="000000" w:themeColor="text1"/>
        </w:rPr>
        <w:t xml:space="preserve">Data are collected from four Lower Lachlan sites (Wallanthery (WAL), Whealbah (WB), Cowl Cowl (CC) and Lanes Bridge (LB), </w:t>
      </w:r>
      <w:r w:rsidRPr="001C4537">
        <w:rPr>
          <w:color w:val="000000" w:themeColor="text1"/>
        </w:rPr>
        <w:fldChar w:fldCharType="begin"/>
      </w:r>
      <w:r w:rsidRPr="001C4537">
        <w:rPr>
          <w:color w:val="000000" w:themeColor="text1"/>
        </w:rPr>
        <w:instrText xml:space="preserve"> REF _Ref460238461 \h  \* MERGEFORMAT </w:instrText>
      </w:r>
      <w:r w:rsidRPr="001C4537">
        <w:rPr>
          <w:color w:val="000000" w:themeColor="text1"/>
        </w:rPr>
      </w:r>
      <w:r w:rsidRPr="001C4537">
        <w:rPr>
          <w:color w:val="000000" w:themeColor="text1"/>
        </w:rPr>
        <w:fldChar w:fldCharType="separate"/>
      </w:r>
      <w:r w:rsidR="007F7607" w:rsidRPr="007F7607">
        <w:rPr>
          <w:color w:val="000000" w:themeColor="text1"/>
        </w:rPr>
        <w:t xml:space="preserve">Figure </w:t>
      </w:r>
      <w:r w:rsidR="007F7607" w:rsidRPr="007F7607">
        <w:rPr>
          <w:noProof/>
          <w:color w:val="000000" w:themeColor="text1"/>
        </w:rPr>
        <w:t>18</w:t>
      </w:r>
      <w:r w:rsidRPr="001C4537">
        <w:rPr>
          <w:color w:val="000000" w:themeColor="text1"/>
        </w:rPr>
        <w:fldChar w:fldCharType="end"/>
      </w:r>
      <w:r w:rsidRPr="001C4537">
        <w:rPr>
          <w:color w:val="000000" w:themeColor="text1"/>
        </w:rPr>
        <w:t xml:space="preserve">) and four Mid Lachlan sites (Euabalong (EB), Techam (TH), Mulgutherie (MG), Kirkup Park (KP), </w:t>
      </w:r>
      <w:r w:rsidRPr="001C4537">
        <w:rPr>
          <w:color w:val="000000" w:themeColor="text1"/>
        </w:rPr>
        <w:fldChar w:fldCharType="begin"/>
      </w:r>
      <w:r w:rsidRPr="001C4537">
        <w:rPr>
          <w:color w:val="000000" w:themeColor="text1"/>
        </w:rPr>
        <w:instrText xml:space="preserve"> REF _Ref17283970 \h </w:instrText>
      </w:r>
      <w:r w:rsidRPr="001C4537">
        <w:rPr>
          <w:color w:val="000000" w:themeColor="text1"/>
        </w:rPr>
      </w:r>
      <w:r w:rsidRPr="001C4537">
        <w:rPr>
          <w:color w:val="000000" w:themeColor="text1"/>
        </w:rPr>
        <w:fldChar w:fldCharType="separate"/>
      </w:r>
      <w:r w:rsidR="007F7607" w:rsidRPr="001C4537">
        <w:rPr>
          <w:color w:val="000000" w:themeColor="text1"/>
        </w:rPr>
        <w:t xml:space="preserve">Figure </w:t>
      </w:r>
      <w:r w:rsidR="007F7607">
        <w:rPr>
          <w:noProof/>
          <w:color w:val="000000" w:themeColor="text1"/>
        </w:rPr>
        <w:t>19</w:t>
      </w:r>
      <w:r w:rsidRPr="001C4537">
        <w:rPr>
          <w:color w:val="000000" w:themeColor="text1"/>
        </w:rPr>
        <w:fldChar w:fldCharType="end"/>
      </w:r>
      <w:r w:rsidRPr="001C4537">
        <w:rPr>
          <w:color w:val="000000" w:themeColor="text1"/>
        </w:rPr>
        <w:t xml:space="preserve">). </w:t>
      </w:r>
      <w:r w:rsidR="004E69F3">
        <w:rPr>
          <w:color w:val="000000" w:themeColor="text1"/>
        </w:rPr>
        <w:t>The w</w:t>
      </w:r>
      <w:r w:rsidRPr="001C4537">
        <w:rPr>
          <w:color w:val="000000" w:themeColor="text1"/>
        </w:rPr>
        <w:t xml:space="preserve">ater quality parameters </w:t>
      </w:r>
      <w:r w:rsidR="004E69F3">
        <w:rPr>
          <w:color w:val="000000" w:themeColor="text1"/>
        </w:rPr>
        <w:t>d</w:t>
      </w:r>
      <w:r w:rsidRPr="001C4537">
        <w:rPr>
          <w:color w:val="000000" w:themeColor="text1"/>
        </w:rPr>
        <w:t xml:space="preserve">issolved oxygen and temperature were measured using the </w:t>
      </w:r>
      <w:r w:rsidR="004E69F3" w:rsidRPr="001C4537">
        <w:rPr>
          <w:color w:val="000000" w:themeColor="text1"/>
        </w:rPr>
        <w:t xml:space="preserve">automatic </w:t>
      </w:r>
      <w:r w:rsidRPr="001C4537">
        <w:rPr>
          <w:color w:val="000000" w:themeColor="text1"/>
        </w:rPr>
        <w:t>stream metabolism loggers. Conductivity, pH and turbidity</w:t>
      </w:r>
      <w:r w:rsidR="004E69F3">
        <w:rPr>
          <w:color w:val="000000" w:themeColor="text1"/>
        </w:rPr>
        <w:t xml:space="preserve"> are </w:t>
      </w:r>
      <w:r w:rsidR="004E69F3" w:rsidRPr="001C4537">
        <w:rPr>
          <w:color w:val="000000" w:themeColor="text1"/>
        </w:rPr>
        <w:t>manual point measures</w:t>
      </w:r>
      <w:r w:rsidR="004E69F3">
        <w:rPr>
          <w:color w:val="000000" w:themeColor="text1"/>
        </w:rPr>
        <w:t xml:space="preserve"> and</w:t>
      </w:r>
      <w:r w:rsidRPr="001C4537">
        <w:rPr>
          <w:color w:val="000000" w:themeColor="text1"/>
        </w:rPr>
        <w:t xml:space="preserve"> were recorded using a handheld water quality meter. For </w:t>
      </w:r>
      <w:r w:rsidR="00B277DA">
        <w:rPr>
          <w:color w:val="000000" w:themeColor="text1"/>
        </w:rPr>
        <w:t>nutrients and chloroplyll a</w:t>
      </w:r>
      <w:r w:rsidRPr="001C4537">
        <w:rPr>
          <w:color w:val="000000" w:themeColor="text1"/>
        </w:rPr>
        <w:t xml:space="preserve"> water samples were taken 2</w:t>
      </w:r>
      <w:r w:rsidR="00B277DA">
        <w:rPr>
          <w:color w:val="000000" w:themeColor="text1"/>
        </w:rPr>
        <w:t> </w:t>
      </w:r>
      <w:r w:rsidRPr="001C4537">
        <w:rPr>
          <w:color w:val="000000" w:themeColor="text1"/>
        </w:rPr>
        <w:t xml:space="preserve">meters from the water’s edge at one meter depth. These were placed on ice and returned to University of Canberra </w:t>
      </w:r>
      <w:r w:rsidR="00B277DA">
        <w:rPr>
          <w:color w:val="000000" w:themeColor="text1"/>
        </w:rPr>
        <w:t xml:space="preserve">(UC) </w:t>
      </w:r>
      <w:r w:rsidRPr="001C4537">
        <w:rPr>
          <w:color w:val="000000" w:themeColor="text1"/>
        </w:rPr>
        <w:t>for analysis by ALS for total nitrogen, nitrate/ nitrite, total phosphorus, dissolved reactive phosphorus and ammonia</w:t>
      </w:r>
      <w:r>
        <w:rPr>
          <w:color w:val="000000" w:themeColor="text1"/>
        </w:rPr>
        <w:t xml:space="preserve">. </w:t>
      </w:r>
      <w:r w:rsidR="00B277DA">
        <w:rPr>
          <w:color w:val="000000" w:themeColor="text1"/>
        </w:rPr>
        <w:t xml:space="preserve">Chlorophyll a </w:t>
      </w:r>
      <w:r w:rsidR="00B277DA">
        <w:t>are analysed at UC</w:t>
      </w:r>
    </w:p>
    <w:p w14:paraId="6F1A0E2C" w14:textId="77777777" w:rsidR="00CF483E" w:rsidRDefault="00CF483E" w:rsidP="00CF483E">
      <w:r w:rsidRPr="00D97684">
        <w:rPr>
          <w:noProof/>
          <w:lang w:eastAsia="en-AU"/>
        </w:rPr>
        <w:drawing>
          <wp:inline distT="0" distB="0" distL="0" distR="0" wp14:anchorId="4C66F370" wp14:editId="2495EFE6">
            <wp:extent cx="5040000" cy="3564000"/>
            <wp:effectExtent l="0" t="0" r="8255" b="0"/>
            <wp:docPr id="89" name="Picture 89" descr="Lachlan_2016_stream meta-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hlan_2016_stream meta-fish"/>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040000" cy="3564000"/>
                    </a:xfrm>
                    <a:prstGeom prst="rect">
                      <a:avLst/>
                    </a:prstGeom>
                    <a:noFill/>
                    <a:ln>
                      <a:noFill/>
                    </a:ln>
                  </pic:spPr>
                </pic:pic>
              </a:graphicData>
            </a:graphic>
          </wp:inline>
        </w:drawing>
      </w:r>
    </w:p>
    <w:p w14:paraId="559EA006" w14:textId="6C4B8F28" w:rsidR="00CF483E" w:rsidRPr="00D97684" w:rsidRDefault="00CF483E" w:rsidP="00CF483E">
      <w:pPr>
        <w:pStyle w:val="Caption"/>
      </w:pPr>
      <w:bookmarkStart w:id="160" w:name="_Ref460238461"/>
      <w:bookmarkStart w:id="161" w:name="_Toc458532694"/>
      <w:bookmarkStart w:id="162" w:name="_Ref460238442"/>
      <w:bookmarkStart w:id="163" w:name="_Ref463947181"/>
      <w:bookmarkStart w:id="164" w:name="_Ref493101501"/>
      <w:bookmarkStart w:id="165" w:name="_Toc499912069"/>
      <w:bookmarkStart w:id="166" w:name="_Ref530387986"/>
      <w:bookmarkStart w:id="167" w:name="_Ref532201903"/>
      <w:bookmarkStart w:id="168" w:name="_Ref532201979"/>
      <w:bookmarkStart w:id="169" w:name="_Toc4574854"/>
      <w:bookmarkStart w:id="170" w:name="_Toc18672208"/>
      <w:bookmarkStart w:id="171" w:name="_Toc31985582"/>
      <w:r w:rsidRPr="006A148A">
        <w:t xml:space="preserve">Figure </w:t>
      </w:r>
      <w:r>
        <w:fldChar w:fldCharType="begin"/>
      </w:r>
      <w:r>
        <w:instrText>SEQ Figure \* ARABIC</w:instrText>
      </w:r>
      <w:r>
        <w:fldChar w:fldCharType="separate"/>
      </w:r>
      <w:r w:rsidR="007F7607">
        <w:rPr>
          <w:noProof/>
        </w:rPr>
        <w:t>18</w:t>
      </w:r>
      <w:r>
        <w:fldChar w:fldCharType="end"/>
      </w:r>
      <w:bookmarkEnd w:id="160"/>
      <w:r w:rsidRPr="006A148A">
        <w:t>. Map of monitoring sites for fish, larval fish and stream metabolism in the Lower Lachlan River Zone L1.</w:t>
      </w:r>
      <w:bookmarkEnd w:id="161"/>
      <w:bookmarkEnd w:id="162"/>
      <w:bookmarkEnd w:id="163"/>
      <w:bookmarkEnd w:id="164"/>
      <w:bookmarkEnd w:id="165"/>
      <w:bookmarkEnd w:id="166"/>
      <w:bookmarkEnd w:id="167"/>
      <w:bookmarkEnd w:id="168"/>
      <w:bookmarkEnd w:id="169"/>
      <w:bookmarkEnd w:id="170"/>
      <w:bookmarkEnd w:id="171"/>
      <w:r w:rsidRPr="006A148A">
        <w:t xml:space="preserve"> </w:t>
      </w:r>
      <w:r>
        <w:br w:type="page"/>
      </w:r>
    </w:p>
    <w:p w14:paraId="416DF1B4" w14:textId="77777777" w:rsidR="00CF483E" w:rsidRDefault="00CF483E" w:rsidP="00CF483E">
      <w:r>
        <w:rPr>
          <w:noProof/>
          <w:lang w:eastAsia="en-AU"/>
        </w:rPr>
        <w:drawing>
          <wp:inline distT="0" distB="0" distL="0" distR="0" wp14:anchorId="272106B9" wp14:editId="390BBB94">
            <wp:extent cx="5040000" cy="2617200"/>
            <wp:effectExtent l="0" t="0" r="8255" b="0"/>
            <wp:docPr id="90" name="Picture 9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chlan_2019_mid lachlan fish5.jpg"/>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040000" cy="2617200"/>
                    </a:xfrm>
                    <a:prstGeom prst="rect">
                      <a:avLst/>
                    </a:prstGeom>
                    <a:ln>
                      <a:noFill/>
                    </a:ln>
                    <a:extLst>
                      <a:ext uri="{53640926-AAD7-44D8-BBD7-CCE9431645EC}">
                        <a14:shadowObscured xmlns:a14="http://schemas.microsoft.com/office/drawing/2010/main"/>
                      </a:ext>
                    </a:extLst>
                  </pic:spPr>
                </pic:pic>
              </a:graphicData>
            </a:graphic>
          </wp:inline>
        </w:drawing>
      </w:r>
    </w:p>
    <w:p w14:paraId="31DE52F8" w14:textId="50CA80B8" w:rsidR="00CF483E" w:rsidRDefault="00CF483E" w:rsidP="00CF483E">
      <w:pPr>
        <w:pStyle w:val="Caption"/>
        <w:rPr>
          <w:color w:val="000000" w:themeColor="text1"/>
        </w:rPr>
      </w:pPr>
      <w:bookmarkStart w:id="172" w:name="_Ref17283970"/>
      <w:bookmarkStart w:id="173" w:name="_Ref18500736"/>
      <w:bookmarkStart w:id="174" w:name="_Ref18500746"/>
      <w:bookmarkStart w:id="175" w:name="_Toc18672209"/>
      <w:bookmarkStart w:id="176" w:name="_Toc31985583"/>
      <w:r w:rsidRPr="001C4537">
        <w:rPr>
          <w:color w:val="000000" w:themeColor="text1"/>
        </w:rPr>
        <w:t xml:space="preserve">Figure </w:t>
      </w:r>
      <w:r w:rsidRPr="001C4537">
        <w:rPr>
          <w:color w:val="000000" w:themeColor="text1"/>
        </w:rPr>
        <w:fldChar w:fldCharType="begin"/>
      </w:r>
      <w:r w:rsidRPr="001C4537">
        <w:rPr>
          <w:color w:val="000000" w:themeColor="text1"/>
        </w:rPr>
        <w:instrText xml:space="preserve"> SEQ Figure \* ARABIC </w:instrText>
      </w:r>
      <w:r w:rsidRPr="001C4537">
        <w:rPr>
          <w:color w:val="000000" w:themeColor="text1"/>
        </w:rPr>
        <w:fldChar w:fldCharType="separate"/>
      </w:r>
      <w:r w:rsidR="007F7607">
        <w:rPr>
          <w:noProof/>
          <w:color w:val="000000" w:themeColor="text1"/>
        </w:rPr>
        <w:t>19</w:t>
      </w:r>
      <w:r w:rsidRPr="001C4537">
        <w:rPr>
          <w:color w:val="000000" w:themeColor="text1"/>
        </w:rPr>
        <w:fldChar w:fldCharType="end"/>
      </w:r>
      <w:bookmarkEnd w:id="172"/>
      <w:r w:rsidRPr="001C4537">
        <w:rPr>
          <w:color w:val="000000" w:themeColor="text1"/>
        </w:rPr>
        <w:t>. Map of monitoring sites for fish, larval fish and stream metabolism in the Mid Lachlan River Zone M1.</w:t>
      </w:r>
      <w:bookmarkEnd w:id="173"/>
      <w:bookmarkEnd w:id="174"/>
      <w:bookmarkEnd w:id="175"/>
      <w:bookmarkEnd w:id="176"/>
      <w:r w:rsidRPr="001C4537">
        <w:rPr>
          <w:color w:val="000000" w:themeColor="text1"/>
        </w:rPr>
        <w:t xml:space="preserve"> </w:t>
      </w:r>
    </w:p>
    <w:p w14:paraId="3921BFFF" w14:textId="1134B4FE" w:rsidR="00CF483E" w:rsidRDefault="00CF483E" w:rsidP="00CF483E">
      <w:r w:rsidRPr="00745C90">
        <w:t xml:space="preserve">Stream metabolism was measured applying the standard methods for the </w:t>
      </w:r>
      <w:r w:rsidR="00E05711">
        <w:t>LTIM Project</w:t>
      </w:r>
      <w:r w:rsidRPr="00745C90">
        <w:t xml:space="preserve">. An oxygen logger was installed </w:t>
      </w:r>
      <w:r>
        <w:t xml:space="preserve">in the water column </w:t>
      </w:r>
      <w:r w:rsidRPr="00745C90">
        <w:t>at the edge of the stream</w:t>
      </w:r>
      <w:r>
        <w:t xml:space="preserve"> (3 sites)</w:t>
      </w:r>
      <w:r w:rsidRPr="00745C90">
        <w:t>, but mid-stream for Mulg</w:t>
      </w:r>
      <w:r>
        <w:t>u</w:t>
      </w:r>
      <w:r w:rsidRPr="00745C90">
        <w:t xml:space="preserve">therie (MG) to ensure the logger remained </w:t>
      </w:r>
      <w:r>
        <w:t>wet</w:t>
      </w:r>
      <w:r w:rsidRPr="00745C90">
        <w:t xml:space="preserve"> (</w:t>
      </w:r>
      <w:r w:rsidRPr="00745C90">
        <w:fldChar w:fldCharType="begin"/>
      </w:r>
      <w:r w:rsidRPr="00745C90">
        <w:instrText xml:space="preserve"> REF _Ref17987160 \h  \* MERGEFORMAT </w:instrText>
      </w:r>
      <w:r w:rsidRPr="00745C90">
        <w:fldChar w:fldCharType="separate"/>
      </w:r>
      <w:r w:rsidR="007F7607" w:rsidRPr="00622F45">
        <w:t xml:space="preserve">Figure </w:t>
      </w:r>
      <w:r w:rsidR="007F7607">
        <w:t>20</w:t>
      </w:r>
      <w:r w:rsidRPr="00745C90">
        <w:fldChar w:fldCharType="end"/>
      </w:r>
      <w:r w:rsidRPr="00745C90">
        <w:t xml:space="preserve"> and </w:t>
      </w:r>
      <w:r w:rsidRPr="00745C90">
        <w:fldChar w:fldCharType="begin"/>
      </w:r>
      <w:r w:rsidRPr="00745C90">
        <w:instrText xml:space="preserve"> REF _Ref17987166 \h  \* MERGEFORMAT </w:instrText>
      </w:r>
      <w:r w:rsidRPr="00745C90">
        <w:fldChar w:fldCharType="separate"/>
      </w:r>
      <w:r w:rsidR="007F7607">
        <w:t xml:space="preserve">Figure </w:t>
      </w:r>
      <w:r w:rsidR="007F7607">
        <w:rPr>
          <w:noProof/>
        </w:rPr>
        <w:t>21</w:t>
      </w:r>
      <w:r w:rsidRPr="00745C90">
        <w:fldChar w:fldCharType="end"/>
      </w:r>
      <w:r w:rsidRPr="00745C90">
        <w:t>).</w:t>
      </w:r>
    </w:p>
    <w:p w14:paraId="190BFF08" w14:textId="77777777" w:rsidR="00622F45" w:rsidRDefault="00622F45" w:rsidP="00CF483E"/>
    <w:tbl>
      <w:tblPr>
        <w:tblStyle w:val="TableGrid"/>
        <w:tblpPr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08"/>
        <w:gridCol w:w="4508"/>
      </w:tblGrid>
      <w:tr w:rsidR="00CF483E" w14:paraId="6743B38D" w14:textId="77777777" w:rsidTr="0046151C">
        <w:tc>
          <w:tcPr>
            <w:tcW w:w="4508" w:type="dxa"/>
          </w:tcPr>
          <w:p w14:paraId="5ECF738D" w14:textId="77777777" w:rsidR="00CF483E" w:rsidRDefault="00CF483E" w:rsidP="0046151C">
            <w:pPr>
              <w:spacing w:before="40" w:after="40"/>
            </w:pPr>
            <w:r>
              <w:rPr>
                <w:noProof/>
                <w:lang w:eastAsia="en-AU"/>
              </w:rPr>
              <mc:AlternateContent>
                <mc:Choice Requires="wps">
                  <w:drawing>
                    <wp:anchor distT="0" distB="0" distL="114300" distR="114300" simplePos="0" relativeHeight="251650048" behindDoc="0" locked="0" layoutInCell="1" allowOverlap="1" wp14:anchorId="1227E47A" wp14:editId="742CB93D">
                      <wp:simplePos x="0" y="0"/>
                      <wp:positionH relativeFrom="column">
                        <wp:posOffset>414883</wp:posOffset>
                      </wp:positionH>
                      <wp:positionV relativeFrom="paragraph">
                        <wp:posOffset>783697</wp:posOffset>
                      </wp:positionV>
                      <wp:extent cx="228600" cy="371475"/>
                      <wp:effectExtent l="19050" t="0" r="38100" b="47625"/>
                      <wp:wrapNone/>
                      <wp:docPr id="55" name="Arrow: Down 55"/>
                      <wp:cNvGraphicFramePr/>
                      <a:graphic xmlns:a="http://schemas.openxmlformats.org/drawingml/2006/main">
                        <a:graphicData uri="http://schemas.microsoft.com/office/word/2010/wordprocessingShape">
                          <wps:wsp>
                            <wps:cNvSpPr/>
                            <wps:spPr>
                              <a:xfrm>
                                <a:off x="0" y="0"/>
                                <a:ext cx="228600"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4F9F8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5" o:spid="_x0000_s1026" type="#_x0000_t67" style="position:absolute;margin-left:32.65pt;margin-top:61.7pt;width:18pt;height:29.2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" adj="14954" fillcolor="#c0504d [3205]" strokecolor="#622423 [1605]" strokeweight="2pt"/>
                  </w:pict>
                </mc:Fallback>
              </mc:AlternateContent>
            </w:r>
            <w:r>
              <w:rPr>
                <w:noProof/>
                <w:lang w:eastAsia="en-AU"/>
              </w:rPr>
              <w:drawing>
                <wp:inline distT="0" distB="0" distL="0" distR="0" wp14:anchorId="5E5A8208" wp14:editId="72CB608E">
                  <wp:extent cx="2692800" cy="2016000"/>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692800" cy="2016000"/>
                          </a:xfrm>
                          <a:prstGeom prst="rect">
                            <a:avLst/>
                          </a:prstGeom>
                          <a:noFill/>
                          <a:ln>
                            <a:noFill/>
                          </a:ln>
                        </pic:spPr>
                      </pic:pic>
                    </a:graphicData>
                  </a:graphic>
                </wp:inline>
              </w:drawing>
            </w:r>
          </w:p>
        </w:tc>
        <w:tc>
          <w:tcPr>
            <w:tcW w:w="4508" w:type="dxa"/>
          </w:tcPr>
          <w:p w14:paraId="5790C0DD" w14:textId="77777777" w:rsidR="00CF483E" w:rsidRDefault="00CF483E" w:rsidP="0046151C">
            <w:pPr>
              <w:spacing w:before="40" w:after="40"/>
            </w:pPr>
            <w:r w:rsidRPr="006F52F7">
              <w:rPr>
                <w:rStyle w:val="CaptionChar"/>
                <w:rFonts w:eastAsia="MS Mincho"/>
                <w:noProof/>
                <w:lang w:eastAsia="en-AU"/>
              </w:rPr>
              <mc:AlternateContent>
                <mc:Choice Requires="wps">
                  <w:drawing>
                    <wp:anchor distT="0" distB="0" distL="114300" distR="114300" simplePos="0" relativeHeight="251651072" behindDoc="0" locked="0" layoutInCell="1" allowOverlap="1" wp14:anchorId="6C0168F1" wp14:editId="7F440A1D">
                      <wp:simplePos x="0" y="0"/>
                      <wp:positionH relativeFrom="column">
                        <wp:posOffset>1521703</wp:posOffset>
                      </wp:positionH>
                      <wp:positionV relativeFrom="paragraph">
                        <wp:posOffset>883934</wp:posOffset>
                      </wp:positionV>
                      <wp:extent cx="268605" cy="371475"/>
                      <wp:effectExtent l="19050" t="0" r="17145" b="47625"/>
                      <wp:wrapNone/>
                      <wp:docPr id="62" name="Arrow: Down 9"/>
                      <wp:cNvGraphicFramePr/>
                      <a:graphic xmlns:a="http://schemas.openxmlformats.org/drawingml/2006/main">
                        <a:graphicData uri="http://schemas.microsoft.com/office/word/2010/wordprocessingShape">
                          <wps:wsp>
                            <wps:cNvSpPr/>
                            <wps:spPr>
                              <a:xfrm>
                                <a:off x="0" y="0"/>
                                <a:ext cx="268605"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7370CB" id="Arrow: Down 9" o:spid="_x0000_s1026" type="#_x0000_t67" style="position:absolute;margin-left:119.8pt;margin-top:69.6pt;width:21.15pt;height:29.2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" adj="13791" fillcolor="#c0504d [3205]" strokecolor="#622423 [1605]" strokeweight="2pt"/>
                  </w:pict>
                </mc:Fallback>
              </mc:AlternateContent>
            </w:r>
            <w:r>
              <w:rPr>
                <w:noProof/>
                <w:lang w:eastAsia="en-AU"/>
              </w:rPr>
              <w:drawing>
                <wp:inline distT="0" distB="0" distL="0" distR="0" wp14:anchorId="33016801" wp14:editId="7044F557">
                  <wp:extent cx="2689200" cy="2016000"/>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689200" cy="2016000"/>
                          </a:xfrm>
                          <a:prstGeom prst="rect">
                            <a:avLst/>
                          </a:prstGeom>
                          <a:noFill/>
                          <a:ln>
                            <a:noFill/>
                          </a:ln>
                        </pic:spPr>
                      </pic:pic>
                    </a:graphicData>
                  </a:graphic>
                </wp:inline>
              </w:drawing>
            </w:r>
          </w:p>
        </w:tc>
      </w:tr>
      <w:tr w:rsidR="00CF483E" w14:paraId="3B89B7DB" w14:textId="77777777" w:rsidTr="0046151C">
        <w:tc>
          <w:tcPr>
            <w:tcW w:w="4508" w:type="dxa"/>
          </w:tcPr>
          <w:p w14:paraId="2B4C1D30" w14:textId="77777777" w:rsidR="00CF483E" w:rsidRDefault="00CF483E" w:rsidP="0046151C">
            <w:pPr>
              <w:spacing w:before="40" w:after="40"/>
            </w:pPr>
            <w:r>
              <w:rPr>
                <w:noProof/>
                <w:lang w:eastAsia="en-AU"/>
              </w:rPr>
              <mc:AlternateContent>
                <mc:Choice Requires="wps">
                  <w:drawing>
                    <wp:anchor distT="0" distB="0" distL="114300" distR="114300" simplePos="0" relativeHeight="251645952" behindDoc="0" locked="0" layoutInCell="1" allowOverlap="1" wp14:anchorId="0A5168D5" wp14:editId="2084FFB8">
                      <wp:simplePos x="0" y="0"/>
                      <wp:positionH relativeFrom="column">
                        <wp:posOffset>1682786</wp:posOffset>
                      </wp:positionH>
                      <wp:positionV relativeFrom="paragraph">
                        <wp:posOffset>947392</wp:posOffset>
                      </wp:positionV>
                      <wp:extent cx="268626" cy="371475"/>
                      <wp:effectExtent l="19050" t="0" r="17145" b="47625"/>
                      <wp:wrapNone/>
                      <wp:docPr id="60" name="Arrow: Down 60"/>
                      <wp:cNvGraphicFramePr/>
                      <a:graphic xmlns:a="http://schemas.openxmlformats.org/drawingml/2006/main">
                        <a:graphicData uri="http://schemas.microsoft.com/office/word/2010/wordprocessingShape">
                          <wps:wsp>
                            <wps:cNvSpPr/>
                            <wps:spPr>
                              <a:xfrm>
                                <a:off x="0" y="0"/>
                                <a:ext cx="268626"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0BAF97" id="Arrow: Down 60" o:spid="_x0000_s1026" type="#_x0000_t67" style="position:absolute;margin-left:132.5pt;margin-top:74.6pt;width:21.15pt;height:29.2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" adj="13790" fillcolor="#c0504d [3205]" strokecolor="#622423 [1605]" strokeweight="2pt"/>
                  </w:pict>
                </mc:Fallback>
              </mc:AlternateContent>
            </w:r>
            <w:r>
              <w:rPr>
                <w:noProof/>
                <w:lang w:eastAsia="en-AU"/>
              </w:rPr>
              <w:drawing>
                <wp:inline distT="0" distB="0" distL="0" distR="0" wp14:anchorId="689A6DEC" wp14:editId="29530C17">
                  <wp:extent cx="2688590" cy="201549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688590" cy="2015490"/>
                          </a:xfrm>
                          <a:prstGeom prst="rect">
                            <a:avLst/>
                          </a:prstGeom>
                          <a:noFill/>
                          <a:ln>
                            <a:noFill/>
                          </a:ln>
                        </pic:spPr>
                      </pic:pic>
                    </a:graphicData>
                  </a:graphic>
                </wp:inline>
              </w:drawing>
            </w:r>
          </w:p>
        </w:tc>
        <w:tc>
          <w:tcPr>
            <w:tcW w:w="4508" w:type="dxa"/>
          </w:tcPr>
          <w:p w14:paraId="220882AC" w14:textId="77777777" w:rsidR="00CF483E" w:rsidRDefault="00CF483E" w:rsidP="0046151C">
            <w:pPr>
              <w:spacing w:before="40" w:after="40"/>
            </w:pPr>
          </w:p>
        </w:tc>
      </w:tr>
    </w:tbl>
    <w:p w14:paraId="2D5F2F51" w14:textId="661DC677" w:rsidR="00CF483E" w:rsidRDefault="00CF483E" w:rsidP="00622F45">
      <w:pPr>
        <w:pStyle w:val="Caption"/>
        <w:rPr>
          <w:rFonts w:eastAsia="MS Mincho"/>
        </w:rPr>
      </w:pPr>
      <w:bookmarkStart w:id="177" w:name="_Ref17987160"/>
      <w:bookmarkStart w:id="178" w:name="_Toc18672210"/>
      <w:bookmarkStart w:id="179" w:name="_Toc31985584"/>
      <w:r w:rsidRPr="00622F45">
        <w:rPr>
          <w:rFonts w:eastAsia="MS Mincho"/>
        </w:rPr>
        <w:t xml:space="preserve">Figure </w:t>
      </w:r>
      <w:r w:rsidRPr="00622F45">
        <w:rPr>
          <w:rFonts w:eastAsia="MS Mincho"/>
        </w:rPr>
        <w:fldChar w:fldCharType="begin"/>
      </w:r>
      <w:r w:rsidRPr="00622F45">
        <w:rPr>
          <w:rFonts w:eastAsia="MS Mincho"/>
        </w:rPr>
        <w:instrText xml:space="preserve"> SEQ Figure \* ARABIC </w:instrText>
      </w:r>
      <w:r w:rsidRPr="00622F45">
        <w:rPr>
          <w:rFonts w:eastAsia="MS Mincho"/>
        </w:rPr>
        <w:fldChar w:fldCharType="separate"/>
      </w:r>
      <w:r w:rsidR="007F7607">
        <w:rPr>
          <w:rFonts w:eastAsia="MS Mincho"/>
          <w:noProof/>
        </w:rPr>
        <w:t>20</w:t>
      </w:r>
      <w:r w:rsidRPr="00622F45">
        <w:rPr>
          <w:rFonts w:eastAsia="MS Mincho"/>
        </w:rPr>
        <w:fldChar w:fldCharType="end"/>
      </w:r>
      <w:bookmarkEnd w:id="177"/>
      <w:r w:rsidRPr="00622F45">
        <w:rPr>
          <w:rFonts w:eastAsia="MS Mincho"/>
        </w:rPr>
        <w:t>. Stream metabolism sites in the Lower Lachlan (top left to bottom: LB, WAL, WB</w:t>
      </w:r>
      <w:bookmarkEnd w:id="178"/>
      <w:r w:rsidRPr="00622F45">
        <w:rPr>
          <w:rFonts w:eastAsia="MS Mincho"/>
        </w:rPr>
        <w:t xml:space="preserve"> (CC not shown but similar to LB).</w:t>
      </w:r>
      <w:bookmarkEnd w:id="179"/>
    </w:p>
    <w:p w14:paraId="64A49A0D" w14:textId="77777777" w:rsidR="004F03DB" w:rsidRPr="004F03DB" w:rsidRDefault="004F03DB" w:rsidP="004F03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08"/>
        <w:gridCol w:w="4508"/>
      </w:tblGrid>
      <w:tr w:rsidR="00CF483E" w14:paraId="0593F3BA" w14:textId="77777777" w:rsidTr="0046151C">
        <w:tc>
          <w:tcPr>
            <w:tcW w:w="4508" w:type="dxa"/>
          </w:tcPr>
          <w:p w14:paraId="37A6F956" w14:textId="77777777" w:rsidR="00CF483E" w:rsidRDefault="00CF483E" w:rsidP="0046151C">
            <w:r>
              <w:rPr>
                <w:noProof/>
                <w:lang w:eastAsia="en-AU"/>
              </w:rPr>
              <w:drawing>
                <wp:inline distT="0" distB="0" distL="0" distR="0" wp14:anchorId="1E5ABD1B" wp14:editId="72038473">
                  <wp:extent cx="2692800" cy="201600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692800" cy="2016000"/>
                          </a:xfrm>
                          <a:prstGeom prst="rect">
                            <a:avLst/>
                          </a:prstGeom>
                          <a:noFill/>
                          <a:ln>
                            <a:noFill/>
                          </a:ln>
                        </pic:spPr>
                      </pic:pic>
                    </a:graphicData>
                  </a:graphic>
                </wp:inline>
              </w:drawing>
            </w:r>
          </w:p>
        </w:tc>
        <w:tc>
          <w:tcPr>
            <w:tcW w:w="4508" w:type="dxa"/>
          </w:tcPr>
          <w:p w14:paraId="1BB839F4" w14:textId="77777777" w:rsidR="00CF483E" w:rsidRDefault="00CF483E" w:rsidP="0046151C">
            <w:r>
              <w:rPr>
                <w:noProof/>
                <w:lang w:eastAsia="en-AU"/>
              </w:rPr>
              <w:drawing>
                <wp:inline distT="0" distB="0" distL="0" distR="0" wp14:anchorId="44FAAB69" wp14:editId="0BFD3587">
                  <wp:extent cx="2689200" cy="201600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689200" cy="2016000"/>
                          </a:xfrm>
                          <a:prstGeom prst="rect">
                            <a:avLst/>
                          </a:prstGeom>
                          <a:noFill/>
                          <a:ln>
                            <a:noFill/>
                          </a:ln>
                        </pic:spPr>
                      </pic:pic>
                    </a:graphicData>
                  </a:graphic>
                </wp:inline>
              </w:drawing>
            </w:r>
          </w:p>
        </w:tc>
      </w:tr>
      <w:tr w:rsidR="00CF483E" w14:paraId="5AF3FA96" w14:textId="77777777" w:rsidTr="0046151C">
        <w:tc>
          <w:tcPr>
            <w:tcW w:w="4508" w:type="dxa"/>
          </w:tcPr>
          <w:p w14:paraId="17F9CEE2" w14:textId="77777777" w:rsidR="00CF483E" w:rsidRDefault="00CF483E" w:rsidP="0046151C">
            <w:r>
              <w:rPr>
                <w:noProof/>
                <w:lang w:eastAsia="en-AU"/>
              </w:rPr>
              <mc:AlternateContent>
                <mc:Choice Requires="wps">
                  <w:drawing>
                    <wp:anchor distT="0" distB="0" distL="114300" distR="114300" simplePos="0" relativeHeight="251649024" behindDoc="0" locked="0" layoutInCell="1" allowOverlap="1" wp14:anchorId="032EDD4A" wp14:editId="0BFB385D">
                      <wp:simplePos x="0" y="0"/>
                      <wp:positionH relativeFrom="column">
                        <wp:posOffset>4138295</wp:posOffset>
                      </wp:positionH>
                      <wp:positionV relativeFrom="paragraph">
                        <wp:posOffset>549275</wp:posOffset>
                      </wp:positionV>
                      <wp:extent cx="228600" cy="371475"/>
                      <wp:effectExtent l="19050" t="0" r="38100" b="47625"/>
                      <wp:wrapNone/>
                      <wp:docPr id="64" name="Arrow: Down 64"/>
                      <wp:cNvGraphicFramePr/>
                      <a:graphic xmlns:a="http://schemas.openxmlformats.org/drawingml/2006/main">
                        <a:graphicData uri="http://schemas.microsoft.com/office/word/2010/wordprocessingShape">
                          <wps:wsp>
                            <wps:cNvSpPr/>
                            <wps:spPr>
                              <a:xfrm>
                                <a:off x="0" y="0"/>
                                <a:ext cx="228600"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BD72FA" id="Arrow: Down 64" o:spid="_x0000_s1026" type="#_x0000_t67" style="position:absolute;margin-left:325.85pt;margin-top:43.25pt;width:18pt;height:29.2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" adj="14954" fillcolor="#c0504d [3205]" strokecolor="#622423 [1605]" strokeweight="2pt"/>
                  </w:pict>
                </mc:Fallback>
              </mc:AlternateContent>
            </w:r>
            <w:r>
              <w:rPr>
                <w:noProof/>
                <w:lang w:eastAsia="en-AU"/>
              </w:rPr>
              <mc:AlternateContent>
                <mc:Choice Requires="wps">
                  <w:drawing>
                    <wp:anchor distT="0" distB="0" distL="114300" distR="114300" simplePos="0" relativeHeight="251648000" behindDoc="0" locked="0" layoutInCell="1" allowOverlap="1" wp14:anchorId="75735052" wp14:editId="3FAE03BA">
                      <wp:simplePos x="0" y="0"/>
                      <wp:positionH relativeFrom="column">
                        <wp:posOffset>3757930</wp:posOffset>
                      </wp:positionH>
                      <wp:positionV relativeFrom="paragraph">
                        <wp:posOffset>-1257935</wp:posOffset>
                      </wp:positionV>
                      <wp:extent cx="228600" cy="371475"/>
                      <wp:effectExtent l="19050" t="0" r="38100" b="47625"/>
                      <wp:wrapNone/>
                      <wp:docPr id="63" name="Arrow: Down 63"/>
                      <wp:cNvGraphicFramePr/>
                      <a:graphic xmlns:a="http://schemas.openxmlformats.org/drawingml/2006/main">
                        <a:graphicData uri="http://schemas.microsoft.com/office/word/2010/wordprocessingShape">
                          <wps:wsp>
                            <wps:cNvSpPr/>
                            <wps:spPr>
                              <a:xfrm>
                                <a:off x="0" y="0"/>
                                <a:ext cx="228600"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20A8FA" id="Arrow: Down 63" o:spid="_x0000_s1026" type="#_x0000_t67" style="position:absolute;margin-left:295.9pt;margin-top:-99.05pt;width:18pt;height:29.2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" adj="14954" fillcolor="#c0504d [3205]" strokecolor="#622423 [1605]" strokeweight="2pt"/>
                  </w:pict>
                </mc:Fallback>
              </mc:AlternateContent>
            </w:r>
            <w:r>
              <w:rPr>
                <w:noProof/>
                <w:lang w:eastAsia="en-AU"/>
              </w:rPr>
              <mc:AlternateContent>
                <mc:Choice Requires="wps">
                  <w:drawing>
                    <wp:anchor distT="0" distB="0" distL="114300" distR="114300" simplePos="0" relativeHeight="251646976" behindDoc="0" locked="0" layoutInCell="1" allowOverlap="1" wp14:anchorId="3A657E8A" wp14:editId="11D1DC67">
                      <wp:simplePos x="0" y="0"/>
                      <wp:positionH relativeFrom="column">
                        <wp:posOffset>1585025</wp:posOffset>
                      </wp:positionH>
                      <wp:positionV relativeFrom="paragraph">
                        <wp:posOffset>622706</wp:posOffset>
                      </wp:positionV>
                      <wp:extent cx="228600" cy="371475"/>
                      <wp:effectExtent l="19050" t="0" r="38100" b="47625"/>
                      <wp:wrapNone/>
                      <wp:docPr id="65" name="Arrow: Down 65"/>
                      <wp:cNvGraphicFramePr/>
                      <a:graphic xmlns:a="http://schemas.openxmlformats.org/drawingml/2006/main">
                        <a:graphicData uri="http://schemas.microsoft.com/office/word/2010/wordprocessingShape">
                          <wps:wsp>
                            <wps:cNvSpPr/>
                            <wps:spPr>
                              <a:xfrm>
                                <a:off x="0" y="0"/>
                                <a:ext cx="228600" cy="37147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8CFC67" id="Arrow: Down 65" o:spid="_x0000_s1026" type="#_x0000_t67" style="position:absolute;margin-left:124.8pt;margin-top:49.05pt;width:18pt;height:29.2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" adj="14954" fillcolor="#c0504d [3205]" strokecolor="#622423 [1605]" strokeweight="2pt"/>
                  </w:pict>
                </mc:Fallback>
              </mc:AlternateContent>
            </w:r>
            <w:r>
              <w:rPr>
                <w:noProof/>
                <w:lang w:eastAsia="en-AU"/>
              </w:rPr>
              <w:drawing>
                <wp:inline distT="0" distB="0" distL="0" distR="0" wp14:anchorId="3AC9B380" wp14:editId="3B010920">
                  <wp:extent cx="2692800" cy="201600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692800" cy="2016000"/>
                          </a:xfrm>
                          <a:prstGeom prst="rect">
                            <a:avLst/>
                          </a:prstGeom>
                          <a:noFill/>
                          <a:ln>
                            <a:noFill/>
                          </a:ln>
                        </pic:spPr>
                      </pic:pic>
                    </a:graphicData>
                  </a:graphic>
                </wp:inline>
              </w:drawing>
            </w:r>
          </w:p>
        </w:tc>
        <w:tc>
          <w:tcPr>
            <w:tcW w:w="4508" w:type="dxa"/>
          </w:tcPr>
          <w:p w14:paraId="6582834C" w14:textId="77777777" w:rsidR="00CF483E" w:rsidRDefault="00CF483E" w:rsidP="0046151C">
            <w:r>
              <w:rPr>
                <w:noProof/>
                <w:lang w:eastAsia="en-AU"/>
              </w:rPr>
              <w:drawing>
                <wp:inline distT="0" distB="0" distL="0" distR="0" wp14:anchorId="536EC56D" wp14:editId="31C7E2D3">
                  <wp:extent cx="2692800" cy="201600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692800" cy="2016000"/>
                          </a:xfrm>
                          <a:prstGeom prst="rect">
                            <a:avLst/>
                          </a:prstGeom>
                          <a:noFill/>
                          <a:ln>
                            <a:noFill/>
                          </a:ln>
                        </pic:spPr>
                      </pic:pic>
                    </a:graphicData>
                  </a:graphic>
                </wp:inline>
              </w:drawing>
            </w:r>
          </w:p>
        </w:tc>
      </w:tr>
    </w:tbl>
    <w:p w14:paraId="5CE12F9F" w14:textId="244D9193" w:rsidR="00CF483E" w:rsidRDefault="00CF483E" w:rsidP="00CF483E">
      <w:pPr>
        <w:pStyle w:val="Caption"/>
        <w:rPr>
          <w:noProof/>
        </w:rPr>
      </w:pPr>
      <w:bookmarkStart w:id="180" w:name="_Ref17987166"/>
      <w:bookmarkStart w:id="181" w:name="_Toc18672211"/>
      <w:bookmarkStart w:id="182" w:name="_Toc31985585"/>
      <w:r>
        <w:t xml:space="preserve">Figure </w:t>
      </w:r>
      <w:r w:rsidRPr="3734553D">
        <w:fldChar w:fldCharType="begin"/>
      </w:r>
      <w:r>
        <w:instrText xml:space="preserve"> SEQ Figure \* ARABIC </w:instrText>
      </w:r>
      <w:r w:rsidRPr="3734553D">
        <w:fldChar w:fldCharType="separate"/>
      </w:r>
      <w:r w:rsidR="007F7607">
        <w:rPr>
          <w:noProof/>
        </w:rPr>
        <w:t>21</w:t>
      </w:r>
      <w:r w:rsidRPr="3734553D">
        <w:fldChar w:fldCharType="end"/>
      </w:r>
      <w:bookmarkEnd w:id="180"/>
      <w:r>
        <w:t>. Stream metabolism sites in the Mid Lachlan (top left to bottom right: MG, TH, EB, KP)</w:t>
      </w:r>
      <w:bookmarkEnd w:id="181"/>
      <w:bookmarkEnd w:id="182"/>
    </w:p>
    <w:p w14:paraId="45ECCC84" w14:textId="77777777" w:rsidR="00CF483E" w:rsidRPr="00131F12" w:rsidRDefault="00CF483E" w:rsidP="00CF483E">
      <w:r w:rsidRPr="00131F12">
        <w:t>Dissolved oxygen (DO) and water temperature were logged at 10-min intervals using D-Opto dissolved oxygen sensors (Zebra-Tech, Nelson, New Zealand) and MiniDOT sensors (Precision Measurement Engineering Inc., Vista, USA). Photosynthetic active radiation (PAR) was measured in an adjacent unshaded location at 10-min intervals using photosynthetic irradiance loggers (Odyssey, Christchurch, New Zealand). Barometric pressure was logged with a Silva Atmospheric Data Centre Pro (Silva, Sollentuna, Sweden).</w:t>
      </w:r>
    </w:p>
    <w:p w14:paraId="286EB10E" w14:textId="7FC0EA5D" w:rsidR="00CF483E" w:rsidRDefault="00CF483E" w:rsidP="00CF483E">
      <w:r w:rsidRPr="00131F12">
        <w:t>Curve fitting was applied using the BASE model</w:t>
      </w:r>
      <w:r>
        <w:t xml:space="preserve"> (BAyesian Single-station Estimation)</w:t>
      </w:r>
      <w:r w:rsidRPr="00131F12">
        <w:t xml:space="preserve"> </w:t>
      </w:r>
      <w:r w:rsidRPr="00D40CA6">
        <w:fldChar w:fldCharType="begin"/>
      </w:r>
      <w:r>
        <w:instrText xml:space="preserve"> ADDIN EN.CITE &lt;EndNote&gt;&lt;Cite&gt;&lt;Author&gt;Grace&lt;/Author&gt;&lt;Year&gt;2015&lt;/Year&gt;&lt;RecNum&gt;126&lt;/RecNum&gt;&lt;DisplayText&gt;(Grace et al. 2015)&lt;/DisplayText&gt;&lt;record&gt;&lt;rec-number&gt;126&lt;/rec-number&gt;&lt;foreign-keys&gt;&lt;key app="EN" db-id="0a0zttz0gewd9befav559p5osxw5sftwfpdv" timestamp="1472615072"&gt;126&lt;/key&gt;&lt;/foreign-keys&gt;&lt;ref-type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rsidRPr="00D40CA6">
        <w:fldChar w:fldCharType="separate"/>
      </w:r>
      <w:r w:rsidRPr="00D40CA6">
        <w:rPr>
          <w:noProof/>
        </w:rPr>
        <w:t>(Grace et al. 2015)</w:t>
      </w:r>
      <w:r w:rsidRPr="00D40CA6">
        <w:fldChar w:fldCharType="end"/>
      </w:r>
      <w:r w:rsidRPr="00D40CA6">
        <w:t xml:space="preserve"> to estimate primary production and respiration on a daily basis. </w:t>
      </w:r>
      <w:r w:rsidRPr="00D40CA6">
        <w:rPr>
          <w:lang w:val="en-GB"/>
        </w:rPr>
        <w:t>Estimates derived from curve fits with R</w:t>
      </w:r>
      <w:r w:rsidRPr="00D40CA6">
        <w:rPr>
          <w:vertAlign w:val="superscript"/>
          <w:lang w:val="en-GB"/>
        </w:rPr>
        <w:t>2</w:t>
      </w:r>
      <w:r w:rsidRPr="00D40CA6">
        <w:rPr>
          <w:lang w:val="en-GB"/>
        </w:rPr>
        <w:t xml:space="preserve"> &lt; 0.90 and/or CV for GPP of &gt; 50% were discarded. </w:t>
      </w:r>
      <w:r w:rsidRPr="00D40CA6">
        <w:t xml:space="preserve">The version of the model used incorporated a series of updates which have been applied across the </w:t>
      </w:r>
      <w:r w:rsidR="00E05711">
        <w:t>LTIM Project</w:t>
      </w:r>
      <w:r w:rsidRPr="00D40CA6">
        <w:t xml:space="preserve"> and was current from the 18</w:t>
      </w:r>
      <w:r w:rsidRPr="00D40CA6">
        <w:rPr>
          <w:vertAlign w:val="superscript"/>
        </w:rPr>
        <w:t>th</w:t>
      </w:r>
      <w:r w:rsidRPr="00D40CA6">
        <w:t xml:space="preserve"> of June 2018 (V2.3.3). </w:t>
      </w:r>
    </w:p>
    <w:p w14:paraId="7E467493" w14:textId="77777777" w:rsidR="00622F45" w:rsidRDefault="00622F45">
      <w:pPr>
        <w:spacing w:before="0" w:after="0"/>
      </w:pPr>
      <w:bookmarkStart w:id="183" w:name="_Toc527986372"/>
      <w:bookmarkStart w:id="184" w:name="_Toc4574779"/>
      <w:r>
        <w:rPr>
          <w:b/>
          <w:bCs/>
          <w:caps/>
        </w:rPr>
        <w:br w:type="page"/>
      </w:r>
    </w:p>
    <w:p w14:paraId="398B3C67" w14:textId="1DB33008" w:rsidR="00CF483E" w:rsidRDefault="00CF483E" w:rsidP="00CF483E">
      <w:pPr>
        <w:pStyle w:val="Heading2"/>
      </w:pPr>
      <w:bookmarkStart w:id="185" w:name="_Toc31985462"/>
      <w:r w:rsidRPr="00D40CA6">
        <w:t>Results</w:t>
      </w:r>
      <w:bookmarkEnd w:id="183"/>
      <w:bookmarkEnd w:id="184"/>
      <w:bookmarkEnd w:id="185"/>
    </w:p>
    <w:p w14:paraId="4A801B26" w14:textId="3C2F37C7" w:rsidR="00622F45" w:rsidRPr="00622F45" w:rsidRDefault="00622F45" w:rsidP="00622F45">
      <w:pPr>
        <w:rPr>
          <w:lang w:val="en-US" w:eastAsia="x-none"/>
        </w:rPr>
      </w:pPr>
      <w:r>
        <w:rPr>
          <w:lang w:val="en-US" w:eastAsia="x-none"/>
        </w:rPr>
        <w:t xml:space="preserve">The results are presented firstly for the Lower Lachlan River, then the Mid Lachlan. The Lower Lachlan River data is a continuation of the dataset generated under the </w:t>
      </w:r>
      <w:r w:rsidR="00E05711">
        <w:rPr>
          <w:lang w:val="en-US" w:eastAsia="x-none"/>
        </w:rPr>
        <w:t>LTIM Project</w:t>
      </w:r>
      <w:r>
        <w:rPr>
          <w:lang w:val="en-US" w:eastAsia="x-none"/>
        </w:rPr>
        <w:t xml:space="preserve"> whereas the Mid Lachlan River data are a single year of data generated captured as short term intervention monitoring.</w:t>
      </w:r>
    </w:p>
    <w:p w14:paraId="2D991ED9" w14:textId="431401B1" w:rsidR="00CF483E" w:rsidRPr="00D40CA6" w:rsidRDefault="00CF483E" w:rsidP="00CF483E">
      <w:pPr>
        <w:pStyle w:val="Heading3"/>
        <w:rPr>
          <w:lang w:val="en-AU"/>
        </w:rPr>
      </w:pPr>
      <w:bookmarkStart w:id="186" w:name="_Toc527986374"/>
      <w:bookmarkStart w:id="187" w:name="_Toc4574781"/>
      <w:bookmarkStart w:id="188" w:name="_Toc31985463"/>
      <w:r w:rsidRPr="00D40CA6">
        <w:t xml:space="preserve">Water </w:t>
      </w:r>
      <w:bookmarkEnd w:id="186"/>
      <w:bookmarkEnd w:id="187"/>
      <w:r w:rsidR="004E69F3" w:rsidRPr="0061232D">
        <w:t>quality</w:t>
      </w:r>
      <w:r w:rsidR="004E69F3" w:rsidRPr="0061232D">
        <w:rPr>
          <w:lang w:val="en-AU"/>
        </w:rPr>
        <w:t xml:space="preserve"> </w:t>
      </w:r>
      <w:r w:rsidR="004E69F3">
        <w:rPr>
          <w:lang w:val="en-AU"/>
        </w:rPr>
        <w:t>–</w:t>
      </w:r>
      <w:r w:rsidR="004E69F3" w:rsidRPr="0061232D">
        <w:rPr>
          <w:lang w:val="en-AU"/>
        </w:rPr>
        <w:t xml:space="preserve"> </w:t>
      </w:r>
      <w:r>
        <w:rPr>
          <w:lang w:val="en-AU"/>
        </w:rPr>
        <w:t>2018-19</w:t>
      </w:r>
      <w:bookmarkEnd w:id="188"/>
    </w:p>
    <w:p w14:paraId="66414618" w14:textId="77777777" w:rsidR="00CF483E" w:rsidRDefault="00CF483E" w:rsidP="00CF483E">
      <w:pPr>
        <w:pStyle w:val="Heading4"/>
      </w:pPr>
      <w:r>
        <w:rPr>
          <w:lang w:val="en-AU"/>
        </w:rPr>
        <w:t xml:space="preserve">Lower </w:t>
      </w:r>
      <w:r>
        <w:t>Lachlan River (</w:t>
      </w:r>
      <w:r>
        <w:rPr>
          <w:lang w:val="en-AU"/>
        </w:rPr>
        <w:t>Long</w:t>
      </w:r>
      <w:r>
        <w:t xml:space="preserve"> Term Intervention Monitoring</w:t>
      </w:r>
      <w:r>
        <w:rPr>
          <w:lang w:val="en-AU"/>
        </w:rPr>
        <w:t>)</w:t>
      </w:r>
    </w:p>
    <w:p w14:paraId="712AE9B2" w14:textId="659118B3" w:rsidR="00CF483E" w:rsidRDefault="00CF483E" w:rsidP="00CF483E">
      <w:r w:rsidRPr="00D40CA6">
        <w:t xml:space="preserve">Water temperature showed a typical seasonal pattern, </w:t>
      </w:r>
      <w:r w:rsidRPr="00443270">
        <w:t>ranging from 7.8 degrees Celsius in winter, to 31 degrees Celsius in summer, with no clear association with</w:t>
      </w:r>
      <w:r w:rsidRPr="00D40CA6">
        <w:t xml:space="preserve"> flow events (</w:t>
      </w:r>
      <w:r>
        <w:fldChar w:fldCharType="begin"/>
      </w:r>
      <w:r>
        <w:instrText xml:space="preserve"> REF _Ref19280310 \h </w:instrText>
      </w:r>
      <w:r>
        <w:fldChar w:fldCharType="separate"/>
      </w:r>
      <w:r w:rsidR="007F7607" w:rsidRPr="00D14712">
        <w:t xml:space="preserve">Figure </w:t>
      </w:r>
      <w:r w:rsidR="007F7607">
        <w:rPr>
          <w:noProof/>
        </w:rPr>
        <w:t>22</w:t>
      </w:r>
      <w:r>
        <w:fldChar w:fldCharType="end"/>
      </w:r>
      <w:r>
        <w:t xml:space="preserve">, </w:t>
      </w:r>
      <w:r>
        <w:fldChar w:fldCharType="begin"/>
      </w:r>
      <w:r>
        <w:instrText xml:space="preserve"> REF _Ref20403146 \h </w:instrText>
      </w:r>
      <w:r>
        <w:fldChar w:fldCharType="separate"/>
      </w:r>
      <w:r w:rsidR="007F7607" w:rsidRPr="003358DE">
        <w:t xml:space="preserve">Figure </w:t>
      </w:r>
      <w:r w:rsidR="007F7607">
        <w:rPr>
          <w:noProof/>
        </w:rPr>
        <w:t>23</w:t>
      </w:r>
      <w:r>
        <w:fldChar w:fldCharType="end"/>
      </w:r>
      <w:r>
        <w:t>). The same patterns were evident in the dissolved oxygen (DO) data (</w:t>
      </w:r>
      <w:r>
        <w:fldChar w:fldCharType="begin"/>
      </w:r>
      <w:r>
        <w:instrText xml:space="preserve"> REF _Ref19280310 \h </w:instrText>
      </w:r>
      <w:r>
        <w:fldChar w:fldCharType="separate"/>
      </w:r>
      <w:r w:rsidR="007F7607" w:rsidRPr="00D14712">
        <w:t xml:space="preserve">Figure </w:t>
      </w:r>
      <w:r w:rsidR="007F7607">
        <w:rPr>
          <w:noProof/>
        </w:rPr>
        <w:t>22</w:t>
      </w:r>
      <w:r>
        <w:fldChar w:fldCharType="end"/>
      </w:r>
      <w:r>
        <w:t xml:space="preserve">) with lower values in summer. There was also a very low DO period (down to 2.6 mg/L) at Wallanthery during October 2018, likely as a consequence of a rapid drop in flow in September from 1,000 to 100 ML/ day within 10 days (see </w:t>
      </w:r>
      <w:r>
        <w:fldChar w:fldCharType="begin"/>
      </w:r>
      <w:r>
        <w:instrText xml:space="preserve"> REF _Ref19528317 \h </w:instrText>
      </w:r>
      <w:r>
        <w:fldChar w:fldCharType="separate"/>
      </w:r>
      <w:r w:rsidR="007F7607" w:rsidRPr="00953089">
        <w:t xml:space="preserve">Figure </w:t>
      </w:r>
      <w:r w:rsidR="007F7607">
        <w:rPr>
          <w:noProof/>
        </w:rPr>
        <w:t>35</w:t>
      </w:r>
      <w:r>
        <w:fldChar w:fldCharType="end"/>
      </w:r>
      <w:r>
        <w:t xml:space="preserve"> for discharge from Willandra gauging station), and an associated increase in water temperature and concentrations of dissolved organic carbon.</w:t>
      </w:r>
    </w:p>
    <w:p w14:paraId="16544FD9" w14:textId="7F06BDAE" w:rsidR="00CF483E" w:rsidRPr="00D40CA6" w:rsidRDefault="00CF483E" w:rsidP="00CF483E">
      <w:r w:rsidRPr="00D40CA6">
        <w:t xml:space="preserve">There was no clear association between pH and environmental </w:t>
      </w:r>
      <w:r w:rsidR="00622F45">
        <w:t>watering actions</w:t>
      </w:r>
      <w:r w:rsidRPr="00D40CA6">
        <w:t xml:space="preserve">, but some evidence of reductions in turbidity and potentially salinity following the </w:t>
      </w:r>
      <w:r>
        <w:t>small October fresh delivered from Lake Brewster as a component of Watering Action 1 (</w:t>
      </w:r>
      <w:r>
        <w:fldChar w:fldCharType="begin"/>
      </w:r>
      <w:r>
        <w:instrText xml:space="preserve"> REF _Ref20403146 \h </w:instrText>
      </w:r>
      <w:r>
        <w:fldChar w:fldCharType="separate"/>
      </w:r>
      <w:r w:rsidR="007F7607" w:rsidRPr="003358DE">
        <w:t xml:space="preserve">Figure </w:t>
      </w:r>
      <w:r w:rsidR="007F7607">
        <w:rPr>
          <w:noProof/>
        </w:rPr>
        <w:t>23</w:t>
      </w:r>
      <w:r>
        <w:fldChar w:fldCharType="end"/>
      </w:r>
      <w:r>
        <w:t>). This may be</w:t>
      </w:r>
      <w:r w:rsidRPr="00D40CA6">
        <w:t xml:space="preserve"> indicative of initial dilution of ions and fine sediment associated with the flow event.</w:t>
      </w:r>
      <w:r>
        <w:t xml:space="preserve"> </w:t>
      </w:r>
    </w:p>
    <w:p w14:paraId="3B87E6D0" w14:textId="15808645" w:rsidR="00CF483E" w:rsidRDefault="00CF483E" w:rsidP="00CF483E">
      <w:r w:rsidRPr="00D40CA6">
        <w:t>Results for major nutrients</w:t>
      </w:r>
      <w:r>
        <w:t xml:space="preserve"> (</w:t>
      </w:r>
      <w:r>
        <w:fldChar w:fldCharType="begin"/>
      </w:r>
      <w:r>
        <w:instrText xml:space="preserve"> REF _Ref20403248 \h </w:instrText>
      </w:r>
      <w:r>
        <w:fldChar w:fldCharType="separate"/>
      </w:r>
      <w:r w:rsidR="007F7607" w:rsidRPr="003358DE">
        <w:t xml:space="preserve">Figure </w:t>
      </w:r>
      <w:r w:rsidR="007F7607">
        <w:rPr>
          <w:noProof/>
        </w:rPr>
        <w:t>24</w:t>
      </w:r>
      <w:r>
        <w:fldChar w:fldCharType="end"/>
      </w:r>
      <w:r>
        <w:t>)</w:t>
      </w:r>
      <w:r w:rsidRPr="00D40CA6">
        <w:t xml:space="preserve"> were consistent with those for the water quality parameters above. Total nitrogen was relatively consistent across sampling events, with low levels of nitrate/nitrite.</w:t>
      </w:r>
      <w:r>
        <w:t xml:space="preserve"> </w:t>
      </w:r>
      <w:r w:rsidRPr="00D40CA6">
        <w:t>These v</w:t>
      </w:r>
      <w:r>
        <w:t>alues showed no clear association</w:t>
      </w:r>
      <w:r w:rsidRPr="00D40CA6">
        <w:t xml:space="preserve"> with the environmental watering events</w:t>
      </w:r>
      <w:r>
        <w:t>, although there is some evidence for a slight increase after the October watering events (second stage of Watering Action 1, and Watering Action 2). Patterns for total and reactive phosphorus were broadly similar although values were more variable. There is some evidence for increased total phosphorus and reactive phosphorus after the delivery of Watering Action 2, leading into the pulse generated by irrigation delivery flows in late December. This is consistent with mobilisation of organic materials. Ammonium values were highly variable and showed no relationship with environmental flow delivery. For Watering Actions 4 no statements can be made, as no samples had been taken.</w:t>
      </w:r>
    </w:p>
    <w:p w14:paraId="67AE8F21" w14:textId="4C888BA8" w:rsidR="00CF483E" w:rsidRDefault="00CF483E" w:rsidP="00CF483E">
      <w:r>
        <w:t>Data for key basal resources, dissolved organic carbon (DOC) and chlorophyll (a measure of algal biomass) were also relatively sparse (</w:t>
      </w:r>
      <w:r>
        <w:fldChar w:fldCharType="begin"/>
      </w:r>
      <w:r>
        <w:instrText xml:space="preserve"> REF _Ref20403248 \h </w:instrText>
      </w:r>
      <w:r>
        <w:fldChar w:fldCharType="separate"/>
      </w:r>
      <w:r w:rsidR="007F7607" w:rsidRPr="003358DE">
        <w:t xml:space="preserve">Figure </w:t>
      </w:r>
      <w:r w:rsidR="007F7607">
        <w:rPr>
          <w:noProof/>
        </w:rPr>
        <w:t>24</w:t>
      </w:r>
      <w:r>
        <w:fldChar w:fldCharType="end"/>
      </w:r>
      <w:r>
        <w:t>), making determining clear associations with environmental water delivery difficult. However, there is evidence of higher DOC and chlorophyll values during delivery of environmental flows in October and December; notably high DOC values in late September, following delivery of Watering Action 1, and high chlorophyll values in late November during Watering Action 2. There was very high variability in measurements on these occasions, suggestive of patchiness of these resources.</w:t>
      </w:r>
    </w:p>
    <w:p w14:paraId="2EB5CF76" w14:textId="77777777" w:rsidR="00CF483E" w:rsidRDefault="00CF483E" w:rsidP="00B277DA">
      <w:r>
        <w:rPr>
          <w:noProof/>
          <w:lang w:eastAsia="en-AU"/>
        </w:rPr>
        <w:drawing>
          <wp:inline distT="0" distB="0" distL="0" distR="0" wp14:anchorId="0F5A6C02" wp14:editId="5C557618">
            <wp:extent cx="5400000" cy="28620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5400000" cy="2862000"/>
                    </a:xfrm>
                    <a:prstGeom prst="rect">
                      <a:avLst/>
                    </a:prstGeom>
                    <a:noFill/>
                    <a:ln>
                      <a:noFill/>
                    </a:ln>
                    <a:extLst>
                      <a:ext uri="{53640926-AAD7-44D8-BBD7-CCE9431645EC}">
                        <a14:shadowObscured xmlns:a14="http://schemas.microsoft.com/office/drawing/2010/main"/>
                      </a:ext>
                    </a:extLst>
                  </pic:spPr>
                </pic:pic>
              </a:graphicData>
            </a:graphic>
          </wp:inline>
        </w:drawing>
      </w:r>
    </w:p>
    <w:p w14:paraId="0FE4BFFB" w14:textId="6EC1B842" w:rsidR="00CF483E" w:rsidRPr="00D14712" w:rsidRDefault="00CF483E" w:rsidP="00CF483E">
      <w:pPr>
        <w:pStyle w:val="Caption"/>
        <w:rPr>
          <w:rFonts w:eastAsia="MS Mincho"/>
        </w:rPr>
      </w:pPr>
      <w:bookmarkStart w:id="189" w:name="_Ref19280310"/>
      <w:bookmarkStart w:id="190" w:name="_Ref20404743"/>
      <w:bookmarkStart w:id="191" w:name="_Toc31985586"/>
      <w:r w:rsidRPr="00D14712">
        <w:t xml:space="preserve">Figure </w:t>
      </w:r>
      <w:r>
        <w:fldChar w:fldCharType="begin"/>
      </w:r>
      <w:r>
        <w:instrText>SEQ Figure \* ARABIC</w:instrText>
      </w:r>
      <w:r>
        <w:fldChar w:fldCharType="separate"/>
      </w:r>
      <w:r w:rsidR="007F7607">
        <w:rPr>
          <w:noProof/>
        </w:rPr>
        <w:t>22</w:t>
      </w:r>
      <w:r>
        <w:fldChar w:fldCharType="end"/>
      </w:r>
      <w:bookmarkEnd w:id="189"/>
      <w:r w:rsidRPr="00D14712">
        <w:t xml:space="preserve">. Water temperature and dissolved oxygen </w:t>
      </w:r>
      <w:r w:rsidRPr="003358DE">
        <w:t>for</w:t>
      </w:r>
      <w:r>
        <w:t xml:space="preserve"> the</w:t>
      </w:r>
      <w:r w:rsidRPr="003358DE">
        <w:t xml:space="preserve"> four Lower Lachlan sites (Cowl Cowl, Lane’s Bridge, Wallanthery and Whealbah) over the sampling period 2018-19</w:t>
      </w:r>
      <w:r w:rsidRPr="00D14712">
        <w:rPr>
          <w:rFonts w:eastAsia="MS Mincho"/>
        </w:rPr>
        <w:t>.</w:t>
      </w:r>
      <w:bookmarkEnd w:id="190"/>
      <w:bookmarkEnd w:id="191"/>
      <w:r w:rsidRPr="00D14712">
        <w:rPr>
          <w:rFonts w:eastAsia="MS Mincho"/>
        </w:rPr>
        <w:br w:type="page"/>
      </w:r>
    </w:p>
    <w:p w14:paraId="55A5B90E" w14:textId="132BA61F" w:rsidR="00CF483E" w:rsidRDefault="00B92616" w:rsidP="00CF483E">
      <w:r>
        <w:rPr>
          <w:noProof/>
          <w:lang w:eastAsia="en-AU"/>
        </w:rPr>
        <mc:AlternateContent>
          <mc:Choice Requires="wpg">
            <w:drawing>
              <wp:anchor distT="0" distB="0" distL="114300" distR="114300" simplePos="0" relativeHeight="251660288" behindDoc="0" locked="0" layoutInCell="1" allowOverlap="1" wp14:anchorId="0C90A458" wp14:editId="55A04E75">
                <wp:simplePos x="0" y="0"/>
                <wp:positionH relativeFrom="column">
                  <wp:posOffset>1466850</wp:posOffset>
                </wp:positionH>
                <wp:positionV relativeFrom="paragraph">
                  <wp:posOffset>113030</wp:posOffset>
                </wp:positionV>
                <wp:extent cx="4045585" cy="6912610"/>
                <wp:effectExtent l="0" t="0" r="0" b="2540"/>
                <wp:wrapNone/>
                <wp:docPr id="81" name="Group 81"/>
                <wp:cNvGraphicFramePr/>
                <a:graphic xmlns:a="http://schemas.openxmlformats.org/drawingml/2006/main">
                  <a:graphicData uri="http://schemas.microsoft.com/office/word/2010/wordprocessingGroup">
                    <wpg:wgp>
                      <wpg:cNvGrpSpPr/>
                      <wpg:grpSpPr>
                        <a:xfrm>
                          <a:off x="0" y="0"/>
                          <a:ext cx="4045585" cy="6912610"/>
                          <a:chOff x="0" y="0"/>
                          <a:chExt cx="4045585" cy="6912610"/>
                        </a:xfrm>
                      </wpg:grpSpPr>
                      <wps:wsp>
                        <wps:cNvPr id="120" name="Rectangle 120"/>
                        <wps:cNvSpPr/>
                        <wps:spPr>
                          <a:xfrm>
                            <a:off x="3708400" y="0"/>
                            <a:ext cx="337185" cy="6871335"/>
                          </a:xfrm>
                          <a:prstGeom prst="rect">
                            <a:avLst/>
                          </a:prstGeom>
                          <a:solidFill>
                            <a:srgbClr val="4F81BD">
                              <a:lumMod val="60000"/>
                              <a:lumOff val="40000"/>
                              <a:alpha val="32000"/>
                            </a:srgbClr>
                          </a:solidFill>
                          <a:ln w="25400" cap="flat" cmpd="sng" algn="ctr">
                            <a:noFill/>
                            <a:prstDash val="solid"/>
                          </a:ln>
                          <a:effectLst/>
                        </wps:spPr>
                        <wps:txbx>
                          <w:txbxContent>
                            <w:p w14:paraId="1E1D6BD2"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flipH="1">
                            <a:off x="0" y="6350"/>
                            <a:ext cx="307975" cy="6906260"/>
                          </a:xfrm>
                          <a:prstGeom prst="rect">
                            <a:avLst/>
                          </a:prstGeom>
                          <a:solidFill>
                            <a:srgbClr val="4F81BD">
                              <a:lumMod val="60000"/>
                              <a:lumOff val="40000"/>
                              <a:alpha val="32000"/>
                            </a:srgbClr>
                          </a:solidFill>
                          <a:ln w="25400" cap="flat" cmpd="sng" algn="ctr">
                            <a:noFill/>
                            <a:prstDash val="solid"/>
                          </a:ln>
                          <a:effectLst/>
                        </wps:spPr>
                        <wps:txbx>
                          <w:txbxContent>
                            <w:p w14:paraId="69BE08F7"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539750" y="25400"/>
                            <a:ext cx="158750" cy="6859270"/>
                          </a:xfrm>
                          <a:prstGeom prst="rect">
                            <a:avLst/>
                          </a:prstGeom>
                          <a:solidFill>
                            <a:srgbClr val="4F81BD">
                              <a:lumMod val="60000"/>
                              <a:lumOff val="40000"/>
                              <a:alpha val="32000"/>
                            </a:srgbClr>
                          </a:solidFill>
                          <a:ln w="25400" cap="flat" cmpd="sng" algn="ctr">
                            <a:noFill/>
                            <a:prstDash val="solid"/>
                          </a:ln>
                          <a:effectLst/>
                        </wps:spPr>
                        <wps:txbx>
                          <w:txbxContent>
                            <w:p w14:paraId="3A6AD5FB" w14:textId="77777777" w:rsidR="007F7607" w:rsidRDefault="007F7607" w:rsidP="00CF483E"/>
                            <w:p w14:paraId="2F9FC764"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774700" y="12700"/>
                            <a:ext cx="215900" cy="6869430"/>
                          </a:xfrm>
                          <a:prstGeom prst="rect">
                            <a:avLst/>
                          </a:prstGeom>
                          <a:solidFill>
                            <a:srgbClr val="4F81BD">
                              <a:lumMod val="60000"/>
                              <a:lumOff val="40000"/>
                              <a:alpha val="32000"/>
                            </a:srgbClr>
                          </a:solidFill>
                          <a:ln w="25400" cap="flat" cmpd="sng" algn="ctr">
                            <a:noFill/>
                            <a:prstDash val="solid"/>
                          </a:ln>
                          <a:effectLst/>
                        </wps:spPr>
                        <wps:txbx>
                          <w:txbxContent>
                            <w:p w14:paraId="1FB10C90" w14:textId="77777777" w:rsidR="007F7607" w:rsidRDefault="007F7607" w:rsidP="00CF483E"/>
                            <w:p w14:paraId="663BC3DB"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90A458" id="Group 81" o:spid="_x0000_s1032" style="position:absolute;margin-left:115.5pt;margin-top:8.9pt;width:318.55pt;height:544.3pt;z-index:251660288" coordsize="40455,69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">
                <v:rect id="Rectangle 120" o:spid="_x0000_s1033" style="position:absolute;left:37084;width:3371;height:68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WkMMA&#10;AADcAAAADwAAAGRycy9kb3ducmV2LnhtbESPQW/CMAyF70j8h8hIXNCajsNWdQSEppXtuMF+gNV4&#10;bdXGqZIMyr/HByRutt7ze583u8kN6kwhdp4NPGc5KOLa244bA7+n6qkAFROyxcEzGbhShN12Pttg&#10;af2Ff+h8TI2SEI4lGmhTGkutY92Sw5j5kVi0Px8cJllDo23Ai4S7Qa/z/EU77FgaWhzpvaW6P/47&#10;Ax+9pbqoPl8rH8aVPRXfIRz2xiwX0/4NVKIpPcz36y8r+GvBl2dkAr2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zWkMMAAADcAAAADwAAAAAAAAAAAAAAAACYAgAAZHJzL2Rv&#10;d25yZXYueG1sUEsFBgAAAAAEAAQA9QAAAIgDAAAAAA==&#10;" fillcolor="#95b3d7" stroked="f" strokeweight="2pt">
                  <v:fill opacity="21074f"/>
                  <v:textbox>
                    <w:txbxContent>
                      <w:p w14:paraId="1E1D6BD2" w14:textId="77777777" w:rsidR="007F7607" w:rsidRDefault="007F7607" w:rsidP="00CF483E"/>
                    </w:txbxContent>
                  </v:textbox>
                </v:rect>
                <v:rect id="Rectangle 121" o:spid="_x0000_s1034" style="position:absolute;top:63;width:3079;height:6906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h1cMA&#10;AADcAAAADwAAAGRycy9kb3ducmV2LnhtbERPyWrDMBC9F/oPYgq5NXKCKcWJbELSQi6FOhvkNljj&#10;BVsjYymx26+vCoXe5vHWWWeT6cSdBtdYVrCYRyCIC6sbrhScju/PryCcR9bYWSYFX+QgSx8f1pho&#10;O3JO94OvRAhhl6CC2vs+kdIVNRl0c9sTB660g0Ef4FBJPeAYwk0nl1H0Ig02HBpq7GlbU9EebkbB&#10;rvyI8v3bOd61l/Hz21FxjbdOqdnTtFmB8DT5f/Gfe6/D/OUCfp8JF8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1h1cMAAADcAAAADwAAAAAAAAAAAAAAAACYAgAAZHJzL2Rv&#10;d25yZXYueG1sUEsFBgAAAAAEAAQA9QAAAIgDAAAAAA==&#10;" fillcolor="#95b3d7" stroked="f" strokeweight="2pt">
                  <v:fill opacity="21074f"/>
                  <v:textbox>
                    <w:txbxContent>
                      <w:p w14:paraId="69BE08F7" w14:textId="77777777" w:rsidR="007F7607" w:rsidRDefault="007F7607" w:rsidP="00CF483E"/>
                    </w:txbxContent>
                  </v:textbox>
                </v:rect>
                <v:rect id="Rectangle 122" o:spid="_x0000_s1035" style="position:absolute;left:5397;top:254;width:1588;height:685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LtfL8A&#10;AADcAAAADwAAAGRycy9kb3ducmV2LnhtbERPzYrCMBC+C/sOYYS9yJrag5auUWSxq0etPsDQjG2x&#10;mZQkq923N4LgbT6+31muB9OJGznfWlYwmyYgiCurW64VnE/FVwbCB2SNnWVS8E8e1quP0RJzbe98&#10;pFsZahFD2OeooAmhz6X0VUMG/dT2xJG7WGcwROhqqR3eY7jpZJokc2mw5djQYE8/DVXX8s8o2F41&#10;VVmxWxTW9RN9yg7O/W6U+hwPm28QgYbwFr/cex3npyk8n4kX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8u18vwAAANwAAAAPAAAAAAAAAAAAAAAAAJgCAABkcnMvZG93bnJl&#10;di54bWxQSwUGAAAAAAQABAD1AAAAhAMAAAAA&#10;" fillcolor="#95b3d7" stroked="f" strokeweight="2pt">
                  <v:fill opacity="21074f"/>
                  <v:textbox>
                    <w:txbxContent>
                      <w:p w14:paraId="3A6AD5FB" w14:textId="77777777" w:rsidR="007F7607" w:rsidRDefault="007F7607" w:rsidP="00CF483E"/>
                      <w:p w14:paraId="2F9FC764" w14:textId="77777777" w:rsidR="007F7607" w:rsidRDefault="007F7607" w:rsidP="00CF483E"/>
                    </w:txbxContent>
                  </v:textbox>
                </v:rect>
                <v:rect id="Rectangle 123" o:spid="_x0000_s1036" style="position:absolute;left:7747;top:127;width:2159;height:686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I58EA&#10;AADcAAAADwAAAGRycy9kb3ducmV2LnhtbERPzWrCQBC+F3yHZQQvpW5qoQ3RTZDSWI+t9gGG7JgE&#10;s7Nhd5vEt3cFwdt8fL+zKSbTiYGcby0reF0mIIgrq1uuFfwdy5cUhA/IGjvLpOBCHop89rTBTNuR&#10;f2k4hFrEEPYZKmhC6DMpfdWQQb+0PXHkTtYZDBG6WmqHYww3nVwlybs02HJsaLCnz4aq8+HfKPg6&#10;a6rS8vujtK5/1sf0x7ndVqnFfNquQQSawkN8d+91nL96g9sz8QKZX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SOfBAAAA3AAAAA8AAAAAAAAAAAAAAAAAmAIAAGRycy9kb3du&#10;cmV2LnhtbFBLBQYAAAAABAAEAPUAAACGAwAAAAA=&#10;" fillcolor="#95b3d7" stroked="f" strokeweight="2pt">
                  <v:fill opacity="21074f"/>
                  <v:textbox>
                    <w:txbxContent>
                      <w:p w14:paraId="1FB10C90" w14:textId="77777777" w:rsidR="007F7607" w:rsidRDefault="007F7607" w:rsidP="00CF483E"/>
                      <w:p w14:paraId="663BC3DB" w14:textId="77777777" w:rsidR="007F7607" w:rsidRDefault="007F7607" w:rsidP="00CF483E"/>
                    </w:txbxContent>
                  </v:textbox>
                </v:rect>
              </v:group>
            </w:pict>
          </mc:Fallback>
        </mc:AlternateContent>
      </w:r>
      <w:r w:rsidR="00CF483E">
        <w:rPr>
          <w:noProof/>
          <w:lang w:eastAsia="en-AU"/>
        </w:rPr>
        <w:drawing>
          <wp:inline distT="0" distB="0" distL="0" distR="0" wp14:anchorId="778F5F4E" wp14:editId="01EED33F">
            <wp:extent cx="6192000" cy="16272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6192000" cy="1627200"/>
                    </a:xfrm>
                    <a:prstGeom prst="rect">
                      <a:avLst/>
                    </a:prstGeom>
                    <a:noFill/>
                    <a:ln>
                      <a:noFill/>
                    </a:ln>
                    <a:extLst>
                      <a:ext uri="{53640926-AAD7-44D8-BBD7-CCE9431645EC}">
                        <a14:shadowObscured xmlns:a14="http://schemas.microsoft.com/office/drawing/2010/main"/>
                      </a:ext>
                    </a:extLst>
                  </pic:spPr>
                </pic:pic>
              </a:graphicData>
            </a:graphic>
          </wp:inline>
        </w:drawing>
      </w:r>
    </w:p>
    <w:p w14:paraId="51B922C1" w14:textId="77777777" w:rsidR="00CF483E" w:rsidRPr="00D51727" w:rsidRDefault="00CF483E" w:rsidP="00CF483E">
      <w:r>
        <w:rPr>
          <w:noProof/>
          <w:lang w:eastAsia="en-AU"/>
        </w:rPr>
        <w:drawing>
          <wp:inline distT="0" distB="0" distL="0" distR="0" wp14:anchorId="34A69823" wp14:editId="422ACB36">
            <wp:extent cx="6192000" cy="20088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6192000" cy="2008800"/>
                    </a:xfrm>
                    <a:prstGeom prst="rect">
                      <a:avLst/>
                    </a:prstGeom>
                    <a:noFill/>
                    <a:ln>
                      <a:noFill/>
                    </a:ln>
                    <a:extLst>
                      <a:ext uri="{53640926-AAD7-44D8-BBD7-CCE9431645EC}">
                        <a14:shadowObscured xmlns:a14="http://schemas.microsoft.com/office/drawing/2010/main"/>
                      </a:ext>
                    </a:extLst>
                  </pic:spPr>
                </pic:pic>
              </a:graphicData>
            </a:graphic>
          </wp:inline>
        </w:drawing>
      </w:r>
    </w:p>
    <w:p w14:paraId="467729B1" w14:textId="77777777" w:rsidR="00CF483E" w:rsidRPr="00D51727" w:rsidRDefault="00CF483E" w:rsidP="00CF483E">
      <w:r>
        <w:rPr>
          <w:noProof/>
          <w:lang w:eastAsia="en-AU"/>
        </w:rPr>
        <w:drawing>
          <wp:inline distT="0" distB="0" distL="0" distR="0" wp14:anchorId="5BCBDA75" wp14:editId="7EC2C0B7">
            <wp:extent cx="6210000" cy="1591200"/>
            <wp:effectExtent l="0" t="0" r="63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6210000" cy="1591200"/>
                    </a:xfrm>
                    <a:prstGeom prst="rect">
                      <a:avLst/>
                    </a:prstGeom>
                    <a:noFill/>
                    <a:ln>
                      <a:noFill/>
                    </a:ln>
                    <a:extLst>
                      <a:ext uri="{53640926-AAD7-44D8-BBD7-CCE9431645EC}">
                        <a14:shadowObscured xmlns:a14="http://schemas.microsoft.com/office/drawing/2010/main"/>
                      </a:ext>
                    </a:extLst>
                  </pic:spPr>
                </pic:pic>
              </a:graphicData>
            </a:graphic>
          </wp:inline>
        </w:drawing>
      </w:r>
    </w:p>
    <w:p w14:paraId="64875480" w14:textId="77777777" w:rsidR="00CF483E" w:rsidRPr="00D51727" w:rsidRDefault="00CF483E" w:rsidP="00CF483E">
      <w:r>
        <w:rPr>
          <w:noProof/>
          <w:lang w:eastAsia="en-AU"/>
        </w:rPr>
        <w:drawing>
          <wp:inline distT="0" distB="0" distL="0" distR="0" wp14:anchorId="3247F347" wp14:editId="1068251E">
            <wp:extent cx="6210000" cy="1954800"/>
            <wp:effectExtent l="0" t="0" r="635"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6210000" cy="1954800"/>
                    </a:xfrm>
                    <a:prstGeom prst="rect">
                      <a:avLst/>
                    </a:prstGeom>
                    <a:noFill/>
                    <a:ln>
                      <a:noFill/>
                    </a:ln>
                    <a:extLst>
                      <a:ext uri="{53640926-AAD7-44D8-BBD7-CCE9431645EC}">
                        <a14:shadowObscured xmlns:a14="http://schemas.microsoft.com/office/drawing/2010/main"/>
                      </a:ext>
                    </a:extLst>
                  </pic:spPr>
                </pic:pic>
              </a:graphicData>
            </a:graphic>
          </wp:inline>
        </w:drawing>
      </w:r>
    </w:p>
    <w:p w14:paraId="36C18D3D" w14:textId="77777777" w:rsidR="00CF483E" w:rsidRDefault="00CF483E" w:rsidP="00CF483E">
      <w:r>
        <w:rPr>
          <w:noProof/>
          <w:lang w:eastAsia="en-AU"/>
        </w:rPr>
        <w:drawing>
          <wp:inline distT="0" distB="0" distL="0" distR="0" wp14:anchorId="53995E1C" wp14:editId="0664B476">
            <wp:extent cx="2797521" cy="167979"/>
            <wp:effectExtent l="0" t="0" r="3175"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3086435" cy="185327"/>
                    </a:xfrm>
                    <a:prstGeom prst="rect">
                      <a:avLst/>
                    </a:prstGeom>
                    <a:noFill/>
                    <a:ln>
                      <a:noFill/>
                    </a:ln>
                    <a:extLst>
                      <a:ext uri="{53640926-AAD7-44D8-BBD7-CCE9431645EC}">
                        <a14:shadowObscured xmlns:a14="http://schemas.microsoft.com/office/drawing/2010/main"/>
                      </a:ext>
                    </a:extLst>
                  </pic:spPr>
                </pic:pic>
              </a:graphicData>
            </a:graphic>
          </wp:inline>
        </w:drawing>
      </w:r>
    </w:p>
    <w:p w14:paraId="3A5435BA" w14:textId="425DD61D" w:rsidR="00CF483E" w:rsidRDefault="00CF483E" w:rsidP="00CF483E">
      <w:pPr>
        <w:pStyle w:val="Caption"/>
      </w:pPr>
      <w:bookmarkStart w:id="192" w:name="_Ref20403146"/>
      <w:bookmarkStart w:id="193" w:name="_Toc31985587"/>
      <w:r w:rsidRPr="003358DE">
        <w:t xml:space="preserve">Figure </w:t>
      </w:r>
      <w:r>
        <w:fldChar w:fldCharType="begin"/>
      </w:r>
      <w:r>
        <w:instrText>SEQ Figure \* ARABIC</w:instrText>
      </w:r>
      <w:r>
        <w:fldChar w:fldCharType="separate"/>
      </w:r>
      <w:r w:rsidR="007F7607">
        <w:rPr>
          <w:noProof/>
        </w:rPr>
        <w:t>23</w:t>
      </w:r>
      <w:r>
        <w:fldChar w:fldCharType="end"/>
      </w:r>
      <w:bookmarkEnd w:id="192"/>
      <w:r w:rsidRPr="003358DE">
        <w:t xml:space="preserve">. Mean water quality measurements (± standard error) for </w:t>
      </w:r>
      <w:r>
        <w:t xml:space="preserve">the </w:t>
      </w:r>
      <w:r w:rsidRPr="003358DE">
        <w:t>four Lower Lachlan sites (Cowl Cowl, Lane’s Bridge, Wallanthery and Whealbah) over the sampling period 2018-19</w:t>
      </w:r>
      <w:r>
        <w:t xml:space="preserve">: </w:t>
      </w:r>
      <w:r w:rsidRPr="00207366">
        <w:t>physico chemical attributes.</w:t>
      </w:r>
      <w:bookmarkEnd w:id="193"/>
    </w:p>
    <w:p w14:paraId="4B9DEEDF" w14:textId="77777777" w:rsidR="00CF483E" w:rsidRDefault="00CF483E" w:rsidP="00CF483E">
      <w:pPr>
        <w:pStyle w:val="Caption"/>
        <w:rPr>
          <w:rStyle w:val="CaptionChar"/>
          <w:rFonts w:eastAsia="MS Mincho"/>
          <w:bCs/>
          <w:i/>
        </w:rPr>
      </w:pPr>
      <w:r w:rsidRPr="003358DE">
        <w:rPr>
          <w:rStyle w:val="CaptionChar"/>
          <w:bCs/>
          <w:i/>
        </w:rPr>
        <w:t>Blue shaded vertical bars indicate watering actions.</w:t>
      </w:r>
      <w:r>
        <w:rPr>
          <w:rStyle w:val="CaptionChar"/>
          <w:rFonts w:eastAsia="MS Mincho"/>
          <w:bCs/>
          <w:i/>
        </w:rPr>
        <w:br w:type="page"/>
      </w:r>
    </w:p>
    <w:p w14:paraId="04E1B3BD" w14:textId="0553A60C" w:rsidR="00CF483E" w:rsidRDefault="00B92616" w:rsidP="00CF483E">
      <w:r>
        <w:rPr>
          <w:noProof/>
          <w:lang w:eastAsia="en-AU"/>
        </w:rPr>
        <mc:AlternateContent>
          <mc:Choice Requires="wps">
            <w:drawing>
              <wp:anchor distT="0" distB="0" distL="114300" distR="114300" simplePos="0" relativeHeight="251693056" behindDoc="0" locked="0" layoutInCell="1" allowOverlap="1" wp14:anchorId="4095BA25" wp14:editId="606BCE0F">
                <wp:simplePos x="0" y="0"/>
                <wp:positionH relativeFrom="column">
                  <wp:posOffset>2095500</wp:posOffset>
                </wp:positionH>
                <wp:positionV relativeFrom="paragraph">
                  <wp:posOffset>138430</wp:posOffset>
                </wp:positionV>
                <wp:extent cx="190500" cy="7141210"/>
                <wp:effectExtent l="0" t="0" r="0" b="2540"/>
                <wp:wrapNone/>
                <wp:docPr id="216" name="Rectangle 216"/>
                <wp:cNvGraphicFramePr/>
                <a:graphic xmlns:a="http://schemas.openxmlformats.org/drawingml/2006/main">
                  <a:graphicData uri="http://schemas.microsoft.com/office/word/2010/wordprocessingShape">
                    <wps:wsp>
                      <wps:cNvSpPr/>
                      <wps:spPr>
                        <a:xfrm>
                          <a:off x="0" y="0"/>
                          <a:ext cx="190500" cy="7141210"/>
                        </a:xfrm>
                        <a:prstGeom prst="rect">
                          <a:avLst/>
                        </a:prstGeom>
                        <a:solidFill>
                          <a:srgbClr val="4F81BD">
                            <a:lumMod val="60000"/>
                            <a:lumOff val="40000"/>
                            <a:alpha val="32000"/>
                          </a:srgbClr>
                        </a:solidFill>
                        <a:ln w="25400" cap="flat" cmpd="sng" algn="ctr">
                          <a:noFill/>
                          <a:prstDash val="solid"/>
                        </a:ln>
                        <a:effectLst/>
                      </wps:spPr>
                      <wps:txbx>
                        <w:txbxContent>
                          <w:p w14:paraId="68615554" w14:textId="77777777" w:rsidR="007F7607" w:rsidRDefault="007F7607" w:rsidP="00CF483E"/>
                          <w:p w14:paraId="79135E8A"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95BA25" id="Rectangle 216" o:spid="_x0000_s1037" style="position:absolute;margin-left:165pt;margin-top:10.9pt;width:15pt;height:562.3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" fillcolor="#95b3d7" stroked="f" strokeweight="2pt">
                <v:fill opacity="21074f"/>
                <v:textbox>
                  <w:txbxContent>
                    <w:p w14:paraId="68615554" w14:textId="77777777" w:rsidR="007F7607" w:rsidRDefault="007F7607" w:rsidP="00CF483E"/>
                    <w:p w14:paraId="79135E8A"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694080" behindDoc="0" locked="0" layoutInCell="1" allowOverlap="1" wp14:anchorId="59957482" wp14:editId="22CD0252">
                <wp:simplePos x="0" y="0"/>
                <wp:positionH relativeFrom="column">
                  <wp:posOffset>2317750</wp:posOffset>
                </wp:positionH>
                <wp:positionV relativeFrom="paragraph">
                  <wp:posOffset>125730</wp:posOffset>
                </wp:positionV>
                <wp:extent cx="241300" cy="7152005"/>
                <wp:effectExtent l="0" t="0" r="6350" b="0"/>
                <wp:wrapNone/>
                <wp:docPr id="217" name="Rectangle 217"/>
                <wp:cNvGraphicFramePr/>
                <a:graphic xmlns:a="http://schemas.openxmlformats.org/drawingml/2006/main">
                  <a:graphicData uri="http://schemas.microsoft.com/office/word/2010/wordprocessingShape">
                    <wps:wsp>
                      <wps:cNvSpPr/>
                      <wps:spPr>
                        <a:xfrm>
                          <a:off x="0" y="0"/>
                          <a:ext cx="241300" cy="7152005"/>
                        </a:xfrm>
                        <a:prstGeom prst="rect">
                          <a:avLst/>
                        </a:prstGeom>
                        <a:solidFill>
                          <a:srgbClr val="4F81BD">
                            <a:lumMod val="60000"/>
                            <a:lumOff val="40000"/>
                            <a:alpha val="32000"/>
                          </a:srgbClr>
                        </a:solidFill>
                        <a:ln w="25400" cap="flat" cmpd="sng" algn="ctr">
                          <a:noFill/>
                          <a:prstDash val="solid"/>
                        </a:ln>
                        <a:effectLst/>
                      </wps:spPr>
                      <wps:txbx>
                        <w:txbxContent>
                          <w:p w14:paraId="771ECAF7" w14:textId="77777777" w:rsidR="007F7607" w:rsidRDefault="007F7607" w:rsidP="00CF483E"/>
                          <w:p w14:paraId="735D693A"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957482" id="Rectangle 217" o:spid="_x0000_s1038" style="position:absolute;margin-left:182.5pt;margin-top:9.9pt;width:19pt;height:563.1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" fillcolor="#95b3d7" stroked="f" strokeweight="2pt">
                <v:fill opacity="21074f"/>
                <v:textbox>
                  <w:txbxContent>
                    <w:p w14:paraId="771ECAF7" w14:textId="77777777" w:rsidR="007F7607" w:rsidRDefault="007F7607" w:rsidP="00CF483E"/>
                    <w:p w14:paraId="735D693A"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692032" behindDoc="0" locked="0" layoutInCell="1" allowOverlap="1" wp14:anchorId="5815EBA3" wp14:editId="2DDEDAB5">
                <wp:simplePos x="0" y="0"/>
                <wp:positionH relativeFrom="column">
                  <wp:posOffset>1555749</wp:posOffset>
                </wp:positionH>
                <wp:positionV relativeFrom="paragraph">
                  <wp:posOffset>113030</wp:posOffset>
                </wp:positionV>
                <wp:extent cx="330200" cy="7190105"/>
                <wp:effectExtent l="0" t="0" r="0" b="0"/>
                <wp:wrapNone/>
                <wp:docPr id="215" name="Rectangle 215"/>
                <wp:cNvGraphicFramePr/>
                <a:graphic xmlns:a="http://schemas.openxmlformats.org/drawingml/2006/main">
                  <a:graphicData uri="http://schemas.microsoft.com/office/word/2010/wordprocessingShape">
                    <wps:wsp>
                      <wps:cNvSpPr/>
                      <wps:spPr>
                        <a:xfrm flipH="1">
                          <a:off x="0" y="0"/>
                          <a:ext cx="330200" cy="7190105"/>
                        </a:xfrm>
                        <a:prstGeom prst="rect">
                          <a:avLst/>
                        </a:prstGeom>
                        <a:solidFill>
                          <a:srgbClr val="4F81BD">
                            <a:lumMod val="60000"/>
                            <a:lumOff val="40000"/>
                            <a:alpha val="32000"/>
                          </a:srgbClr>
                        </a:solidFill>
                        <a:ln w="25400" cap="flat" cmpd="sng" algn="ctr">
                          <a:noFill/>
                          <a:prstDash val="solid"/>
                        </a:ln>
                        <a:effectLst/>
                      </wps:spPr>
                      <wps:txbx>
                        <w:txbxContent>
                          <w:p w14:paraId="260351AE"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15EBA3" id="Rectangle 215" o:spid="_x0000_s1039" style="position:absolute;margin-left:122.5pt;margin-top:8.9pt;width:26pt;height:566.15pt;flip:x;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" fillcolor="#95b3d7" stroked="f" strokeweight="2pt">
                <v:fill opacity="21074f"/>
                <v:textbox>
                  <w:txbxContent>
                    <w:p w14:paraId="260351AE" w14:textId="77777777" w:rsidR="007F7607" w:rsidRDefault="007F7607" w:rsidP="00CF483E"/>
                  </w:txbxContent>
                </v:textbox>
              </v:rect>
            </w:pict>
          </mc:Fallback>
        </mc:AlternateContent>
      </w:r>
      <w:r w:rsidR="00B277DA">
        <w:rPr>
          <w:noProof/>
          <w:lang w:eastAsia="en-AU"/>
        </w:rPr>
        <mc:AlternateContent>
          <mc:Choice Requires="wps">
            <w:drawing>
              <wp:anchor distT="0" distB="0" distL="114300" distR="114300" simplePos="0" relativeHeight="251691008" behindDoc="0" locked="0" layoutInCell="1" allowOverlap="1" wp14:anchorId="76B42AB6" wp14:editId="59792034">
                <wp:simplePos x="0" y="0"/>
                <wp:positionH relativeFrom="column">
                  <wp:posOffset>5207001</wp:posOffset>
                </wp:positionH>
                <wp:positionV relativeFrom="paragraph">
                  <wp:posOffset>106680</wp:posOffset>
                </wp:positionV>
                <wp:extent cx="349250" cy="7160553"/>
                <wp:effectExtent l="0" t="0" r="0" b="2540"/>
                <wp:wrapNone/>
                <wp:docPr id="214" name="Rectangle 214"/>
                <wp:cNvGraphicFramePr/>
                <a:graphic xmlns:a="http://schemas.openxmlformats.org/drawingml/2006/main">
                  <a:graphicData uri="http://schemas.microsoft.com/office/word/2010/wordprocessingShape">
                    <wps:wsp>
                      <wps:cNvSpPr/>
                      <wps:spPr>
                        <a:xfrm>
                          <a:off x="0" y="0"/>
                          <a:ext cx="349250" cy="7160553"/>
                        </a:xfrm>
                        <a:prstGeom prst="rect">
                          <a:avLst/>
                        </a:prstGeom>
                        <a:solidFill>
                          <a:schemeClr val="accent1">
                            <a:lumMod val="40000"/>
                            <a:lumOff val="60000"/>
                            <a:alpha val="32000"/>
                          </a:schemeClr>
                        </a:solidFill>
                        <a:ln w="25400" cap="flat" cmpd="sng" algn="ctr">
                          <a:noFill/>
                          <a:prstDash val="solid"/>
                        </a:ln>
                        <a:effectLst/>
                      </wps:spPr>
                      <wps:txbx>
                        <w:txbxContent>
                          <w:p w14:paraId="1DD596B5"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B42AB6" id="Rectangle 214" o:spid="_x0000_s1040" style="position:absolute;margin-left:410pt;margin-top:8.4pt;width:27.5pt;height:563.8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" fillcolor="#b8cce4 [1300]" stroked="f" strokeweight="2pt">
                <v:fill opacity="21074f"/>
                <v:textbox>
                  <w:txbxContent>
                    <w:p w14:paraId="1DD596B5" w14:textId="77777777" w:rsidR="007F7607" w:rsidRDefault="007F7607" w:rsidP="00CF483E"/>
                  </w:txbxContent>
                </v:textbox>
              </v:rect>
            </w:pict>
          </mc:Fallback>
        </mc:AlternateContent>
      </w:r>
      <w:r w:rsidR="00CF483E">
        <w:rPr>
          <w:noProof/>
          <w:lang w:eastAsia="en-AU"/>
        </w:rPr>
        <w:drawing>
          <wp:inline distT="0" distB="0" distL="0" distR="0" wp14:anchorId="5F9D6BC7" wp14:editId="16D54B8D">
            <wp:extent cx="6247275" cy="1719492"/>
            <wp:effectExtent l="0" t="0" r="127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6256733" cy="1722095"/>
                    </a:xfrm>
                    <a:prstGeom prst="rect">
                      <a:avLst/>
                    </a:prstGeom>
                    <a:noFill/>
                    <a:ln>
                      <a:noFill/>
                    </a:ln>
                    <a:extLst>
                      <a:ext uri="{53640926-AAD7-44D8-BBD7-CCE9431645EC}">
                        <a14:shadowObscured xmlns:a14="http://schemas.microsoft.com/office/drawing/2010/main"/>
                      </a:ext>
                    </a:extLst>
                  </pic:spPr>
                </pic:pic>
              </a:graphicData>
            </a:graphic>
          </wp:inline>
        </w:drawing>
      </w:r>
    </w:p>
    <w:p w14:paraId="61B8FB27" w14:textId="77777777" w:rsidR="00CF483E" w:rsidRDefault="00CF483E" w:rsidP="00CF483E">
      <w:r>
        <w:rPr>
          <w:noProof/>
          <w:lang w:eastAsia="en-AU"/>
        </w:rPr>
        <w:drawing>
          <wp:inline distT="0" distB="0" distL="0" distR="0" wp14:anchorId="72DFB8E9" wp14:editId="0FC01FD7">
            <wp:extent cx="6205971" cy="2009140"/>
            <wp:effectExtent l="0" t="0" r="444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6210000" cy="2010444"/>
                    </a:xfrm>
                    <a:prstGeom prst="rect">
                      <a:avLst/>
                    </a:prstGeom>
                    <a:noFill/>
                    <a:ln>
                      <a:noFill/>
                    </a:ln>
                    <a:extLst>
                      <a:ext uri="{53640926-AAD7-44D8-BBD7-CCE9431645EC}">
                        <a14:shadowObscured xmlns:a14="http://schemas.microsoft.com/office/drawing/2010/main"/>
                      </a:ext>
                    </a:extLst>
                  </pic:spPr>
                </pic:pic>
              </a:graphicData>
            </a:graphic>
          </wp:inline>
        </w:drawing>
      </w:r>
    </w:p>
    <w:p w14:paraId="1087E86E" w14:textId="77777777" w:rsidR="00CF483E" w:rsidRDefault="00CF483E" w:rsidP="00CF483E">
      <w:pPr>
        <w:rPr>
          <w:noProof/>
        </w:rPr>
      </w:pPr>
      <w:r>
        <w:rPr>
          <w:noProof/>
          <w:lang w:eastAsia="en-AU"/>
        </w:rPr>
        <w:drawing>
          <wp:inline distT="0" distB="0" distL="0" distR="0" wp14:anchorId="3CF90EC5" wp14:editId="589236BF">
            <wp:extent cx="6243859" cy="1818640"/>
            <wp:effectExtent l="0" t="0" r="508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6251748" cy="1820938"/>
                    </a:xfrm>
                    <a:prstGeom prst="rect">
                      <a:avLst/>
                    </a:prstGeom>
                    <a:noFill/>
                    <a:ln>
                      <a:noFill/>
                    </a:ln>
                    <a:extLst>
                      <a:ext uri="{53640926-AAD7-44D8-BBD7-CCE9431645EC}">
                        <a14:shadowObscured xmlns:a14="http://schemas.microsoft.com/office/drawing/2010/main"/>
                      </a:ext>
                    </a:extLst>
                  </pic:spPr>
                </pic:pic>
              </a:graphicData>
            </a:graphic>
          </wp:inline>
        </w:drawing>
      </w:r>
    </w:p>
    <w:p w14:paraId="48EC6E98" w14:textId="77777777" w:rsidR="00CF483E" w:rsidRDefault="00CF483E" w:rsidP="00CF483E">
      <w:r>
        <w:rPr>
          <w:noProof/>
          <w:lang w:eastAsia="en-AU"/>
        </w:rPr>
        <w:drawing>
          <wp:inline distT="0" distB="0" distL="0" distR="0" wp14:anchorId="72915E91" wp14:editId="7C4B2DB3">
            <wp:extent cx="6219731" cy="1921807"/>
            <wp:effectExtent l="0" t="0" r="0" b="254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6227483" cy="1924202"/>
                    </a:xfrm>
                    <a:prstGeom prst="rect">
                      <a:avLst/>
                    </a:prstGeom>
                    <a:noFill/>
                    <a:ln>
                      <a:noFill/>
                    </a:ln>
                    <a:extLst>
                      <a:ext uri="{53640926-AAD7-44D8-BBD7-CCE9431645EC}">
                        <a14:shadowObscured xmlns:a14="http://schemas.microsoft.com/office/drawing/2010/main"/>
                      </a:ext>
                    </a:extLst>
                  </pic:spPr>
                </pic:pic>
              </a:graphicData>
            </a:graphic>
          </wp:inline>
        </w:drawing>
      </w:r>
    </w:p>
    <w:p w14:paraId="315BA49F" w14:textId="77777777" w:rsidR="00CF483E" w:rsidRDefault="00CF483E" w:rsidP="00CF483E">
      <w:r>
        <w:rPr>
          <w:noProof/>
          <w:lang w:eastAsia="en-AU"/>
        </w:rPr>
        <w:drawing>
          <wp:inline distT="0" distB="0" distL="0" distR="0" wp14:anchorId="033F341D" wp14:editId="6B2536F1">
            <wp:extent cx="2797521" cy="167979"/>
            <wp:effectExtent l="0" t="0" r="3175"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3086435" cy="185327"/>
                    </a:xfrm>
                    <a:prstGeom prst="rect">
                      <a:avLst/>
                    </a:prstGeom>
                    <a:noFill/>
                    <a:ln>
                      <a:noFill/>
                    </a:ln>
                    <a:extLst>
                      <a:ext uri="{53640926-AAD7-44D8-BBD7-CCE9431645EC}">
                        <a14:shadowObscured xmlns:a14="http://schemas.microsoft.com/office/drawing/2010/main"/>
                      </a:ext>
                    </a:extLst>
                  </pic:spPr>
                </pic:pic>
              </a:graphicData>
            </a:graphic>
          </wp:inline>
        </w:drawing>
      </w:r>
    </w:p>
    <w:p w14:paraId="23C734B7" w14:textId="525A30E1" w:rsidR="00CF483E" w:rsidRDefault="00CF483E" w:rsidP="00CF483E">
      <w:pPr>
        <w:pStyle w:val="Caption"/>
      </w:pPr>
      <w:bookmarkStart w:id="194" w:name="_Ref20403248"/>
      <w:bookmarkStart w:id="195" w:name="_Toc31985588"/>
      <w:r w:rsidRPr="003358DE">
        <w:t xml:space="preserve">Figure </w:t>
      </w:r>
      <w:r>
        <w:fldChar w:fldCharType="begin"/>
      </w:r>
      <w:r>
        <w:instrText>SEQ Figure \* ARABIC</w:instrText>
      </w:r>
      <w:r>
        <w:fldChar w:fldCharType="separate"/>
      </w:r>
      <w:r w:rsidR="007F7607">
        <w:rPr>
          <w:noProof/>
        </w:rPr>
        <w:t>24</w:t>
      </w:r>
      <w:r>
        <w:fldChar w:fldCharType="end"/>
      </w:r>
      <w:bookmarkEnd w:id="194"/>
      <w:r w:rsidRPr="003358DE">
        <w:t>. Mean water quality measurements (± standard error) for the four Lower Lachlan sites (Cowl Cowl, Lane’s Bridge, Wallanthery and Whealbah) over the sampling period 2018-19</w:t>
      </w:r>
      <w:r>
        <w:t xml:space="preserve">: </w:t>
      </w:r>
      <w:r w:rsidRPr="00207366">
        <w:t>nutrients and chlorophyll a.</w:t>
      </w:r>
      <w:bookmarkEnd w:id="195"/>
    </w:p>
    <w:p w14:paraId="2C3E18DD" w14:textId="77777777" w:rsidR="00CF483E" w:rsidRPr="00D14712" w:rsidRDefault="00CF483E" w:rsidP="00CF483E">
      <w:pPr>
        <w:pStyle w:val="Caption"/>
        <w:rPr>
          <w:rStyle w:val="CaptionChar"/>
          <w:bCs/>
          <w:i/>
        </w:rPr>
      </w:pPr>
      <w:r w:rsidRPr="003358DE">
        <w:rPr>
          <w:rStyle w:val="CaptionChar"/>
          <w:bCs/>
          <w:i/>
        </w:rPr>
        <w:t>Blue shaded vertical bars indicate watering actions.</w:t>
      </w:r>
      <w:r>
        <w:rPr>
          <w:rStyle w:val="CaptionChar"/>
          <w:bCs/>
          <w:i/>
        </w:rPr>
        <w:br w:type="page"/>
      </w:r>
    </w:p>
    <w:p w14:paraId="654C9B98" w14:textId="77777777" w:rsidR="00CF483E" w:rsidRPr="00333174" w:rsidRDefault="00CF483E" w:rsidP="00CF483E">
      <w:pPr>
        <w:pStyle w:val="Heading4"/>
      </w:pPr>
      <w:r w:rsidRPr="00333174">
        <w:rPr>
          <w:lang w:val="en-AU"/>
        </w:rPr>
        <w:t>Mid</w:t>
      </w:r>
      <w:r w:rsidRPr="00333174">
        <w:t xml:space="preserve"> Lachlan</w:t>
      </w:r>
      <w:r>
        <w:rPr>
          <w:lang w:val="en-AU"/>
        </w:rPr>
        <w:t xml:space="preserve"> </w:t>
      </w:r>
      <w:r>
        <w:t>River (Short Term Intervention Monitoring)</w:t>
      </w:r>
    </w:p>
    <w:p w14:paraId="7D951FF4" w14:textId="18169FCD" w:rsidR="00CF483E" w:rsidRPr="00D40CA6" w:rsidRDefault="00CF483E" w:rsidP="00CF483E">
      <w:r>
        <w:t>As expected, w</w:t>
      </w:r>
      <w:r w:rsidRPr="00333174">
        <w:t>ater temperature</w:t>
      </w:r>
      <w:r>
        <w:t xml:space="preserve"> and dissolved oxygen patterns for the mid Lachlan sites were very similar to those for the </w:t>
      </w:r>
      <w:r w:rsidRPr="00443270">
        <w:t>lower Lachlan sites</w:t>
      </w:r>
      <w:r w:rsidRPr="00986478">
        <w:t xml:space="preserve"> ranging from 10.5 degrees Celsius in winter, to 26 degrees Celsius in summer</w:t>
      </w:r>
      <w:r>
        <w:t xml:space="preserve"> (</w:t>
      </w:r>
      <w:r>
        <w:fldChar w:fldCharType="begin"/>
      </w:r>
      <w:r>
        <w:instrText xml:space="preserve"> REF _Ref20403724 \h </w:instrText>
      </w:r>
      <w:r>
        <w:fldChar w:fldCharType="separate"/>
      </w:r>
      <w:r w:rsidR="007F7607" w:rsidRPr="00D14712">
        <w:t xml:space="preserve">Figure </w:t>
      </w:r>
      <w:r w:rsidR="007F7607">
        <w:rPr>
          <w:noProof/>
        </w:rPr>
        <w:t>25</w:t>
      </w:r>
      <w:r>
        <w:fldChar w:fldCharType="end"/>
      </w:r>
      <w:r>
        <w:t xml:space="preserve">, </w:t>
      </w:r>
      <w:r>
        <w:fldChar w:fldCharType="begin"/>
      </w:r>
      <w:r>
        <w:instrText xml:space="preserve"> REF _Ref20403727 \h </w:instrText>
      </w:r>
      <w:r>
        <w:fldChar w:fldCharType="separate"/>
      </w:r>
      <w:r w:rsidR="007F7607" w:rsidRPr="003358DE">
        <w:t xml:space="preserve">Figure </w:t>
      </w:r>
      <w:r w:rsidR="007F7607">
        <w:rPr>
          <w:noProof/>
        </w:rPr>
        <w:t>26</w:t>
      </w:r>
      <w:r>
        <w:fldChar w:fldCharType="end"/>
      </w:r>
      <w:r w:rsidRPr="00986478">
        <w:t>)</w:t>
      </w:r>
      <w:r>
        <w:t xml:space="preserve"> </w:t>
      </w:r>
      <w:r w:rsidRPr="00986478">
        <w:t xml:space="preserve">with lower values in summer. </w:t>
      </w:r>
      <w:r>
        <w:t>The mid reaches were cooler that the lower reaches in the river, likely as a consequence of high volumes of water and potential localised effects of shading and groundwater inflows. There was a general trend towards lower DO during highest water temperatures, which is consistent with physical properties and potential increases in rates of microbial respiration in warmer water (</w:t>
      </w:r>
      <w:r>
        <w:fldChar w:fldCharType="begin"/>
      </w:r>
      <w:r>
        <w:instrText xml:space="preserve"> REF _Ref20403724 \h </w:instrText>
      </w:r>
      <w:r>
        <w:fldChar w:fldCharType="separate"/>
      </w:r>
      <w:r w:rsidR="007F7607" w:rsidRPr="00D14712">
        <w:t xml:space="preserve">Figure </w:t>
      </w:r>
      <w:r w:rsidR="007F7607">
        <w:rPr>
          <w:noProof/>
        </w:rPr>
        <w:t>25</w:t>
      </w:r>
      <w:r>
        <w:fldChar w:fldCharType="end"/>
      </w:r>
      <w:r>
        <w:t>).</w:t>
      </w:r>
      <w:r w:rsidR="00284121">
        <w:t xml:space="preserve"> </w:t>
      </w:r>
      <w:r>
        <w:t>Turbidity, pH and conductivity were also consistent with the downstream sites (</w:t>
      </w:r>
      <w:r>
        <w:fldChar w:fldCharType="begin"/>
      </w:r>
      <w:r>
        <w:instrText xml:space="preserve"> REF _Ref20403727 \h </w:instrText>
      </w:r>
      <w:r>
        <w:fldChar w:fldCharType="separate"/>
      </w:r>
      <w:r w:rsidR="007F7607" w:rsidRPr="003358DE">
        <w:t xml:space="preserve">Figure </w:t>
      </w:r>
      <w:r w:rsidR="007F7607">
        <w:rPr>
          <w:noProof/>
        </w:rPr>
        <w:t>26</w:t>
      </w:r>
      <w:r>
        <w:fldChar w:fldCharType="end"/>
      </w:r>
      <w:r>
        <w:t xml:space="preserve">). </w:t>
      </w:r>
      <w:r w:rsidRPr="00D40CA6">
        <w:t>There</w:t>
      </w:r>
      <w:r>
        <w:t xml:space="preserve"> was</w:t>
      </w:r>
      <w:r w:rsidRPr="00D40CA6">
        <w:t xml:space="preserve"> no </w:t>
      </w:r>
      <w:r>
        <w:t xml:space="preserve">definitive </w:t>
      </w:r>
      <w:r w:rsidRPr="00D40CA6">
        <w:t xml:space="preserve">association between </w:t>
      </w:r>
      <w:r>
        <w:t xml:space="preserve">these values and the provision of </w:t>
      </w:r>
      <w:r w:rsidRPr="00D40CA6">
        <w:t>environmental flows</w:t>
      </w:r>
      <w:r>
        <w:t xml:space="preserve">, although higher turbidity was observed during the early phases of Watering Action 2. </w:t>
      </w:r>
    </w:p>
    <w:p w14:paraId="5CF7D4AA" w14:textId="379F1DF0" w:rsidR="00CF483E" w:rsidRDefault="00CF483E" w:rsidP="00CF483E">
      <w:r>
        <w:t>As for other water quality parameters, r</w:t>
      </w:r>
      <w:r w:rsidRPr="00D40CA6">
        <w:t>esults for major nutrients</w:t>
      </w:r>
      <w:r>
        <w:t xml:space="preserve"> (</w:t>
      </w:r>
      <w:r>
        <w:fldChar w:fldCharType="begin"/>
      </w:r>
      <w:r>
        <w:instrText xml:space="preserve"> REF _Ref20403917 \h </w:instrText>
      </w:r>
      <w:r>
        <w:fldChar w:fldCharType="separate"/>
      </w:r>
      <w:r w:rsidR="007F7607" w:rsidRPr="003358DE">
        <w:t xml:space="preserve">Figure </w:t>
      </w:r>
      <w:r w:rsidR="007F7607">
        <w:rPr>
          <w:noProof/>
        </w:rPr>
        <w:t>27</w:t>
      </w:r>
      <w:r>
        <w:fldChar w:fldCharType="end"/>
      </w:r>
      <w:r>
        <w:t xml:space="preserve">) </w:t>
      </w:r>
      <w:r w:rsidRPr="00D40CA6">
        <w:t xml:space="preserve">were consistent with those </w:t>
      </w:r>
      <w:r>
        <w:t xml:space="preserve">seen in the lower Lachlan. </w:t>
      </w:r>
      <w:r w:rsidRPr="00D40CA6">
        <w:t>Total nitrogen was relatively consistent across sampling events, with low levels of nitrate/nitrite.</w:t>
      </w:r>
      <w:r>
        <w:t xml:space="preserve"> Patterns for total and reactive phosphorus were broadly similar. There is some evidence for increased levels of both nitrogen, phosphorus and ammonium during delivery of environmental flows during the early phases of Watering Action 2 (late October 2018). This may be a consequence of mobilisation of materials from the floodplain or agricultural run-off, as there had been </w:t>
      </w:r>
      <w:r w:rsidRPr="00B277DA">
        <w:t xml:space="preserve">68 mm in October at Forbes (see chapter </w:t>
      </w:r>
      <w:r w:rsidR="00B277DA" w:rsidRPr="00B277DA">
        <w:fldChar w:fldCharType="begin"/>
      </w:r>
      <w:r w:rsidR="00B277DA" w:rsidRPr="00B277DA">
        <w:instrText xml:space="preserve"> REF _Ref20480614 \r \h </w:instrText>
      </w:r>
      <w:r w:rsidR="00B277DA">
        <w:instrText xml:space="preserve"> \* MERGEFORMAT </w:instrText>
      </w:r>
      <w:r w:rsidR="00B277DA" w:rsidRPr="00B277DA">
        <w:fldChar w:fldCharType="separate"/>
      </w:r>
      <w:r w:rsidR="007F7607">
        <w:t>3.1</w:t>
      </w:r>
      <w:r w:rsidR="00B277DA" w:rsidRPr="00B277DA">
        <w:fldChar w:fldCharType="end"/>
      </w:r>
      <w:r w:rsidR="00B277DA" w:rsidRPr="00B277DA">
        <w:t xml:space="preserve">: </w:t>
      </w:r>
      <w:r w:rsidR="00B277DA" w:rsidRPr="00B277DA">
        <w:fldChar w:fldCharType="begin"/>
      </w:r>
      <w:r w:rsidR="00B277DA" w:rsidRPr="00B277DA">
        <w:instrText xml:space="preserve"> REF _Ref20480618 \h </w:instrText>
      </w:r>
      <w:r w:rsidR="00B277DA">
        <w:instrText xml:space="preserve"> \* MERGEFORMAT </w:instrText>
      </w:r>
      <w:r w:rsidR="00B277DA" w:rsidRPr="00B277DA">
        <w:fldChar w:fldCharType="separate"/>
      </w:r>
      <w:r w:rsidR="007F7607">
        <w:t>Catchment and weather conditions</w:t>
      </w:r>
      <w:r w:rsidR="00B277DA" w:rsidRPr="00B277DA">
        <w:fldChar w:fldCharType="end"/>
      </w:r>
      <w:r w:rsidR="00B277DA" w:rsidRPr="00B277DA">
        <w:t xml:space="preserve">, </w:t>
      </w:r>
      <w:r w:rsidR="00507E37">
        <w:t>p.</w:t>
      </w:r>
      <w:r w:rsidR="00B277DA" w:rsidRPr="00B277DA">
        <w:t xml:space="preserve"> </w:t>
      </w:r>
      <w:r w:rsidR="00B277DA" w:rsidRPr="00B277DA">
        <w:fldChar w:fldCharType="begin"/>
      </w:r>
      <w:r w:rsidR="00B277DA" w:rsidRPr="00B277DA">
        <w:instrText xml:space="preserve"> PAGEREF _Ref20480621 \h </w:instrText>
      </w:r>
      <w:r w:rsidR="00B277DA" w:rsidRPr="00B277DA">
        <w:fldChar w:fldCharType="separate"/>
      </w:r>
      <w:r w:rsidR="007F7607">
        <w:rPr>
          <w:noProof/>
        </w:rPr>
        <w:t>20</w:t>
      </w:r>
      <w:r w:rsidR="00B277DA" w:rsidRPr="00B277DA">
        <w:fldChar w:fldCharType="end"/>
      </w:r>
      <w:r w:rsidRPr="00B277DA">
        <w:t>).</w:t>
      </w:r>
    </w:p>
    <w:p w14:paraId="2AA675DF" w14:textId="4ABEB96F" w:rsidR="003E5444" w:rsidRDefault="00CF483E" w:rsidP="00CF483E">
      <w:r>
        <w:t xml:space="preserve">Concentrations of key basal resources, </w:t>
      </w:r>
      <w:r w:rsidR="003E5444">
        <w:t xml:space="preserve">dissolved </w:t>
      </w:r>
      <w:r w:rsidR="00284121">
        <w:t>organic</w:t>
      </w:r>
      <w:r w:rsidR="003E5444">
        <w:t xml:space="preserve"> carbon (</w:t>
      </w:r>
      <w:r>
        <w:t>DOC</w:t>
      </w:r>
      <w:r w:rsidR="003E5444">
        <w:t>)</w:t>
      </w:r>
      <w:r>
        <w:t xml:space="preserve"> and chlorophyll were variable, but there was strong evidence for higher levels of DOC during delivery of Watering Action 2 in late October (</w:t>
      </w:r>
      <w:r>
        <w:fldChar w:fldCharType="begin"/>
      </w:r>
      <w:r>
        <w:instrText xml:space="preserve"> REF _Ref20403917 \h </w:instrText>
      </w:r>
      <w:r>
        <w:fldChar w:fldCharType="separate"/>
      </w:r>
      <w:r w:rsidR="007F7607" w:rsidRPr="003358DE">
        <w:t xml:space="preserve">Figure </w:t>
      </w:r>
      <w:r w:rsidR="007F7607">
        <w:rPr>
          <w:noProof/>
        </w:rPr>
        <w:t>27</w:t>
      </w:r>
      <w:r>
        <w:fldChar w:fldCharType="end"/>
      </w:r>
      <w:r>
        <w:t xml:space="preserve">). </w:t>
      </w:r>
      <w:r w:rsidR="003E5444">
        <w:t>P</w:t>
      </w:r>
      <w:r w:rsidR="003E5444" w:rsidRPr="003E5444">
        <w:t>resumably</w:t>
      </w:r>
      <w:r w:rsidR="003E5444">
        <w:t xml:space="preserve"> </w:t>
      </w:r>
      <w:r w:rsidR="003E5444" w:rsidRPr="003E5444">
        <w:t xml:space="preserve">there is an interaction between flow and temperature – flow affects the amount of carbon being mobilised, but temperature affects residence time and break down rates. Lag times of weeks are realistic where </w:t>
      </w:r>
      <w:r w:rsidR="003E5444">
        <w:t>carbon</w:t>
      </w:r>
      <w:r w:rsidR="003E5444" w:rsidRPr="003E5444">
        <w:t xml:space="preserve"> enters via shallow groundwater system, is larger material (e.g. leaves, wood) or when temperatures are cooler.</w:t>
      </w:r>
      <w:r w:rsidR="00284121">
        <w:t xml:space="preserve"> </w:t>
      </w:r>
      <w:r>
        <w:t>Chlorophyll values were initially lower during early phases of this flow, but increased and peaked during the latter stages of delivery of Watering Action 2, in early December (</w:t>
      </w:r>
      <w:r>
        <w:fldChar w:fldCharType="begin"/>
      </w:r>
      <w:r>
        <w:instrText xml:space="preserve"> REF _Ref20403917 \h </w:instrText>
      </w:r>
      <w:r>
        <w:fldChar w:fldCharType="separate"/>
      </w:r>
      <w:r w:rsidR="007F7607" w:rsidRPr="003358DE">
        <w:t xml:space="preserve">Figure </w:t>
      </w:r>
      <w:r w:rsidR="007F7607">
        <w:rPr>
          <w:noProof/>
        </w:rPr>
        <w:t>27</w:t>
      </w:r>
      <w:r>
        <w:fldChar w:fldCharType="end"/>
      </w:r>
      <w:r>
        <w:t xml:space="preserve">). As for the lower Lachlan, variability in measurements was suggestive of patchiness of these resources. </w:t>
      </w:r>
    </w:p>
    <w:p w14:paraId="33660B82" w14:textId="12B41115" w:rsidR="00CF483E" w:rsidRPr="00D51727" w:rsidRDefault="00CF483E" w:rsidP="00CF483E">
      <w:r>
        <w:rPr>
          <w:noProof/>
          <w:lang w:eastAsia="en-AU"/>
        </w:rPr>
        <w:drawing>
          <wp:inline distT="0" distB="0" distL="0" distR="0" wp14:anchorId="78472911" wp14:editId="21D04B77">
            <wp:extent cx="4803691" cy="2438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4836886" cy="2455250"/>
                    </a:xfrm>
                    <a:prstGeom prst="rect">
                      <a:avLst/>
                    </a:prstGeom>
                    <a:noFill/>
                    <a:ln>
                      <a:noFill/>
                    </a:ln>
                    <a:extLst>
                      <a:ext uri="{53640926-AAD7-44D8-BBD7-CCE9431645EC}">
                        <a14:shadowObscured xmlns:a14="http://schemas.microsoft.com/office/drawing/2010/main"/>
                      </a:ext>
                    </a:extLst>
                  </pic:spPr>
                </pic:pic>
              </a:graphicData>
            </a:graphic>
          </wp:inline>
        </w:drawing>
      </w:r>
    </w:p>
    <w:p w14:paraId="6CD442AE" w14:textId="024A40CB" w:rsidR="00CF483E" w:rsidRPr="00284121" w:rsidRDefault="00CF483E" w:rsidP="00CF483E">
      <w:pPr>
        <w:pStyle w:val="Caption"/>
      </w:pPr>
      <w:bookmarkStart w:id="196" w:name="_Ref20403724"/>
      <w:bookmarkStart w:id="197" w:name="_Ref20404527"/>
      <w:bookmarkStart w:id="198" w:name="_Toc31985589"/>
      <w:r w:rsidRPr="00D14712">
        <w:t xml:space="preserve">Figure </w:t>
      </w:r>
      <w:r>
        <w:fldChar w:fldCharType="begin"/>
      </w:r>
      <w:r>
        <w:instrText>SEQ Figure \* ARABIC</w:instrText>
      </w:r>
      <w:r>
        <w:fldChar w:fldCharType="separate"/>
      </w:r>
      <w:r w:rsidR="007F7607">
        <w:rPr>
          <w:noProof/>
        </w:rPr>
        <w:t>25</w:t>
      </w:r>
      <w:r>
        <w:fldChar w:fldCharType="end"/>
      </w:r>
      <w:bookmarkEnd w:id="196"/>
      <w:r w:rsidRPr="00D14712">
        <w:t xml:space="preserve">. Water temperature and dissolved oxygen from the Mid Lachlan River for the </w:t>
      </w:r>
      <w:r w:rsidRPr="00D14712">
        <w:rPr>
          <w:rFonts w:eastAsia="MS Mincho"/>
        </w:rPr>
        <w:t>four</w:t>
      </w:r>
      <w:r w:rsidRPr="00D14712">
        <w:t xml:space="preserve"> study sites each over the sampling period 2018-19</w:t>
      </w:r>
      <w:bookmarkEnd w:id="197"/>
      <w:bookmarkEnd w:id="198"/>
      <w:r w:rsidRPr="00D14712">
        <w:rPr>
          <w:rFonts w:eastAsia="MS Mincho"/>
        </w:rPr>
        <w:br w:type="page"/>
      </w:r>
    </w:p>
    <w:p w14:paraId="260F0E3D" w14:textId="5F55F7C7" w:rsidR="00CF483E" w:rsidRPr="00D51727" w:rsidRDefault="00B92616" w:rsidP="00CF483E">
      <w:r>
        <w:rPr>
          <w:noProof/>
          <w:lang w:eastAsia="en-AU"/>
        </w:rPr>
        <mc:AlternateContent>
          <mc:Choice Requires="wps">
            <w:drawing>
              <wp:anchor distT="0" distB="0" distL="114300" distR="114300" simplePos="0" relativeHeight="251662336" behindDoc="0" locked="0" layoutInCell="1" allowOverlap="1" wp14:anchorId="14D0D160" wp14:editId="280BBC62">
                <wp:simplePos x="0" y="0"/>
                <wp:positionH relativeFrom="column">
                  <wp:posOffset>2063751</wp:posOffset>
                </wp:positionH>
                <wp:positionV relativeFrom="paragraph">
                  <wp:posOffset>93980</wp:posOffset>
                </wp:positionV>
                <wp:extent cx="114300" cy="6304280"/>
                <wp:effectExtent l="0" t="0" r="0" b="1270"/>
                <wp:wrapNone/>
                <wp:docPr id="149" name="Rectangle 149"/>
                <wp:cNvGraphicFramePr/>
                <a:graphic xmlns:a="http://schemas.openxmlformats.org/drawingml/2006/main">
                  <a:graphicData uri="http://schemas.microsoft.com/office/word/2010/wordprocessingShape">
                    <wps:wsp>
                      <wps:cNvSpPr/>
                      <wps:spPr>
                        <a:xfrm>
                          <a:off x="0" y="0"/>
                          <a:ext cx="114300" cy="630428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D72331" id="Rectangle 149" o:spid="_x0000_s1026" style="position:absolute;margin-left:162.5pt;margin-top:7.4pt;width:9pt;height:496.4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61312" behindDoc="0" locked="0" layoutInCell="1" allowOverlap="1" wp14:anchorId="097FEB9D" wp14:editId="6546B166">
                <wp:simplePos x="0" y="0"/>
                <wp:positionH relativeFrom="column">
                  <wp:posOffset>1308100</wp:posOffset>
                </wp:positionH>
                <wp:positionV relativeFrom="paragraph">
                  <wp:posOffset>87630</wp:posOffset>
                </wp:positionV>
                <wp:extent cx="292100" cy="6315075"/>
                <wp:effectExtent l="0" t="0" r="0" b="9525"/>
                <wp:wrapNone/>
                <wp:docPr id="148" name="Rectangle 148"/>
                <wp:cNvGraphicFramePr/>
                <a:graphic xmlns:a="http://schemas.openxmlformats.org/drawingml/2006/main">
                  <a:graphicData uri="http://schemas.microsoft.com/office/word/2010/wordprocessingShape">
                    <wps:wsp>
                      <wps:cNvSpPr/>
                      <wps:spPr>
                        <a:xfrm>
                          <a:off x="0" y="0"/>
                          <a:ext cx="292100" cy="6315075"/>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2A1833" id="Rectangle 148" o:spid="_x0000_s1026" style="position:absolute;margin-left:103pt;margin-top:6.9pt;width:23pt;height:497.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" fillcolor="#b8cce4 [1300]" stroked="f" strokeweight="2pt">
                <v:fill opacity="21074f"/>
              </v:rect>
            </w:pict>
          </mc:Fallback>
        </mc:AlternateContent>
      </w:r>
      <w:r w:rsidR="00CF483E">
        <w:rPr>
          <w:noProof/>
          <w:lang w:eastAsia="en-AU"/>
        </w:rPr>
        <w:drawing>
          <wp:inline distT="0" distB="0" distL="0" distR="0" wp14:anchorId="6A51070C" wp14:editId="64107FED">
            <wp:extent cx="6192000" cy="154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6192000" cy="1544400"/>
                    </a:xfrm>
                    <a:prstGeom prst="rect">
                      <a:avLst/>
                    </a:prstGeom>
                    <a:noFill/>
                    <a:ln>
                      <a:noFill/>
                    </a:ln>
                    <a:extLst>
                      <a:ext uri="{53640926-AAD7-44D8-BBD7-CCE9431645EC}">
                        <a14:shadowObscured xmlns:a14="http://schemas.microsoft.com/office/drawing/2010/main"/>
                      </a:ext>
                    </a:extLst>
                  </pic:spPr>
                </pic:pic>
              </a:graphicData>
            </a:graphic>
          </wp:inline>
        </w:drawing>
      </w:r>
    </w:p>
    <w:p w14:paraId="2AA20BE9" w14:textId="77777777" w:rsidR="00CF483E" w:rsidRDefault="00CF483E" w:rsidP="00CF483E">
      <w:r>
        <w:rPr>
          <w:noProof/>
          <w:lang w:eastAsia="en-AU"/>
        </w:rPr>
        <w:drawing>
          <wp:inline distT="0" distB="0" distL="0" distR="0" wp14:anchorId="230A89B9" wp14:editId="68089A2F">
            <wp:extent cx="6192000" cy="17784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6192000" cy="1778400"/>
                    </a:xfrm>
                    <a:prstGeom prst="rect">
                      <a:avLst/>
                    </a:prstGeom>
                    <a:noFill/>
                    <a:ln>
                      <a:noFill/>
                    </a:ln>
                    <a:extLst>
                      <a:ext uri="{53640926-AAD7-44D8-BBD7-CCE9431645EC}">
                        <a14:shadowObscured xmlns:a14="http://schemas.microsoft.com/office/drawing/2010/main"/>
                      </a:ext>
                    </a:extLst>
                  </pic:spPr>
                </pic:pic>
              </a:graphicData>
            </a:graphic>
          </wp:inline>
        </w:drawing>
      </w:r>
    </w:p>
    <w:p w14:paraId="25AFA3A4" w14:textId="77777777" w:rsidR="00CF483E" w:rsidRDefault="00CF483E" w:rsidP="00CF483E">
      <w:r>
        <w:rPr>
          <w:noProof/>
          <w:lang w:eastAsia="en-AU"/>
        </w:rPr>
        <w:drawing>
          <wp:inline distT="0" distB="0" distL="0" distR="0" wp14:anchorId="7F08C18A" wp14:editId="2D0FFD47">
            <wp:extent cx="6192000" cy="14292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6192000" cy="1429200"/>
                    </a:xfrm>
                    <a:prstGeom prst="rect">
                      <a:avLst/>
                    </a:prstGeom>
                    <a:noFill/>
                    <a:ln>
                      <a:noFill/>
                    </a:ln>
                    <a:extLst>
                      <a:ext uri="{53640926-AAD7-44D8-BBD7-CCE9431645EC}">
                        <a14:shadowObscured xmlns:a14="http://schemas.microsoft.com/office/drawing/2010/main"/>
                      </a:ext>
                    </a:extLst>
                  </pic:spPr>
                </pic:pic>
              </a:graphicData>
            </a:graphic>
          </wp:inline>
        </w:drawing>
      </w:r>
    </w:p>
    <w:p w14:paraId="5E2594AE" w14:textId="77777777" w:rsidR="00CF483E" w:rsidRDefault="00CF483E" w:rsidP="00CF483E">
      <w:r>
        <w:rPr>
          <w:noProof/>
          <w:lang w:eastAsia="en-AU"/>
        </w:rPr>
        <w:drawing>
          <wp:inline distT="0" distB="0" distL="0" distR="0" wp14:anchorId="26EE71CA" wp14:editId="59745E77">
            <wp:extent cx="6210000" cy="1864800"/>
            <wp:effectExtent l="0" t="0" r="635"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6210000" cy="1864800"/>
                    </a:xfrm>
                    <a:prstGeom prst="rect">
                      <a:avLst/>
                    </a:prstGeom>
                    <a:noFill/>
                    <a:ln>
                      <a:noFill/>
                    </a:ln>
                    <a:extLst>
                      <a:ext uri="{53640926-AAD7-44D8-BBD7-CCE9431645EC}">
                        <a14:shadowObscured xmlns:a14="http://schemas.microsoft.com/office/drawing/2010/main"/>
                      </a:ext>
                    </a:extLst>
                  </pic:spPr>
                </pic:pic>
              </a:graphicData>
            </a:graphic>
          </wp:inline>
        </w:drawing>
      </w:r>
    </w:p>
    <w:p w14:paraId="62C5C9B3" w14:textId="77777777" w:rsidR="00CF483E" w:rsidRPr="00A10085" w:rsidRDefault="00CF483E" w:rsidP="00CF483E">
      <w:r>
        <w:rPr>
          <w:noProof/>
          <w:lang w:eastAsia="en-AU"/>
        </w:rPr>
        <w:drawing>
          <wp:inline distT="0" distB="0" distL="0" distR="0" wp14:anchorId="48DB0571" wp14:editId="6058D49E">
            <wp:extent cx="3444257" cy="190173"/>
            <wp:effectExtent l="0" t="0" r="381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l="5465" t="78355" r="38341" b="16902"/>
                    <a:stretch/>
                  </pic:blipFill>
                  <pic:spPr bwMode="auto">
                    <a:xfrm>
                      <a:off x="0" y="0"/>
                      <a:ext cx="3671206" cy="202704"/>
                    </a:xfrm>
                    <a:prstGeom prst="rect">
                      <a:avLst/>
                    </a:prstGeom>
                    <a:noFill/>
                    <a:ln>
                      <a:noFill/>
                    </a:ln>
                    <a:extLst>
                      <a:ext uri="{53640926-AAD7-44D8-BBD7-CCE9431645EC}">
                        <a14:shadowObscured xmlns:a14="http://schemas.microsoft.com/office/drawing/2010/main"/>
                      </a:ext>
                    </a:extLst>
                  </pic:spPr>
                </pic:pic>
              </a:graphicData>
            </a:graphic>
          </wp:inline>
        </w:drawing>
      </w:r>
    </w:p>
    <w:p w14:paraId="58D7C6D8" w14:textId="42EF4CB2" w:rsidR="00CF483E" w:rsidRPr="009D3D82" w:rsidRDefault="00CF483E" w:rsidP="00CF483E">
      <w:pPr>
        <w:pStyle w:val="Caption"/>
      </w:pPr>
      <w:bookmarkStart w:id="199" w:name="_Ref20403727"/>
      <w:bookmarkStart w:id="200" w:name="_Toc31985590"/>
      <w:r w:rsidRPr="003358DE">
        <w:t xml:space="preserve">Figure </w:t>
      </w:r>
      <w:r>
        <w:fldChar w:fldCharType="begin"/>
      </w:r>
      <w:r>
        <w:instrText>SEQ Figure \* ARABIC</w:instrText>
      </w:r>
      <w:r>
        <w:fldChar w:fldCharType="separate"/>
      </w:r>
      <w:r w:rsidR="007F7607">
        <w:rPr>
          <w:noProof/>
        </w:rPr>
        <w:t>26</w:t>
      </w:r>
      <w:r>
        <w:fldChar w:fldCharType="end"/>
      </w:r>
      <w:bookmarkEnd w:id="199"/>
      <w:r w:rsidRPr="003358DE">
        <w:t>. Mean water quality measurements (± standard error) for four Mid Lachlan sites (Euabalong, Techam, Mulgutherie, Kirkup Park) over the sampling period 2018-19</w:t>
      </w:r>
      <w:r>
        <w:t>:</w:t>
      </w:r>
      <w:r w:rsidRPr="009D3D82">
        <w:t xml:space="preserve"> </w:t>
      </w:r>
      <w:r w:rsidRPr="00207366">
        <w:t>physico chemical attributes.</w:t>
      </w:r>
      <w:bookmarkEnd w:id="200"/>
    </w:p>
    <w:p w14:paraId="68F43F1B" w14:textId="77777777" w:rsidR="00CF483E" w:rsidRPr="00B60B79" w:rsidRDefault="00CF483E" w:rsidP="00CF483E">
      <w:pPr>
        <w:pStyle w:val="Caption"/>
        <w:rPr>
          <w:rFonts w:eastAsia="MS Mincho"/>
        </w:rPr>
      </w:pPr>
      <w:r w:rsidRPr="003358DE">
        <w:t>Blue shaded vertical bars indicate watering actions</w:t>
      </w:r>
      <w:r w:rsidRPr="007B2589">
        <w:rPr>
          <w:rStyle w:val="CaptionChar"/>
        </w:rPr>
        <w:t>.</w:t>
      </w:r>
    </w:p>
    <w:p w14:paraId="7D25EB90" w14:textId="77777777" w:rsidR="00CF483E" w:rsidRDefault="00CF483E" w:rsidP="00CF483E">
      <w:pPr>
        <w:spacing w:before="0" w:after="160" w:line="259" w:lineRule="auto"/>
      </w:pPr>
      <w:r>
        <w:br w:type="page"/>
      </w:r>
    </w:p>
    <w:p w14:paraId="32CADDB6" w14:textId="41819291" w:rsidR="00CF483E" w:rsidRDefault="00B92616" w:rsidP="00CF483E">
      <w:r>
        <w:rPr>
          <w:noProof/>
          <w:lang w:eastAsia="en-AU"/>
        </w:rPr>
        <mc:AlternateContent>
          <mc:Choice Requires="wps">
            <w:drawing>
              <wp:anchor distT="0" distB="0" distL="114300" distR="114300" simplePos="0" relativeHeight="251697152" behindDoc="0" locked="0" layoutInCell="1" allowOverlap="1" wp14:anchorId="678B7EE7" wp14:editId="4AE1A5FD">
                <wp:simplePos x="0" y="0"/>
                <wp:positionH relativeFrom="column">
                  <wp:posOffset>2108201</wp:posOffset>
                </wp:positionH>
                <wp:positionV relativeFrom="paragraph">
                  <wp:posOffset>100330</wp:posOffset>
                </wp:positionV>
                <wp:extent cx="133350" cy="6823710"/>
                <wp:effectExtent l="0" t="0" r="0" b="0"/>
                <wp:wrapNone/>
                <wp:docPr id="231" name="Rectangle 231"/>
                <wp:cNvGraphicFramePr/>
                <a:graphic xmlns:a="http://schemas.openxmlformats.org/drawingml/2006/main">
                  <a:graphicData uri="http://schemas.microsoft.com/office/word/2010/wordprocessingShape">
                    <wps:wsp>
                      <wps:cNvSpPr/>
                      <wps:spPr>
                        <a:xfrm>
                          <a:off x="0" y="0"/>
                          <a:ext cx="133350" cy="682371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C70C06" id="Rectangle 231" o:spid="_x0000_s1026" style="position:absolute;margin-left:166pt;margin-top:7.9pt;width:10.5pt;height:537.3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96128" behindDoc="0" locked="0" layoutInCell="1" allowOverlap="1" wp14:anchorId="435C4D6B" wp14:editId="4DA9A6AA">
                <wp:simplePos x="0" y="0"/>
                <wp:positionH relativeFrom="column">
                  <wp:posOffset>1403350</wp:posOffset>
                </wp:positionH>
                <wp:positionV relativeFrom="paragraph">
                  <wp:posOffset>87630</wp:posOffset>
                </wp:positionV>
                <wp:extent cx="311150" cy="6835366"/>
                <wp:effectExtent l="0" t="0" r="0" b="3810"/>
                <wp:wrapNone/>
                <wp:docPr id="230" name="Rectangle 230"/>
                <wp:cNvGraphicFramePr/>
                <a:graphic xmlns:a="http://schemas.openxmlformats.org/drawingml/2006/main">
                  <a:graphicData uri="http://schemas.microsoft.com/office/word/2010/wordprocessingShape">
                    <wps:wsp>
                      <wps:cNvSpPr/>
                      <wps:spPr>
                        <a:xfrm>
                          <a:off x="0" y="0"/>
                          <a:ext cx="311150" cy="6835366"/>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AFBDC3" id="Rectangle 230" o:spid="_x0000_s1026" style="position:absolute;margin-left:110.5pt;margin-top:6.9pt;width:24.5pt;height:538.2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" fillcolor="#b8cce4 [1300]" stroked="f" strokeweight="2pt">
                <v:fill opacity="21074f"/>
              </v:rect>
            </w:pict>
          </mc:Fallback>
        </mc:AlternateContent>
      </w:r>
      <w:r w:rsidR="00CF483E">
        <w:rPr>
          <w:noProof/>
          <w:lang w:eastAsia="en-AU"/>
        </w:rPr>
        <w:drawing>
          <wp:inline distT="0" distB="0" distL="0" distR="0" wp14:anchorId="7971F80F" wp14:editId="006B93BD">
            <wp:extent cx="6171785" cy="1504315"/>
            <wp:effectExtent l="0" t="0" r="635" b="63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173775" cy="1504800"/>
                    </a:xfrm>
                    <a:prstGeom prst="rect">
                      <a:avLst/>
                    </a:prstGeom>
                    <a:noFill/>
                    <a:ln>
                      <a:noFill/>
                    </a:ln>
                    <a:extLst>
                      <a:ext uri="{53640926-AAD7-44D8-BBD7-CCE9431645EC}">
                        <a14:shadowObscured xmlns:a14="http://schemas.microsoft.com/office/drawing/2010/main"/>
                      </a:ext>
                    </a:extLst>
                  </pic:spPr>
                </pic:pic>
              </a:graphicData>
            </a:graphic>
          </wp:inline>
        </w:drawing>
      </w:r>
    </w:p>
    <w:p w14:paraId="2BA86643" w14:textId="77777777" w:rsidR="00CF483E" w:rsidRDefault="00CF483E" w:rsidP="00CF483E">
      <w:r>
        <w:rPr>
          <w:noProof/>
          <w:lang w:eastAsia="en-AU"/>
        </w:rPr>
        <w:drawing>
          <wp:inline distT="0" distB="0" distL="0" distR="0" wp14:anchorId="37DD0797" wp14:editId="3A0F742E">
            <wp:extent cx="6210000" cy="1893600"/>
            <wp:effectExtent l="0" t="0" r="63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6210000" cy="1893600"/>
                    </a:xfrm>
                    <a:prstGeom prst="rect">
                      <a:avLst/>
                    </a:prstGeom>
                    <a:noFill/>
                    <a:ln>
                      <a:noFill/>
                    </a:ln>
                    <a:extLst>
                      <a:ext uri="{53640926-AAD7-44D8-BBD7-CCE9431645EC}">
                        <a14:shadowObscured xmlns:a14="http://schemas.microsoft.com/office/drawing/2010/main"/>
                      </a:ext>
                    </a:extLst>
                  </pic:spPr>
                </pic:pic>
              </a:graphicData>
            </a:graphic>
          </wp:inline>
        </w:drawing>
      </w:r>
    </w:p>
    <w:p w14:paraId="7667D554" w14:textId="77777777" w:rsidR="00CF483E" w:rsidRDefault="00CF483E" w:rsidP="00CF483E">
      <w:pPr>
        <w:rPr>
          <w:noProof/>
        </w:rPr>
      </w:pPr>
      <w:r>
        <w:rPr>
          <w:noProof/>
          <w:lang w:eastAsia="en-AU"/>
        </w:rPr>
        <w:drawing>
          <wp:inline distT="0" distB="0" distL="0" distR="0" wp14:anchorId="7E71F41E" wp14:editId="7DE8DD3A">
            <wp:extent cx="6189726" cy="1837854"/>
            <wp:effectExtent l="0" t="0" r="190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6214402" cy="1845181"/>
                    </a:xfrm>
                    <a:prstGeom prst="rect">
                      <a:avLst/>
                    </a:prstGeom>
                    <a:noFill/>
                    <a:ln>
                      <a:noFill/>
                    </a:ln>
                    <a:extLst>
                      <a:ext uri="{53640926-AAD7-44D8-BBD7-CCE9431645EC}">
                        <a14:shadowObscured xmlns:a14="http://schemas.microsoft.com/office/drawing/2010/main"/>
                      </a:ext>
                    </a:extLst>
                  </pic:spPr>
                </pic:pic>
              </a:graphicData>
            </a:graphic>
          </wp:inline>
        </w:drawing>
      </w:r>
    </w:p>
    <w:p w14:paraId="086FF22D" w14:textId="77777777" w:rsidR="00CF483E" w:rsidRDefault="00CF483E" w:rsidP="00CF483E">
      <w:r>
        <w:rPr>
          <w:noProof/>
          <w:lang w:eastAsia="en-AU"/>
        </w:rPr>
        <w:drawing>
          <wp:inline distT="0" distB="0" distL="0" distR="0" wp14:anchorId="7DABD092" wp14:editId="697C018A">
            <wp:extent cx="6210000" cy="1922400"/>
            <wp:effectExtent l="0" t="0" r="635" b="190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6210000" cy="1922400"/>
                    </a:xfrm>
                    <a:prstGeom prst="rect">
                      <a:avLst/>
                    </a:prstGeom>
                    <a:noFill/>
                    <a:ln>
                      <a:noFill/>
                    </a:ln>
                    <a:extLst>
                      <a:ext uri="{53640926-AAD7-44D8-BBD7-CCE9431645EC}">
                        <a14:shadowObscured xmlns:a14="http://schemas.microsoft.com/office/drawing/2010/main"/>
                      </a:ext>
                    </a:extLst>
                  </pic:spPr>
                </pic:pic>
              </a:graphicData>
            </a:graphic>
          </wp:inline>
        </w:drawing>
      </w:r>
    </w:p>
    <w:p w14:paraId="49AA6929" w14:textId="77777777" w:rsidR="00CF483E" w:rsidRDefault="00CF483E" w:rsidP="00CF483E">
      <w:r>
        <w:rPr>
          <w:noProof/>
          <w:lang w:eastAsia="en-AU"/>
        </w:rPr>
        <w:drawing>
          <wp:inline distT="0" distB="0" distL="0" distR="0" wp14:anchorId="58CC2733" wp14:editId="5553F48E">
            <wp:extent cx="3444257" cy="190173"/>
            <wp:effectExtent l="0" t="0" r="3810"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l="5465" t="78355" r="38341" b="16902"/>
                    <a:stretch/>
                  </pic:blipFill>
                  <pic:spPr bwMode="auto">
                    <a:xfrm>
                      <a:off x="0" y="0"/>
                      <a:ext cx="3671206" cy="202704"/>
                    </a:xfrm>
                    <a:prstGeom prst="rect">
                      <a:avLst/>
                    </a:prstGeom>
                    <a:noFill/>
                    <a:ln>
                      <a:noFill/>
                    </a:ln>
                    <a:extLst>
                      <a:ext uri="{53640926-AAD7-44D8-BBD7-CCE9431645EC}">
                        <a14:shadowObscured xmlns:a14="http://schemas.microsoft.com/office/drawing/2010/main"/>
                      </a:ext>
                    </a:extLst>
                  </pic:spPr>
                </pic:pic>
              </a:graphicData>
            </a:graphic>
          </wp:inline>
        </w:drawing>
      </w:r>
    </w:p>
    <w:p w14:paraId="2991284E" w14:textId="569B26DD" w:rsidR="00CF483E" w:rsidRDefault="00CF483E" w:rsidP="00CF483E">
      <w:pPr>
        <w:pStyle w:val="Caption"/>
      </w:pPr>
      <w:bookmarkStart w:id="201" w:name="_Ref20403917"/>
      <w:bookmarkStart w:id="202" w:name="_Toc31985591"/>
      <w:r w:rsidRPr="003358DE">
        <w:t xml:space="preserve">Figure </w:t>
      </w:r>
      <w:r>
        <w:fldChar w:fldCharType="begin"/>
      </w:r>
      <w:r>
        <w:instrText>SEQ Figure \* ARABIC</w:instrText>
      </w:r>
      <w:r>
        <w:fldChar w:fldCharType="separate"/>
      </w:r>
      <w:r w:rsidR="007F7607">
        <w:rPr>
          <w:noProof/>
        </w:rPr>
        <w:t>27</w:t>
      </w:r>
      <w:r>
        <w:fldChar w:fldCharType="end"/>
      </w:r>
      <w:bookmarkEnd w:id="201"/>
      <w:r w:rsidRPr="003358DE">
        <w:t>. Mean water quality measurements (± standard error) for the four Mid Lachlan sites (Euabalong, Techam, Mulgutherie, Kirkup Park) over the sampling period 2018-19</w:t>
      </w:r>
      <w:r>
        <w:t xml:space="preserve">: </w:t>
      </w:r>
      <w:r w:rsidRPr="00207366">
        <w:t>nutrients and chlorophyll a.</w:t>
      </w:r>
      <w:bookmarkEnd w:id="202"/>
    </w:p>
    <w:p w14:paraId="40C40D15" w14:textId="77777777" w:rsidR="00CF483E" w:rsidRPr="009233D2" w:rsidRDefault="00CF483E" w:rsidP="00CF483E">
      <w:pPr>
        <w:pStyle w:val="Caption"/>
        <w:rPr>
          <w:rStyle w:val="CaptionChar"/>
          <w:bCs/>
          <w:i/>
        </w:rPr>
      </w:pPr>
      <w:r w:rsidRPr="003358DE">
        <w:rPr>
          <w:rStyle w:val="CaptionChar"/>
          <w:bCs/>
          <w:i/>
        </w:rPr>
        <w:t>Blue shaded vertical bars indicate watering actions.</w:t>
      </w:r>
      <w:r>
        <w:rPr>
          <w:rStyle w:val="CaptionChar"/>
          <w:bCs/>
          <w:i/>
        </w:rPr>
        <w:br w:type="page"/>
      </w:r>
    </w:p>
    <w:p w14:paraId="3C36A2D0" w14:textId="2391117B" w:rsidR="00CF483E" w:rsidRPr="0061232D" w:rsidRDefault="00CF483E" w:rsidP="00CF483E">
      <w:pPr>
        <w:pStyle w:val="Heading3"/>
        <w:rPr>
          <w:lang w:val="en-AU"/>
        </w:rPr>
      </w:pPr>
      <w:bookmarkStart w:id="203" w:name="_Toc31985464"/>
      <w:bookmarkStart w:id="204" w:name="_Toc4574782"/>
      <w:r w:rsidRPr="0061232D">
        <w:t>Water quality</w:t>
      </w:r>
      <w:r w:rsidRPr="0061232D">
        <w:rPr>
          <w:lang w:val="en-AU"/>
        </w:rPr>
        <w:t xml:space="preserve"> </w:t>
      </w:r>
      <w:r>
        <w:rPr>
          <w:lang w:val="en-AU"/>
        </w:rPr>
        <w:t>–</w:t>
      </w:r>
      <w:r w:rsidRPr="0061232D">
        <w:rPr>
          <w:lang w:val="en-AU"/>
        </w:rPr>
        <w:t xml:space="preserve"> </w:t>
      </w:r>
      <w:r>
        <w:rPr>
          <w:lang w:val="en-AU"/>
        </w:rPr>
        <w:t>2014-19</w:t>
      </w:r>
      <w:bookmarkEnd w:id="203"/>
    </w:p>
    <w:p w14:paraId="1710EAA5" w14:textId="77777777" w:rsidR="00CF483E" w:rsidRDefault="00CF483E" w:rsidP="00CF483E">
      <w:r>
        <w:t>The consolidated water quality data set from the lower Lachlan site shows some clear overall patterns.</w:t>
      </w:r>
    </w:p>
    <w:p w14:paraId="7F0670B0" w14:textId="77777777" w:rsidR="00CF483E" w:rsidRDefault="00CF483E" w:rsidP="00D437E3">
      <w:pPr>
        <w:pStyle w:val="ListParagraph"/>
        <w:numPr>
          <w:ilvl w:val="0"/>
          <w:numId w:val="34"/>
        </w:numPr>
        <w:spacing w:before="120" w:after="120"/>
      </w:pPr>
      <w:r>
        <w:t>Strong seasonality in temperature data, with any effect of environmental flow delivery being very slight against this natural variability.</w:t>
      </w:r>
    </w:p>
    <w:p w14:paraId="351E0B58" w14:textId="77777777" w:rsidR="00CF483E" w:rsidRDefault="00CF483E" w:rsidP="00D437E3">
      <w:pPr>
        <w:pStyle w:val="ListParagraph"/>
        <w:numPr>
          <w:ilvl w:val="0"/>
          <w:numId w:val="34"/>
        </w:numPr>
        <w:spacing w:before="120" w:after="120"/>
      </w:pPr>
      <w:r>
        <w:t xml:space="preserve">High variability in parameters, which is likely to reflect genuine patchiness in water quality as a consequence of low rates of mixing and inputs from shallow groundwater systems and tributaries. </w:t>
      </w:r>
    </w:p>
    <w:p w14:paraId="5CA60F1A" w14:textId="521DC6EB" w:rsidR="00CF483E" w:rsidRDefault="00CF483E" w:rsidP="00D437E3">
      <w:pPr>
        <w:pStyle w:val="ListParagraph"/>
        <w:numPr>
          <w:ilvl w:val="0"/>
          <w:numId w:val="34"/>
        </w:numPr>
        <w:spacing w:before="120" w:after="120"/>
      </w:pPr>
      <w:r>
        <w:t>Striking effects of a large natural flood in 2016</w:t>
      </w:r>
      <w:r w:rsidR="00507E37">
        <w:t>-</w:t>
      </w:r>
      <w:r>
        <w:t>17.</w:t>
      </w:r>
    </w:p>
    <w:p w14:paraId="699E3401" w14:textId="77777777" w:rsidR="00CF483E" w:rsidRDefault="00CF483E" w:rsidP="00D437E3">
      <w:pPr>
        <w:pStyle w:val="ListParagraph"/>
        <w:numPr>
          <w:ilvl w:val="0"/>
          <w:numId w:val="34"/>
        </w:numPr>
        <w:spacing w:before="120" w:after="120"/>
      </w:pPr>
      <w:r>
        <w:t xml:space="preserve">Evidence of a pattern of increased turbidity, higher DOC and periodically higher nutrients and algal concentrations associated with environmental flow delivery indicating likely mobilisation of material in the channel and dilution of ions. </w:t>
      </w:r>
    </w:p>
    <w:p w14:paraId="753E0937" w14:textId="2C9E091F" w:rsidR="00CF483E" w:rsidRDefault="00CF483E" w:rsidP="00CF483E">
      <w:r w:rsidRPr="00D40CA6">
        <w:t xml:space="preserve">Water temperature </w:t>
      </w:r>
      <w:r>
        <w:t xml:space="preserve">and dissolved oxygen </w:t>
      </w:r>
      <w:r w:rsidRPr="00D40CA6">
        <w:t>show</w:t>
      </w:r>
      <w:r>
        <w:t>ing</w:t>
      </w:r>
      <w:r w:rsidRPr="00D40CA6">
        <w:t xml:space="preserve"> a </w:t>
      </w:r>
      <w:r>
        <w:t xml:space="preserve">strong </w:t>
      </w:r>
      <w:r w:rsidRPr="00D40CA6">
        <w:t>typical seasonal pattern</w:t>
      </w:r>
      <w:r>
        <w:t xml:space="preserve"> (</w:t>
      </w:r>
      <w:r>
        <w:fldChar w:fldCharType="begin"/>
      </w:r>
      <w:r>
        <w:instrText xml:space="preserve"> REF _Ref19280696 \h </w:instrText>
      </w:r>
      <w:r>
        <w:fldChar w:fldCharType="separate"/>
      </w:r>
      <w:r w:rsidR="007F7607" w:rsidRPr="003358DE">
        <w:t xml:space="preserve">Figure </w:t>
      </w:r>
      <w:r w:rsidR="007F7607">
        <w:rPr>
          <w:noProof/>
        </w:rPr>
        <w:t>28</w:t>
      </w:r>
      <w:r>
        <w:fldChar w:fldCharType="end"/>
      </w:r>
      <w:r>
        <w:t xml:space="preserve">). Years with lower or higher inflows did not show any deviation from this general pattern. </w:t>
      </w:r>
    </w:p>
    <w:p w14:paraId="67F470AC" w14:textId="0CA739B2" w:rsidR="00CF483E" w:rsidRPr="00D40CA6" w:rsidRDefault="00CF483E" w:rsidP="00CF483E">
      <w:r>
        <w:t>Turbidity, pH and conductivity were relatively variable (</w:t>
      </w:r>
      <w:r>
        <w:fldChar w:fldCharType="begin"/>
      </w:r>
      <w:r>
        <w:instrText xml:space="preserve"> REF _Ref20404031 \h </w:instrText>
      </w:r>
      <w:r>
        <w:fldChar w:fldCharType="separate"/>
      </w:r>
      <w:r w:rsidR="007F7607" w:rsidRPr="00002290">
        <w:t xml:space="preserve">Figure </w:t>
      </w:r>
      <w:r w:rsidR="007F7607">
        <w:rPr>
          <w:noProof/>
        </w:rPr>
        <w:t>29</w:t>
      </w:r>
      <w:r>
        <w:fldChar w:fldCharType="end"/>
      </w:r>
      <w:r>
        <w:t>), but showed clear evidence of lower values associated with the large natural flow event</w:t>
      </w:r>
      <w:r w:rsidRPr="00D40CA6">
        <w:t>,</w:t>
      </w:r>
      <w:r>
        <w:t xml:space="preserve"> likely reflecting dilution as a consequence of the very high inflows. Environmental flow events had much smaller effects on these parameters and were limited to slight increases in turbidity consistent with mobilisation of organic material.</w:t>
      </w:r>
    </w:p>
    <w:p w14:paraId="279373B1" w14:textId="0468011B" w:rsidR="00CF483E" w:rsidRDefault="00CF483E" w:rsidP="00CF483E">
      <w:r w:rsidRPr="00D40CA6">
        <w:t>Results for major nutrients</w:t>
      </w:r>
      <w:r>
        <w:t xml:space="preserve"> (</w:t>
      </w:r>
      <w:r>
        <w:fldChar w:fldCharType="begin"/>
      </w:r>
      <w:r>
        <w:instrText xml:space="preserve"> REF _Ref20404258 \h </w:instrText>
      </w:r>
      <w:r>
        <w:fldChar w:fldCharType="separate"/>
      </w:r>
      <w:r w:rsidR="007F7607" w:rsidRPr="00002290">
        <w:t xml:space="preserve">Figure </w:t>
      </w:r>
      <w:r w:rsidR="007F7607">
        <w:rPr>
          <w:noProof/>
        </w:rPr>
        <w:t>30</w:t>
      </w:r>
      <w:r>
        <w:fldChar w:fldCharType="end"/>
      </w:r>
      <w:r>
        <w:t>) showed striking effects of the large natural flow which was associated with high concentrations of total nitrogen, phosphorus and ammonia. These may be sourced from organic material in channel or from return flows from newly wetted anabranches, wetlands or billabongs. Environmental flows also showed some association with slightly higher concentrations of phosphorus, although of a much lower magnitude than the effect seen during the natural flow</w:t>
      </w:r>
    </w:p>
    <w:p w14:paraId="5ECA14C8" w14:textId="2044471A" w:rsidR="00CF483E" w:rsidRDefault="00CF483E" w:rsidP="00CF483E">
      <w:r>
        <w:t>Concentrations of key basal resources were variable, particularly in the case of DOC (</w:t>
      </w:r>
      <w:r>
        <w:fldChar w:fldCharType="begin"/>
      </w:r>
      <w:r>
        <w:instrText xml:space="preserve"> REF _Ref20404258 \h </w:instrText>
      </w:r>
      <w:r>
        <w:fldChar w:fldCharType="separate"/>
      </w:r>
      <w:r w:rsidR="007F7607" w:rsidRPr="00002290">
        <w:t xml:space="preserve">Figure </w:t>
      </w:r>
      <w:r w:rsidR="007F7607">
        <w:rPr>
          <w:noProof/>
        </w:rPr>
        <w:t>30</w:t>
      </w:r>
      <w:r>
        <w:fldChar w:fldCharType="end"/>
      </w:r>
      <w:r>
        <w:t xml:space="preserve">). The large natural flow event resulted in uniformly higher values of DOC, indicative of carbon being mobilised into the water column. However single values for measurements at low flow or during environmental flows were as large or exceeded the values observed during that high flow event. Several environmental flow events showed evidence of slight increases in DOC consistent with increased carbon availability. </w:t>
      </w:r>
    </w:p>
    <w:p w14:paraId="098C2170" w14:textId="1246AC30" w:rsidR="00CF483E" w:rsidRDefault="00CF483E" w:rsidP="00CF483E">
      <w:r>
        <w:t xml:space="preserve">Chlorophyll data were relatively sparse, and effects of variability in flow were much smaller or non-detectable. For both the high natural flow and several environmental flow events there was evidence of initial dilution of algal cells (lower chlorophyll) on the ascending limb of the hydrograph and then a lagged increase after the peak flow. It is not possible to differentiate the physical effects of dilution, proliferation and then concentration from responses to nutrients, which also show the same pattern. However, it appears that environmental flows with even small peaks in nutrient availability were those that were associated with high values of chlorophyll (compare panels in </w:t>
      </w:r>
      <w:r>
        <w:fldChar w:fldCharType="begin"/>
      </w:r>
      <w:r>
        <w:instrText xml:space="preserve"> REF _Ref20404258 \h </w:instrText>
      </w:r>
      <w:r>
        <w:fldChar w:fldCharType="separate"/>
      </w:r>
      <w:r w:rsidR="007F7607" w:rsidRPr="00002290">
        <w:t xml:space="preserve">Figure </w:t>
      </w:r>
      <w:r w:rsidR="007F7607">
        <w:rPr>
          <w:noProof/>
        </w:rPr>
        <w:t>30</w:t>
      </w:r>
      <w:r>
        <w:fldChar w:fldCharType="end"/>
      </w:r>
      <w:r>
        <w:t xml:space="preserve">). </w:t>
      </w:r>
      <w:r w:rsidRPr="00D40CA6">
        <w:t>There is a limited amount of data available for</w:t>
      </w:r>
      <w:r>
        <w:t xml:space="preserve"> making clear conclusions on the effects of environmental water in the lower Lachlan, and interpretation is made more complex by the high year to year variability in inflows. </w:t>
      </w:r>
    </w:p>
    <w:p w14:paraId="5FEB84ED" w14:textId="77777777" w:rsidR="00CF483E" w:rsidRDefault="00CF483E" w:rsidP="00CF483E"/>
    <w:p w14:paraId="69575DA0" w14:textId="77777777" w:rsidR="00CF483E" w:rsidRDefault="00CF483E" w:rsidP="00CF483E">
      <w:pPr>
        <w:rPr>
          <w:noProof/>
        </w:rPr>
      </w:pPr>
      <w:r>
        <w:rPr>
          <w:noProof/>
          <w:lang w:eastAsia="en-AU"/>
        </w:rPr>
        <w:drawing>
          <wp:inline distT="0" distB="0" distL="0" distR="0" wp14:anchorId="08EE4EF3" wp14:editId="10D9DB3B">
            <wp:extent cx="6192000" cy="34128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6192000" cy="3412800"/>
                    </a:xfrm>
                    <a:prstGeom prst="rect">
                      <a:avLst/>
                    </a:prstGeom>
                    <a:noFill/>
                    <a:ln>
                      <a:noFill/>
                    </a:ln>
                    <a:extLst>
                      <a:ext uri="{53640926-AAD7-44D8-BBD7-CCE9431645EC}">
                        <a14:shadowObscured xmlns:a14="http://schemas.microsoft.com/office/drawing/2010/main"/>
                      </a:ext>
                    </a:extLst>
                  </pic:spPr>
                </pic:pic>
              </a:graphicData>
            </a:graphic>
          </wp:inline>
        </w:drawing>
      </w:r>
    </w:p>
    <w:p w14:paraId="57AFA1AF" w14:textId="081B2790" w:rsidR="00CF483E" w:rsidRPr="00B277DA" w:rsidRDefault="00CF483E" w:rsidP="00CF483E">
      <w:pPr>
        <w:pStyle w:val="Caption"/>
      </w:pPr>
      <w:bookmarkStart w:id="205" w:name="_Ref19280696"/>
      <w:bookmarkStart w:id="206" w:name="_Ref19536674"/>
      <w:bookmarkStart w:id="207" w:name="_Toc31985592"/>
      <w:r w:rsidRPr="003358DE">
        <w:t xml:space="preserve">Figure </w:t>
      </w:r>
      <w:r>
        <w:fldChar w:fldCharType="begin"/>
      </w:r>
      <w:r>
        <w:instrText>SEQ Figure \* ARABIC</w:instrText>
      </w:r>
      <w:r>
        <w:fldChar w:fldCharType="separate"/>
      </w:r>
      <w:r w:rsidR="007F7607">
        <w:rPr>
          <w:noProof/>
        </w:rPr>
        <w:t>28</w:t>
      </w:r>
      <w:r>
        <w:fldChar w:fldCharType="end"/>
      </w:r>
      <w:bookmarkEnd w:id="205"/>
      <w:r w:rsidRPr="003358DE">
        <w:t xml:space="preserve">. </w:t>
      </w:r>
      <w:r>
        <w:t>Water temperature and dissolved oxygen for the four study sites</w:t>
      </w:r>
      <w:r w:rsidRPr="0022477F">
        <w:t xml:space="preserve"> </w:t>
      </w:r>
      <w:r>
        <w:t xml:space="preserve">from the Lower Lachlan </w:t>
      </w:r>
      <w:r w:rsidRPr="00B277DA">
        <w:t>River (Cowl Cowl, Lane’s Bridge, Wallanthery and Whealbah) over the sampling period 2014-19.</w:t>
      </w:r>
      <w:bookmarkEnd w:id="206"/>
      <w:bookmarkEnd w:id="207"/>
    </w:p>
    <w:p w14:paraId="02990134" w14:textId="3B922C43" w:rsidR="00CF483E" w:rsidRPr="00B277DA" w:rsidRDefault="00CF483E" w:rsidP="00CF483E">
      <w:pPr>
        <w:pStyle w:val="Caption"/>
        <w:rPr>
          <w:highlight w:val="yellow"/>
          <w:lang w:val="en-GB"/>
        </w:rPr>
      </w:pPr>
      <w:r w:rsidRPr="00B277DA">
        <w:rPr>
          <w:lang w:val="en-GB"/>
        </w:rPr>
        <w:t>Because of initial issues with access to sites, there is incomplete data prior to and including November 2014</w:t>
      </w:r>
      <w:r w:rsidR="00B277DA" w:rsidRPr="00B277DA">
        <w:rPr>
          <w:lang w:val="en-GB"/>
        </w:rPr>
        <w:t xml:space="preserve">. </w:t>
      </w:r>
      <w:r w:rsidRPr="00B277DA">
        <w:rPr>
          <w:color w:val="000000"/>
          <w:lang w:val="en-GB"/>
        </w:rPr>
        <w:t>Continuous sampling took place from 25</w:t>
      </w:r>
      <w:r w:rsidRPr="00B277DA">
        <w:rPr>
          <w:color w:val="000000"/>
          <w:vertAlign w:val="superscript"/>
          <w:lang w:val="en-GB"/>
        </w:rPr>
        <w:t>th</w:t>
      </w:r>
      <w:r w:rsidRPr="00B277DA">
        <w:rPr>
          <w:color w:val="000000"/>
          <w:lang w:val="en-GB"/>
        </w:rPr>
        <w:t xml:space="preserve"> June 2015.</w:t>
      </w:r>
      <w:r w:rsidRPr="00D06781">
        <w:rPr>
          <w:color w:val="000000"/>
          <w:lang w:val="en-GB"/>
        </w:rPr>
        <w:t xml:space="preserve"> </w:t>
      </w:r>
      <w:r>
        <w:rPr>
          <w:noProof/>
          <w:lang w:eastAsia="en-AU"/>
        </w:rPr>
        <w:br w:type="page"/>
      </w:r>
    </w:p>
    <w:p w14:paraId="42CFD599" w14:textId="77777777" w:rsidR="00CF483E" w:rsidRPr="0096496C" w:rsidRDefault="00CF483E" w:rsidP="00CF483E">
      <w:bookmarkStart w:id="208" w:name="_Ref17964984"/>
      <w:bookmarkStart w:id="209" w:name="_Ref18069593"/>
      <w:bookmarkStart w:id="210" w:name="_Toc18672216"/>
      <w:r>
        <w:rPr>
          <w:bCs/>
          <w:i/>
          <w:noProof/>
          <w:lang w:eastAsia="en-AU"/>
        </w:rPr>
        <mc:AlternateContent>
          <mc:Choice Requires="wpg">
            <w:drawing>
              <wp:anchor distT="0" distB="0" distL="114300" distR="114300" simplePos="0" relativeHeight="251708416" behindDoc="0" locked="0" layoutInCell="1" allowOverlap="1" wp14:anchorId="6C005946" wp14:editId="10BC32A4">
                <wp:simplePos x="0" y="0"/>
                <wp:positionH relativeFrom="column">
                  <wp:posOffset>676275</wp:posOffset>
                </wp:positionH>
                <wp:positionV relativeFrom="paragraph">
                  <wp:posOffset>114300</wp:posOffset>
                </wp:positionV>
                <wp:extent cx="3839845" cy="6504940"/>
                <wp:effectExtent l="0" t="0" r="8255" b="0"/>
                <wp:wrapNone/>
                <wp:docPr id="143" name="Group 143"/>
                <wp:cNvGraphicFramePr/>
                <a:graphic xmlns:a="http://schemas.openxmlformats.org/drawingml/2006/main">
                  <a:graphicData uri="http://schemas.microsoft.com/office/word/2010/wordprocessingGroup">
                    <wpg:wgp>
                      <wpg:cNvGrpSpPr/>
                      <wpg:grpSpPr>
                        <a:xfrm>
                          <a:off x="0" y="0"/>
                          <a:ext cx="3839845" cy="6504940"/>
                          <a:chOff x="0" y="0"/>
                          <a:chExt cx="3839845" cy="6504940"/>
                        </a:xfrm>
                      </wpg:grpSpPr>
                      <wps:wsp>
                        <wps:cNvPr id="127" name="Rectangle 127"/>
                        <wps:cNvSpPr/>
                        <wps:spPr>
                          <a:xfrm>
                            <a:off x="0" y="0"/>
                            <a:ext cx="46418" cy="6486426"/>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866775" y="9525"/>
                            <a:ext cx="411879" cy="6476851"/>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2219325" y="19050"/>
                            <a:ext cx="242551" cy="6476851"/>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131"/>
                        <wps:cNvSpPr/>
                        <wps:spPr>
                          <a:xfrm>
                            <a:off x="3143250" y="19050"/>
                            <a:ext cx="166370" cy="647636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ectangle 132"/>
                        <wps:cNvSpPr/>
                        <wps:spPr>
                          <a:xfrm>
                            <a:off x="3781425" y="9525"/>
                            <a:ext cx="58420" cy="649541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205CE4" id="Group 143" o:spid="_x0000_s1026" style="position:absolute;margin-left:53.25pt;margin-top:9pt;width:302.35pt;height:512.2pt;z-index:251708416" coordsize="38398,6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">
                <v:rect id="Rectangle 127" o:spid="_x0000_s1027" style="position:absolute;width:464;height:6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3YMEA&#10;AADcAAAADwAAAGRycy9kb3ducmV2LnhtbERPTYvCMBC9C/sfwix401RZdKlGcZVFPVr34m1MxrbY&#10;TLpN1PrvjSB4m8f7nOm8tZW4UuNLxwoG/QQEsXam5FzB3/639w3CB2SDlWNScCcP89lHZ4qpcTfe&#10;0TULuYgh7FNUUIRQp1J6XZBF33c1ceROrrEYImxyaRq8xXBbyWGSjKTFkmNDgTUtC9Ln7GIV1Jk+&#10;bhfj/VJvDuZr/f9zyI+rrVLdz3YxARGoDW/xy70xcf5wDM9n4gV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x92DBAAAA3AAAAA8AAAAAAAAAAAAAAAAAmAIAAGRycy9kb3du&#10;cmV2LnhtbFBLBQYAAAAABAAEAPUAAACGAwAAAAA=&#10;" fillcolor="#b6dde8 [1304]" stroked="f" strokeweight="2pt">
                  <v:fill opacity="32896f"/>
                </v:rect>
                <v:rect id="Rectangle 128" o:spid="_x0000_s1028" style="position:absolute;left:8667;top:95;width:4119;height:6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5jEsQA&#10;AADcAAAADwAAAGRycy9kb3ducmV2LnhtbESPQW/CMAyF75P4D5GRdhspaNpQISBgmgbHFS7cTGLa&#10;isbpmgy6fz8fkLjZes/vfZ4ve9+oK3WxDmxgPMpAEdvgai4NHPafL1NQMSE7bAKTgT+KsFwMnuaY&#10;u3Djb7oWqVQSwjFHA1VKba51tBV5jKPQEot2Dp3HJGtXatfhTcJ9oydZ9qY91iwNFba0qcheil9v&#10;oC3sabd632/s9uhev37Wx/L0sTPmedivZqAS9elhvl9vneBPhFaekQn0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uYxLEAAAA3AAAAA8AAAAAAAAAAAAAAAAAmAIAAGRycy9k&#10;b3ducmV2LnhtbFBLBQYAAAAABAAEAPUAAACJAwAAAAA=&#10;" fillcolor="#b6dde8 [1304]" stroked="f" strokeweight="2pt">
                  <v:fill opacity="32896f"/>
                </v:rect>
                <v:rect id="Rectangle 129" o:spid="_x0000_s1029" style="position:absolute;left:22193;top:190;width:2425;height:64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GicMA&#10;AADcAAAADwAAAGRycy9kb3ducmV2LnhtbERPPW/CMBDdK/EfrEPqVhxQ1UKIQUBVFUYCC9vFPpKI&#10;+JzGLoR/jytV6nZP7/OyZW8bcaXO144VjEcJCGLtTM2lguPh82UKwgdkg41jUnAnD8vF4CnD1Lgb&#10;7+mah1LEEPYpKqhCaFMpva7Ioh+5ljhyZ9dZDBF2pTQd3mK4beQkSd6kxZpjQ4UtbSrSl/zHKmhz&#10;XexW74eN3p7M69f3+lQWHzulnof9ag4iUB/+xX/urYnzJzP4fSZ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LGicMAAADcAAAADwAAAAAAAAAAAAAAAACYAgAAZHJzL2Rv&#10;d25yZXYueG1sUEsFBgAAAAAEAAQA9QAAAIgDAAAAAA==&#10;" fillcolor="#b6dde8 [1304]" stroked="f" strokeweight="2pt">
                  <v:fill opacity="32896f"/>
                </v:rect>
                <v:rect id="Rectangle 131" o:spid="_x0000_s1030" style="position:absolute;left:31432;top:190;width:1664;height:6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cUsIA&#10;AADcAAAADwAAAGRycy9kb3ducmV2LnhtbERPPW/CMBDdkfofrKvEBg4FtVWKQRSEgJGkC9thX5Oo&#10;8TnEBsK/x5WQ2O7pfd503tlaXKj1lWMFo2ECglg7U3Gh4CdfDz5B+IBssHZMCm7kYT576U0xNe7K&#10;e7pkoRAxhH2KCsoQmlRKr0uy6IeuIY7cr2sthgjbQpoWrzHc1vItSd6lxYpjQ4kNLUvSf9nZKmgy&#10;fdwtPvKl3h7MZHP6PhTH1U6p/mu3+AIRqAtP8cO9NXH+eAT/z8QL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VxSwgAAANwAAAAPAAAAAAAAAAAAAAAAAJgCAABkcnMvZG93&#10;bnJldi54bWxQSwUGAAAAAAQABAD1AAAAhwMAAAAA&#10;" fillcolor="#b6dde8 [1304]" stroked="f" strokeweight="2pt">
                  <v:fill opacity="32896f"/>
                </v:rect>
                <v:rect id="Rectangle 132" o:spid="_x0000_s1031" style="position:absolute;left:37814;top:95;width:584;height:64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JcMA&#10;AADcAAAADwAAAGRycy9kb3ducmV2LnhtbERPPW/CMBDdK/EfrEPqVhxoVVCIQUBVFUYCC9vFPpKI&#10;+JzGLoR/jytV6nZP7/OyZW8bcaXO144VjEcJCGLtTM2lguPh82UGwgdkg41jUnAnD8vF4CnD1Lgb&#10;7+mah1LEEPYpKqhCaFMpva7Ioh+5ljhyZ9dZDBF2pTQd3mK4beQkSd6lxZpjQ4UtbSrSl/zHKmhz&#10;XexW08NGb0/m7et7fSqLj51Sz8N+NQcRqA//4j/31sT5rxP4fSZ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CJcMAAADcAAAADwAAAAAAAAAAAAAAAACYAgAAZHJzL2Rv&#10;d25yZXYueG1sUEsFBgAAAAAEAAQA9QAAAIgDAAAAAA==&#10;" fillcolor="#b6dde8 [1304]" stroked="f" strokeweight="2pt">
                  <v:fill opacity="32896f"/>
                </v:rect>
              </v:group>
            </w:pict>
          </mc:Fallback>
        </mc:AlternateContent>
      </w:r>
      <w:r>
        <w:rPr>
          <w:bCs/>
          <w:i/>
          <w:noProof/>
          <w:lang w:eastAsia="en-AU"/>
        </w:rPr>
        <mc:AlternateContent>
          <mc:Choice Requires="wpg">
            <w:drawing>
              <wp:anchor distT="0" distB="0" distL="114300" distR="114300" simplePos="0" relativeHeight="251709440" behindDoc="0" locked="0" layoutInCell="1" allowOverlap="1" wp14:anchorId="60EC2890" wp14:editId="1EEF66A4">
                <wp:simplePos x="0" y="0"/>
                <wp:positionH relativeFrom="column">
                  <wp:posOffset>4810125</wp:posOffset>
                </wp:positionH>
                <wp:positionV relativeFrom="paragraph">
                  <wp:posOffset>114301</wp:posOffset>
                </wp:positionV>
                <wp:extent cx="778510" cy="6496050"/>
                <wp:effectExtent l="0" t="0" r="2540" b="0"/>
                <wp:wrapNone/>
                <wp:docPr id="136" name="Group 136"/>
                <wp:cNvGraphicFramePr/>
                <a:graphic xmlns:a="http://schemas.openxmlformats.org/drawingml/2006/main">
                  <a:graphicData uri="http://schemas.microsoft.com/office/word/2010/wordprocessingGroup">
                    <wpg:wgp>
                      <wpg:cNvGrpSpPr/>
                      <wpg:grpSpPr>
                        <a:xfrm>
                          <a:off x="0" y="0"/>
                          <a:ext cx="778510" cy="6496050"/>
                          <a:chOff x="0" y="0"/>
                          <a:chExt cx="2693035" cy="4306570"/>
                        </a:xfrm>
                      </wpg:grpSpPr>
                      <wps:wsp>
                        <wps:cNvPr id="137" name="Rectangle 137"/>
                        <wps:cNvSpPr/>
                        <wps:spPr>
                          <a:xfrm>
                            <a:off x="2520950" y="0"/>
                            <a:ext cx="172085" cy="4282440"/>
                          </a:xfrm>
                          <a:prstGeom prst="rect">
                            <a:avLst/>
                          </a:prstGeom>
                          <a:solidFill>
                            <a:srgbClr val="4F81BD">
                              <a:lumMod val="60000"/>
                              <a:lumOff val="40000"/>
                              <a:alpha val="32000"/>
                            </a:srgbClr>
                          </a:solidFill>
                          <a:ln w="25400" cap="flat" cmpd="sng" algn="ctr">
                            <a:noFill/>
                            <a:prstDash val="solid"/>
                          </a:ln>
                          <a:effectLst/>
                        </wps:spPr>
                        <wps:txbx>
                          <w:txbxContent>
                            <w:p w14:paraId="619ACDE1"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Rectangle 138"/>
                        <wps:cNvSpPr/>
                        <wps:spPr>
                          <a:xfrm flipH="1">
                            <a:off x="0" y="6350"/>
                            <a:ext cx="165100" cy="4300220"/>
                          </a:xfrm>
                          <a:prstGeom prst="rect">
                            <a:avLst/>
                          </a:prstGeom>
                          <a:solidFill>
                            <a:srgbClr val="4F81BD">
                              <a:lumMod val="60000"/>
                              <a:lumOff val="40000"/>
                              <a:alpha val="32000"/>
                            </a:srgbClr>
                          </a:solidFill>
                          <a:ln w="25400" cap="flat" cmpd="sng" algn="ctr">
                            <a:noFill/>
                            <a:prstDash val="solid"/>
                          </a:ln>
                          <a:effectLst/>
                        </wps:spPr>
                        <wps:txbx>
                          <w:txbxContent>
                            <w:p w14:paraId="0AD91BAA"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Rectangle 139"/>
                        <wps:cNvSpPr/>
                        <wps:spPr>
                          <a:xfrm>
                            <a:off x="317500" y="19050"/>
                            <a:ext cx="76200" cy="4271010"/>
                          </a:xfrm>
                          <a:prstGeom prst="rect">
                            <a:avLst/>
                          </a:prstGeom>
                          <a:solidFill>
                            <a:srgbClr val="4F81BD">
                              <a:lumMod val="60000"/>
                              <a:lumOff val="40000"/>
                              <a:alpha val="32000"/>
                            </a:srgbClr>
                          </a:solidFill>
                          <a:ln w="25400" cap="flat" cmpd="sng" algn="ctr">
                            <a:noFill/>
                            <a:prstDash val="solid"/>
                          </a:ln>
                          <a:effectLst/>
                        </wps:spPr>
                        <wps:txbx>
                          <w:txbxContent>
                            <w:p w14:paraId="460703F3" w14:textId="77777777" w:rsidR="007F7607" w:rsidRDefault="007F7607" w:rsidP="00CF483E"/>
                            <w:p w14:paraId="162F6E27"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438150" y="12700"/>
                            <a:ext cx="207010" cy="4277360"/>
                          </a:xfrm>
                          <a:prstGeom prst="rect">
                            <a:avLst/>
                          </a:prstGeom>
                          <a:solidFill>
                            <a:srgbClr val="4F81BD">
                              <a:lumMod val="60000"/>
                              <a:lumOff val="40000"/>
                              <a:alpha val="32000"/>
                            </a:srgbClr>
                          </a:solidFill>
                          <a:ln w="25400" cap="flat" cmpd="sng" algn="ctr">
                            <a:noFill/>
                            <a:prstDash val="solid"/>
                          </a:ln>
                          <a:effectLst/>
                        </wps:spPr>
                        <wps:txbx>
                          <w:txbxContent>
                            <w:p w14:paraId="34A17EB9" w14:textId="77777777" w:rsidR="007F7607" w:rsidRDefault="007F7607" w:rsidP="00CF483E"/>
                            <w:p w14:paraId="32874DA8"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EC2890" id="Group 136" o:spid="_x0000_s1041" style="position:absolute;margin-left:378.75pt;margin-top:9pt;width:61.3pt;height:511.5pt;z-index:251709440;mso-width-relative:margin;mso-height-relative:margin" coordsize="26930,4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">
                <v:rect id="Rectangle 137" o:spid="_x0000_s1042" style="position:absolute;left:25209;width:1721;height:42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zYOcEA&#10;AADcAAAADwAAAGRycy9kb3ducmV2LnhtbERPzWrCQBC+F3yHZQpeSt1ooYbUNQQxtsea+ABDdpoE&#10;s7Nhd9X49m6h0Nt8fL+zyScziCs531tWsFwkIIgbq3tuFZzq8jUF4QOyxsEyKbiTh3w7e9pgpu2N&#10;j3StQitiCPsMFXQhjJmUvunIoF/YkThyP9YZDBG6VmqHtxhuBrlKkndpsOfY0OFIu46ac3UxCvZn&#10;TU1afq5L68YXXaffzh0KpebPU/EBItAU/sV/7i8d57+t4feZeIH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c2DnBAAAA3AAAAA8AAAAAAAAAAAAAAAAAmAIAAGRycy9kb3du&#10;cmV2LnhtbFBLBQYAAAAABAAEAPUAAACGAwAAAAA=&#10;" fillcolor="#95b3d7" stroked="f" strokeweight="2pt">
                  <v:fill opacity="21074f"/>
                  <v:textbox>
                    <w:txbxContent>
                      <w:p w14:paraId="619ACDE1" w14:textId="77777777" w:rsidR="007F7607" w:rsidRDefault="007F7607" w:rsidP="00CF483E"/>
                    </w:txbxContent>
                  </v:textbox>
                </v:rect>
                <v:rect id="Rectangle 138" o:spid="_x0000_s1043" style="position:absolute;top:63;width:1651;height:4300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5elcYA&#10;AADcAAAADwAAAGRycy9kb3ducmV2LnhtbESPT2vCQBDF70K/wzKCN93YSpHUVYq24EXwTyt4G7Jj&#10;EszOhuzWRD+9cyh4m+G9ee83s0XnKnWlJpSeDYxHCSjizNuScwM/h+/hFFSIyBYrz2TgRgEW85fe&#10;DFPrW97RdR9zJSEcUjRQxFinWoesIIdh5Gti0c6+cRhlbXJtG2wl3FX6NUnetcOSpaHAmpYFZZf9&#10;nzOwOm+S3frrd7K6HNvtPVB2miyDMYN+9/kBKlIXn+b/67UV/DehlWdkAj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5elcYAAADcAAAADwAAAAAAAAAAAAAAAACYAgAAZHJz&#10;L2Rvd25yZXYueG1sUEsFBgAAAAAEAAQA9QAAAIsDAAAAAA==&#10;" fillcolor="#95b3d7" stroked="f" strokeweight="2pt">
                  <v:fill opacity="21074f"/>
                  <v:textbox>
                    <w:txbxContent>
                      <w:p w14:paraId="0AD91BAA" w14:textId="77777777" w:rsidR="007F7607" w:rsidRDefault="007F7607" w:rsidP="00CF483E"/>
                    </w:txbxContent>
                  </v:textbox>
                </v:rect>
                <v:rect id="Rectangle 139" o:spid="_x0000_s1044" style="position:absolute;left:3175;top:190;width:762;height:427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0MAA&#10;AADcAAAADwAAAGRycy9kb3ducmV2LnhtbERP24rCMBB9X/Afwgi+LJrqwlqrUUTsuo/ePmBoxrbY&#10;TEoStfv3G0HwbQ7nOotVZxpxJ+drywrGowQEcWF1zaWC8ykfpiB8QNbYWCYFf+Rhtex9LDDT9sEH&#10;uh9DKWII+wwVVCG0mZS+qMigH9mWOHIX6wyGCF0ptcNHDDeNnCTJtzRYc2yosKVNRcX1eDMKtldN&#10;RZrvprl17ac+pXvnftZKDfrdeg4iUBfe4pf7V8f5XzN4PhMv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p0MAAAADcAAAADwAAAAAAAAAAAAAAAACYAgAAZHJzL2Rvd25y&#10;ZXYueG1sUEsFBgAAAAAEAAQA9QAAAIUDAAAAAA==&#10;" fillcolor="#95b3d7" stroked="f" strokeweight="2pt">
                  <v:fill opacity="21074f"/>
                  <v:textbox>
                    <w:txbxContent>
                      <w:p w14:paraId="460703F3" w14:textId="77777777" w:rsidR="007F7607" w:rsidRDefault="007F7607" w:rsidP="00CF483E"/>
                      <w:p w14:paraId="162F6E27" w14:textId="77777777" w:rsidR="007F7607" w:rsidRDefault="007F7607" w:rsidP="00CF483E"/>
                    </w:txbxContent>
                  </v:textbox>
                </v:rect>
                <v:rect id="Rectangle 140" o:spid="_x0000_s1045" style="position:absolute;left:4381;top:127;width:2070;height:42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zMMMA&#10;AADcAAAADwAAAGRycy9kb3ducmV2LnhtbESPQW/CMAyF75P4D5GRuEyQgtBWFQJCiG47bsAPsBrT&#10;VjROlQTo/v18QNrN1nt+7/N6O7hO3SnE1rOB+SwDRVx523Jt4HwqpzmomJAtdp7JwC9F2G5GL2ss&#10;rH/wD92PqVYSwrFAA01KfaF1rBpyGGe+Jxbt4oPDJGuotQ34kHDX6UWWvWmHLUtDgz3tG6qux5sz&#10;cLhaqvLy8730oX+1p/w7hI+dMZPxsFuBSjSkf/Pz+ssK/lLw5RmZ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MzMMMAAADcAAAADwAAAAAAAAAAAAAAAACYAgAAZHJzL2Rv&#10;d25yZXYueG1sUEsFBgAAAAAEAAQA9QAAAIgDAAAAAA==&#10;" fillcolor="#95b3d7" stroked="f" strokeweight="2pt">
                  <v:fill opacity="21074f"/>
                  <v:textbox>
                    <w:txbxContent>
                      <w:p w14:paraId="34A17EB9" w14:textId="77777777" w:rsidR="007F7607" w:rsidRDefault="007F7607" w:rsidP="00CF483E"/>
                      <w:p w14:paraId="32874DA8" w14:textId="77777777" w:rsidR="007F7607" w:rsidRDefault="007F7607" w:rsidP="00CF483E"/>
                    </w:txbxContent>
                  </v:textbox>
                </v:rect>
              </v:group>
            </w:pict>
          </mc:Fallback>
        </mc:AlternateContent>
      </w:r>
      <w:r>
        <w:rPr>
          <w:noProof/>
          <w:lang w:eastAsia="en-AU"/>
        </w:rPr>
        <w:drawing>
          <wp:inline distT="0" distB="0" distL="0" distR="0" wp14:anchorId="629BF122" wp14:editId="614169BB">
            <wp:extent cx="6210000" cy="1681200"/>
            <wp:effectExtent l="0" t="0" r="63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6210000" cy="1681200"/>
                    </a:xfrm>
                    <a:prstGeom prst="rect">
                      <a:avLst/>
                    </a:prstGeom>
                    <a:noFill/>
                    <a:ln>
                      <a:noFill/>
                    </a:ln>
                    <a:extLst>
                      <a:ext uri="{53640926-AAD7-44D8-BBD7-CCE9431645EC}">
                        <a14:shadowObscured xmlns:a14="http://schemas.microsoft.com/office/drawing/2010/main"/>
                      </a:ext>
                    </a:extLst>
                  </pic:spPr>
                </pic:pic>
              </a:graphicData>
            </a:graphic>
          </wp:inline>
        </w:drawing>
      </w:r>
    </w:p>
    <w:p w14:paraId="3A4220C8" w14:textId="77777777" w:rsidR="00CF483E" w:rsidRPr="0096496C" w:rsidRDefault="00CF483E" w:rsidP="00CF483E">
      <w:r>
        <w:rPr>
          <w:noProof/>
          <w:lang w:eastAsia="en-AU"/>
        </w:rPr>
        <w:drawing>
          <wp:inline distT="0" distB="0" distL="0" distR="0" wp14:anchorId="7A0A0821" wp14:editId="25822811">
            <wp:extent cx="6210000" cy="1767600"/>
            <wp:effectExtent l="0" t="0" r="635"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6210000" cy="1767600"/>
                    </a:xfrm>
                    <a:prstGeom prst="rect">
                      <a:avLst/>
                    </a:prstGeom>
                    <a:noFill/>
                    <a:ln>
                      <a:noFill/>
                    </a:ln>
                    <a:extLst>
                      <a:ext uri="{53640926-AAD7-44D8-BBD7-CCE9431645EC}">
                        <a14:shadowObscured xmlns:a14="http://schemas.microsoft.com/office/drawing/2010/main"/>
                      </a:ext>
                    </a:extLst>
                  </pic:spPr>
                </pic:pic>
              </a:graphicData>
            </a:graphic>
          </wp:inline>
        </w:drawing>
      </w:r>
    </w:p>
    <w:p w14:paraId="15F06D1A" w14:textId="77777777" w:rsidR="00CF483E" w:rsidRDefault="00CF483E" w:rsidP="00CF483E">
      <w:r>
        <w:rPr>
          <w:noProof/>
          <w:lang w:eastAsia="en-AU"/>
        </w:rPr>
        <w:drawing>
          <wp:inline distT="0" distB="0" distL="0" distR="0" wp14:anchorId="4B2B08AF" wp14:editId="0D47D4B1">
            <wp:extent cx="6246812" cy="1514475"/>
            <wp:effectExtent l="0" t="0" r="190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6259133" cy="1517462"/>
                    </a:xfrm>
                    <a:prstGeom prst="rect">
                      <a:avLst/>
                    </a:prstGeom>
                    <a:noFill/>
                    <a:ln>
                      <a:noFill/>
                    </a:ln>
                    <a:extLst>
                      <a:ext uri="{53640926-AAD7-44D8-BBD7-CCE9431645EC}">
                        <a14:shadowObscured xmlns:a14="http://schemas.microsoft.com/office/drawing/2010/main"/>
                      </a:ext>
                    </a:extLst>
                  </pic:spPr>
                </pic:pic>
              </a:graphicData>
            </a:graphic>
          </wp:inline>
        </w:drawing>
      </w:r>
    </w:p>
    <w:p w14:paraId="43964D1F" w14:textId="77777777" w:rsidR="00CF483E" w:rsidRDefault="00CF483E" w:rsidP="00CF483E">
      <w:r>
        <w:rPr>
          <w:noProof/>
          <w:lang w:eastAsia="en-AU"/>
        </w:rPr>
        <w:drawing>
          <wp:inline distT="0" distB="0" distL="0" distR="0" wp14:anchorId="07FCD5BC" wp14:editId="17B74CD7">
            <wp:extent cx="6191250" cy="1689080"/>
            <wp:effectExtent l="0" t="0" r="0"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6203574" cy="1692442"/>
                    </a:xfrm>
                    <a:prstGeom prst="rect">
                      <a:avLst/>
                    </a:prstGeom>
                    <a:noFill/>
                    <a:ln>
                      <a:noFill/>
                    </a:ln>
                    <a:extLst>
                      <a:ext uri="{53640926-AAD7-44D8-BBD7-CCE9431645EC}">
                        <a14:shadowObscured xmlns:a14="http://schemas.microsoft.com/office/drawing/2010/main"/>
                      </a:ext>
                    </a:extLst>
                  </pic:spPr>
                </pic:pic>
              </a:graphicData>
            </a:graphic>
          </wp:inline>
        </w:drawing>
      </w:r>
    </w:p>
    <w:p w14:paraId="78196D75" w14:textId="77777777" w:rsidR="00CF483E" w:rsidRPr="00002290" w:rsidRDefault="00CF483E" w:rsidP="00CF483E">
      <w:r>
        <w:rPr>
          <w:noProof/>
          <w:lang w:eastAsia="en-AU"/>
        </w:rPr>
        <w:drawing>
          <wp:inline distT="0" distB="0" distL="0" distR="0" wp14:anchorId="62D389C2" wp14:editId="6E0B92F8">
            <wp:extent cx="3962400" cy="244515"/>
            <wp:effectExtent l="0" t="0" r="0" b="317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l="28547" t="70535" r="6787" b="23366"/>
                    <a:stretch/>
                  </pic:blipFill>
                  <pic:spPr bwMode="auto">
                    <a:xfrm>
                      <a:off x="0" y="0"/>
                      <a:ext cx="4158223" cy="256599"/>
                    </a:xfrm>
                    <a:prstGeom prst="rect">
                      <a:avLst/>
                    </a:prstGeom>
                    <a:noFill/>
                    <a:ln>
                      <a:noFill/>
                    </a:ln>
                    <a:extLst>
                      <a:ext uri="{53640926-AAD7-44D8-BBD7-CCE9431645EC}">
                        <a14:shadowObscured xmlns:a14="http://schemas.microsoft.com/office/drawing/2010/main"/>
                      </a:ext>
                    </a:extLst>
                  </pic:spPr>
                </pic:pic>
              </a:graphicData>
            </a:graphic>
          </wp:inline>
        </w:drawing>
      </w:r>
    </w:p>
    <w:p w14:paraId="0289217C" w14:textId="4734F389" w:rsidR="00CF483E" w:rsidRDefault="00CF483E" w:rsidP="00CF483E">
      <w:pPr>
        <w:pStyle w:val="Caption"/>
        <w:rPr>
          <w:noProof/>
          <w:lang w:eastAsia="en-AU"/>
        </w:rPr>
      </w:pPr>
      <w:bookmarkStart w:id="211" w:name="_Ref20404031"/>
      <w:bookmarkStart w:id="212" w:name="_Toc31985593"/>
      <w:r w:rsidRPr="00002290">
        <w:t xml:space="preserve">Figure </w:t>
      </w:r>
      <w:r>
        <w:fldChar w:fldCharType="begin"/>
      </w:r>
      <w:r>
        <w:instrText>SEQ Figure \* ARABIC</w:instrText>
      </w:r>
      <w:r>
        <w:fldChar w:fldCharType="separate"/>
      </w:r>
      <w:r w:rsidR="007F7607">
        <w:rPr>
          <w:noProof/>
        </w:rPr>
        <w:t>29</w:t>
      </w:r>
      <w:r>
        <w:fldChar w:fldCharType="end"/>
      </w:r>
      <w:bookmarkEnd w:id="208"/>
      <w:bookmarkEnd w:id="211"/>
      <w:r w:rsidRPr="00002290">
        <w:t>. Mean water quality measurements (± standard error) for four Lower Lachlan sites (Cowl Cowl, Lane’s Bridge, Wallanthery and Whealbah) over the sampling period</w:t>
      </w:r>
      <w:r w:rsidRPr="007F772C">
        <w:t xml:space="preserve"> </w:t>
      </w:r>
      <w:r>
        <w:t xml:space="preserve">2014-19: </w:t>
      </w:r>
      <w:r w:rsidRPr="00207366">
        <w:t>physico chemical attributes.</w:t>
      </w:r>
      <w:bookmarkEnd w:id="209"/>
      <w:bookmarkEnd w:id="210"/>
      <w:bookmarkEnd w:id="212"/>
      <w:r w:rsidRPr="003B13E5">
        <w:rPr>
          <w:noProof/>
          <w:lang w:eastAsia="en-AU"/>
        </w:rPr>
        <w:t xml:space="preserve"> </w:t>
      </w:r>
    </w:p>
    <w:p w14:paraId="61D64ED0" w14:textId="77777777" w:rsidR="00CF483E" w:rsidRDefault="00CF483E" w:rsidP="00CF483E">
      <w:pPr>
        <w:pStyle w:val="Caption"/>
      </w:pPr>
      <w:r w:rsidRPr="003358DE">
        <w:rPr>
          <w:rStyle w:val="CaptionChar"/>
          <w:bCs/>
          <w:i/>
        </w:rPr>
        <w:t>Blue shaded vertical bars indicate watering actions.</w:t>
      </w:r>
      <w:r>
        <w:br w:type="page"/>
      </w:r>
    </w:p>
    <w:p w14:paraId="759A6751" w14:textId="77777777" w:rsidR="00CF483E" w:rsidRDefault="00CF483E" w:rsidP="00CF483E">
      <w:bookmarkStart w:id="213" w:name="_Ref17964991"/>
      <w:bookmarkStart w:id="214" w:name="_Toc18672217"/>
      <w:r>
        <w:rPr>
          <w:bCs/>
          <w:i/>
          <w:noProof/>
          <w:lang w:eastAsia="en-AU"/>
        </w:rPr>
        <mc:AlternateContent>
          <mc:Choice Requires="wpg">
            <w:drawing>
              <wp:anchor distT="0" distB="0" distL="114300" distR="114300" simplePos="0" relativeHeight="251710464" behindDoc="0" locked="0" layoutInCell="1" allowOverlap="1" wp14:anchorId="2E15BC69" wp14:editId="4D121D25">
                <wp:simplePos x="0" y="0"/>
                <wp:positionH relativeFrom="column">
                  <wp:posOffset>847726</wp:posOffset>
                </wp:positionH>
                <wp:positionV relativeFrom="paragraph">
                  <wp:posOffset>104775</wp:posOffset>
                </wp:positionV>
                <wp:extent cx="3714750" cy="6829425"/>
                <wp:effectExtent l="0" t="0" r="0" b="9525"/>
                <wp:wrapNone/>
                <wp:docPr id="144" name="Group 144"/>
                <wp:cNvGraphicFramePr/>
                <a:graphic xmlns:a="http://schemas.openxmlformats.org/drawingml/2006/main">
                  <a:graphicData uri="http://schemas.microsoft.com/office/word/2010/wordprocessingGroup">
                    <wpg:wgp>
                      <wpg:cNvGrpSpPr/>
                      <wpg:grpSpPr>
                        <a:xfrm>
                          <a:off x="0" y="0"/>
                          <a:ext cx="3714750" cy="6829425"/>
                          <a:chOff x="0" y="0"/>
                          <a:chExt cx="3839845" cy="6504940"/>
                        </a:xfrm>
                      </wpg:grpSpPr>
                      <wps:wsp>
                        <wps:cNvPr id="145" name="Rectangle 145"/>
                        <wps:cNvSpPr/>
                        <wps:spPr>
                          <a:xfrm>
                            <a:off x="0" y="0"/>
                            <a:ext cx="46418" cy="6486426"/>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866775" y="9525"/>
                            <a:ext cx="411879" cy="6476851"/>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219325" y="19050"/>
                            <a:ext cx="242551" cy="6476851"/>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3143250" y="19050"/>
                            <a:ext cx="166370" cy="647636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3781425" y="9525"/>
                            <a:ext cx="58420" cy="649541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B7201A" id="Group 144" o:spid="_x0000_s1026" style="position:absolute;margin-left:66.75pt;margin-top:8.25pt;width:292.5pt;height:537.75pt;z-index:251710464;mso-width-relative:margin;mso-height-relative:margin" coordsize="38398,6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">
                <v:rect id="Rectangle 145" o:spid="_x0000_s1027" style="position:absolute;width:464;height:6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ApLMIA&#10;AADcAAAADwAAAGRycy9kb3ducmV2LnhtbERPPW/CMBDdK/EfrEPqBg4VFBQwCKgqYCSwsB32kUTE&#10;5zR2Ifx7XAmp2z29z5stWluJGzW+dKxg0E9AEGtnSs4VHA/fvQkIH5ANVo5JwYM8LOadtxmmxt15&#10;T7cs5CKGsE9RQRFCnUrpdUEWfd/VxJG7uMZiiLDJpWnwHsNtJT+S5FNaLDk2FFjTuiB9zX6tgjrT&#10;591yfFjr7ckMNz+rU37+2in13m2XUxCB2vAvfrm3Js4fjuDvmXi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CkswgAAANwAAAAPAAAAAAAAAAAAAAAAAJgCAABkcnMvZG93&#10;bnJldi54bWxQSwUGAAAAAAQABAD1AAAAhwMAAAAA&#10;" fillcolor="#b6dde8 [1304]" stroked="f" strokeweight="2pt">
                  <v:fill opacity="32896f"/>
                </v:rect>
                <v:rect id="Rectangle 146" o:spid="_x0000_s1028" style="position:absolute;left:8667;top:95;width:4119;height:6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K3W8EA&#10;AADcAAAADwAAAGRycy9kb3ducmV2LnhtbERPTYvCMBC9C/6HMMLeNN1FVLpGURdZPVq9eBuT2bZs&#10;M6lN1PrvjSB4m8f7nOm8tZW4UuNLxwo+BwkIYu1MybmCw37dn4DwAdlg5ZgU3MnDfNbtTDE17sY7&#10;umYhFzGEfYoKihDqVEqvC7LoB64mjtyfayyGCJtcmgZvMdxW8itJRtJiybGhwJpWBen/7GIV1Jk+&#10;bRfj/Upvjmb4e14e89PPVqmPXrv4BhGoDW/xy70xcf5wBM9n4gV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it1vBAAAA3AAAAA8AAAAAAAAAAAAAAAAAmAIAAGRycy9kb3du&#10;cmV2LnhtbFBLBQYAAAAABAAEAPUAAACGAwAAAAA=&#10;" fillcolor="#b6dde8 [1304]" stroked="f" strokeweight="2pt">
                  <v:fill opacity="32896f"/>
                </v:rect>
                <v:rect id="Rectangle 150" o:spid="_x0000_s1029" style="position:absolute;left:22193;top:190;width:2425;height:64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4cacUA&#10;AADcAAAADwAAAGRycy9kb3ducmV2LnhtbESPQW/CMAyF70j7D5En7TbSTTCmjoAYaBocKVy4mcS0&#10;FY3TNRmUfz8fJnGz9Z7f+zyd975RF+piHdjAyzADRWyDq7k0sN99Pb+DignZYROYDNwownz2MJhi&#10;7sKVt3QpUqkkhGOOBqqU2lzraCvyGIehJRbtFDqPSdau1K7Dq4T7Rr9m2Zv2WLM0VNjSsiJ7Ln69&#10;gbawx81islva9cGNvn8+D+VxtTHm6bFffIBK1Ke7+f967QR/LPjyjEy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xpxQAAANwAAAAPAAAAAAAAAAAAAAAAAJgCAABkcnMv&#10;ZG93bnJldi54bWxQSwUGAAAAAAQABAD1AAAAigMAAAAA&#10;" fillcolor="#b6dde8 [1304]" stroked="f" strokeweight="2pt">
                  <v:fill opacity="32896f"/>
                </v:rect>
                <v:rect id="Rectangle 151" o:spid="_x0000_s1030" style="position:absolute;left:31432;top:190;width:1664;height:64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58sIA&#10;AADcAAAADwAAAGRycy9kb3ducmV2LnhtbERPPW/CMBDdkfofrKvEBg4VtFWKQRSEgJGkC9thX5Oo&#10;8TnEBsK/x5WQ2O7pfd503tlaXKj1lWMFo2ECglg7U3Gh4CdfDz5B+IBssHZMCm7kYT576U0xNe7K&#10;e7pkoRAxhH2KCsoQmlRKr0uy6IeuIY7cr2sthgjbQpoWrzHc1vItSd6lxYpjQ4kNLUvSf9nZKmgy&#10;fdwtPvKl3h7MeHP6PhTH1U6p/mu3+AIRqAtP8cO9NXH+ZAT/z8QL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rnywgAAANwAAAAPAAAAAAAAAAAAAAAAAJgCAABkcnMvZG93&#10;bnJldi54bWxQSwUGAAAAAAQABAD1AAAAhwMAAAAA&#10;" fillcolor="#b6dde8 [1304]" stroked="f" strokeweight="2pt">
                  <v:fill opacity="32896f"/>
                </v:rect>
                <v:rect id="Rectangle 152" o:spid="_x0000_s1031" style="position:absolute;left:37814;top:95;width:584;height:64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AnhcMA&#10;AADcAAAADwAAAGRycy9kb3ducmV2LnhtbERPPW/CMBDdK/EfrEPqVhxQW1CIQUBVFUYCC9vFPpKI&#10;+JzGLoR/jytV6nZP7/OyZW8bcaXO144VjEcJCGLtTM2lguPh82UGwgdkg41jUnAnD8vF4CnD1Lgb&#10;7+mah1LEEPYpKqhCaFMpva7Ioh+5ljhyZ9dZDBF2pTQd3mK4beQkSd6lxZpjQ4UtbSrSl/zHKmhz&#10;XexW08NGb0/m9et7fSqLj51Sz8N+NQcRqA//4j/31sT5bxP4fSZ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AnhcMAAADcAAAADwAAAAAAAAAAAAAAAACYAgAAZHJzL2Rv&#10;d25yZXYueG1sUEsFBgAAAAAEAAQA9QAAAIgDAAAAAA==&#10;" fillcolor="#b6dde8 [1304]" stroked="f" strokeweight="2pt">
                  <v:fill opacity="32896f"/>
                </v:rect>
              </v:group>
            </w:pict>
          </mc:Fallback>
        </mc:AlternateContent>
      </w:r>
      <w:r>
        <w:rPr>
          <w:bCs/>
          <w:i/>
          <w:noProof/>
          <w:lang w:eastAsia="en-AU"/>
        </w:rPr>
        <mc:AlternateContent>
          <mc:Choice Requires="wpg">
            <w:drawing>
              <wp:anchor distT="0" distB="0" distL="114300" distR="114300" simplePos="0" relativeHeight="251711488" behindDoc="0" locked="0" layoutInCell="1" allowOverlap="1" wp14:anchorId="2D50C31B" wp14:editId="4AF4E164">
                <wp:simplePos x="0" y="0"/>
                <wp:positionH relativeFrom="column">
                  <wp:posOffset>4848225</wp:posOffset>
                </wp:positionH>
                <wp:positionV relativeFrom="paragraph">
                  <wp:posOffset>104775</wp:posOffset>
                </wp:positionV>
                <wp:extent cx="768985" cy="6772275"/>
                <wp:effectExtent l="0" t="0" r="0" b="9525"/>
                <wp:wrapNone/>
                <wp:docPr id="196" name="Group 196"/>
                <wp:cNvGraphicFramePr/>
                <a:graphic xmlns:a="http://schemas.openxmlformats.org/drawingml/2006/main">
                  <a:graphicData uri="http://schemas.microsoft.com/office/word/2010/wordprocessingGroup">
                    <wpg:wgp>
                      <wpg:cNvGrpSpPr/>
                      <wpg:grpSpPr>
                        <a:xfrm>
                          <a:off x="0" y="0"/>
                          <a:ext cx="768985" cy="6772275"/>
                          <a:chOff x="0" y="0"/>
                          <a:chExt cx="2693035" cy="4306570"/>
                        </a:xfrm>
                      </wpg:grpSpPr>
                      <wps:wsp>
                        <wps:cNvPr id="199" name="Rectangle 199"/>
                        <wps:cNvSpPr/>
                        <wps:spPr>
                          <a:xfrm>
                            <a:off x="2520950" y="0"/>
                            <a:ext cx="172085" cy="4282440"/>
                          </a:xfrm>
                          <a:prstGeom prst="rect">
                            <a:avLst/>
                          </a:prstGeom>
                          <a:solidFill>
                            <a:srgbClr val="4F81BD">
                              <a:lumMod val="60000"/>
                              <a:lumOff val="40000"/>
                              <a:alpha val="32000"/>
                            </a:srgbClr>
                          </a:solidFill>
                          <a:ln w="25400" cap="flat" cmpd="sng" algn="ctr">
                            <a:noFill/>
                            <a:prstDash val="solid"/>
                          </a:ln>
                          <a:effectLst/>
                        </wps:spPr>
                        <wps:txbx>
                          <w:txbxContent>
                            <w:p w14:paraId="0BBB06B1"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flipH="1">
                            <a:off x="0" y="6350"/>
                            <a:ext cx="165100" cy="4300220"/>
                          </a:xfrm>
                          <a:prstGeom prst="rect">
                            <a:avLst/>
                          </a:prstGeom>
                          <a:solidFill>
                            <a:srgbClr val="4F81BD">
                              <a:lumMod val="60000"/>
                              <a:lumOff val="40000"/>
                              <a:alpha val="32000"/>
                            </a:srgbClr>
                          </a:solidFill>
                          <a:ln w="25400" cap="flat" cmpd="sng" algn="ctr">
                            <a:noFill/>
                            <a:prstDash val="solid"/>
                          </a:ln>
                          <a:effectLst/>
                        </wps:spPr>
                        <wps:txbx>
                          <w:txbxContent>
                            <w:p w14:paraId="20FC73EB"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206"/>
                        <wps:cNvSpPr/>
                        <wps:spPr>
                          <a:xfrm>
                            <a:off x="317500" y="19050"/>
                            <a:ext cx="76200" cy="4271010"/>
                          </a:xfrm>
                          <a:prstGeom prst="rect">
                            <a:avLst/>
                          </a:prstGeom>
                          <a:solidFill>
                            <a:srgbClr val="4F81BD">
                              <a:lumMod val="60000"/>
                              <a:lumOff val="40000"/>
                              <a:alpha val="32000"/>
                            </a:srgbClr>
                          </a:solidFill>
                          <a:ln w="25400" cap="flat" cmpd="sng" algn="ctr">
                            <a:noFill/>
                            <a:prstDash val="solid"/>
                          </a:ln>
                          <a:effectLst/>
                        </wps:spPr>
                        <wps:txbx>
                          <w:txbxContent>
                            <w:p w14:paraId="0FF7BA04" w14:textId="77777777" w:rsidR="007F7607" w:rsidRDefault="007F7607" w:rsidP="00CF483E"/>
                            <w:p w14:paraId="2DA7F569"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angle 207"/>
                        <wps:cNvSpPr/>
                        <wps:spPr>
                          <a:xfrm>
                            <a:off x="438150" y="12700"/>
                            <a:ext cx="207010" cy="4277360"/>
                          </a:xfrm>
                          <a:prstGeom prst="rect">
                            <a:avLst/>
                          </a:prstGeom>
                          <a:solidFill>
                            <a:srgbClr val="4F81BD">
                              <a:lumMod val="60000"/>
                              <a:lumOff val="40000"/>
                              <a:alpha val="32000"/>
                            </a:srgbClr>
                          </a:solidFill>
                          <a:ln w="25400" cap="flat" cmpd="sng" algn="ctr">
                            <a:noFill/>
                            <a:prstDash val="solid"/>
                          </a:ln>
                          <a:effectLst/>
                        </wps:spPr>
                        <wps:txbx>
                          <w:txbxContent>
                            <w:p w14:paraId="1F7E7B56" w14:textId="77777777" w:rsidR="007F7607" w:rsidRDefault="007F7607" w:rsidP="00CF483E"/>
                            <w:p w14:paraId="524E62F0"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0C31B" id="Group 196" o:spid="_x0000_s1046" style="position:absolute;margin-left:381.75pt;margin-top:8.25pt;width:60.55pt;height:533.25pt;z-index:251711488;mso-width-relative:margin;mso-height-relative:margin" coordsize="26930,4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">
                <v:rect id="Rectangle 199" o:spid="_x0000_s1047" style="position:absolute;left:25209;width:1721;height:42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26sEA&#10;AADcAAAADwAAAGRycy9kb3ducmV2LnhtbERPzWrCQBC+F3yHZQpeSt3ooU1S1xDE2B6r8QGG7DQJ&#10;ZmfD7qrx7d1Cobf5+H5nXUxmEFdyvresYLlIQBA3VvfcKjjV1WsKwgdkjYNlUnAnD8Vm9rTGXNsb&#10;H+h6DK2IIexzVNCFMOZS+qYjg35hR+LI/VhnMEToWqkd3mK4GeQqSd6kwZ5jQ4cjbTtqzseLUbA7&#10;a2rS6vO9sm580XX67dy+VGr+PJUfIAJN4V/85/7ScX6Wwe8z8QK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pturBAAAA3AAAAA8AAAAAAAAAAAAAAAAAmAIAAGRycy9kb3du&#10;cmV2LnhtbFBLBQYAAAAABAAEAPUAAACGAwAAAAA=&#10;" fillcolor="#95b3d7" stroked="f" strokeweight="2pt">
                  <v:fill opacity="21074f"/>
                  <v:textbox>
                    <w:txbxContent>
                      <w:p w14:paraId="0BBB06B1" w14:textId="77777777" w:rsidR="007F7607" w:rsidRDefault="007F7607" w:rsidP="00CF483E"/>
                    </w:txbxContent>
                  </v:textbox>
                </v:rect>
                <v:rect id="Rectangle 203" o:spid="_x0000_s1048" style="position:absolute;top:63;width:1651;height:4300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nJcUA&#10;AADcAAAADwAAAGRycy9kb3ducmV2LnhtbESPT4vCMBTE74LfITzBmyb+QaRrlEVd8CKsuit4ezTP&#10;tti8lCZr6376zYLgcZiZ3zCLVWtLcafaF441jIYKBHHqTMGZhq/Tx2AOwgdkg6Vj0vAgD6tlt7PA&#10;xLiGD3Q/hkxECPsENeQhVImUPs3Joh+6ijh6V1dbDFHWmTQ1NhFuSzlWaiYtFhwXcqxonVN6O/5Y&#10;DZvrXh122+/p5nZuPn89pZfp2mvd77XvbyACteEVfrZ3RsNYTeD/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02clxQAAANwAAAAPAAAAAAAAAAAAAAAAAJgCAABkcnMv&#10;ZG93bnJldi54bWxQSwUGAAAAAAQABAD1AAAAigMAAAAA&#10;" fillcolor="#95b3d7" stroked="f" strokeweight="2pt">
                  <v:fill opacity="21074f"/>
                  <v:textbox>
                    <w:txbxContent>
                      <w:p w14:paraId="20FC73EB" w14:textId="77777777" w:rsidR="007F7607" w:rsidRDefault="007F7607" w:rsidP="00CF483E"/>
                    </w:txbxContent>
                  </v:textbox>
                </v:rect>
                <v:rect id="Rectangle 206" o:spid="_x0000_s1049" style="position:absolute;left:3175;top:190;width:762;height:427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WY8MA&#10;AADcAAAADwAAAGRycy9kb3ducmV2LnhtbESPzWrDMBCE74G+g9hCLqGR64Nj3CjGhDjpMT99gMXa&#10;2ibWykhq4r59FSjkOMzMN8y6nMwgbuR8b1nB+zIBQdxY3XOr4OtSv+UgfEDWOFgmBb/kody8zNZY&#10;aHvnE93OoRURwr5ABV0IYyGlbzoy6Jd2JI7et3UGQ5SuldrhPcLNINMkyaTBnuNChyNtO2qu5x+j&#10;YHfV1OT1YVVbNy70JT86t6+Umr9O1QeIQFN4hv/bn1pBmmTwOBOP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nWY8MAAADcAAAADwAAAAAAAAAAAAAAAACYAgAAZHJzL2Rv&#10;d25yZXYueG1sUEsFBgAAAAAEAAQA9QAAAIgDAAAAAA==&#10;" fillcolor="#95b3d7" stroked="f" strokeweight="2pt">
                  <v:fill opacity="21074f"/>
                  <v:textbox>
                    <w:txbxContent>
                      <w:p w14:paraId="0FF7BA04" w14:textId="77777777" w:rsidR="007F7607" w:rsidRDefault="007F7607" w:rsidP="00CF483E"/>
                      <w:p w14:paraId="2DA7F569" w14:textId="77777777" w:rsidR="007F7607" w:rsidRDefault="007F7607" w:rsidP="00CF483E"/>
                    </w:txbxContent>
                  </v:textbox>
                </v:rect>
                <v:rect id="Rectangle 207" o:spid="_x0000_s1050" style="position:absolute;left:4381;top:127;width:2070;height:42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z+MMA&#10;AADcAAAADwAAAGRycy9kb3ducmV2LnhtbESPzWrDMBCE74G+g9hCLqGR60Nt3CjGhDjpMT99gMXa&#10;2ibWykhq4r59FQjkOMzMN8yqnMwgruR8b1nB+zIBQdxY3XOr4Ptcv+UgfEDWOFgmBX/koVy/zFZY&#10;aHvjI11PoRURwr5ABV0IYyGlbzoy6Jd2JI7ej3UGQ5SuldrhLcLNINMk+ZAGe44LHY606ai5nH6N&#10;gu1FU5PX+6y2blzoc35wblcpNX+dqk8QgabwDD/aX1pBmmRwPx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Vz+MMAAADcAAAADwAAAAAAAAAAAAAAAACYAgAAZHJzL2Rv&#10;d25yZXYueG1sUEsFBgAAAAAEAAQA9QAAAIgDAAAAAA==&#10;" fillcolor="#95b3d7" stroked="f" strokeweight="2pt">
                  <v:fill opacity="21074f"/>
                  <v:textbox>
                    <w:txbxContent>
                      <w:p w14:paraId="1F7E7B56" w14:textId="77777777" w:rsidR="007F7607" w:rsidRDefault="007F7607" w:rsidP="00CF483E"/>
                      <w:p w14:paraId="524E62F0" w14:textId="77777777" w:rsidR="007F7607" w:rsidRDefault="007F7607" w:rsidP="00CF483E"/>
                    </w:txbxContent>
                  </v:textbox>
                </v:rect>
              </v:group>
            </w:pict>
          </mc:Fallback>
        </mc:AlternateContent>
      </w:r>
      <w:r>
        <w:rPr>
          <w:noProof/>
          <w:lang w:eastAsia="en-AU"/>
        </w:rPr>
        <w:drawing>
          <wp:inline distT="0" distB="0" distL="0" distR="0" wp14:anchorId="215118E1" wp14:editId="2F77A813">
            <wp:extent cx="6210000" cy="1501200"/>
            <wp:effectExtent l="0" t="0" r="635" b="38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6210000" cy="1501200"/>
                    </a:xfrm>
                    <a:prstGeom prst="rect">
                      <a:avLst/>
                    </a:prstGeom>
                    <a:noFill/>
                    <a:ln>
                      <a:noFill/>
                    </a:ln>
                    <a:extLst>
                      <a:ext uri="{53640926-AAD7-44D8-BBD7-CCE9431645EC}">
                        <a14:shadowObscured xmlns:a14="http://schemas.microsoft.com/office/drawing/2010/main"/>
                      </a:ext>
                    </a:extLst>
                  </pic:spPr>
                </pic:pic>
              </a:graphicData>
            </a:graphic>
          </wp:inline>
        </w:drawing>
      </w:r>
    </w:p>
    <w:p w14:paraId="3F7A7288" w14:textId="77777777" w:rsidR="00CF483E" w:rsidRDefault="00CF483E" w:rsidP="00CF483E">
      <w:r>
        <w:rPr>
          <w:noProof/>
          <w:lang w:eastAsia="en-AU"/>
        </w:rPr>
        <w:drawing>
          <wp:inline distT="0" distB="0" distL="0" distR="0" wp14:anchorId="502070AB" wp14:editId="1C77A637">
            <wp:extent cx="6210000" cy="183240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6210000" cy="1832400"/>
                    </a:xfrm>
                    <a:prstGeom prst="rect">
                      <a:avLst/>
                    </a:prstGeom>
                    <a:noFill/>
                    <a:ln>
                      <a:noFill/>
                    </a:ln>
                    <a:extLst>
                      <a:ext uri="{53640926-AAD7-44D8-BBD7-CCE9431645EC}">
                        <a14:shadowObscured xmlns:a14="http://schemas.microsoft.com/office/drawing/2010/main"/>
                      </a:ext>
                    </a:extLst>
                  </pic:spPr>
                </pic:pic>
              </a:graphicData>
            </a:graphic>
          </wp:inline>
        </w:drawing>
      </w:r>
    </w:p>
    <w:p w14:paraId="578898A8" w14:textId="77777777" w:rsidR="00CF483E" w:rsidRDefault="00CF483E" w:rsidP="00CF483E">
      <w:pPr>
        <w:rPr>
          <w:noProof/>
        </w:rPr>
      </w:pPr>
      <w:r>
        <w:rPr>
          <w:noProof/>
          <w:lang w:eastAsia="en-AU"/>
        </w:rPr>
        <w:drawing>
          <wp:inline distT="0" distB="0" distL="0" distR="0" wp14:anchorId="18B72626" wp14:editId="35304022">
            <wp:extent cx="6210000" cy="1846800"/>
            <wp:effectExtent l="0" t="0" r="635"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6210000" cy="1846800"/>
                    </a:xfrm>
                    <a:prstGeom prst="rect">
                      <a:avLst/>
                    </a:prstGeom>
                    <a:noFill/>
                    <a:ln>
                      <a:noFill/>
                    </a:ln>
                    <a:extLst>
                      <a:ext uri="{53640926-AAD7-44D8-BBD7-CCE9431645EC}">
                        <a14:shadowObscured xmlns:a14="http://schemas.microsoft.com/office/drawing/2010/main"/>
                      </a:ext>
                    </a:extLst>
                  </pic:spPr>
                </pic:pic>
              </a:graphicData>
            </a:graphic>
          </wp:inline>
        </w:drawing>
      </w:r>
    </w:p>
    <w:p w14:paraId="2E554949" w14:textId="77777777" w:rsidR="00CF483E" w:rsidRDefault="00CF483E" w:rsidP="00CF483E">
      <w:r>
        <w:rPr>
          <w:noProof/>
          <w:lang w:eastAsia="en-AU"/>
        </w:rPr>
        <w:drawing>
          <wp:inline distT="0" distB="0" distL="0" distR="0" wp14:anchorId="24C76105" wp14:editId="17191C04">
            <wp:extent cx="6210000" cy="1764000"/>
            <wp:effectExtent l="0" t="0" r="635"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6210000" cy="1764000"/>
                    </a:xfrm>
                    <a:prstGeom prst="rect">
                      <a:avLst/>
                    </a:prstGeom>
                    <a:noFill/>
                    <a:ln>
                      <a:noFill/>
                    </a:ln>
                    <a:extLst>
                      <a:ext uri="{53640926-AAD7-44D8-BBD7-CCE9431645EC}">
                        <a14:shadowObscured xmlns:a14="http://schemas.microsoft.com/office/drawing/2010/main"/>
                      </a:ext>
                    </a:extLst>
                  </pic:spPr>
                </pic:pic>
              </a:graphicData>
            </a:graphic>
          </wp:inline>
        </w:drawing>
      </w:r>
    </w:p>
    <w:p w14:paraId="18E950B6" w14:textId="77777777" w:rsidR="00CF483E" w:rsidRDefault="00CF483E" w:rsidP="00CF483E">
      <w:r>
        <w:rPr>
          <w:noProof/>
          <w:lang w:eastAsia="en-AU"/>
        </w:rPr>
        <w:drawing>
          <wp:inline distT="0" distB="0" distL="0" distR="0" wp14:anchorId="62FDDED8" wp14:editId="395479C1">
            <wp:extent cx="3962400" cy="244515"/>
            <wp:effectExtent l="0" t="0" r="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l="28547" t="70535" r="6787" b="23366"/>
                    <a:stretch/>
                  </pic:blipFill>
                  <pic:spPr bwMode="auto">
                    <a:xfrm>
                      <a:off x="0" y="0"/>
                      <a:ext cx="4158223" cy="256599"/>
                    </a:xfrm>
                    <a:prstGeom prst="rect">
                      <a:avLst/>
                    </a:prstGeom>
                    <a:noFill/>
                    <a:ln>
                      <a:noFill/>
                    </a:ln>
                    <a:extLst>
                      <a:ext uri="{53640926-AAD7-44D8-BBD7-CCE9431645EC}">
                        <a14:shadowObscured xmlns:a14="http://schemas.microsoft.com/office/drawing/2010/main"/>
                      </a:ext>
                    </a:extLst>
                  </pic:spPr>
                </pic:pic>
              </a:graphicData>
            </a:graphic>
          </wp:inline>
        </w:drawing>
      </w:r>
    </w:p>
    <w:p w14:paraId="49CA0BC4" w14:textId="77777777" w:rsidR="00CF483E" w:rsidRPr="00002290" w:rsidRDefault="00CF483E" w:rsidP="00CF483E"/>
    <w:p w14:paraId="67323A23" w14:textId="40A99CCA" w:rsidR="00CF483E" w:rsidRDefault="00CF483E" w:rsidP="00CF483E">
      <w:pPr>
        <w:pStyle w:val="Caption"/>
      </w:pPr>
      <w:bookmarkStart w:id="215" w:name="_Ref20404258"/>
      <w:bookmarkStart w:id="216" w:name="_Toc31985594"/>
      <w:r w:rsidRPr="00002290">
        <w:t xml:space="preserve">Figure </w:t>
      </w:r>
      <w:r>
        <w:fldChar w:fldCharType="begin"/>
      </w:r>
      <w:r>
        <w:instrText>SEQ Figure \* ARABIC</w:instrText>
      </w:r>
      <w:r>
        <w:fldChar w:fldCharType="separate"/>
      </w:r>
      <w:r w:rsidR="007F7607">
        <w:rPr>
          <w:noProof/>
        </w:rPr>
        <w:t>30</w:t>
      </w:r>
      <w:r>
        <w:fldChar w:fldCharType="end"/>
      </w:r>
      <w:bookmarkEnd w:id="213"/>
      <w:bookmarkEnd w:id="215"/>
      <w:r w:rsidRPr="00002290">
        <w:t>. Mean water quality measurements (± standard error) for the four Lower Lachlan sites (Cowl Cowl, Lane’s Bridge, Wallanthery and Whealbah) over the sampling period 2014-19</w:t>
      </w:r>
      <w:r>
        <w:t>:</w:t>
      </w:r>
      <w:r w:rsidRPr="00002290">
        <w:t xml:space="preserve"> </w:t>
      </w:r>
      <w:r w:rsidRPr="00207366">
        <w:t>nutrients and chlorophyll a.</w:t>
      </w:r>
      <w:bookmarkEnd w:id="214"/>
      <w:bookmarkEnd w:id="216"/>
    </w:p>
    <w:p w14:paraId="0CED4C0D" w14:textId="77777777" w:rsidR="00CF483E" w:rsidRDefault="00CF483E" w:rsidP="00CF483E">
      <w:pPr>
        <w:pStyle w:val="Caption"/>
      </w:pPr>
      <w:r w:rsidRPr="003358DE">
        <w:rPr>
          <w:rStyle w:val="CaptionChar"/>
          <w:bCs/>
          <w:i/>
        </w:rPr>
        <w:t>Blue shaded vertical bars indicate watering actions.</w:t>
      </w:r>
      <w:r>
        <w:t xml:space="preserve"> </w:t>
      </w:r>
      <w:r>
        <w:br w:type="page"/>
      </w:r>
    </w:p>
    <w:p w14:paraId="068B4174" w14:textId="77777777" w:rsidR="00CF483E" w:rsidRPr="00D76A43" w:rsidRDefault="00CF483E" w:rsidP="00CF483E">
      <w:pPr>
        <w:pStyle w:val="Heading3"/>
      </w:pPr>
      <w:bookmarkStart w:id="217" w:name="_Toc31985465"/>
      <w:r>
        <w:rPr>
          <w:lang w:val="en-AU"/>
        </w:rPr>
        <w:t>Stream Metabolism – 2018-19</w:t>
      </w:r>
      <w:bookmarkEnd w:id="217"/>
    </w:p>
    <w:bookmarkEnd w:id="204"/>
    <w:p w14:paraId="275AB17F" w14:textId="77777777" w:rsidR="00CF483E" w:rsidRDefault="00CF483E" w:rsidP="00CF483E">
      <w:pPr>
        <w:pStyle w:val="Heading4"/>
      </w:pPr>
      <w:r>
        <w:rPr>
          <w:lang w:val="en-AU"/>
        </w:rPr>
        <w:t xml:space="preserve">Lower </w:t>
      </w:r>
      <w:r>
        <w:t>Lachlan River (</w:t>
      </w:r>
      <w:r>
        <w:rPr>
          <w:lang w:val="en-AU"/>
        </w:rPr>
        <w:t>Long</w:t>
      </w:r>
      <w:r>
        <w:t xml:space="preserve"> Term Intervention Monitoring</w:t>
      </w:r>
      <w:r>
        <w:rPr>
          <w:lang w:val="en-AU"/>
        </w:rPr>
        <w:t>)</w:t>
      </w:r>
    </w:p>
    <w:p w14:paraId="5D580B02" w14:textId="2CA628DE" w:rsidR="00CF483E" w:rsidRPr="006A148A" w:rsidRDefault="00CF483E" w:rsidP="00CF483E">
      <w:r w:rsidRPr="006A148A">
        <w:t>In the 2018-19 period we used miniDOT loggers at the four sites in the Lower Lachlan River (</w:t>
      </w:r>
      <w:r w:rsidRPr="006A148A">
        <w:fldChar w:fldCharType="begin"/>
      </w:r>
      <w:r w:rsidRPr="006A148A">
        <w:instrText xml:space="preserve"> REF _Ref460238461 \h </w:instrText>
      </w:r>
      <w:r w:rsidRPr="006A148A">
        <w:fldChar w:fldCharType="separate"/>
      </w:r>
      <w:r w:rsidR="007F7607" w:rsidRPr="006A148A">
        <w:t xml:space="preserve">Figure </w:t>
      </w:r>
      <w:r w:rsidR="007F7607">
        <w:rPr>
          <w:noProof/>
        </w:rPr>
        <w:t>18</w:t>
      </w:r>
      <w:r w:rsidRPr="006A148A">
        <w:fldChar w:fldCharType="end"/>
      </w:r>
      <w:r w:rsidRPr="006A148A">
        <w:t>), at two sites we installed two loggers (Lanes Bridge and Whealbah).</w:t>
      </w:r>
    </w:p>
    <w:p w14:paraId="15AB3C92" w14:textId="5675F3AD" w:rsidR="00CF483E" w:rsidRPr="00131F12" w:rsidRDefault="00CF483E" w:rsidP="00CF483E">
      <w:r>
        <w:t xml:space="preserve">In </w:t>
      </w:r>
      <w:r>
        <w:fldChar w:fldCharType="begin"/>
      </w:r>
      <w:r>
        <w:instrText xml:space="preserve"> REF _Ref17965153 \h </w:instrText>
      </w:r>
      <w:r>
        <w:fldChar w:fldCharType="separate"/>
      </w:r>
      <w:r w:rsidR="007F7607" w:rsidRPr="006B0CFF">
        <w:t xml:space="preserve">Table </w:t>
      </w:r>
      <w:r w:rsidR="007F7607">
        <w:rPr>
          <w:noProof/>
        </w:rPr>
        <w:t>6</w:t>
      </w:r>
      <w:r>
        <w:fldChar w:fldCharType="end"/>
      </w:r>
      <w:r>
        <w:t xml:space="preserve"> the </w:t>
      </w:r>
      <w:r w:rsidRPr="00131F12">
        <w:t>percentiles for which a GPP</w:t>
      </w:r>
      <w:r>
        <w:t xml:space="preserve"> and </w:t>
      </w:r>
      <w:r w:rsidRPr="00131F12">
        <w:t xml:space="preserve">ER estimate could be modelled under the standard acceptance criteria </w:t>
      </w:r>
      <w:r>
        <w:t xml:space="preserve">are shown </w:t>
      </w:r>
      <w:r w:rsidRPr="00131F12">
        <w:t xml:space="preserve">for </w:t>
      </w:r>
      <w:r>
        <w:t xml:space="preserve">the 2018-19 period. At Cowl Cowl the logger stopped earlier (31/03/2019) before deployment in August 2019, and at Lanes Bridge twice in 2018, therefore we have two logging gaps, see notes in </w:t>
      </w:r>
      <w:r>
        <w:fldChar w:fldCharType="begin"/>
      </w:r>
      <w:r>
        <w:instrText xml:space="preserve"> REF _Ref17965153 \h </w:instrText>
      </w:r>
      <w:r>
        <w:fldChar w:fldCharType="separate"/>
      </w:r>
      <w:r w:rsidR="007F7607" w:rsidRPr="006B0CFF">
        <w:t xml:space="preserve">Table </w:t>
      </w:r>
      <w:r w:rsidR="007F7607">
        <w:rPr>
          <w:noProof/>
        </w:rPr>
        <w:t>6</w:t>
      </w:r>
      <w:r>
        <w:fldChar w:fldCharType="end"/>
      </w:r>
      <w:r>
        <w:t xml:space="preserve">. At Wallanthery and Whealbah we recorded a full calendar year of data. </w:t>
      </w:r>
    </w:p>
    <w:p w14:paraId="653F75A5" w14:textId="0D302A79" w:rsidR="00CF483E" w:rsidRDefault="00CF483E" w:rsidP="00CF483E">
      <w:r w:rsidRPr="00131F12">
        <w:t xml:space="preserve">Stream metabolism data was able to be used from an average of </w:t>
      </w:r>
      <w:r>
        <w:t>61</w:t>
      </w:r>
      <w:r w:rsidRPr="00131F12">
        <w:t xml:space="preserve">% of days (range </w:t>
      </w:r>
      <w:r>
        <w:t xml:space="preserve">Cowl Cowl </w:t>
      </w:r>
      <w:r w:rsidRPr="00131F12">
        <w:t>[</w:t>
      </w:r>
      <w:r>
        <w:t>CC</w:t>
      </w:r>
      <w:r w:rsidRPr="00131F12">
        <w:t xml:space="preserve">] = </w:t>
      </w:r>
      <w:r>
        <w:t>41</w:t>
      </w:r>
      <w:r w:rsidRPr="00131F12">
        <w:t>% to Lanes Bridge [LB]</w:t>
      </w:r>
      <w:r>
        <w:t xml:space="preserve"> = 83</w:t>
      </w:r>
      <w:r w:rsidRPr="00131F12">
        <w:t xml:space="preserve"> %</w:t>
      </w:r>
      <w:r>
        <w:t xml:space="preserve">, see </w:t>
      </w:r>
      <w:r>
        <w:fldChar w:fldCharType="begin"/>
      </w:r>
      <w:r>
        <w:instrText xml:space="preserve"> REF _Ref17965153 \h </w:instrText>
      </w:r>
      <w:r>
        <w:fldChar w:fldCharType="separate"/>
      </w:r>
      <w:r w:rsidR="007F7607" w:rsidRPr="006B0CFF">
        <w:t xml:space="preserve">Table </w:t>
      </w:r>
      <w:r w:rsidR="007F7607">
        <w:rPr>
          <w:noProof/>
        </w:rPr>
        <w:t>6</w:t>
      </w:r>
      <w:r>
        <w:fldChar w:fldCharType="end"/>
      </w:r>
      <w:r w:rsidRPr="00131F12">
        <w:t xml:space="preserve">). </w:t>
      </w:r>
      <w:r>
        <w:t>The Cowl Cowl and Wallanthery sites, as in previous years had lower proportions of days which could be modelled relative compared to the other two sites</w:t>
      </w:r>
      <w:r w:rsidR="002A59AE">
        <w:t xml:space="preserve"> </w:t>
      </w:r>
      <w:r w:rsidR="002A59AE">
        <w:fldChar w:fldCharType="begin"/>
      </w:r>
      <w:r w:rsidR="00333CDB">
        <w:instrText xml:space="preserve"> ADDIN EN.CITE &lt;EndNote&gt;&lt;Cite&gt;&lt;Author&gt;Dyer&lt;/Author&gt;&lt;Year&gt;2018&lt;/Year&gt;&lt;RecNum&gt;254&lt;/RecNum&gt;&lt;DisplayText&gt;(Dyer et al. 2018)&lt;/DisplayText&gt;&lt;record&gt;&lt;rec-number&gt;254&lt;/rec-number&gt;&lt;foreign-keys&gt;&lt;key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2A59AE">
        <w:fldChar w:fldCharType="separate"/>
      </w:r>
      <w:r w:rsidR="00333CDB">
        <w:rPr>
          <w:noProof/>
        </w:rPr>
        <w:t>(Dyer et al. 2018)</w:t>
      </w:r>
      <w:r w:rsidR="002A59AE">
        <w:fldChar w:fldCharType="end"/>
      </w:r>
      <w:r>
        <w:t>.</w:t>
      </w:r>
      <w:r w:rsidR="00B86CA2">
        <w:t xml:space="preserve"> T</w:t>
      </w:r>
      <w:r w:rsidR="00B86CA2" w:rsidRPr="00B86CA2">
        <w:t>o nearly 100% the cause for rejection of a logged day would be through the appliance of the criteria: R2 &lt; 0.9.</w:t>
      </w:r>
    </w:p>
    <w:p w14:paraId="4E911528" w14:textId="2F284662" w:rsidR="00CF483E" w:rsidRDefault="00CF483E" w:rsidP="00CF483E">
      <w:r w:rsidRPr="00731653">
        <w:t>After applying the standard numerical acceptance criteria, we visually inspected plotted GPP, ER and K values and rejected one from Whealbah</w:t>
      </w:r>
      <w:r>
        <w:t xml:space="preserve"> and </w:t>
      </w:r>
      <w:r w:rsidRPr="00731653">
        <w:t>27 data days from Wallanthery, (K &gt; 35 indicating the likelihood of exposure of the probe to air).</w:t>
      </w:r>
      <w:r w:rsidR="00B86CA2">
        <w:t xml:space="preserve"> </w:t>
      </w:r>
    </w:p>
    <w:p w14:paraId="2EE56DAF" w14:textId="37348AC0" w:rsidR="00CF483E" w:rsidRDefault="00CF483E" w:rsidP="00CF483E">
      <w:r w:rsidRPr="0044498D">
        <w:t>In order to model stream metabolism in some critical periods (e.g. at peak flows) K values &gt;</w:t>
      </w:r>
      <w:r>
        <w:t> </w:t>
      </w:r>
      <w:r w:rsidRPr="0044498D">
        <w:t>5 (</w:t>
      </w:r>
      <w:r>
        <w:t xml:space="preserve">relate </w:t>
      </w:r>
      <w:r>
        <w:fldChar w:fldCharType="begin"/>
      </w:r>
      <w:r>
        <w:instrText xml:space="preserve"> REF _Ref532205681 \h </w:instrText>
      </w:r>
      <w:r>
        <w:fldChar w:fldCharType="separate"/>
      </w:r>
      <w:r w:rsidR="007F7607" w:rsidRPr="004E54B5">
        <w:t xml:space="preserve">Figure </w:t>
      </w:r>
      <w:r w:rsidR="007F7607">
        <w:rPr>
          <w:noProof/>
        </w:rPr>
        <w:t>31</w:t>
      </w:r>
      <w:r>
        <w:fldChar w:fldCharType="end"/>
      </w:r>
      <w:r>
        <w:t xml:space="preserve">, plus section </w:t>
      </w:r>
      <w:r>
        <w:fldChar w:fldCharType="begin"/>
      </w:r>
      <w:r>
        <w:instrText xml:space="preserve"> REF _Ref19536256 \r \h </w:instrText>
      </w:r>
      <w:r>
        <w:fldChar w:fldCharType="separate"/>
      </w:r>
      <w:r w:rsidR="007F7607">
        <w:t>5.7</w:t>
      </w:r>
      <w:r>
        <w:fldChar w:fldCharType="end"/>
      </w:r>
      <w:r>
        <w:t xml:space="preserve">: </w:t>
      </w:r>
      <w:r>
        <w:fldChar w:fldCharType="begin"/>
      </w:r>
      <w:r>
        <w:instrText xml:space="preserve"> REF _Ref19536256 \h </w:instrText>
      </w:r>
      <w:r>
        <w:fldChar w:fldCharType="separate"/>
      </w:r>
      <w:r w:rsidR="007F7607">
        <w:t>Appendix 1: Stream metabolism plots for additional sites in the Lower Lachlan River 2018-19</w:t>
      </w:r>
      <w:r>
        <w:fldChar w:fldCharType="end"/>
      </w:r>
      <w:r>
        <w:t xml:space="preserve">) </w:t>
      </w:r>
      <w:r w:rsidRPr="0044498D">
        <w:t>were accepted in order to allow any estimates to be extracted. It should be noted that high K values lead to potential over-estimates of ER.</w:t>
      </w:r>
    </w:p>
    <w:p w14:paraId="32AD975C" w14:textId="77777777" w:rsidR="00CF483E" w:rsidRPr="00131F12" w:rsidRDefault="00CF483E" w:rsidP="00CF483E"/>
    <w:p w14:paraId="48947485" w14:textId="3B86BDE3" w:rsidR="00CF483E" w:rsidRPr="006B0CFF" w:rsidRDefault="00CF483E" w:rsidP="00CF483E">
      <w:pPr>
        <w:pStyle w:val="Caption"/>
      </w:pPr>
      <w:bookmarkStart w:id="218" w:name="_Ref17965153"/>
      <w:bookmarkStart w:id="219" w:name="_Toc31985673"/>
      <w:r w:rsidRPr="006B0CFF">
        <w:t xml:space="preserve">Table </w:t>
      </w:r>
      <w:r>
        <w:fldChar w:fldCharType="begin"/>
      </w:r>
      <w:r>
        <w:instrText>SEQ Table \* ARABIC</w:instrText>
      </w:r>
      <w:r>
        <w:fldChar w:fldCharType="separate"/>
      </w:r>
      <w:r w:rsidR="007F7607">
        <w:rPr>
          <w:noProof/>
        </w:rPr>
        <w:t>6</w:t>
      </w:r>
      <w:r>
        <w:fldChar w:fldCharType="end"/>
      </w:r>
      <w:bookmarkEnd w:id="218"/>
      <w:r w:rsidRPr="006B0CFF">
        <w:t xml:space="preserve">. Stream metabolism data obtained </w:t>
      </w:r>
      <w:r w:rsidRPr="003D1A79">
        <w:t>from the four</w:t>
      </w:r>
      <w:r w:rsidRPr="006B0CFF">
        <w:t xml:space="preserve"> sites in the Lower Lachlan river system during the sampling period 2018-19.</w:t>
      </w:r>
      <w:bookmarkEnd w:id="219"/>
    </w:p>
    <w:p w14:paraId="0246F2D4" w14:textId="77777777" w:rsidR="00CF483E" w:rsidRPr="006B0CFF" w:rsidRDefault="00CF483E" w:rsidP="00CF483E">
      <w:pPr>
        <w:pStyle w:val="Caption"/>
        <w:rPr>
          <w:rFonts w:eastAsiaTheme="minorHAnsi"/>
        </w:rPr>
      </w:pPr>
      <w:r w:rsidRPr="006B0CFF">
        <w:t xml:space="preserve">Shown is the number of logged days for each site with </w:t>
      </w:r>
      <w:r w:rsidRPr="006B0CFF">
        <w:rPr>
          <w:rFonts w:eastAsiaTheme="minorHAnsi"/>
        </w:rPr>
        <w:t xml:space="preserve">the count (Y) and percentile (%) for which a GPP, ER and K estimate could be modelled under the standard acceptance criteria. </w:t>
      </w:r>
    </w:p>
    <w:tbl>
      <w:tblPr>
        <w:tblStyle w:val="GridTable5Dark-Accent6"/>
        <w:tblW w:w="9057" w:type="dxa"/>
        <w:tblLayout w:type="fixed"/>
        <w:tblLook w:val="04A0" w:firstRow="1" w:lastRow="0" w:firstColumn="1" w:lastColumn="0" w:noHBand="0" w:noVBand="1"/>
      </w:tblPr>
      <w:tblGrid>
        <w:gridCol w:w="836"/>
        <w:gridCol w:w="1559"/>
        <w:gridCol w:w="1417"/>
        <w:gridCol w:w="1418"/>
        <w:gridCol w:w="567"/>
        <w:gridCol w:w="567"/>
        <w:gridCol w:w="2693"/>
      </w:tblGrid>
      <w:tr w:rsidR="00CF483E" w:rsidRPr="00801268" w14:paraId="1F10AA18" w14:textId="77777777" w:rsidTr="0046151C">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3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noWrap/>
            <w:hideMark/>
          </w:tcPr>
          <w:p w14:paraId="76DE60B1" w14:textId="77777777" w:rsidR="00CF483E" w:rsidRPr="0044498D" w:rsidRDefault="00CF483E" w:rsidP="00B86CA2">
            <w:pPr>
              <w:spacing w:before="20" w:after="20" w:line="360" w:lineRule="auto"/>
              <w:jc w:val="center"/>
              <w:rPr>
                <w:rFonts w:asciiTheme="minorHAnsi" w:eastAsia="Times New Roman" w:hAnsiTheme="minorHAnsi" w:cstheme="minorHAnsi"/>
                <w:caps/>
                <w:sz w:val="20"/>
                <w:szCs w:val="20"/>
                <w:lang w:eastAsia="en-AU"/>
              </w:rPr>
            </w:pPr>
            <w:r w:rsidRPr="0044498D">
              <w:rPr>
                <w:rFonts w:asciiTheme="minorHAnsi" w:eastAsia="Times New Roman" w:hAnsiTheme="minorHAnsi" w:cstheme="minorHAnsi"/>
                <w:caps/>
                <w:sz w:val="20"/>
                <w:szCs w:val="20"/>
                <w:lang w:eastAsia="en-AU"/>
              </w:rPr>
              <w:t>Zone</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4C30508D"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Site</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748F1181"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Pr>
                <w:rFonts w:asciiTheme="minorHAnsi" w:eastAsia="Times New Roman" w:hAnsiTheme="minorHAnsi" w:cstheme="minorHAnsi"/>
                <w:caps/>
                <w:color w:val="FFFFFF"/>
                <w:sz w:val="20"/>
                <w:szCs w:val="20"/>
                <w:lang w:eastAsia="en-AU"/>
              </w:rPr>
              <w:t xml:space="preserve">Time </w:t>
            </w:r>
            <w:r w:rsidRPr="0044498D">
              <w:rPr>
                <w:rFonts w:asciiTheme="minorHAnsi" w:eastAsia="Times New Roman" w:hAnsiTheme="minorHAnsi" w:cstheme="minorHAnsi"/>
                <w:caps/>
                <w:color w:val="FFFFFF"/>
                <w:sz w:val="20"/>
                <w:szCs w:val="20"/>
                <w:lang w:eastAsia="en-AU"/>
              </w:rPr>
              <w:t>Period</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2F9F6B5D"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Pr>
                <w:rFonts w:asciiTheme="minorHAnsi" w:eastAsia="Times New Roman" w:hAnsiTheme="minorHAnsi" w:cstheme="minorHAnsi"/>
                <w:caps/>
                <w:color w:val="FFFFFF"/>
                <w:sz w:val="20"/>
                <w:szCs w:val="20"/>
                <w:lang w:eastAsia="en-AU"/>
              </w:rPr>
              <w:t>#</w:t>
            </w:r>
            <w:r w:rsidRPr="0044498D">
              <w:rPr>
                <w:rFonts w:asciiTheme="minorHAnsi" w:eastAsia="Times New Roman" w:hAnsiTheme="minorHAnsi" w:cstheme="minorHAnsi"/>
                <w:caps/>
                <w:color w:val="FFFFFF"/>
                <w:sz w:val="20"/>
                <w:szCs w:val="20"/>
                <w:lang w:eastAsia="en-AU"/>
              </w:rPr>
              <w:t xml:space="preserve"> </w:t>
            </w:r>
            <w:r>
              <w:rPr>
                <w:rFonts w:asciiTheme="minorHAnsi" w:eastAsia="Times New Roman" w:hAnsiTheme="minorHAnsi" w:cstheme="minorHAnsi"/>
                <w:caps/>
                <w:color w:val="FFFFFF"/>
                <w:sz w:val="20"/>
                <w:szCs w:val="20"/>
                <w:lang w:eastAsia="en-AU"/>
              </w:rPr>
              <w:t xml:space="preserve">logged </w:t>
            </w:r>
            <w:r w:rsidRPr="0044498D">
              <w:rPr>
                <w:rFonts w:asciiTheme="minorHAnsi" w:eastAsia="Times New Roman" w:hAnsiTheme="minorHAnsi" w:cstheme="minorHAnsi"/>
                <w:caps/>
                <w:color w:val="FFFFFF"/>
                <w:sz w:val="20"/>
                <w:szCs w:val="20"/>
                <w:lang w:eastAsia="en-AU"/>
              </w:rPr>
              <w:t>days</w:t>
            </w:r>
          </w:p>
        </w:tc>
        <w:tc>
          <w:tcPr>
            <w:tcW w:w="5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11E69F09"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Y</w:t>
            </w:r>
          </w:p>
        </w:tc>
        <w:tc>
          <w:tcPr>
            <w:tcW w:w="5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576FE459"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w:t>
            </w:r>
          </w:p>
        </w:tc>
        <w:tc>
          <w:tcPr>
            <w:tcW w:w="26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7A98207E" w14:textId="77777777" w:rsidR="00CF483E"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Note</w:t>
            </w:r>
            <w:r>
              <w:rPr>
                <w:rFonts w:asciiTheme="minorHAnsi" w:eastAsia="Times New Roman" w:hAnsiTheme="minorHAnsi" w:cstheme="minorHAnsi"/>
                <w:caps/>
                <w:color w:val="FFFFFF"/>
                <w:sz w:val="20"/>
                <w:szCs w:val="20"/>
                <w:lang w:eastAsia="en-AU"/>
              </w:rPr>
              <w:t>s</w:t>
            </w:r>
            <w:r w:rsidRPr="0044498D">
              <w:rPr>
                <w:rFonts w:asciiTheme="minorHAnsi" w:eastAsia="Times New Roman" w:hAnsiTheme="minorHAnsi" w:cstheme="minorHAnsi"/>
                <w:caps/>
                <w:color w:val="FFFFFF"/>
                <w:sz w:val="20"/>
                <w:szCs w:val="20"/>
                <w:lang w:eastAsia="en-AU"/>
              </w:rPr>
              <w:t xml:space="preserve"> </w:t>
            </w:r>
          </w:p>
          <w:p w14:paraId="39236CC6" w14:textId="77777777" w:rsidR="00CF483E" w:rsidRPr="0044498D" w:rsidRDefault="00CF483E" w:rsidP="00B86CA2">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(gaps in logging</w:t>
            </w:r>
            <w:r>
              <w:rPr>
                <w:rFonts w:asciiTheme="minorHAnsi" w:eastAsia="Times New Roman" w:hAnsiTheme="minorHAnsi" w:cstheme="minorHAnsi"/>
                <w:caps/>
                <w:color w:val="FFFFFF"/>
                <w:sz w:val="20"/>
                <w:szCs w:val="20"/>
                <w:lang w:eastAsia="en-AU"/>
              </w:rPr>
              <w:t>, Oddity with application of criteria</w:t>
            </w:r>
            <w:r w:rsidRPr="0044498D">
              <w:rPr>
                <w:rFonts w:asciiTheme="minorHAnsi" w:eastAsia="Times New Roman" w:hAnsiTheme="minorHAnsi" w:cstheme="minorHAnsi"/>
                <w:caps/>
                <w:color w:val="FFFFFF"/>
                <w:sz w:val="20"/>
                <w:szCs w:val="20"/>
                <w:lang w:eastAsia="en-AU"/>
              </w:rPr>
              <w:t>)</w:t>
            </w:r>
          </w:p>
        </w:tc>
      </w:tr>
      <w:tr w:rsidR="00CF483E" w:rsidRPr="00833C2B" w14:paraId="0D4083A4" w14:textId="77777777" w:rsidTr="0046151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36" w:type="dxa"/>
            <w:vMerge w:val="restart"/>
            <w:tcBorders>
              <w:top w:val="single" w:sz="12" w:space="0" w:color="FFFFFF" w:themeColor="background1"/>
            </w:tcBorders>
            <w:shd w:val="clear" w:color="auto" w:fill="9BBB59"/>
            <w:noWrap/>
            <w:textDirection w:val="btLr"/>
            <w:hideMark/>
          </w:tcPr>
          <w:p w14:paraId="5D5A1D1B" w14:textId="77777777" w:rsidR="00CF483E" w:rsidRPr="0044498D" w:rsidRDefault="00CF483E" w:rsidP="00B86CA2">
            <w:pPr>
              <w:spacing w:before="20" w:after="20" w:line="360" w:lineRule="auto"/>
              <w:ind w:left="113" w:right="113"/>
              <w:jc w:val="center"/>
              <w:rPr>
                <w:rFonts w:asciiTheme="minorHAnsi" w:eastAsia="Times New Roman" w:hAnsiTheme="minorHAnsi" w:cstheme="minorHAnsi"/>
                <w:caps/>
                <w:sz w:val="20"/>
                <w:szCs w:val="20"/>
                <w:lang w:eastAsia="en-AU"/>
              </w:rPr>
            </w:pPr>
            <w:r w:rsidRPr="0044498D">
              <w:rPr>
                <w:rFonts w:asciiTheme="minorHAnsi" w:eastAsia="Times New Roman" w:hAnsiTheme="minorHAnsi" w:cstheme="minorHAnsi"/>
                <w:caps/>
                <w:sz w:val="20"/>
                <w:szCs w:val="20"/>
                <w:lang w:eastAsia="en-AU"/>
              </w:rPr>
              <w:t>Lower Lachlan (L1)</w:t>
            </w:r>
          </w:p>
        </w:tc>
        <w:tc>
          <w:tcPr>
            <w:tcW w:w="1559" w:type="dxa"/>
            <w:tcBorders>
              <w:top w:val="single" w:sz="12" w:space="0" w:color="FFFFFF" w:themeColor="background1"/>
            </w:tcBorders>
            <w:shd w:val="clear" w:color="auto" w:fill="9BBB59"/>
            <w:vAlign w:val="center"/>
            <w:hideMark/>
          </w:tcPr>
          <w:p w14:paraId="651B6C19" w14:textId="77777777" w:rsidR="00CF483E"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Cowl Cowl</w:t>
            </w:r>
          </w:p>
          <w:p w14:paraId="680EEC5F"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(CC)</w:t>
            </w:r>
          </w:p>
        </w:tc>
        <w:tc>
          <w:tcPr>
            <w:tcW w:w="1417" w:type="dxa"/>
            <w:tcBorders>
              <w:top w:val="single" w:sz="12" w:space="0" w:color="FFFFFF" w:themeColor="background1"/>
            </w:tcBorders>
            <w:shd w:val="clear" w:color="auto" w:fill="EBF1DE"/>
            <w:noWrap/>
            <w:vAlign w:val="center"/>
            <w:hideMark/>
          </w:tcPr>
          <w:p w14:paraId="1F8EEAEE" w14:textId="77777777" w:rsidR="00CF483E" w:rsidRPr="0044498D" w:rsidRDefault="00CF483E" w:rsidP="00B86CA2">
            <w:pPr>
              <w:spacing w:before="20" w:after="2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1/07/2018 - 31/03/2019</w:t>
            </w:r>
          </w:p>
        </w:tc>
        <w:tc>
          <w:tcPr>
            <w:tcW w:w="1418" w:type="dxa"/>
            <w:tcBorders>
              <w:top w:val="single" w:sz="12" w:space="0" w:color="FFFFFF" w:themeColor="background1"/>
            </w:tcBorders>
            <w:shd w:val="clear" w:color="auto" w:fill="EBF1DE"/>
            <w:noWrap/>
            <w:vAlign w:val="center"/>
            <w:hideMark/>
          </w:tcPr>
          <w:p w14:paraId="48D76DF3"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274</w:t>
            </w:r>
          </w:p>
        </w:tc>
        <w:tc>
          <w:tcPr>
            <w:tcW w:w="567" w:type="dxa"/>
            <w:tcBorders>
              <w:top w:val="single" w:sz="12" w:space="0" w:color="FFFFFF" w:themeColor="background1"/>
            </w:tcBorders>
            <w:shd w:val="clear" w:color="auto" w:fill="EBF1DE"/>
            <w:noWrap/>
            <w:vAlign w:val="center"/>
            <w:hideMark/>
          </w:tcPr>
          <w:p w14:paraId="0BA1D3AE"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113</w:t>
            </w:r>
          </w:p>
        </w:tc>
        <w:tc>
          <w:tcPr>
            <w:tcW w:w="567" w:type="dxa"/>
            <w:tcBorders>
              <w:top w:val="single" w:sz="12" w:space="0" w:color="FFFFFF" w:themeColor="background1"/>
            </w:tcBorders>
            <w:shd w:val="clear" w:color="auto" w:fill="EBF1DE"/>
            <w:noWrap/>
            <w:vAlign w:val="center"/>
            <w:hideMark/>
          </w:tcPr>
          <w:p w14:paraId="5A4269DD"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41</w:t>
            </w:r>
          </w:p>
        </w:tc>
        <w:tc>
          <w:tcPr>
            <w:tcW w:w="2693" w:type="dxa"/>
            <w:tcBorders>
              <w:top w:val="single" w:sz="12" w:space="0" w:color="FFFFFF" w:themeColor="background1"/>
            </w:tcBorders>
            <w:shd w:val="clear" w:color="auto" w:fill="EBF1DE"/>
            <w:noWrap/>
            <w:vAlign w:val="center"/>
            <w:hideMark/>
          </w:tcPr>
          <w:p w14:paraId="40E43135" w14:textId="77777777" w:rsidR="00CF483E" w:rsidRPr="0044498D" w:rsidRDefault="00CF483E" w:rsidP="00B86CA2">
            <w:pPr>
              <w:spacing w:before="20" w:after="2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Pr>
                <w:rFonts w:asciiTheme="minorHAnsi" w:eastAsia="Times New Roman" w:hAnsiTheme="minorHAnsi" w:cstheme="minorHAnsi"/>
                <w:color w:val="000000"/>
                <w:sz w:val="20"/>
                <w:szCs w:val="20"/>
                <w:lang w:eastAsia="en-AU"/>
              </w:rPr>
              <w:t>Logger stopped recording End of March 2019</w:t>
            </w:r>
          </w:p>
        </w:tc>
      </w:tr>
      <w:tr w:rsidR="00CF483E" w:rsidRPr="00833C2B" w14:paraId="3699CA9C" w14:textId="77777777" w:rsidTr="0046151C">
        <w:trPr>
          <w:trHeight w:val="222"/>
        </w:trPr>
        <w:tc>
          <w:tcPr>
            <w:cnfStyle w:val="001000000000" w:firstRow="0" w:lastRow="0" w:firstColumn="1" w:lastColumn="0" w:oddVBand="0" w:evenVBand="0" w:oddHBand="0" w:evenHBand="0" w:firstRowFirstColumn="0" w:firstRowLastColumn="0" w:lastRowFirstColumn="0" w:lastRowLastColumn="0"/>
            <w:tcW w:w="836" w:type="dxa"/>
            <w:vMerge/>
            <w:shd w:val="clear" w:color="auto" w:fill="9BBB59"/>
            <w:hideMark/>
          </w:tcPr>
          <w:p w14:paraId="7F06E5B1" w14:textId="77777777" w:rsidR="00CF483E" w:rsidRPr="0044498D" w:rsidRDefault="00CF483E" w:rsidP="00B86CA2">
            <w:pPr>
              <w:spacing w:before="20" w:after="20" w:line="360" w:lineRule="auto"/>
              <w:jc w:val="center"/>
              <w:rPr>
                <w:rFonts w:asciiTheme="minorHAnsi" w:eastAsia="Times New Roman" w:hAnsiTheme="minorHAnsi" w:cstheme="minorHAnsi"/>
                <w:caps/>
                <w:sz w:val="20"/>
                <w:szCs w:val="20"/>
                <w:lang w:eastAsia="en-AU"/>
              </w:rPr>
            </w:pPr>
          </w:p>
        </w:tc>
        <w:tc>
          <w:tcPr>
            <w:tcW w:w="1559" w:type="dxa"/>
            <w:shd w:val="clear" w:color="auto" w:fill="9BBB59"/>
            <w:vAlign w:val="center"/>
            <w:hideMark/>
          </w:tcPr>
          <w:p w14:paraId="46A6C391" w14:textId="77777777" w:rsidR="00CF483E"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Lanes Bridge</w:t>
            </w:r>
          </w:p>
          <w:p w14:paraId="06A96CB8"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(LB)</w:t>
            </w:r>
          </w:p>
        </w:tc>
        <w:tc>
          <w:tcPr>
            <w:tcW w:w="1417" w:type="dxa"/>
            <w:shd w:val="clear" w:color="auto" w:fill="EBF1DE"/>
            <w:noWrap/>
            <w:vAlign w:val="center"/>
            <w:hideMark/>
          </w:tcPr>
          <w:p w14:paraId="2CBC768F" w14:textId="77777777" w:rsidR="00CF483E" w:rsidRPr="0044498D" w:rsidRDefault="00CF483E" w:rsidP="00B86CA2">
            <w:pPr>
              <w:spacing w:before="20" w:after="2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1/07/2018 - 30/06/2019</w:t>
            </w:r>
          </w:p>
        </w:tc>
        <w:tc>
          <w:tcPr>
            <w:tcW w:w="1418" w:type="dxa"/>
            <w:shd w:val="clear" w:color="auto" w:fill="EBF1DE"/>
            <w:noWrap/>
            <w:vAlign w:val="center"/>
            <w:hideMark/>
          </w:tcPr>
          <w:p w14:paraId="551D09C4"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332</w:t>
            </w:r>
          </w:p>
        </w:tc>
        <w:tc>
          <w:tcPr>
            <w:tcW w:w="567" w:type="dxa"/>
            <w:shd w:val="clear" w:color="auto" w:fill="EBF1DE"/>
            <w:noWrap/>
            <w:vAlign w:val="center"/>
            <w:hideMark/>
          </w:tcPr>
          <w:p w14:paraId="560C786C"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277</w:t>
            </w:r>
          </w:p>
        </w:tc>
        <w:tc>
          <w:tcPr>
            <w:tcW w:w="567" w:type="dxa"/>
            <w:shd w:val="clear" w:color="auto" w:fill="EBF1DE"/>
            <w:noWrap/>
            <w:vAlign w:val="center"/>
            <w:hideMark/>
          </w:tcPr>
          <w:p w14:paraId="3774A75E"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83</w:t>
            </w:r>
          </w:p>
        </w:tc>
        <w:tc>
          <w:tcPr>
            <w:tcW w:w="2693" w:type="dxa"/>
            <w:shd w:val="clear" w:color="auto" w:fill="EBF1DE"/>
            <w:noWrap/>
            <w:vAlign w:val="center"/>
            <w:hideMark/>
          </w:tcPr>
          <w:p w14:paraId="11459CB7" w14:textId="77777777" w:rsidR="00CF483E" w:rsidRPr="0044498D" w:rsidRDefault="00CF483E" w:rsidP="00B86CA2">
            <w:pPr>
              <w:spacing w:before="20" w:after="2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gap of 4 days (05/08 - 08/08/2018), gap of 29 days (01/10 - 29/10/2018)</w:t>
            </w:r>
          </w:p>
        </w:tc>
      </w:tr>
      <w:tr w:rsidR="00CF483E" w:rsidRPr="00833C2B" w14:paraId="72C147E1" w14:textId="77777777" w:rsidTr="0046151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36" w:type="dxa"/>
            <w:vMerge/>
            <w:shd w:val="clear" w:color="auto" w:fill="9BBB59"/>
            <w:hideMark/>
          </w:tcPr>
          <w:p w14:paraId="44FE8A01" w14:textId="77777777" w:rsidR="00CF483E" w:rsidRPr="0044498D" w:rsidRDefault="00CF483E" w:rsidP="00B86CA2">
            <w:pPr>
              <w:spacing w:before="20" w:after="20" w:line="360" w:lineRule="auto"/>
              <w:jc w:val="center"/>
              <w:rPr>
                <w:rFonts w:asciiTheme="minorHAnsi" w:eastAsia="Times New Roman" w:hAnsiTheme="minorHAnsi" w:cstheme="minorHAnsi"/>
                <w:caps/>
                <w:sz w:val="20"/>
                <w:szCs w:val="20"/>
                <w:lang w:eastAsia="en-AU"/>
              </w:rPr>
            </w:pPr>
          </w:p>
        </w:tc>
        <w:tc>
          <w:tcPr>
            <w:tcW w:w="1559" w:type="dxa"/>
            <w:shd w:val="clear" w:color="auto" w:fill="9BBB59"/>
            <w:vAlign w:val="center"/>
            <w:hideMark/>
          </w:tcPr>
          <w:p w14:paraId="74011F34"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Wallanthery (WAL)</w:t>
            </w:r>
          </w:p>
        </w:tc>
        <w:tc>
          <w:tcPr>
            <w:tcW w:w="1417" w:type="dxa"/>
            <w:shd w:val="clear" w:color="auto" w:fill="EBF1DE"/>
            <w:noWrap/>
            <w:vAlign w:val="center"/>
            <w:hideMark/>
          </w:tcPr>
          <w:p w14:paraId="6A16FBBC" w14:textId="77777777" w:rsidR="00CF483E" w:rsidRPr="0044498D" w:rsidRDefault="00CF483E" w:rsidP="00B86CA2">
            <w:pPr>
              <w:spacing w:before="20" w:after="2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1/07/2018 - 30/06/2019</w:t>
            </w:r>
          </w:p>
        </w:tc>
        <w:tc>
          <w:tcPr>
            <w:tcW w:w="1418" w:type="dxa"/>
            <w:shd w:val="clear" w:color="auto" w:fill="EBF1DE"/>
            <w:noWrap/>
            <w:vAlign w:val="center"/>
            <w:hideMark/>
          </w:tcPr>
          <w:p w14:paraId="0EC4403B"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365</w:t>
            </w:r>
          </w:p>
        </w:tc>
        <w:tc>
          <w:tcPr>
            <w:tcW w:w="567" w:type="dxa"/>
            <w:shd w:val="clear" w:color="auto" w:fill="EBF1DE"/>
            <w:noWrap/>
            <w:vAlign w:val="center"/>
            <w:hideMark/>
          </w:tcPr>
          <w:p w14:paraId="19E0BE40"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150</w:t>
            </w:r>
          </w:p>
        </w:tc>
        <w:tc>
          <w:tcPr>
            <w:tcW w:w="567" w:type="dxa"/>
            <w:shd w:val="clear" w:color="auto" w:fill="EBF1DE"/>
            <w:noWrap/>
            <w:vAlign w:val="center"/>
            <w:hideMark/>
          </w:tcPr>
          <w:p w14:paraId="5DEF542C" w14:textId="77777777" w:rsidR="00CF483E" w:rsidRPr="0044498D" w:rsidRDefault="00CF483E" w:rsidP="00B86CA2">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41</w:t>
            </w:r>
          </w:p>
        </w:tc>
        <w:tc>
          <w:tcPr>
            <w:tcW w:w="2693" w:type="dxa"/>
            <w:shd w:val="clear" w:color="auto" w:fill="EBF1DE"/>
            <w:noWrap/>
            <w:vAlign w:val="center"/>
            <w:hideMark/>
          </w:tcPr>
          <w:p w14:paraId="417CFB4B" w14:textId="77777777" w:rsidR="00CF483E" w:rsidRPr="0044498D" w:rsidRDefault="00CF483E" w:rsidP="00B86CA2">
            <w:pPr>
              <w:spacing w:before="20" w:after="2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p>
        </w:tc>
      </w:tr>
      <w:tr w:rsidR="00CF483E" w:rsidRPr="00833C2B" w14:paraId="6462DF1D" w14:textId="77777777" w:rsidTr="0046151C">
        <w:trPr>
          <w:trHeight w:val="222"/>
        </w:trPr>
        <w:tc>
          <w:tcPr>
            <w:cnfStyle w:val="001000000000" w:firstRow="0" w:lastRow="0" w:firstColumn="1" w:lastColumn="0" w:oddVBand="0" w:evenVBand="0" w:oddHBand="0" w:evenHBand="0" w:firstRowFirstColumn="0" w:firstRowLastColumn="0" w:lastRowFirstColumn="0" w:lastRowLastColumn="0"/>
            <w:tcW w:w="836" w:type="dxa"/>
            <w:vMerge/>
            <w:tcBorders>
              <w:bottom w:val="single" w:sz="12" w:space="0" w:color="FFFFFF" w:themeColor="background1"/>
            </w:tcBorders>
            <w:shd w:val="clear" w:color="auto" w:fill="9BBB59"/>
            <w:hideMark/>
          </w:tcPr>
          <w:p w14:paraId="7BEF888F" w14:textId="77777777" w:rsidR="00CF483E" w:rsidRPr="0044498D" w:rsidRDefault="00CF483E" w:rsidP="00B86CA2">
            <w:pPr>
              <w:spacing w:before="20" w:after="20" w:line="360" w:lineRule="auto"/>
              <w:jc w:val="center"/>
              <w:rPr>
                <w:rFonts w:asciiTheme="minorHAnsi" w:eastAsia="Times New Roman" w:hAnsiTheme="minorHAnsi" w:cstheme="minorHAnsi"/>
                <w:caps/>
                <w:sz w:val="20"/>
                <w:szCs w:val="20"/>
                <w:lang w:eastAsia="en-AU"/>
              </w:rPr>
            </w:pPr>
          </w:p>
        </w:tc>
        <w:tc>
          <w:tcPr>
            <w:tcW w:w="1559" w:type="dxa"/>
            <w:tcBorders>
              <w:bottom w:val="single" w:sz="12" w:space="0" w:color="FFFFFF" w:themeColor="background1"/>
            </w:tcBorders>
            <w:shd w:val="clear" w:color="auto" w:fill="9BBB59"/>
            <w:vAlign w:val="center"/>
            <w:hideMark/>
          </w:tcPr>
          <w:p w14:paraId="2F56BFAD" w14:textId="77777777" w:rsidR="00CF483E"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Whealbah</w:t>
            </w:r>
          </w:p>
          <w:p w14:paraId="2E040EB7"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(WB)</w:t>
            </w:r>
          </w:p>
        </w:tc>
        <w:tc>
          <w:tcPr>
            <w:tcW w:w="1417" w:type="dxa"/>
            <w:tcBorders>
              <w:bottom w:val="single" w:sz="12" w:space="0" w:color="FFFFFF" w:themeColor="background1"/>
            </w:tcBorders>
            <w:shd w:val="clear" w:color="auto" w:fill="EBF1DE"/>
            <w:noWrap/>
            <w:vAlign w:val="center"/>
            <w:hideMark/>
          </w:tcPr>
          <w:p w14:paraId="6CB5452A" w14:textId="77777777" w:rsidR="00CF483E" w:rsidRPr="0044498D" w:rsidRDefault="00CF483E" w:rsidP="00B86CA2">
            <w:pPr>
              <w:spacing w:before="20" w:after="2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1/07/2018 - 30/06/2019</w:t>
            </w:r>
          </w:p>
        </w:tc>
        <w:tc>
          <w:tcPr>
            <w:tcW w:w="1418" w:type="dxa"/>
            <w:tcBorders>
              <w:bottom w:val="single" w:sz="12" w:space="0" w:color="FFFFFF" w:themeColor="background1"/>
            </w:tcBorders>
            <w:shd w:val="clear" w:color="auto" w:fill="EBF1DE"/>
            <w:noWrap/>
            <w:vAlign w:val="center"/>
            <w:hideMark/>
          </w:tcPr>
          <w:p w14:paraId="012B4F6D"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365</w:t>
            </w:r>
          </w:p>
        </w:tc>
        <w:tc>
          <w:tcPr>
            <w:tcW w:w="567" w:type="dxa"/>
            <w:tcBorders>
              <w:bottom w:val="single" w:sz="12" w:space="0" w:color="FFFFFF" w:themeColor="background1"/>
            </w:tcBorders>
            <w:shd w:val="clear" w:color="auto" w:fill="EBF1DE"/>
            <w:noWrap/>
            <w:vAlign w:val="center"/>
            <w:hideMark/>
          </w:tcPr>
          <w:p w14:paraId="7592C31D"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280</w:t>
            </w:r>
          </w:p>
        </w:tc>
        <w:tc>
          <w:tcPr>
            <w:tcW w:w="567" w:type="dxa"/>
            <w:tcBorders>
              <w:bottom w:val="single" w:sz="12" w:space="0" w:color="FFFFFF" w:themeColor="background1"/>
            </w:tcBorders>
            <w:shd w:val="clear" w:color="auto" w:fill="EBF1DE"/>
            <w:noWrap/>
            <w:vAlign w:val="center"/>
            <w:hideMark/>
          </w:tcPr>
          <w:p w14:paraId="1A542A6C" w14:textId="77777777" w:rsidR="00CF483E" w:rsidRPr="0044498D" w:rsidRDefault="00CF483E" w:rsidP="00B86CA2">
            <w:pPr>
              <w:spacing w:before="20" w:after="2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44498D">
              <w:rPr>
                <w:rFonts w:asciiTheme="minorHAnsi" w:eastAsia="Times New Roman" w:hAnsiTheme="minorHAnsi" w:cstheme="minorHAnsi"/>
                <w:color w:val="000000"/>
                <w:sz w:val="20"/>
                <w:szCs w:val="20"/>
                <w:lang w:eastAsia="en-AU"/>
              </w:rPr>
              <w:t>77</w:t>
            </w:r>
          </w:p>
        </w:tc>
        <w:tc>
          <w:tcPr>
            <w:tcW w:w="2693" w:type="dxa"/>
            <w:tcBorders>
              <w:bottom w:val="single" w:sz="12" w:space="0" w:color="FFFFFF" w:themeColor="background1"/>
            </w:tcBorders>
            <w:shd w:val="clear" w:color="auto" w:fill="EBF1DE"/>
            <w:noWrap/>
            <w:vAlign w:val="center"/>
            <w:hideMark/>
          </w:tcPr>
          <w:p w14:paraId="29EC2C0E" w14:textId="77777777" w:rsidR="00CF483E" w:rsidRPr="0044498D" w:rsidRDefault="00CF483E" w:rsidP="00B86CA2">
            <w:pPr>
              <w:spacing w:before="20" w:after="2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p>
        </w:tc>
      </w:tr>
    </w:tbl>
    <w:p w14:paraId="4016470F" w14:textId="1D359303" w:rsidR="00CF483E" w:rsidRDefault="00CF483E" w:rsidP="00CF483E">
      <w:r w:rsidRPr="00EA4DCE">
        <w:rPr>
          <w:lang w:val="en-GB"/>
        </w:rPr>
        <w:t xml:space="preserve">Time series plots of </w:t>
      </w:r>
      <w:r>
        <w:rPr>
          <w:lang w:val="en-GB"/>
        </w:rPr>
        <w:t xml:space="preserve">logged </w:t>
      </w:r>
      <w:r w:rsidRPr="00EA4DCE">
        <w:rPr>
          <w:lang w:val="en-GB"/>
        </w:rPr>
        <w:t>temperature, dissolved oxygen</w:t>
      </w:r>
      <w:r>
        <w:rPr>
          <w:lang w:val="en-GB"/>
        </w:rPr>
        <w:t xml:space="preserve"> (DO) are shown in </w:t>
      </w:r>
      <w:r>
        <w:rPr>
          <w:lang w:val="en-GB"/>
        </w:rPr>
        <w:fldChar w:fldCharType="begin"/>
      </w:r>
      <w:r>
        <w:rPr>
          <w:lang w:val="en-GB"/>
        </w:rPr>
        <w:instrText xml:space="preserve"> REF _Ref19280310 \h </w:instrText>
      </w:r>
      <w:r>
        <w:rPr>
          <w:lang w:val="en-GB"/>
        </w:rPr>
      </w:r>
      <w:r>
        <w:rPr>
          <w:lang w:val="en-GB"/>
        </w:rPr>
        <w:fldChar w:fldCharType="separate"/>
      </w:r>
      <w:r w:rsidR="007F7607" w:rsidRPr="00D14712">
        <w:t xml:space="preserve">Figure </w:t>
      </w:r>
      <w:r w:rsidR="007F7607">
        <w:rPr>
          <w:noProof/>
        </w:rPr>
        <w:t>22</w:t>
      </w:r>
      <w:r>
        <w:rPr>
          <w:lang w:val="en-GB"/>
        </w:rPr>
        <w:fldChar w:fldCharType="end"/>
      </w:r>
      <w:r w:rsidR="00F205EF">
        <w:rPr>
          <w:lang w:val="en-GB"/>
        </w:rPr>
        <w:t xml:space="preserve"> </w:t>
      </w:r>
      <w:r>
        <w:rPr>
          <w:lang w:val="en-GB"/>
        </w:rPr>
        <w:t xml:space="preserve">on </w:t>
      </w:r>
      <w:r w:rsidR="00507E37">
        <w:rPr>
          <w:lang w:val="en-GB"/>
        </w:rPr>
        <w:t>p.</w:t>
      </w:r>
      <w:r>
        <w:rPr>
          <w:lang w:val="en-GB"/>
        </w:rPr>
        <w:t xml:space="preserve"> </w:t>
      </w:r>
      <w:r>
        <w:rPr>
          <w:lang w:val="en-GB"/>
        </w:rPr>
        <w:fldChar w:fldCharType="begin"/>
      </w:r>
      <w:r>
        <w:rPr>
          <w:lang w:val="en-GB"/>
        </w:rPr>
        <w:instrText xml:space="preserve"> PAGEREF _Ref20404743 \h </w:instrText>
      </w:r>
      <w:r>
        <w:rPr>
          <w:lang w:val="en-GB"/>
        </w:rPr>
      </w:r>
      <w:r>
        <w:rPr>
          <w:lang w:val="en-GB"/>
        </w:rPr>
        <w:fldChar w:fldCharType="separate"/>
      </w:r>
      <w:r w:rsidR="007F7607">
        <w:rPr>
          <w:noProof/>
          <w:lang w:val="en-GB"/>
        </w:rPr>
        <w:t>54</w:t>
      </w:r>
      <w:r>
        <w:rPr>
          <w:lang w:val="en-GB"/>
        </w:rPr>
        <w:fldChar w:fldCharType="end"/>
      </w:r>
      <w:r>
        <w:rPr>
          <w:lang w:val="en-GB"/>
        </w:rPr>
        <w:t xml:space="preserve">. Discharge (from the nearest NSW gauging station), logged DO, </w:t>
      </w:r>
      <w:r w:rsidRPr="00EA4DCE">
        <w:rPr>
          <w:lang w:val="en-GB"/>
        </w:rPr>
        <w:t>G</w:t>
      </w:r>
      <w:r>
        <w:rPr>
          <w:lang w:val="en-GB"/>
        </w:rPr>
        <w:t xml:space="preserve">ross </w:t>
      </w:r>
      <w:r w:rsidRPr="00EA4DCE">
        <w:rPr>
          <w:lang w:val="en-GB"/>
        </w:rPr>
        <w:t>P</w:t>
      </w:r>
      <w:r>
        <w:rPr>
          <w:lang w:val="en-GB"/>
        </w:rPr>
        <w:t xml:space="preserve">rimary </w:t>
      </w:r>
      <w:r w:rsidRPr="00EA4DCE">
        <w:rPr>
          <w:lang w:val="en-GB"/>
        </w:rPr>
        <w:t>P</w:t>
      </w:r>
      <w:r>
        <w:rPr>
          <w:lang w:val="en-GB"/>
        </w:rPr>
        <w:t>roduction (GPP),</w:t>
      </w:r>
      <w:r w:rsidRPr="00EA4DCE">
        <w:rPr>
          <w:lang w:val="en-GB"/>
        </w:rPr>
        <w:t xml:space="preserve"> </w:t>
      </w:r>
      <w:r w:rsidRPr="003358DE">
        <w:rPr>
          <w:lang w:val="en-GB"/>
        </w:rPr>
        <w:t xml:space="preserve">Ecosystem Respiration (ER), reaeration (K) and the </w:t>
      </w:r>
      <w:r w:rsidRPr="003358DE">
        <w:t xml:space="preserve">GGP/ER ratio </w:t>
      </w:r>
      <w:r w:rsidRPr="003358DE">
        <w:rPr>
          <w:lang w:val="en-GB"/>
        </w:rPr>
        <w:t xml:space="preserve">for </w:t>
      </w:r>
      <w:r>
        <w:rPr>
          <w:lang w:val="en-GB"/>
        </w:rPr>
        <w:t xml:space="preserve">Lane’s Bridge as an example from </w:t>
      </w:r>
      <w:r w:rsidRPr="003358DE">
        <w:rPr>
          <w:lang w:val="en-GB"/>
        </w:rPr>
        <w:t xml:space="preserve">the lower Lachlan are shown in </w:t>
      </w:r>
      <w:r>
        <w:fldChar w:fldCharType="begin"/>
      </w:r>
      <w:r>
        <w:instrText xml:space="preserve"> REF _Ref532205681 \h </w:instrText>
      </w:r>
      <w:r>
        <w:fldChar w:fldCharType="separate"/>
      </w:r>
      <w:r w:rsidR="007F7607" w:rsidRPr="004E54B5">
        <w:t xml:space="preserve">Figure </w:t>
      </w:r>
      <w:r w:rsidR="007F7607">
        <w:rPr>
          <w:noProof/>
        </w:rPr>
        <w:t>31</w:t>
      </w:r>
      <w:r>
        <w:fldChar w:fldCharType="end"/>
      </w:r>
      <w:r>
        <w:t xml:space="preserve">, and in section </w:t>
      </w:r>
      <w:r>
        <w:fldChar w:fldCharType="begin"/>
      </w:r>
      <w:r>
        <w:instrText xml:space="preserve"> REF _Ref19536256 \r \h </w:instrText>
      </w:r>
      <w:r>
        <w:fldChar w:fldCharType="separate"/>
      </w:r>
      <w:r w:rsidR="007F7607">
        <w:t>5.7</w:t>
      </w:r>
      <w:r>
        <w:fldChar w:fldCharType="end"/>
      </w:r>
      <w:r>
        <w:t xml:space="preserve">: </w:t>
      </w:r>
      <w:r>
        <w:fldChar w:fldCharType="begin"/>
      </w:r>
      <w:r>
        <w:instrText xml:space="preserve"> REF _Ref19536256 \h </w:instrText>
      </w:r>
      <w:r>
        <w:fldChar w:fldCharType="separate"/>
      </w:r>
      <w:r w:rsidR="007F7607">
        <w:t>Appendix 1: Stream metabolism plots for additional sites in the Lower Lachlan River 2018-19</w:t>
      </w:r>
      <w:r>
        <w:fldChar w:fldCharType="end"/>
      </w:r>
      <w:r>
        <w:t xml:space="preserve"> can be found.</w:t>
      </w:r>
    </w:p>
    <w:p w14:paraId="31B0D707" w14:textId="77777777" w:rsidR="00CF483E" w:rsidRDefault="00CF483E" w:rsidP="00CF483E">
      <w:pPr>
        <w:rPr>
          <w:color w:val="000000" w:themeColor="text1"/>
        </w:rPr>
      </w:pPr>
      <w:r w:rsidRPr="00E57583">
        <w:rPr>
          <w:color w:val="000000" w:themeColor="text1"/>
          <w:u w:val="single"/>
        </w:rPr>
        <w:t>Watering Action 1</w:t>
      </w:r>
      <w:r>
        <w:rPr>
          <w:color w:val="000000" w:themeColor="text1"/>
        </w:rPr>
        <w:t xml:space="preserve"> was a spring fresh commencing </w:t>
      </w:r>
      <w:r w:rsidRPr="00BC249B">
        <w:rPr>
          <w:color w:val="000000" w:themeColor="text1"/>
        </w:rPr>
        <w:t>on 29</w:t>
      </w:r>
      <w:r w:rsidRPr="00735664">
        <w:rPr>
          <w:color w:val="000000" w:themeColor="text1"/>
          <w:vertAlign w:val="superscript"/>
        </w:rPr>
        <w:t>th</w:t>
      </w:r>
      <w:r>
        <w:rPr>
          <w:color w:val="000000" w:themeColor="text1"/>
        </w:rPr>
        <w:t xml:space="preserve"> </w:t>
      </w:r>
      <w:r w:rsidRPr="00BC249B">
        <w:rPr>
          <w:color w:val="000000" w:themeColor="text1"/>
        </w:rPr>
        <w:t>August 2018</w:t>
      </w:r>
      <w:r>
        <w:rPr>
          <w:color w:val="000000" w:themeColor="text1"/>
        </w:rPr>
        <w:t xml:space="preserve"> targeting</w:t>
      </w:r>
      <w:r w:rsidRPr="00BC249B">
        <w:rPr>
          <w:color w:val="000000" w:themeColor="text1"/>
        </w:rPr>
        <w:t xml:space="preserve"> native fish and strea</w:t>
      </w:r>
      <w:r>
        <w:rPr>
          <w:color w:val="000000" w:themeColor="text1"/>
        </w:rPr>
        <w:t xml:space="preserve">m productivity outcomes in </w:t>
      </w:r>
      <w:r w:rsidRPr="00BC249B">
        <w:rPr>
          <w:color w:val="000000" w:themeColor="text1"/>
        </w:rPr>
        <w:t xml:space="preserve">the mid and lower Lachlan River. </w:t>
      </w:r>
      <w:r>
        <w:rPr>
          <w:color w:val="000000" w:themeColor="text1"/>
        </w:rPr>
        <w:t xml:space="preserve">Some </w:t>
      </w:r>
      <w:r w:rsidRPr="00BC249B">
        <w:rPr>
          <w:color w:val="000000" w:themeColor="text1"/>
        </w:rPr>
        <w:t xml:space="preserve">of </w:t>
      </w:r>
      <w:r>
        <w:rPr>
          <w:color w:val="000000" w:themeColor="text1"/>
        </w:rPr>
        <w:t xml:space="preserve">this flow was held </w:t>
      </w:r>
      <w:r w:rsidRPr="00BC249B">
        <w:rPr>
          <w:color w:val="000000" w:themeColor="text1"/>
        </w:rPr>
        <w:t>in Lake Br</w:t>
      </w:r>
      <w:r>
        <w:rPr>
          <w:color w:val="000000" w:themeColor="text1"/>
        </w:rPr>
        <w:t xml:space="preserve">ewster and released between </w:t>
      </w:r>
      <w:r w:rsidRPr="00BC249B">
        <w:rPr>
          <w:color w:val="000000" w:themeColor="text1"/>
        </w:rPr>
        <w:t>20</w:t>
      </w:r>
      <w:r>
        <w:rPr>
          <w:color w:val="000000" w:themeColor="text1"/>
        </w:rPr>
        <w:t>-23</w:t>
      </w:r>
      <w:r w:rsidRPr="00735664">
        <w:rPr>
          <w:color w:val="000000" w:themeColor="text1"/>
          <w:vertAlign w:val="superscript"/>
        </w:rPr>
        <w:t>rd</w:t>
      </w:r>
      <w:r>
        <w:rPr>
          <w:color w:val="000000" w:themeColor="text1"/>
        </w:rPr>
        <w:t xml:space="preserve"> </w:t>
      </w:r>
      <w:r w:rsidRPr="00BC249B">
        <w:rPr>
          <w:color w:val="000000" w:themeColor="text1"/>
        </w:rPr>
        <w:t>October to mimic a small rain event</w:t>
      </w:r>
      <w:r>
        <w:rPr>
          <w:color w:val="000000" w:themeColor="text1"/>
        </w:rPr>
        <w:t xml:space="preserve">, and some was directed down Booberoi Creek. </w:t>
      </w:r>
    </w:p>
    <w:p w14:paraId="6835F371" w14:textId="77777777" w:rsidR="00CF483E" w:rsidRPr="00BC249B" w:rsidRDefault="00CF483E" w:rsidP="00CF483E">
      <w:pPr>
        <w:rPr>
          <w:color w:val="000000" w:themeColor="text1"/>
        </w:rPr>
      </w:pPr>
      <w:r w:rsidRPr="00E57583">
        <w:rPr>
          <w:color w:val="000000" w:themeColor="text1"/>
          <w:u w:val="single"/>
        </w:rPr>
        <w:t>Watering Action 2</w:t>
      </w:r>
      <w:r>
        <w:rPr>
          <w:color w:val="000000" w:themeColor="text1"/>
        </w:rPr>
        <w:t xml:space="preserve"> sought to generate</w:t>
      </w:r>
      <w:r w:rsidRPr="00BC249B">
        <w:rPr>
          <w:color w:val="000000" w:themeColor="text1"/>
        </w:rPr>
        <w:t xml:space="preserve"> minimum stable flows</w:t>
      </w:r>
      <w:r>
        <w:rPr>
          <w:color w:val="000000" w:themeColor="text1"/>
        </w:rPr>
        <w:t xml:space="preserve"> of 800 ML/day in the mid Lachlan R</w:t>
      </w:r>
      <w:r w:rsidRPr="00BC249B">
        <w:rPr>
          <w:color w:val="000000" w:themeColor="text1"/>
        </w:rPr>
        <w:t>iver</w:t>
      </w:r>
      <w:r>
        <w:rPr>
          <w:color w:val="000000" w:themeColor="text1"/>
        </w:rPr>
        <w:t xml:space="preserve">, preventing rapid drops in flow which could expose Murray cod and </w:t>
      </w:r>
      <w:r w:rsidRPr="00BC249B">
        <w:rPr>
          <w:color w:val="000000" w:themeColor="text1"/>
        </w:rPr>
        <w:t>catfish nests</w:t>
      </w:r>
      <w:r>
        <w:rPr>
          <w:color w:val="000000" w:themeColor="text1"/>
        </w:rPr>
        <w:t xml:space="preserve">. </w:t>
      </w:r>
      <w:r w:rsidRPr="00BC249B">
        <w:rPr>
          <w:color w:val="000000" w:themeColor="text1"/>
        </w:rPr>
        <w:t>Releases</w:t>
      </w:r>
      <w:r>
        <w:rPr>
          <w:color w:val="000000" w:themeColor="text1"/>
        </w:rPr>
        <w:t xml:space="preserve"> of CEW</w:t>
      </w:r>
      <w:r w:rsidRPr="00BC249B">
        <w:rPr>
          <w:color w:val="000000" w:themeColor="text1"/>
        </w:rPr>
        <w:t xml:space="preserve"> for this action</w:t>
      </w:r>
      <w:r>
        <w:rPr>
          <w:color w:val="000000" w:themeColor="text1"/>
        </w:rPr>
        <w:t xml:space="preserve"> occurred between 22</w:t>
      </w:r>
      <w:r w:rsidRPr="00DB00BD">
        <w:rPr>
          <w:color w:val="000000" w:themeColor="text1"/>
          <w:vertAlign w:val="superscript"/>
        </w:rPr>
        <w:t>nd</w:t>
      </w:r>
      <w:r>
        <w:rPr>
          <w:color w:val="000000" w:themeColor="text1"/>
        </w:rPr>
        <w:t>-30</w:t>
      </w:r>
      <w:r w:rsidRPr="00735664">
        <w:rPr>
          <w:color w:val="000000" w:themeColor="text1"/>
          <w:vertAlign w:val="superscript"/>
        </w:rPr>
        <w:t>th</w:t>
      </w:r>
      <w:r>
        <w:rPr>
          <w:color w:val="000000" w:themeColor="text1"/>
        </w:rPr>
        <w:t xml:space="preserve"> of October, complementing operating flows which were provided between the 17</w:t>
      </w:r>
      <w:r w:rsidRPr="00DB00BD">
        <w:rPr>
          <w:color w:val="000000" w:themeColor="text1"/>
          <w:vertAlign w:val="superscript"/>
        </w:rPr>
        <w:t>th</w:t>
      </w:r>
      <w:r>
        <w:rPr>
          <w:color w:val="000000" w:themeColor="text1"/>
        </w:rPr>
        <w:t xml:space="preserve"> of October and </w:t>
      </w:r>
      <w:r w:rsidRPr="00BC249B">
        <w:rPr>
          <w:color w:val="000000" w:themeColor="text1"/>
        </w:rPr>
        <w:t>3</w:t>
      </w:r>
      <w:r w:rsidRPr="00735664">
        <w:rPr>
          <w:color w:val="000000" w:themeColor="text1"/>
          <w:vertAlign w:val="superscript"/>
        </w:rPr>
        <w:t>rd</w:t>
      </w:r>
      <w:r>
        <w:rPr>
          <w:color w:val="000000" w:themeColor="text1"/>
        </w:rPr>
        <w:t xml:space="preserve"> </w:t>
      </w:r>
      <w:r w:rsidRPr="00BC249B">
        <w:rPr>
          <w:color w:val="000000" w:themeColor="text1"/>
        </w:rPr>
        <w:t>December 2018.</w:t>
      </w:r>
    </w:p>
    <w:p w14:paraId="78C93653" w14:textId="77777777" w:rsidR="00CF483E" w:rsidRDefault="00CF483E" w:rsidP="00CF483E">
      <w:pPr>
        <w:rPr>
          <w:color w:val="000000" w:themeColor="text1"/>
        </w:rPr>
      </w:pPr>
      <w:r w:rsidRPr="00E57583">
        <w:rPr>
          <w:color w:val="000000" w:themeColor="text1"/>
          <w:u w:val="single"/>
        </w:rPr>
        <w:t>Watering Action 4</w:t>
      </w:r>
      <w:r>
        <w:rPr>
          <w:color w:val="000000" w:themeColor="text1"/>
        </w:rPr>
        <w:t xml:space="preserve"> targeted</w:t>
      </w:r>
      <w:r w:rsidRPr="00BC249B">
        <w:rPr>
          <w:color w:val="000000" w:themeColor="text1"/>
        </w:rPr>
        <w:t xml:space="preserve"> the Great Cumbung Swamp</w:t>
      </w:r>
      <w:r>
        <w:rPr>
          <w:color w:val="000000" w:themeColor="text1"/>
        </w:rPr>
        <w:t xml:space="preserve"> in the lower Lachlan and sourced 5,</w:t>
      </w:r>
      <w:r w:rsidRPr="00BC249B">
        <w:rPr>
          <w:color w:val="000000" w:themeColor="text1"/>
        </w:rPr>
        <w:t xml:space="preserve">338 ML </w:t>
      </w:r>
      <w:r>
        <w:rPr>
          <w:color w:val="000000" w:themeColor="text1"/>
        </w:rPr>
        <w:t xml:space="preserve">of water from </w:t>
      </w:r>
      <w:r w:rsidRPr="00BC249B">
        <w:rPr>
          <w:color w:val="000000" w:themeColor="text1"/>
        </w:rPr>
        <w:t>Lake Brewster</w:t>
      </w:r>
      <w:r>
        <w:rPr>
          <w:color w:val="000000" w:themeColor="text1"/>
        </w:rPr>
        <w:t xml:space="preserve"> between </w:t>
      </w:r>
      <w:r w:rsidRPr="00BC249B">
        <w:rPr>
          <w:color w:val="000000" w:themeColor="text1"/>
        </w:rPr>
        <w:t>9</w:t>
      </w:r>
      <w:r w:rsidRPr="00BC249B">
        <w:rPr>
          <w:color w:val="000000" w:themeColor="text1"/>
          <w:vertAlign w:val="superscript"/>
        </w:rPr>
        <w:t>th</w:t>
      </w:r>
      <w:r>
        <w:rPr>
          <w:color w:val="000000" w:themeColor="text1"/>
        </w:rPr>
        <w:t>-28</w:t>
      </w:r>
      <w:r w:rsidRPr="00BC249B">
        <w:rPr>
          <w:color w:val="000000" w:themeColor="text1"/>
          <w:vertAlign w:val="superscript"/>
        </w:rPr>
        <w:t>th</w:t>
      </w:r>
      <w:r>
        <w:rPr>
          <w:color w:val="000000" w:themeColor="text1"/>
        </w:rPr>
        <w:t xml:space="preserve"> June. </w:t>
      </w:r>
    </w:p>
    <w:p w14:paraId="5A360D28" w14:textId="2CACEEF2" w:rsidR="00CF483E" w:rsidRDefault="00CF483E" w:rsidP="00CF483E">
      <w:pPr>
        <w:rPr>
          <w:lang w:val="en-GB"/>
        </w:rPr>
      </w:pPr>
      <w:r>
        <w:rPr>
          <w:lang w:val="en-GB"/>
        </w:rPr>
        <w:t xml:space="preserve">The watering actions undertaken in the lower Lachlan in 2018-19 took the form of </w:t>
      </w:r>
      <w:r w:rsidR="00B92616">
        <w:rPr>
          <w:lang w:val="en-GB"/>
        </w:rPr>
        <w:t xml:space="preserve">four </w:t>
      </w:r>
      <w:r>
        <w:rPr>
          <w:lang w:val="en-GB"/>
        </w:rPr>
        <w:t xml:space="preserve">relatively defined flow pulses. </w:t>
      </w:r>
      <w:r w:rsidR="00B92616">
        <w:rPr>
          <w:lang w:val="en-GB"/>
        </w:rPr>
        <w:t xml:space="preserve">While data are available for two of the four monitored sites for </w:t>
      </w:r>
      <w:r>
        <w:rPr>
          <w:lang w:val="en-GB"/>
        </w:rPr>
        <w:t>Watering Action 1</w:t>
      </w:r>
      <w:r w:rsidR="00FB2064">
        <w:rPr>
          <w:lang w:val="en-GB"/>
        </w:rPr>
        <w:t>, two sites have limited data</w:t>
      </w:r>
      <w:r>
        <w:rPr>
          <w:lang w:val="en-GB"/>
        </w:rPr>
        <w:t xml:space="preserve"> as a consequence of poor curve fits</w:t>
      </w:r>
      <w:r w:rsidR="00FB2064">
        <w:rPr>
          <w:lang w:val="en-GB"/>
        </w:rPr>
        <w:t xml:space="preserve"> </w:t>
      </w:r>
      <w:r>
        <w:rPr>
          <w:lang w:val="en-GB"/>
        </w:rPr>
        <w:t>(</w:t>
      </w:r>
      <w:r>
        <w:rPr>
          <w:lang w:val="en-GB"/>
        </w:rPr>
        <w:fldChar w:fldCharType="begin"/>
      </w:r>
      <w:r>
        <w:rPr>
          <w:lang w:val="en-GB"/>
        </w:rPr>
        <w:instrText xml:space="preserve"> REF _Ref18068497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_Ref19528317 \h </w:instrText>
      </w:r>
      <w:r>
        <w:rPr>
          <w:lang w:val="en-GB"/>
        </w:rPr>
      </w:r>
      <w:r>
        <w:rPr>
          <w:lang w:val="en-GB"/>
        </w:rPr>
        <w:fldChar w:fldCharType="separate"/>
      </w:r>
      <w:r w:rsidR="007F7607" w:rsidRPr="00953089">
        <w:t xml:space="preserve">Figure </w:t>
      </w:r>
      <w:r w:rsidR="007F7607">
        <w:rPr>
          <w:noProof/>
        </w:rPr>
        <w:t>35</w:t>
      </w:r>
      <w:r>
        <w:rPr>
          <w:lang w:val="en-GB"/>
        </w:rPr>
        <w:fldChar w:fldCharType="end"/>
      </w:r>
      <w:r>
        <w:rPr>
          <w:lang w:val="en-GB"/>
        </w:rPr>
        <w:t xml:space="preserve"> to </w:t>
      </w:r>
      <w:r>
        <w:rPr>
          <w:lang w:val="en-GB"/>
        </w:rPr>
        <w:fldChar w:fldCharType="begin"/>
      </w:r>
      <w:r>
        <w:rPr>
          <w:lang w:val="en-GB"/>
        </w:rPr>
        <w:instrText xml:space="preserve"> REF _Ref19537210 \h </w:instrText>
      </w:r>
      <w:r>
        <w:rPr>
          <w:lang w:val="en-GB"/>
        </w:rPr>
      </w:r>
      <w:r>
        <w:rPr>
          <w:lang w:val="en-GB"/>
        </w:rPr>
        <w:fldChar w:fldCharType="separate"/>
      </w:r>
      <w:r w:rsidR="007F7607" w:rsidRPr="00953089">
        <w:t xml:space="preserve">Figure </w:t>
      </w:r>
      <w:r w:rsidR="007F7607">
        <w:rPr>
          <w:noProof/>
        </w:rPr>
        <w:t>38</w:t>
      </w:r>
      <w:r>
        <w:rPr>
          <w:lang w:val="en-GB"/>
        </w:rPr>
        <w:fldChar w:fldCharType="end"/>
      </w:r>
      <w:r>
        <w:rPr>
          <w:lang w:val="en-GB"/>
        </w:rPr>
        <w:t>). This does not appear to be due to high values for reaeration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_Ref19536574 \h </w:instrText>
      </w:r>
      <w:r>
        <w:rPr>
          <w:lang w:val="en-GB"/>
        </w:rPr>
      </w:r>
      <w:r>
        <w:rPr>
          <w:lang w:val="en-GB"/>
        </w:rPr>
        <w:fldChar w:fldCharType="separate"/>
      </w:r>
      <w:r w:rsidR="007F7607" w:rsidRPr="00953089">
        <w:t xml:space="preserve">Figure </w:t>
      </w:r>
      <w:r w:rsidR="007F7607">
        <w:rPr>
          <w:noProof/>
        </w:rPr>
        <w:t>37</w:t>
      </w:r>
      <w:r>
        <w:rPr>
          <w:lang w:val="en-GB"/>
        </w:rPr>
        <w:fldChar w:fldCharType="end"/>
      </w:r>
      <w:r>
        <w:rPr>
          <w:lang w:val="en-GB"/>
        </w:rPr>
        <w:t>). There is some evidence for increasing GPP over November and December when Watering Action 2 was being delivered, although this is also a period of warmer water conditions (</w:t>
      </w:r>
      <w:r>
        <w:rPr>
          <w:lang w:val="en-GB"/>
        </w:rPr>
        <w:fldChar w:fldCharType="begin"/>
      </w:r>
      <w:r>
        <w:rPr>
          <w:lang w:val="en-GB"/>
        </w:rPr>
        <w:instrText xml:space="preserve"> REF _Ref19280696 \h </w:instrText>
      </w:r>
      <w:r>
        <w:rPr>
          <w:lang w:val="en-GB"/>
        </w:rPr>
      </w:r>
      <w:r>
        <w:rPr>
          <w:lang w:val="en-GB"/>
        </w:rPr>
        <w:fldChar w:fldCharType="separate"/>
      </w:r>
      <w:r w:rsidR="007F7607" w:rsidRPr="003358DE">
        <w:t xml:space="preserve">Figure </w:t>
      </w:r>
      <w:r w:rsidR="007F7607">
        <w:rPr>
          <w:noProof/>
        </w:rPr>
        <w:t>28</w:t>
      </w:r>
      <w:r>
        <w:rPr>
          <w:lang w:val="en-GB"/>
        </w:rPr>
        <w:fldChar w:fldCharType="end"/>
      </w:r>
      <w:r>
        <w:rPr>
          <w:lang w:val="en-GB"/>
        </w:rPr>
        <w:t xml:space="preserve">, </w:t>
      </w:r>
      <w:r w:rsidR="00507E37">
        <w:rPr>
          <w:lang w:val="en-GB"/>
        </w:rPr>
        <w:t>p.</w:t>
      </w:r>
      <w:r>
        <w:rPr>
          <w:lang w:val="en-GB"/>
        </w:rPr>
        <w:t xml:space="preserve"> </w:t>
      </w:r>
      <w:r>
        <w:rPr>
          <w:lang w:val="en-GB"/>
        </w:rPr>
        <w:fldChar w:fldCharType="begin"/>
      </w:r>
      <w:r>
        <w:rPr>
          <w:lang w:val="en-GB"/>
        </w:rPr>
        <w:instrText xml:space="preserve"> PAGEREF _Ref19536674 \h </w:instrText>
      </w:r>
      <w:r>
        <w:rPr>
          <w:lang w:val="en-GB"/>
        </w:rPr>
      </w:r>
      <w:r>
        <w:rPr>
          <w:lang w:val="en-GB"/>
        </w:rPr>
        <w:fldChar w:fldCharType="separate"/>
      </w:r>
      <w:r w:rsidR="007F7607">
        <w:rPr>
          <w:noProof/>
          <w:lang w:val="en-GB"/>
        </w:rPr>
        <w:t>61</w:t>
      </w:r>
      <w:r>
        <w:rPr>
          <w:lang w:val="en-GB"/>
        </w:rPr>
        <w:fldChar w:fldCharType="end"/>
      </w:r>
      <w:r>
        <w:rPr>
          <w:lang w:val="en-GB"/>
        </w:rPr>
        <w:t>) and the rising limb of an irrigation delivery flow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_Ref19528317 \h </w:instrText>
      </w:r>
      <w:r>
        <w:rPr>
          <w:lang w:val="en-GB"/>
        </w:rPr>
      </w:r>
      <w:r>
        <w:rPr>
          <w:lang w:val="en-GB"/>
        </w:rPr>
        <w:fldChar w:fldCharType="separate"/>
      </w:r>
      <w:r w:rsidR="007F7607" w:rsidRPr="00953089">
        <w:t xml:space="preserve">Figure </w:t>
      </w:r>
      <w:r w:rsidR="007F7607">
        <w:rPr>
          <w:noProof/>
        </w:rPr>
        <w:t>35</w:t>
      </w:r>
      <w:r>
        <w:rPr>
          <w:lang w:val="en-GB"/>
        </w:rPr>
        <w:fldChar w:fldCharType="end"/>
      </w:r>
      <w:r>
        <w:rPr>
          <w:lang w:val="en-GB"/>
        </w:rPr>
        <w:t>). Results for ER also showed some sign of an increase over this period, particularly at the Whealbah site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_Ref19536225 \h </w:instrText>
      </w:r>
      <w:r>
        <w:rPr>
          <w:lang w:val="en-GB"/>
        </w:rPr>
      </w:r>
      <w:r>
        <w:rPr>
          <w:lang w:val="en-GB"/>
        </w:rPr>
        <w:fldChar w:fldCharType="separate"/>
      </w:r>
      <w:r w:rsidR="007F7607" w:rsidRPr="00507E37">
        <w:t xml:space="preserve">Figure </w:t>
      </w:r>
      <w:r w:rsidR="007F7607">
        <w:rPr>
          <w:noProof/>
        </w:rPr>
        <w:t>36</w:t>
      </w:r>
      <w:r>
        <w:rPr>
          <w:lang w:val="en-GB"/>
        </w:rPr>
        <w:fldChar w:fldCharType="end"/>
      </w:r>
      <w:r>
        <w:rPr>
          <w:lang w:val="en-GB"/>
        </w:rPr>
        <w:t xml:space="preserve">). The </w:t>
      </w:r>
      <w:r w:rsidRPr="009B56DD">
        <w:rPr>
          <w:lang w:val="en-GB"/>
        </w:rPr>
        <w:t xml:space="preserve">ER rates are generally significantly higher than the corresponding GPP rates, meaning that </w:t>
      </w:r>
      <w:r>
        <w:rPr>
          <w:lang w:val="en-GB"/>
        </w:rPr>
        <w:t>the sites are</w:t>
      </w:r>
      <w:r w:rsidRPr="009B56DD">
        <w:rPr>
          <w:lang w:val="en-GB"/>
        </w:rPr>
        <w:t xml:space="preserve"> predominantly heterotrophic (</w:t>
      </w:r>
      <w:r w:rsidR="002A59AE">
        <w:rPr>
          <w:lang w:val="en-GB"/>
        </w:rPr>
        <w:t>GPP/ E</w:t>
      </w:r>
      <w:r w:rsidRPr="009B56DD">
        <w:rPr>
          <w:lang w:val="en-GB"/>
        </w:rPr>
        <w:t>R&lt;1)</w:t>
      </w:r>
      <w:r>
        <w:rPr>
          <w:lang w:val="en-GB"/>
        </w:rPr>
        <w:t xml:space="preserve">. Stream </w:t>
      </w:r>
      <w:r w:rsidRPr="009B56DD">
        <w:rPr>
          <w:lang w:val="en-GB"/>
        </w:rPr>
        <w:t xml:space="preserve">metabolism is </w:t>
      </w:r>
      <w:r>
        <w:rPr>
          <w:lang w:val="en-GB"/>
        </w:rPr>
        <w:t xml:space="preserve">mainly </w:t>
      </w:r>
      <w:r w:rsidRPr="009B56DD">
        <w:rPr>
          <w:lang w:val="en-GB"/>
        </w:rPr>
        <w:t>driven by external sources of organic carbon rather than from that created by photosynthesis within the site.</w:t>
      </w:r>
      <w:r>
        <w:rPr>
          <w:lang w:val="en-GB"/>
        </w:rPr>
        <w:t xml:space="preserve"> The increases in GPP and ER are highly </w:t>
      </w:r>
      <w:r w:rsidRPr="002B697A">
        <w:rPr>
          <w:lang w:val="en-GB"/>
        </w:rPr>
        <w:t>correlated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_Ref19537210 \h </w:instrText>
      </w:r>
      <w:r>
        <w:rPr>
          <w:lang w:val="en-GB"/>
        </w:rPr>
      </w:r>
      <w:r>
        <w:rPr>
          <w:lang w:val="en-GB"/>
        </w:rPr>
        <w:fldChar w:fldCharType="separate"/>
      </w:r>
      <w:r w:rsidR="007F7607" w:rsidRPr="00953089">
        <w:t xml:space="preserve">Figure </w:t>
      </w:r>
      <w:r w:rsidR="007F7607">
        <w:rPr>
          <w:noProof/>
        </w:rPr>
        <w:t>38</w:t>
      </w:r>
      <w:r>
        <w:rPr>
          <w:lang w:val="en-GB"/>
        </w:rPr>
        <w:fldChar w:fldCharType="end"/>
      </w:r>
      <w:r>
        <w:rPr>
          <w:lang w:val="en-GB"/>
        </w:rPr>
        <w:t xml:space="preserve">), </w:t>
      </w:r>
      <w:r w:rsidRPr="002B697A">
        <w:rPr>
          <w:lang w:val="en-GB"/>
        </w:rPr>
        <w:t>suggesting of increased photosynthetic activity and mobilisation/</w:t>
      </w:r>
      <w:r>
        <w:rPr>
          <w:lang w:val="en-GB"/>
        </w:rPr>
        <w:t xml:space="preserve"> </w:t>
      </w:r>
      <w:r w:rsidRPr="002B697A">
        <w:rPr>
          <w:lang w:val="en-GB"/>
        </w:rPr>
        <w:t>consumption of organic matter. This is consistent with evidence from the water quality data which suggests</w:t>
      </w:r>
      <w:r>
        <w:rPr>
          <w:lang w:val="en-GB"/>
        </w:rPr>
        <w:t xml:space="preserve"> mobilisation of both nutrients and carbon generating an increase in basal resources and productivity.</w:t>
      </w:r>
    </w:p>
    <w:p w14:paraId="66A38CDF" w14:textId="3BEE1053" w:rsidR="00CF483E" w:rsidRDefault="00CF483E" w:rsidP="00CF483E">
      <w:r w:rsidRPr="002B697A">
        <w:rPr>
          <w:lang w:val="en-GB"/>
        </w:rPr>
        <w:t xml:space="preserve">Watering Action 4 occurred under cooler </w:t>
      </w:r>
      <w:r w:rsidRPr="002827FD">
        <w:rPr>
          <w:lang w:val="en-GB"/>
        </w:rPr>
        <w:t>conditions in June 2</w:t>
      </w:r>
      <w:r w:rsidRPr="002B697A">
        <w:rPr>
          <w:lang w:val="en-GB"/>
        </w:rPr>
        <w:t>019, and yielded metabolism data only from Wallanthery, Lanes Bridge and Whealbah. There was no clear evidence for an effect of this flow on GPP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_Ref19528317 \h </w:instrText>
      </w:r>
      <w:r>
        <w:rPr>
          <w:lang w:val="en-GB"/>
        </w:rPr>
      </w:r>
      <w:r>
        <w:rPr>
          <w:lang w:val="en-GB"/>
        </w:rPr>
        <w:fldChar w:fldCharType="separate"/>
      </w:r>
      <w:r w:rsidR="007F7607" w:rsidRPr="00953089">
        <w:t xml:space="preserve">Figure </w:t>
      </w:r>
      <w:r w:rsidR="007F7607">
        <w:rPr>
          <w:noProof/>
        </w:rPr>
        <w:t>35</w:t>
      </w:r>
      <w:r>
        <w:rPr>
          <w:lang w:val="en-GB"/>
        </w:rPr>
        <w:fldChar w:fldCharType="end"/>
      </w:r>
      <w:r w:rsidRPr="002B697A">
        <w:rPr>
          <w:lang w:val="en-GB"/>
        </w:rPr>
        <w:t xml:space="preserve">), but there were observed increased in ER, particularly at the Whealbah site </w:t>
      </w:r>
      <w:r>
        <w:rPr>
          <w:lang w:val="en-GB"/>
        </w:rPr>
        <w:t>(</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_Ref19536225 \h </w:instrText>
      </w:r>
      <w:r>
        <w:rPr>
          <w:lang w:val="en-GB"/>
        </w:rPr>
      </w:r>
      <w:r>
        <w:rPr>
          <w:lang w:val="en-GB"/>
        </w:rPr>
        <w:fldChar w:fldCharType="separate"/>
      </w:r>
      <w:r w:rsidR="007F7607" w:rsidRPr="00507E37">
        <w:t xml:space="preserve">Figure </w:t>
      </w:r>
      <w:r w:rsidR="007F7607">
        <w:rPr>
          <w:noProof/>
        </w:rPr>
        <w:t>36</w:t>
      </w:r>
      <w:r>
        <w:rPr>
          <w:lang w:val="en-GB"/>
        </w:rPr>
        <w:fldChar w:fldCharType="end"/>
      </w:r>
      <w:r w:rsidRPr="002B697A">
        <w:rPr>
          <w:lang w:val="en-GB"/>
        </w:rPr>
        <w:t xml:space="preserve">). For this flow there was evidence of increased reaeration </w:t>
      </w:r>
      <w:r>
        <w:rPr>
          <w:lang w:val="en-GB"/>
        </w:rPr>
        <w:t>(</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_Ref19536574 \h </w:instrText>
      </w:r>
      <w:r>
        <w:rPr>
          <w:lang w:val="en-GB"/>
        </w:rPr>
      </w:r>
      <w:r>
        <w:rPr>
          <w:lang w:val="en-GB"/>
        </w:rPr>
        <w:fldChar w:fldCharType="separate"/>
      </w:r>
      <w:r w:rsidR="007F7607" w:rsidRPr="00953089">
        <w:t xml:space="preserve">Figure </w:t>
      </w:r>
      <w:r w:rsidR="007F7607">
        <w:rPr>
          <w:noProof/>
        </w:rPr>
        <w:t>37</w:t>
      </w:r>
      <w:r>
        <w:rPr>
          <w:lang w:val="en-GB"/>
        </w:rPr>
        <w:fldChar w:fldCharType="end"/>
      </w:r>
      <w:r w:rsidRPr="002B697A">
        <w:rPr>
          <w:lang w:val="en-GB"/>
        </w:rPr>
        <w:t>), which may lead to over-estimates of ER. There was some evidence for changes in GPP/ER ratios associated with the rising limb of this flow indicative of an increase in ER without a correlated increase in GPP</w:t>
      </w:r>
      <w:r>
        <w:rPr>
          <w:lang w:val="en-GB"/>
        </w:rPr>
        <w:t xml:space="preserve"> (</w:t>
      </w:r>
      <w:r>
        <w:rPr>
          <w:lang w:val="en-GB"/>
        </w:rPr>
        <w:fldChar w:fldCharType="begin"/>
      </w:r>
      <w:r>
        <w:rPr>
          <w:lang w:val="en-GB"/>
        </w:rPr>
        <w:instrText xml:space="preserve"> REF _Ref532205681 \h </w:instrText>
      </w:r>
      <w:r>
        <w:rPr>
          <w:lang w:val="en-GB"/>
        </w:rPr>
      </w:r>
      <w:r>
        <w:rPr>
          <w:lang w:val="en-GB"/>
        </w:rPr>
        <w:fldChar w:fldCharType="separate"/>
      </w:r>
      <w:r w:rsidR="007F7607" w:rsidRPr="004E54B5">
        <w:t xml:space="preserve">Figure </w:t>
      </w:r>
      <w:r w:rsidR="007F7607">
        <w:rPr>
          <w:noProof/>
        </w:rPr>
        <w:t>31</w:t>
      </w:r>
      <w:r>
        <w:rPr>
          <w:lang w:val="en-GB"/>
        </w:rPr>
        <w:fldChar w:fldCharType="end"/>
      </w:r>
      <w:r>
        <w:rPr>
          <w:lang w:val="en-GB"/>
        </w:rPr>
        <w:t xml:space="preserve">, </w:t>
      </w:r>
      <w:r>
        <w:rPr>
          <w:lang w:val="en-GB"/>
        </w:rPr>
        <w:fldChar w:fldCharType="begin"/>
      </w:r>
      <w:r>
        <w:rPr>
          <w:lang w:val="en-GB"/>
        </w:rPr>
        <w:instrText xml:space="preserve"> REF _Ref19537210 \h </w:instrText>
      </w:r>
      <w:r>
        <w:rPr>
          <w:lang w:val="en-GB"/>
        </w:rPr>
      </w:r>
      <w:r>
        <w:rPr>
          <w:lang w:val="en-GB"/>
        </w:rPr>
        <w:fldChar w:fldCharType="separate"/>
      </w:r>
      <w:r w:rsidR="007F7607" w:rsidRPr="00953089">
        <w:t xml:space="preserve">Figure </w:t>
      </w:r>
      <w:r w:rsidR="007F7607">
        <w:rPr>
          <w:noProof/>
        </w:rPr>
        <w:t>38</w:t>
      </w:r>
      <w:r>
        <w:rPr>
          <w:lang w:val="en-GB"/>
        </w:rPr>
        <w:fldChar w:fldCharType="end"/>
      </w:r>
      <w:r w:rsidRPr="002B697A">
        <w:rPr>
          <w:lang w:val="en-GB"/>
        </w:rPr>
        <w:t>). It is not possible to determine whether these changes are a consequence of increased reaeration alone, or whether there was a true increase in respiration due to inundation and consumption of organic matter. It is clear however that flow delivery under these cooler conditions did not yield a detectable increase in GPP.</w:t>
      </w:r>
      <w:r>
        <w:rPr>
          <w:lang w:val="en-GB"/>
        </w:rPr>
        <w:t xml:space="preserve"> </w:t>
      </w:r>
      <w:bookmarkStart w:id="220" w:name="_Ref530140461"/>
      <w:bookmarkStart w:id="221" w:name="_Toc527986391"/>
      <w:bookmarkStart w:id="222" w:name="_Hlk527977200"/>
      <w:bookmarkStart w:id="223" w:name="_Toc499912087"/>
      <w:bookmarkStart w:id="224" w:name="_Toc491084848"/>
    </w:p>
    <w:p w14:paraId="2B6042F2" w14:textId="77777777" w:rsidR="00CF483E" w:rsidRDefault="00CF483E" w:rsidP="00CF483E">
      <w:pPr>
        <w:spacing w:before="0" w:after="0"/>
        <w:rPr>
          <w:noProof/>
        </w:rPr>
      </w:pPr>
      <w:r>
        <w:rPr>
          <w:noProof/>
          <w:lang w:eastAsia="en-AU"/>
        </w:rPr>
        <mc:AlternateContent>
          <mc:Choice Requires="wpg">
            <w:drawing>
              <wp:anchor distT="0" distB="0" distL="114300" distR="114300" simplePos="0" relativeHeight="251652096" behindDoc="0" locked="0" layoutInCell="1" allowOverlap="1" wp14:anchorId="7B0EF759" wp14:editId="78CFB2B5">
                <wp:simplePos x="0" y="0"/>
                <wp:positionH relativeFrom="column">
                  <wp:posOffset>1762125</wp:posOffset>
                </wp:positionH>
                <wp:positionV relativeFrom="paragraph">
                  <wp:posOffset>333375</wp:posOffset>
                </wp:positionV>
                <wp:extent cx="3373120" cy="6343650"/>
                <wp:effectExtent l="0" t="0" r="0" b="0"/>
                <wp:wrapNone/>
                <wp:docPr id="66" name="Group 66"/>
                <wp:cNvGraphicFramePr/>
                <a:graphic xmlns:a="http://schemas.openxmlformats.org/drawingml/2006/main">
                  <a:graphicData uri="http://schemas.microsoft.com/office/word/2010/wordprocessingGroup">
                    <wpg:wgp>
                      <wpg:cNvGrpSpPr/>
                      <wpg:grpSpPr>
                        <a:xfrm>
                          <a:off x="0" y="0"/>
                          <a:ext cx="3373120" cy="6343650"/>
                          <a:chOff x="0" y="0"/>
                          <a:chExt cx="3373120" cy="7261098"/>
                        </a:xfrm>
                      </wpg:grpSpPr>
                      <wps:wsp>
                        <wps:cNvPr id="67" name="Rectangle 67"/>
                        <wps:cNvSpPr/>
                        <wps:spPr>
                          <a:xfrm>
                            <a:off x="3155950" y="0"/>
                            <a:ext cx="217170" cy="7223379"/>
                          </a:xfrm>
                          <a:prstGeom prst="rect">
                            <a:avLst/>
                          </a:prstGeom>
                          <a:solidFill>
                            <a:srgbClr val="4F81BD">
                              <a:lumMod val="60000"/>
                              <a:lumOff val="40000"/>
                              <a:alpha val="32000"/>
                            </a:srgbClr>
                          </a:solidFill>
                          <a:ln w="25400" cap="flat" cmpd="sng" algn="ctr">
                            <a:noFill/>
                            <a:prstDash val="solid"/>
                          </a:ln>
                          <a:effectLst/>
                        </wps:spPr>
                        <wps:txbx>
                          <w:txbxContent>
                            <w:p w14:paraId="24368315"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68"/>
                        <wps:cNvSpPr/>
                        <wps:spPr>
                          <a:xfrm flipH="1">
                            <a:off x="0" y="19050"/>
                            <a:ext cx="236170" cy="7242048"/>
                          </a:xfrm>
                          <a:prstGeom prst="rect">
                            <a:avLst/>
                          </a:prstGeom>
                          <a:solidFill>
                            <a:srgbClr val="4F81BD">
                              <a:lumMod val="60000"/>
                              <a:lumOff val="40000"/>
                              <a:alpha val="32000"/>
                            </a:srgbClr>
                          </a:solidFill>
                          <a:ln w="25400" cap="flat" cmpd="sng" algn="ctr">
                            <a:noFill/>
                            <a:prstDash val="solid"/>
                          </a:ln>
                          <a:effectLst/>
                        </wps:spPr>
                        <wps:txbx>
                          <w:txbxContent>
                            <w:p w14:paraId="5A4F73B3"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438150" y="19050"/>
                            <a:ext cx="83971" cy="7214235"/>
                          </a:xfrm>
                          <a:prstGeom prst="rect">
                            <a:avLst/>
                          </a:prstGeom>
                          <a:solidFill>
                            <a:srgbClr val="4F81BD">
                              <a:lumMod val="60000"/>
                              <a:lumOff val="40000"/>
                              <a:alpha val="32000"/>
                            </a:srgbClr>
                          </a:solidFill>
                          <a:ln w="25400" cap="flat" cmpd="sng" algn="ctr">
                            <a:noFill/>
                            <a:prstDash val="solid"/>
                          </a:ln>
                          <a:effectLst/>
                        </wps:spPr>
                        <wps:txbx>
                          <w:txbxContent>
                            <w:p w14:paraId="35168746" w14:textId="77777777" w:rsidR="007F7607" w:rsidRDefault="007F7607" w:rsidP="00CF483E"/>
                            <w:p w14:paraId="3C505BD3"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565150" y="19050"/>
                            <a:ext cx="244698" cy="7214235"/>
                          </a:xfrm>
                          <a:prstGeom prst="rect">
                            <a:avLst/>
                          </a:prstGeom>
                          <a:solidFill>
                            <a:srgbClr val="4F81BD">
                              <a:lumMod val="60000"/>
                              <a:lumOff val="40000"/>
                              <a:alpha val="32000"/>
                            </a:srgbClr>
                          </a:solidFill>
                          <a:ln w="25400" cap="flat" cmpd="sng" algn="ctr">
                            <a:noFill/>
                            <a:prstDash val="solid"/>
                          </a:ln>
                          <a:effectLst/>
                        </wps:spPr>
                        <wps:txbx>
                          <w:txbxContent>
                            <w:p w14:paraId="71DF8DDC" w14:textId="77777777" w:rsidR="007F7607" w:rsidRDefault="007F7607" w:rsidP="00CF483E"/>
                            <w:p w14:paraId="28521374"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B0EF759" id="Group 66" o:spid="_x0000_s1051" style="position:absolute;margin-left:138.75pt;margin-top:26.25pt;width:265.6pt;height:499.5pt;z-index:251652096;mso-height-relative:margin" coordsize="33731,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">
                <v:rect id="Rectangle 67" o:spid="_x0000_s1052" style="position:absolute;left:31559;width:2172;height:72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Nv8IA&#10;AADbAAAADwAAAGRycy9kb3ducmV2LnhtbESPQWvCQBSE70L/w/IKvYhu6iEJqWsIYqzHVv0Bj+xr&#10;Esy+DbtbTf99VxA8DjPzDbMuJzOIKznfW1bwvkxAEDdW99wqOJ/qRQ7CB2SNg2VS8Eceys3LbI2F&#10;tjf+pusxtCJC2BeooAthLKT0TUcG/dKOxNH7sc5giNK1Uju8RbgZ5CpJUmmw57jQ4UjbjprL8dco&#10;2F00NXn9mdXWjXN9yr+c21dKvb1O1QeIQFN4hh/tg1aQZnD/En+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82/wgAAANsAAAAPAAAAAAAAAAAAAAAAAJgCAABkcnMvZG93&#10;bnJldi54bWxQSwUGAAAAAAQABAD1AAAAhwMAAAAA&#10;" fillcolor="#95b3d7" stroked="f" strokeweight="2pt">
                  <v:fill opacity="21074f"/>
                  <v:textbox>
                    <w:txbxContent>
                      <w:p w14:paraId="24368315" w14:textId="77777777" w:rsidR="007F7607" w:rsidRDefault="007F7607" w:rsidP="00CF483E"/>
                    </w:txbxContent>
                  </v:textbox>
                </v:rect>
                <v:rect id="Rectangle 68" o:spid="_x0000_s1053" style="position:absolute;top:190;width:2361;height:724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6ZMIA&#10;AADbAAAADwAAAGRycy9kb3ducmV2LnhtbERPz2vCMBS+D/wfwhvstqYTkdGZFqkKXoSp28DbI3m2&#10;pc1LaTJb99cvh8GOH9/vVTHZTtxo8I1jBS9JCoJYO9NwpeDjvHt+BeEDssHOMSm4k4cinz2sMDNu&#10;5CPdTqESMYR9hgrqEPpMSq9rsugT1xNH7uoGiyHCoZJmwDGG207O03QpLTYcG2rsqaxJt6dvq2Bz&#10;PaTH/fZzsWm/xvcfT/qyKL1ST4/T+g1EoCn8i//ce6NgGcfGL/EH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4TpkwgAAANsAAAAPAAAAAAAAAAAAAAAAAJgCAABkcnMvZG93&#10;bnJldi54bWxQSwUGAAAAAAQABAD1AAAAhwMAAAAA&#10;" fillcolor="#95b3d7" stroked="f" strokeweight="2pt">
                  <v:fill opacity="21074f"/>
                  <v:textbox>
                    <w:txbxContent>
                      <w:p w14:paraId="5A4F73B3" w14:textId="77777777" w:rsidR="007F7607" w:rsidRDefault="007F7607" w:rsidP="00CF483E"/>
                    </w:txbxContent>
                  </v:textbox>
                </v:rect>
                <v:rect id="Rectangle 69" o:spid="_x0000_s1054" style="position:absolute;left:4381;top:190;width:840;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8VsEA&#10;AADbAAAADwAAAGRycy9kb3ducmV2LnhtbESPQYvCMBSE78L+h/AWvIimetDaNYqI1T1q9Qc8mrdt&#10;sXkpSdT6783Cwh6HmfmGWW1604oHOd9YVjCdJCCIS6sbrhRcL/k4BeEDssbWMil4kYfN+mOwwkzb&#10;J5/pUYRKRAj7DBXUIXSZlL6syaCf2I44ej/WGQxRukpqh88IN62cJclcGmw4LtTY0a6m8lbcjYL9&#10;TVOZ5sdFbl030pf05Nxhq9Tws99+gQjUh//wX/tbK5gv4fdL/AF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w/FbBAAAA2wAAAA8AAAAAAAAAAAAAAAAAmAIAAGRycy9kb3du&#10;cmV2LnhtbFBLBQYAAAAABAAEAPUAAACGAwAAAAA=&#10;" fillcolor="#95b3d7" stroked="f" strokeweight="2pt">
                  <v:fill opacity="21074f"/>
                  <v:textbox>
                    <w:txbxContent>
                      <w:p w14:paraId="35168746" w14:textId="77777777" w:rsidR="007F7607" w:rsidRDefault="007F7607" w:rsidP="00CF483E"/>
                      <w:p w14:paraId="3C505BD3" w14:textId="77777777" w:rsidR="007F7607" w:rsidRDefault="007F7607" w:rsidP="00CF483E"/>
                    </w:txbxContent>
                  </v:textbox>
                </v:rect>
                <v:rect id="Rectangle 70" o:spid="_x0000_s1055" style="position:absolute;left:5651;top:190;width:2447;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DFr8A&#10;AADbAAAADwAAAGRycy9kb3ducmV2LnhtbERPS27CMBDdV+IO1iB1U4FTFk0UYhBCBLqkhAOM4iGJ&#10;iMeR7ZL09nhRieXT+xfbyfTiQc53lhV8LhMQxLXVHTcKrlW5yED4gKyxt0wK/sjDdjN7KzDXduQf&#10;elxCI2II+xwVtCEMuZS+bsmgX9qBOHI36wyGCF0jtcMxhpterpLkSxrsODa0ONC+pfp++TUKDndN&#10;dVae0tK64UNX2dm5406p9/m0W4MINIWX+N/9rRWkcX38En+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08MWvwAAANsAAAAPAAAAAAAAAAAAAAAAAJgCAABkcnMvZG93bnJl&#10;di54bWxQSwUGAAAAAAQABAD1AAAAhAMAAAAA&#10;" fillcolor="#95b3d7" stroked="f" strokeweight="2pt">
                  <v:fill opacity="21074f"/>
                  <v:textbox>
                    <w:txbxContent>
                      <w:p w14:paraId="71DF8DDC" w14:textId="77777777" w:rsidR="007F7607" w:rsidRDefault="007F7607" w:rsidP="00CF483E"/>
                      <w:p w14:paraId="28521374" w14:textId="77777777" w:rsidR="007F7607" w:rsidRDefault="007F7607" w:rsidP="00CF483E"/>
                    </w:txbxContent>
                  </v:textbox>
                </v:rect>
              </v:group>
            </w:pict>
          </mc:Fallback>
        </mc:AlternateContent>
      </w:r>
      <w:r>
        <w:rPr>
          <w:noProof/>
          <w:lang w:eastAsia="en-AU"/>
        </w:rPr>
        <w:drawing>
          <wp:inline distT="0" distB="0" distL="0" distR="0" wp14:anchorId="4FCE0F4F" wp14:editId="5307C28A">
            <wp:extent cx="5707380" cy="2033123"/>
            <wp:effectExtent l="0" t="0" r="7620" b="57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5726867" cy="2040065"/>
                    </a:xfrm>
                    <a:prstGeom prst="rect">
                      <a:avLst/>
                    </a:prstGeom>
                    <a:noFill/>
                    <a:ln>
                      <a:noFill/>
                    </a:ln>
                    <a:extLst>
                      <a:ext uri="{53640926-AAD7-44D8-BBD7-CCE9431645EC}">
                        <a14:shadowObscured xmlns:a14="http://schemas.microsoft.com/office/drawing/2010/main"/>
                      </a:ext>
                    </a:extLst>
                  </pic:spPr>
                </pic:pic>
              </a:graphicData>
            </a:graphic>
          </wp:inline>
        </w:drawing>
      </w:r>
      <w:bookmarkEnd w:id="220"/>
      <w:bookmarkEnd w:id="221"/>
    </w:p>
    <w:p w14:paraId="26F50207" w14:textId="77777777" w:rsidR="00CF483E" w:rsidRDefault="00CF483E" w:rsidP="00CF483E">
      <w:pPr>
        <w:spacing w:before="0" w:after="0"/>
        <w:rPr>
          <w:noProof/>
        </w:rPr>
      </w:pPr>
      <w:r>
        <w:rPr>
          <w:noProof/>
          <w:lang w:eastAsia="en-AU"/>
        </w:rPr>
        <w:drawing>
          <wp:inline distT="0" distB="0" distL="0" distR="0" wp14:anchorId="1AD0B762" wp14:editId="6BBEFA7A">
            <wp:extent cx="5719332" cy="16383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5729939" cy="1641338"/>
                    </a:xfrm>
                    <a:prstGeom prst="rect">
                      <a:avLst/>
                    </a:prstGeom>
                    <a:noFill/>
                    <a:ln>
                      <a:noFill/>
                    </a:ln>
                    <a:extLst>
                      <a:ext uri="{53640926-AAD7-44D8-BBD7-CCE9431645EC}">
                        <a14:shadowObscured xmlns:a14="http://schemas.microsoft.com/office/drawing/2010/main"/>
                      </a:ext>
                    </a:extLst>
                  </pic:spPr>
                </pic:pic>
              </a:graphicData>
            </a:graphic>
          </wp:inline>
        </w:drawing>
      </w:r>
    </w:p>
    <w:p w14:paraId="205B7E4B" w14:textId="77777777" w:rsidR="00CF483E" w:rsidRDefault="00CF483E" w:rsidP="00CF483E">
      <w:pPr>
        <w:spacing w:before="0" w:after="0"/>
      </w:pPr>
      <w:r>
        <w:t xml:space="preserve"> </w:t>
      </w:r>
      <w:r>
        <w:rPr>
          <w:noProof/>
          <w:lang w:eastAsia="en-AU"/>
        </w:rPr>
        <w:drawing>
          <wp:inline distT="0" distB="0" distL="0" distR="0" wp14:anchorId="3205DE92" wp14:editId="189C0C10">
            <wp:extent cx="5669914" cy="1609725"/>
            <wp:effectExtent l="0" t="0" r="762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5672154" cy="1610361"/>
                    </a:xfrm>
                    <a:prstGeom prst="rect">
                      <a:avLst/>
                    </a:prstGeom>
                    <a:noFill/>
                    <a:ln>
                      <a:noFill/>
                    </a:ln>
                    <a:extLst>
                      <a:ext uri="{53640926-AAD7-44D8-BBD7-CCE9431645EC}">
                        <a14:shadowObscured xmlns:a14="http://schemas.microsoft.com/office/drawing/2010/main"/>
                      </a:ext>
                    </a:extLst>
                  </pic:spPr>
                </pic:pic>
              </a:graphicData>
            </a:graphic>
          </wp:inline>
        </w:drawing>
      </w:r>
    </w:p>
    <w:p w14:paraId="7108BC1D" w14:textId="77777777" w:rsidR="00CF483E" w:rsidRPr="008E7219" w:rsidRDefault="00CF483E" w:rsidP="00CF483E">
      <w:pPr>
        <w:spacing w:before="0" w:after="0"/>
      </w:pPr>
      <w:r>
        <w:t xml:space="preserve"> </w:t>
      </w:r>
      <w:r>
        <w:rPr>
          <w:noProof/>
          <w:lang w:eastAsia="en-AU"/>
        </w:rPr>
        <w:drawing>
          <wp:inline distT="0" distB="0" distL="0" distR="0" wp14:anchorId="5809B607" wp14:editId="35879176">
            <wp:extent cx="5660477" cy="2011045"/>
            <wp:effectExtent l="0" t="0" r="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662627" cy="2011809"/>
                    </a:xfrm>
                    <a:prstGeom prst="rect">
                      <a:avLst/>
                    </a:prstGeom>
                    <a:noFill/>
                    <a:ln>
                      <a:noFill/>
                    </a:ln>
                    <a:extLst>
                      <a:ext uri="{53640926-AAD7-44D8-BBD7-CCE9431645EC}">
                        <a14:shadowObscured xmlns:a14="http://schemas.microsoft.com/office/drawing/2010/main"/>
                      </a:ext>
                    </a:extLst>
                  </pic:spPr>
                </pic:pic>
              </a:graphicData>
            </a:graphic>
          </wp:inline>
        </w:drawing>
      </w:r>
    </w:p>
    <w:p w14:paraId="77259F90" w14:textId="7EA8D082" w:rsidR="00CF483E" w:rsidRPr="004E54B5" w:rsidRDefault="00CF483E" w:rsidP="00CF483E">
      <w:pPr>
        <w:pStyle w:val="Caption"/>
        <w:rPr>
          <w:rStyle w:val="CaptionChar"/>
          <w:bCs/>
          <w:i/>
        </w:rPr>
      </w:pPr>
      <w:bookmarkStart w:id="225" w:name="_Ref532205681"/>
      <w:bookmarkStart w:id="226" w:name="_Ref18068497"/>
      <w:bookmarkStart w:id="227" w:name="_Toc4574860"/>
      <w:bookmarkStart w:id="228" w:name="_Toc18672219"/>
      <w:bookmarkStart w:id="229" w:name="_Ref19536733"/>
      <w:bookmarkStart w:id="230" w:name="_Toc31985595"/>
      <w:bookmarkStart w:id="231" w:name="_Ref530141075"/>
      <w:bookmarkStart w:id="232" w:name="_Toc527986392"/>
      <w:bookmarkEnd w:id="222"/>
      <w:bookmarkEnd w:id="223"/>
      <w:bookmarkEnd w:id="224"/>
      <w:r w:rsidRPr="004E54B5">
        <w:t xml:space="preserve">Figure </w:t>
      </w:r>
      <w:r>
        <w:fldChar w:fldCharType="begin"/>
      </w:r>
      <w:r>
        <w:instrText>SEQ Figure \* ARABIC</w:instrText>
      </w:r>
      <w:r>
        <w:fldChar w:fldCharType="separate"/>
      </w:r>
      <w:r w:rsidR="007F7607">
        <w:rPr>
          <w:noProof/>
        </w:rPr>
        <w:t>31</w:t>
      </w:r>
      <w:r>
        <w:fldChar w:fldCharType="end"/>
      </w:r>
      <w:bookmarkEnd w:id="225"/>
      <w:bookmarkEnd w:id="226"/>
      <w:r w:rsidRPr="004E54B5">
        <w:t xml:space="preserve">. </w:t>
      </w:r>
      <w:r w:rsidRPr="004E54B5">
        <w:rPr>
          <w:rStyle w:val="CaptionChar"/>
          <w:bCs/>
          <w:i/>
        </w:rPr>
        <w:t xml:space="preserve">Gross primary production (GPP), </w:t>
      </w:r>
      <w:r w:rsidRPr="004E54B5">
        <w:t>Ecosystem respiration (ER), Reaeration (K) and the GPP/ ER ratio from Lane</w:t>
      </w:r>
      <w:r>
        <w:t>’</w:t>
      </w:r>
      <w:r w:rsidRPr="004E54B5">
        <w:t xml:space="preserve">s Bridge in the Lower Lachlan, </w:t>
      </w:r>
      <w:bookmarkEnd w:id="227"/>
      <w:r w:rsidRPr="004E54B5">
        <w:rPr>
          <w:rStyle w:val="CaptionChar"/>
          <w:bCs/>
          <w:i/>
        </w:rPr>
        <w:t>July 2018 - June 2019</w:t>
      </w:r>
      <w:bookmarkEnd w:id="228"/>
      <w:bookmarkEnd w:id="229"/>
      <w:bookmarkEnd w:id="230"/>
    </w:p>
    <w:p w14:paraId="79676167" w14:textId="77777777" w:rsidR="00CF483E" w:rsidRPr="004E54B5" w:rsidRDefault="00CF483E" w:rsidP="00CF483E">
      <w:pPr>
        <w:pStyle w:val="Caption"/>
      </w:pPr>
      <w:r w:rsidRPr="004E54B5">
        <w:t>Blue shaded vertical bars indicate watering actions.</w:t>
      </w:r>
      <w:r w:rsidRPr="00F07A94">
        <w:t xml:space="preserve"> </w:t>
      </w:r>
      <w:r>
        <w:br w:type="page"/>
      </w:r>
    </w:p>
    <w:p w14:paraId="0E10A3A2" w14:textId="77777777" w:rsidR="00CF483E" w:rsidRPr="00333174" w:rsidRDefault="00CF483E" w:rsidP="00CF483E">
      <w:pPr>
        <w:pStyle w:val="Heading4"/>
      </w:pPr>
      <w:bookmarkStart w:id="233" w:name="_Toc527986376"/>
      <w:bookmarkStart w:id="234" w:name="_Toc4574783"/>
      <w:bookmarkEnd w:id="231"/>
      <w:bookmarkEnd w:id="232"/>
      <w:r w:rsidRPr="00333174">
        <w:rPr>
          <w:lang w:val="en-AU"/>
        </w:rPr>
        <w:t>Mid</w:t>
      </w:r>
      <w:r w:rsidRPr="00333174">
        <w:t xml:space="preserve"> Lachlan</w:t>
      </w:r>
      <w:r>
        <w:rPr>
          <w:lang w:val="en-AU"/>
        </w:rPr>
        <w:t xml:space="preserve"> </w:t>
      </w:r>
      <w:r>
        <w:t>River (Short Term Intervention Monitoring)</w:t>
      </w:r>
    </w:p>
    <w:p w14:paraId="2F623107" w14:textId="03AA0C6F" w:rsidR="00CF483E" w:rsidRPr="00131F12" w:rsidRDefault="00CF483E" w:rsidP="00CF483E">
      <w:r>
        <w:t>In August 2018 m</w:t>
      </w:r>
      <w:r w:rsidRPr="00131F12">
        <w:t>ini</w:t>
      </w:r>
      <w:r>
        <w:t>DOT</w:t>
      </w:r>
      <w:r w:rsidRPr="00131F12">
        <w:t xml:space="preserve"> (Precision Measurement Engineering Inc., Vista, USA)</w:t>
      </w:r>
      <w:r>
        <w:t xml:space="preserve"> </w:t>
      </w:r>
      <w:r w:rsidRPr="00131F12">
        <w:t>loggers</w:t>
      </w:r>
      <w:r w:rsidRPr="00293BE4">
        <w:t xml:space="preserve"> </w:t>
      </w:r>
      <w:r>
        <w:t xml:space="preserve">were deployed </w:t>
      </w:r>
      <w:r w:rsidRPr="00131F12">
        <w:t xml:space="preserve">at </w:t>
      </w:r>
      <w:r>
        <w:t>four</w:t>
      </w:r>
      <w:r w:rsidRPr="00131F12">
        <w:t xml:space="preserve"> sites</w:t>
      </w:r>
      <w:r>
        <w:t xml:space="preserve"> in the Mid Lachlan (</w:t>
      </w:r>
      <w:r>
        <w:fldChar w:fldCharType="begin"/>
      </w:r>
      <w:r>
        <w:instrText xml:space="preserve"> REF _Ref17283970 \h </w:instrText>
      </w:r>
      <w:r>
        <w:fldChar w:fldCharType="separate"/>
      </w:r>
      <w:r w:rsidR="007F7607" w:rsidRPr="001C4537">
        <w:rPr>
          <w:color w:val="000000" w:themeColor="text1"/>
        </w:rPr>
        <w:t xml:space="preserve">Figure </w:t>
      </w:r>
      <w:r w:rsidR="007F7607">
        <w:rPr>
          <w:noProof/>
          <w:color w:val="000000" w:themeColor="text1"/>
        </w:rPr>
        <w:t>19</w:t>
      </w:r>
      <w:r>
        <w:fldChar w:fldCharType="end"/>
      </w:r>
      <w:r>
        <w:t xml:space="preserve">), logging DO and water temperature at 10-min intervals. </w:t>
      </w:r>
      <w:r w:rsidRPr="00131F12">
        <w:t xml:space="preserve">Photosynthetic active radiation (PAR) was measured in an adjacent unshaded location at 10-min intervals using </w:t>
      </w:r>
      <w:r>
        <w:t xml:space="preserve">a </w:t>
      </w:r>
      <w:r w:rsidRPr="00131F12">
        <w:t>photo</w:t>
      </w:r>
      <w:r>
        <w:t>synthetic irradiance logger</w:t>
      </w:r>
      <w:r w:rsidRPr="00131F12">
        <w:t xml:space="preserve"> (Odyssey, Christchurch, New Zealand)</w:t>
      </w:r>
      <w:r>
        <w:t xml:space="preserve"> at the Techam site</w:t>
      </w:r>
      <w:r w:rsidRPr="00131F12">
        <w:t xml:space="preserve">. </w:t>
      </w:r>
      <w:r w:rsidRPr="00E76AF6">
        <w:t>At Kirkup Park data</w:t>
      </w:r>
      <w:r>
        <w:t xml:space="preserve"> were not able to be obtained for 42 days, see note in </w:t>
      </w:r>
      <w:r>
        <w:rPr>
          <w:highlight w:val="yellow"/>
        </w:rPr>
        <w:fldChar w:fldCharType="begin"/>
      </w:r>
      <w:r>
        <w:instrText xml:space="preserve"> REF _Ref18056651 \h </w:instrText>
      </w:r>
      <w:r>
        <w:rPr>
          <w:highlight w:val="yellow"/>
        </w:rPr>
        <w:instrText xml:space="preserve"> \* MERGEFORMAT </w:instrText>
      </w:r>
      <w:r>
        <w:rPr>
          <w:highlight w:val="yellow"/>
        </w:rPr>
      </w:r>
      <w:r>
        <w:rPr>
          <w:highlight w:val="yellow"/>
        </w:rPr>
        <w:fldChar w:fldCharType="separate"/>
      </w:r>
      <w:r w:rsidR="007F7607" w:rsidRPr="00207366">
        <w:t xml:space="preserve">Table </w:t>
      </w:r>
      <w:r w:rsidR="007F7607">
        <w:rPr>
          <w:noProof/>
        </w:rPr>
        <w:t>8</w:t>
      </w:r>
      <w:r>
        <w:rPr>
          <w:highlight w:val="yellow"/>
        </w:rPr>
        <w:fldChar w:fldCharType="end"/>
      </w:r>
      <w:r>
        <w:t>. At the other three sites data were obtained for an uninterrupted 328 day period from August 2018 to June 2019.</w:t>
      </w:r>
    </w:p>
    <w:p w14:paraId="64FFB5B4" w14:textId="63CF9E6B" w:rsidR="00CF483E" w:rsidRDefault="00CF483E" w:rsidP="00CF483E">
      <w:r w:rsidRPr="00131F12">
        <w:t>Curve fitting was applied using the BASE model</w:t>
      </w:r>
      <w:r>
        <w:t xml:space="preserve"> as described above in order to estimate values for GPP and ER. </w:t>
      </w:r>
      <w:r w:rsidRPr="00131F12">
        <w:t xml:space="preserve">Stream metabolism data was able to be used </w:t>
      </w:r>
      <w:r>
        <w:t xml:space="preserve">for GPP and ER estimate on </w:t>
      </w:r>
      <w:r w:rsidRPr="00131F12">
        <w:t xml:space="preserve">an average of </w:t>
      </w:r>
      <w:r>
        <w:t>just 38</w:t>
      </w:r>
      <w:r w:rsidRPr="00131F12">
        <w:t xml:space="preserve">% of days (range </w:t>
      </w:r>
      <w:r>
        <w:t xml:space="preserve">Euabalong </w:t>
      </w:r>
      <w:r w:rsidRPr="00131F12">
        <w:t>[</w:t>
      </w:r>
      <w:r>
        <w:t>EU</w:t>
      </w:r>
      <w:r w:rsidRPr="00131F12">
        <w:t xml:space="preserve">] = </w:t>
      </w:r>
      <w:r>
        <w:t>30</w:t>
      </w:r>
      <w:r w:rsidRPr="00131F12">
        <w:t xml:space="preserve">% to </w:t>
      </w:r>
      <w:r>
        <w:t xml:space="preserve">Kirkup Park </w:t>
      </w:r>
      <w:r w:rsidRPr="00131F12">
        <w:t>[</w:t>
      </w:r>
      <w:r>
        <w:t>KP</w:t>
      </w:r>
      <w:r w:rsidRPr="00131F12">
        <w:t>]</w:t>
      </w:r>
      <w:r>
        <w:t xml:space="preserve"> and Mulgutherie [MG] with each = 42 </w:t>
      </w:r>
      <w:r w:rsidRPr="00131F12">
        <w:t>%</w:t>
      </w:r>
      <w:r>
        <w:t xml:space="preserve">, see </w:t>
      </w:r>
      <w:r>
        <w:fldChar w:fldCharType="begin"/>
      </w:r>
      <w:r>
        <w:instrText xml:space="preserve"> REF _Ref19013476 \h </w:instrText>
      </w:r>
      <w:r>
        <w:fldChar w:fldCharType="separate"/>
      </w:r>
      <w:r w:rsidR="007F7607" w:rsidRPr="006B0CFF">
        <w:t xml:space="preserve">Table </w:t>
      </w:r>
      <w:r w:rsidR="007F7607">
        <w:rPr>
          <w:noProof/>
        </w:rPr>
        <w:t>7</w:t>
      </w:r>
      <w:r>
        <w:fldChar w:fldCharType="end"/>
      </w:r>
      <w:r>
        <w:t>).</w:t>
      </w:r>
      <w:r w:rsidR="00B86CA2">
        <w:t xml:space="preserve"> T</w:t>
      </w:r>
      <w:r w:rsidR="00B86CA2" w:rsidRPr="00B86CA2">
        <w:t>o nearly 100% the cause for rejection of a logged day would be through the appliance of the criteria: R2 &lt; 0.9.</w:t>
      </w:r>
    </w:p>
    <w:p w14:paraId="40EAA444" w14:textId="77777777" w:rsidR="00CF483E" w:rsidRDefault="00CF483E" w:rsidP="00CF483E">
      <w:r w:rsidRPr="00731653">
        <w:t xml:space="preserve">After applying the standard numerical acceptance criteria, we visually inspected plotted GPP, ER and K values and rejected </w:t>
      </w:r>
      <w:r>
        <w:t>three data days</w:t>
      </w:r>
      <w:r w:rsidRPr="00731653">
        <w:t xml:space="preserve"> from </w:t>
      </w:r>
      <w:r>
        <w:t xml:space="preserve">Kirkup Park, and one from Euabalong </w:t>
      </w:r>
      <w:r w:rsidRPr="00731653">
        <w:t>(</w:t>
      </w:r>
      <w:r>
        <w:t xml:space="preserve">high </w:t>
      </w:r>
      <w:r w:rsidRPr="00731653">
        <w:t xml:space="preserve">K </w:t>
      </w:r>
      <w:r>
        <w:t>values</w:t>
      </w:r>
      <w:r w:rsidRPr="00731653">
        <w:t xml:space="preserve"> indicating the likelihood of exposure of the probe to air).</w:t>
      </w:r>
    </w:p>
    <w:p w14:paraId="04AC916F" w14:textId="77777777" w:rsidR="00CF483E" w:rsidRDefault="00CF483E" w:rsidP="00CF483E"/>
    <w:p w14:paraId="6B5402CC" w14:textId="6C44CACC" w:rsidR="00CF483E" w:rsidRPr="006B0CFF" w:rsidRDefault="00CF483E" w:rsidP="00CF483E">
      <w:pPr>
        <w:pStyle w:val="Caption"/>
      </w:pPr>
      <w:bookmarkStart w:id="235" w:name="_Ref19013476"/>
      <w:bookmarkStart w:id="236" w:name="_Toc31985674"/>
      <w:bookmarkStart w:id="237" w:name="_Ref18069255"/>
      <w:r w:rsidRPr="006B0CFF">
        <w:t xml:space="preserve">Table </w:t>
      </w:r>
      <w:r>
        <w:fldChar w:fldCharType="begin"/>
      </w:r>
      <w:r>
        <w:instrText>SEQ Table \* ARABIC</w:instrText>
      </w:r>
      <w:r>
        <w:fldChar w:fldCharType="separate"/>
      </w:r>
      <w:r w:rsidR="007F7607">
        <w:rPr>
          <w:noProof/>
        </w:rPr>
        <w:t>7</w:t>
      </w:r>
      <w:r>
        <w:fldChar w:fldCharType="end"/>
      </w:r>
      <w:bookmarkEnd w:id="235"/>
      <w:r w:rsidRPr="006B0CFF">
        <w:t>. Stream metabolism data obtained from the four sites in the Mid Lachlan river system during the sampling period 2018-19.</w:t>
      </w:r>
      <w:bookmarkEnd w:id="236"/>
    </w:p>
    <w:p w14:paraId="10FC4426" w14:textId="77777777" w:rsidR="00CF483E" w:rsidRPr="006B0CFF" w:rsidRDefault="00CF483E" w:rsidP="00CF483E">
      <w:pPr>
        <w:pStyle w:val="Caption"/>
        <w:rPr>
          <w:rFonts w:eastAsiaTheme="minorHAnsi"/>
        </w:rPr>
      </w:pPr>
      <w:r w:rsidRPr="006B0CFF">
        <w:t xml:space="preserve">Shown is the number of logged days for each site with </w:t>
      </w:r>
      <w:r w:rsidRPr="006B0CFF">
        <w:rPr>
          <w:rFonts w:eastAsiaTheme="minorHAnsi"/>
        </w:rPr>
        <w:t>the count (Y) and percentile (%) for which a GPP, ER and K estimate could be modelled under the standard acceptance criteria.</w:t>
      </w:r>
      <w:bookmarkEnd w:id="237"/>
    </w:p>
    <w:tbl>
      <w:tblPr>
        <w:tblStyle w:val="GridTable5Dark-Accent6"/>
        <w:tblW w:w="9057" w:type="dxa"/>
        <w:tblLayout w:type="fixed"/>
        <w:tblLook w:val="04A0" w:firstRow="1" w:lastRow="0" w:firstColumn="1" w:lastColumn="0" w:noHBand="0" w:noVBand="1"/>
      </w:tblPr>
      <w:tblGrid>
        <w:gridCol w:w="899"/>
        <w:gridCol w:w="1619"/>
        <w:gridCol w:w="1356"/>
        <w:gridCol w:w="1356"/>
        <w:gridCol w:w="638"/>
        <w:gridCol w:w="638"/>
        <w:gridCol w:w="2551"/>
      </w:tblGrid>
      <w:tr w:rsidR="00CF483E" w:rsidRPr="00801268" w14:paraId="61FDFB15" w14:textId="77777777" w:rsidTr="0046151C">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noWrap/>
            <w:hideMark/>
          </w:tcPr>
          <w:p w14:paraId="38CF18FB" w14:textId="77777777" w:rsidR="00CF483E" w:rsidRPr="0044498D" w:rsidRDefault="00CF483E" w:rsidP="0046151C">
            <w:pPr>
              <w:spacing w:before="40" w:after="40" w:line="360" w:lineRule="auto"/>
              <w:jc w:val="center"/>
              <w:rPr>
                <w:rFonts w:asciiTheme="minorHAnsi" w:eastAsia="Times New Roman" w:hAnsiTheme="minorHAnsi" w:cstheme="minorHAnsi"/>
                <w:caps/>
                <w:sz w:val="20"/>
                <w:szCs w:val="20"/>
                <w:lang w:eastAsia="en-AU"/>
              </w:rPr>
            </w:pPr>
            <w:r w:rsidRPr="0044498D">
              <w:rPr>
                <w:rFonts w:asciiTheme="minorHAnsi" w:eastAsia="Times New Roman" w:hAnsiTheme="minorHAnsi" w:cstheme="minorHAnsi"/>
                <w:caps/>
                <w:sz w:val="20"/>
                <w:szCs w:val="20"/>
                <w:lang w:eastAsia="en-AU"/>
              </w:rPr>
              <w:t>Zone</w:t>
            </w:r>
          </w:p>
        </w:tc>
        <w:tc>
          <w:tcPr>
            <w:tcW w:w="161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7BFE3158"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Site</w:t>
            </w:r>
          </w:p>
        </w:tc>
        <w:tc>
          <w:tcPr>
            <w:tcW w:w="13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61B7E6D7"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Pr>
                <w:rFonts w:asciiTheme="minorHAnsi" w:eastAsia="Times New Roman" w:hAnsiTheme="minorHAnsi" w:cstheme="minorHAnsi"/>
                <w:caps/>
                <w:color w:val="FFFFFF"/>
                <w:sz w:val="20"/>
                <w:szCs w:val="20"/>
                <w:lang w:eastAsia="en-AU"/>
              </w:rPr>
              <w:t xml:space="preserve">Time </w:t>
            </w:r>
            <w:r w:rsidRPr="0044498D">
              <w:rPr>
                <w:rFonts w:asciiTheme="minorHAnsi" w:eastAsia="Times New Roman" w:hAnsiTheme="minorHAnsi" w:cstheme="minorHAnsi"/>
                <w:caps/>
                <w:color w:val="FFFFFF"/>
                <w:sz w:val="20"/>
                <w:szCs w:val="20"/>
                <w:lang w:eastAsia="en-AU"/>
              </w:rPr>
              <w:t>Period</w:t>
            </w:r>
          </w:p>
        </w:tc>
        <w:tc>
          <w:tcPr>
            <w:tcW w:w="13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671FB945"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Pr>
                <w:rFonts w:asciiTheme="minorHAnsi" w:eastAsia="Times New Roman" w:hAnsiTheme="minorHAnsi" w:cstheme="minorHAnsi"/>
                <w:caps/>
                <w:color w:val="FFFFFF"/>
                <w:sz w:val="20"/>
                <w:szCs w:val="20"/>
                <w:lang w:eastAsia="en-AU"/>
              </w:rPr>
              <w:t xml:space="preserve"># logged </w:t>
            </w:r>
            <w:r w:rsidRPr="0044498D">
              <w:rPr>
                <w:rFonts w:asciiTheme="minorHAnsi" w:eastAsia="Times New Roman" w:hAnsiTheme="minorHAnsi" w:cstheme="minorHAnsi"/>
                <w:caps/>
                <w:color w:val="FFFFFF"/>
                <w:sz w:val="20"/>
                <w:szCs w:val="20"/>
                <w:lang w:eastAsia="en-AU"/>
              </w:rPr>
              <w:t>days</w:t>
            </w:r>
          </w:p>
        </w:tc>
        <w:tc>
          <w:tcPr>
            <w:tcW w:w="63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47136CE0"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Y</w:t>
            </w:r>
          </w:p>
        </w:tc>
        <w:tc>
          <w:tcPr>
            <w:tcW w:w="63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4F449AED"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15F84FDD" w14:textId="77777777" w:rsidR="00CF483E"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sidRPr="0044498D">
              <w:rPr>
                <w:rFonts w:asciiTheme="minorHAnsi" w:eastAsia="Times New Roman" w:hAnsiTheme="minorHAnsi" w:cstheme="minorHAnsi"/>
                <w:caps/>
                <w:color w:val="FFFFFF"/>
                <w:sz w:val="20"/>
                <w:szCs w:val="20"/>
                <w:lang w:eastAsia="en-AU"/>
              </w:rPr>
              <w:t>Note</w:t>
            </w:r>
            <w:r>
              <w:rPr>
                <w:rFonts w:asciiTheme="minorHAnsi" w:eastAsia="Times New Roman" w:hAnsiTheme="minorHAnsi" w:cstheme="minorHAnsi"/>
                <w:caps/>
                <w:color w:val="FFFFFF"/>
                <w:sz w:val="20"/>
                <w:szCs w:val="20"/>
                <w:lang w:eastAsia="en-AU"/>
              </w:rPr>
              <w:t>s</w:t>
            </w:r>
            <w:r w:rsidRPr="0044498D">
              <w:rPr>
                <w:rFonts w:asciiTheme="minorHAnsi" w:eastAsia="Times New Roman" w:hAnsiTheme="minorHAnsi" w:cstheme="minorHAnsi"/>
                <w:caps/>
                <w:color w:val="FFFFFF"/>
                <w:sz w:val="20"/>
                <w:szCs w:val="20"/>
                <w:lang w:eastAsia="en-AU"/>
              </w:rPr>
              <w:t xml:space="preserve"> </w:t>
            </w:r>
          </w:p>
          <w:p w14:paraId="721C9BFC" w14:textId="77777777" w:rsidR="00CF483E"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aps/>
                <w:color w:val="FFFFFF"/>
                <w:sz w:val="20"/>
                <w:szCs w:val="20"/>
                <w:lang w:eastAsia="en-AU"/>
              </w:rPr>
            </w:pPr>
            <w:r w:rsidRPr="0044498D">
              <w:rPr>
                <w:rFonts w:asciiTheme="minorHAnsi" w:eastAsia="Times New Roman" w:hAnsiTheme="minorHAnsi" w:cstheme="minorHAnsi"/>
                <w:caps/>
                <w:color w:val="FFFFFF"/>
                <w:sz w:val="20"/>
                <w:szCs w:val="20"/>
                <w:lang w:eastAsia="en-AU"/>
              </w:rPr>
              <w:t>(gaps in logging</w:t>
            </w:r>
            <w:r>
              <w:rPr>
                <w:rFonts w:asciiTheme="minorHAnsi" w:eastAsia="Times New Roman" w:hAnsiTheme="minorHAnsi" w:cstheme="minorHAnsi"/>
                <w:caps/>
                <w:color w:val="FFFFFF"/>
                <w:sz w:val="20"/>
                <w:szCs w:val="20"/>
                <w:lang w:eastAsia="en-AU"/>
              </w:rPr>
              <w:t xml:space="preserve">, </w:t>
            </w:r>
          </w:p>
          <w:p w14:paraId="4E99166C" w14:textId="77777777" w:rsidR="00CF483E" w:rsidRPr="0044498D" w:rsidRDefault="00CF483E" w:rsidP="0046151C">
            <w:pPr>
              <w:spacing w:before="40" w:after="4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aps/>
                <w:color w:val="FFFFFF"/>
                <w:sz w:val="20"/>
                <w:szCs w:val="20"/>
                <w:lang w:eastAsia="en-AU"/>
              </w:rPr>
            </w:pPr>
            <w:r>
              <w:rPr>
                <w:rFonts w:asciiTheme="minorHAnsi" w:eastAsia="Times New Roman" w:hAnsiTheme="minorHAnsi" w:cstheme="minorHAnsi"/>
                <w:caps/>
                <w:color w:val="FFFFFF"/>
                <w:sz w:val="20"/>
                <w:szCs w:val="20"/>
                <w:lang w:eastAsia="en-AU"/>
              </w:rPr>
              <w:t>Oddity with application of criteria</w:t>
            </w:r>
            <w:r w:rsidRPr="0044498D">
              <w:rPr>
                <w:rFonts w:asciiTheme="minorHAnsi" w:eastAsia="Times New Roman" w:hAnsiTheme="minorHAnsi" w:cstheme="minorHAnsi"/>
                <w:caps/>
                <w:color w:val="FFFFFF"/>
                <w:sz w:val="20"/>
                <w:szCs w:val="20"/>
                <w:lang w:eastAsia="en-AU"/>
              </w:rPr>
              <w:t>)</w:t>
            </w:r>
          </w:p>
        </w:tc>
      </w:tr>
      <w:tr w:rsidR="00CF483E" w:rsidRPr="00833C2B" w14:paraId="490C44F6" w14:textId="77777777" w:rsidTr="0046151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99" w:type="dxa"/>
            <w:vMerge w:val="restart"/>
            <w:tcBorders>
              <w:top w:val="single" w:sz="12" w:space="0" w:color="FFFFFF" w:themeColor="background1"/>
            </w:tcBorders>
            <w:shd w:val="clear" w:color="auto" w:fill="9BBB59"/>
            <w:noWrap/>
            <w:textDirection w:val="btLr"/>
            <w:hideMark/>
          </w:tcPr>
          <w:p w14:paraId="67964A44" w14:textId="77777777" w:rsidR="00CF483E" w:rsidRPr="0044498D" w:rsidRDefault="00CF483E" w:rsidP="0046151C">
            <w:pPr>
              <w:spacing w:before="40" w:after="40" w:line="360" w:lineRule="auto"/>
              <w:ind w:left="113" w:right="113"/>
              <w:jc w:val="center"/>
              <w:rPr>
                <w:rFonts w:asciiTheme="minorHAnsi" w:eastAsia="Times New Roman" w:hAnsiTheme="minorHAnsi" w:cstheme="minorHAnsi"/>
                <w:caps/>
                <w:sz w:val="20"/>
                <w:szCs w:val="20"/>
                <w:lang w:eastAsia="en-AU"/>
              </w:rPr>
            </w:pPr>
            <w:r w:rsidRPr="0044498D">
              <w:rPr>
                <w:rFonts w:asciiTheme="minorHAnsi" w:eastAsia="Times New Roman" w:hAnsiTheme="minorHAnsi" w:cstheme="minorHAnsi"/>
                <w:caps/>
                <w:sz w:val="20"/>
                <w:szCs w:val="20"/>
                <w:lang w:eastAsia="en-AU"/>
              </w:rPr>
              <w:t>Mid Lachlan (M1)</w:t>
            </w:r>
          </w:p>
        </w:tc>
        <w:tc>
          <w:tcPr>
            <w:tcW w:w="1619" w:type="dxa"/>
            <w:tcBorders>
              <w:top w:val="single" w:sz="12" w:space="0" w:color="FFFFFF" w:themeColor="background1"/>
            </w:tcBorders>
            <w:shd w:val="clear" w:color="auto" w:fill="9BBB59"/>
            <w:vAlign w:val="center"/>
            <w:hideMark/>
          </w:tcPr>
          <w:p w14:paraId="0BABF34A" w14:textId="77777777" w:rsidR="00CF483E"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Euabalong</w:t>
            </w:r>
          </w:p>
          <w:p w14:paraId="5EA11687" w14:textId="77777777" w:rsidR="00CF483E" w:rsidRPr="0044498D"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(EB)</w:t>
            </w:r>
          </w:p>
        </w:tc>
        <w:tc>
          <w:tcPr>
            <w:tcW w:w="1356" w:type="dxa"/>
            <w:tcBorders>
              <w:top w:val="single" w:sz="12" w:space="0" w:color="FFFFFF" w:themeColor="background1"/>
            </w:tcBorders>
            <w:shd w:val="clear" w:color="auto" w:fill="EBF1DE"/>
            <w:noWrap/>
            <w:vAlign w:val="center"/>
            <w:hideMark/>
          </w:tcPr>
          <w:p w14:paraId="64EA1F2B" w14:textId="77777777" w:rsidR="00CF483E" w:rsidRPr="00123A84" w:rsidRDefault="00CF483E" w:rsidP="0046151C">
            <w:pPr>
              <w:spacing w:before="40" w:after="4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8/08/2018 - 30/06/2019</w:t>
            </w:r>
          </w:p>
        </w:tc>
        <w:tc>
          <w:tcPr>
            <w:tcW w:w="1356" w:type="dxa"/>
            <w:tcBorders>
              <w:top w:val="single" w:sz="12" w:space="0" w:color="FFFFFF" w:themeColor="background1"/>
            </w:tcBorders>
            <w:shd w:val="clear" w:color="auto" w:fill="EBF1DE"/>
            <w:noWrap/>
            <w:vAlign w:val="center"/>
            <w:hideMark/>
          </w:tcPr>
          <w:p w14:paraId="04BAA491"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327</w:t>
            </w:r>
          </w:p>
        </w:tc>
        <w:tc>
          <w:tcPr>
            <w:tcW w:w="638" w:type="dxa"/>
            <w:tcBorders>
              <w:top w:val="single" w:sz="12" w:space="0" w:color="FFFFFF" w:themeColor="background1"/>
            </w:tcBorders>
            <w:shd w:val="clear" w:color="auto" w:fill="EBF1DE"/>
            <w:noWrap/>
            <w:vAlign w:val="center"/>
            <w:hideMark/>
          </w:tcPr>
          <w:p w14:paraId="07481064"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Pr>
                <w:rFonts w:asciiTheme="minorHAnsi" w:eastAsia="Times New Roman" w:hAnsiTheme="minorHAnsi" w:cstheme="minorHAnsi"/>
                <w:color w:val="000000"/>
                <w:sz w:val="20"/>
                <w:szCs w:val="20"/>
                <w:lang w:eastAsia="en-AU"/>
              </w:rPr>
              <w:t>99</w:t>
            </w:r>
          </w:p>
        </w:tc>
        <w:tc>
          <w:tcPr>
            <w:tcW w:w="638" w:type="dxa"/>
            <w:tcBorders>
              <w:top w:val="single" w:sz="12" w:space="0" w:color="FFFFFF" w:themeColor="background1"/>
            </w:tcBorders>
            <w:shd w:val="clear" w:color="auto" w:fill="EBF1DE"/>
            <w:noWrap/>
            <w:vAlign w:val="center"/>
            <w:hideMark/>
          </w:tcPr>
          <w:p w14:paraId="72A98B44"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3</w:t>
            </w:r>
            <w:r>
              <w:rPr>
                <w:rFonts w:asciiTheme="minorHAnsi" w:eastAsia="Times New Roman" w:hAnsiTheme="minorHAnsi" w:cstheme="minorHAnsi"/>
                <w:color w:val="000000"/>
                <w:sz w:val="20"/>
                <w:szCs w:val="20"/>
                <w:lang w:eastAsia="en-AU"/>
              </w:rPr>
              <w:t>0</w:t>
            </w:r>
          </w:p>
        </w:tc>
        <w:tc>
          <w:tcPr>
            <w:tcW w:w="2551" w:type="dxa"/>
            <w:tcBorders>
              <w:top w:val="single" w:sz="12" w:space="0" w:color="FFFFFF" w:themeColor="background1"/>
            </w:tcBorders>
            <w:shd w:val="clear" w:color="auto" w:fill="EBF1DE"/>
            <w:noWrap/>
            <w:vAlign w:val="center"/>
            <w:hideMark/>
          </w:tcPr>
          <w:p w14:paraId="6D509FB8" w14:textId="77777777" w:rsidR="00CF483E" w:rsidRPr="00123A84" w:rsidRDefault="00CF483E" w:rsidP="0046151C">
            <w:pPr>
              <w:spacing w:before="40" w:after="4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Pr>
                <w:rFonts w:asciiTheme="minorHAnsi" w:eastAsia="Times New Roman" w:hAnsiTheme="minorHAnsi" w:cstheme="minorHAnsi"/>
                <w:color w:val="000000"/>
                <w:sz w:val="20"/>
                <w:szCs w:val="20"/>
                <w:lang w:eastAsia="en-AU"/>
              </w:rPr>
              <w:t>elimination of all 123 logged days after 28/2/2019</w:t>
            </w:r>
          </w:p>
        </w:tc>
      </w:tr>
      <w:tr w:rsidR="00CF483E" w:rsidRPr="00833C2B" w14:paraId="3283C240" w14:textId="77777777" w:rsidTr="0046151C">
        <w:trPr>
          <w:trHeight w:val="222"/>
        </w:trPr>
        <w:tc>
          <w:tcPr>
            <w:cnfStyle w:val="001000000000" w:firstRow="0" w:lastRow="0" w:firstColumn="1" w:lastColumn="0" w:oddVBand="0" w:evenVBand="0" w:oddHBand="0" w:evenHBand="0" w:firstRowFirstColumn="0" w:firstRowLastColumn="0" w:lastRowFirstColumn="0" w:lastRowLastColumn="0"/>
            <w:tcW w:w="899" w:type="dxa"/>
            <w:vMerge/>
            <w:shd w:val="clear" w:color="auto" w:fill="9BBB59"/>
            <w:hideMark/>
          </w:tcPr>
          <w:p w14:paraId="76BE7997" w14:textId="77777777" w:rsidR="00CF483E" w:rsidRPr="0044498D" w:rsidRDefault="00CF483E" w:rsidP="0046151C">
            <w:pPr>
              <w:spacing w:before="40" w:after="40" w:line="360" w:lineRule="auto"/>
              <w:jc w:val="center"/>
              <w:rPr>
                <w:rFonts w:asciiTheme="minorHAnsi" w:eastAsia="Times New Roman" w:hAnsiTheme="minorHAnsi" w:cstheme="minorHAnsi"/>
                <w:caps/>
                <w:sz w:val="20"/>
                <w:szCs w:val="20"/>
                <w:lang w:eastAsia="en-AU"/>
              </w:rPr>
            </w:pPr>
          </w:p>
        </w:tc>
        <w:tc>
          <w:tcPr>
            <w:tcW w:w="1619" w:type="dxa"/>
            <w:shd w:val="clear" w:color="auto" w:fill="9BBB59"/>
            <w:vAlign w:val="center"/>
            <w:hideMark/>
          </w:tcPr>
          <w:p w14:paraId="044B8919" w14:textId="77777777" w:rsidR="00CF483E"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Kirkup Park</w:t>
            </w:r>
          </w:p>
          <w:p w14:paraId="60D745A5" w14:textId="77777777" w:rsidR="00CF483E" w:rsidRPr="0044498D"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(KP)</w:t>
            </w:r>
          </w:p>
        </w:tc>
        <w:tc>
          <w:tcPr>
            <w:tcW w:w="1356" w:type="dxa"/>
            <w:shd w:val="clear" w:color="auto" w:fill="EBF1DE"/>
            <w:noWrap/>
            <w:vAlign w:val="center"/>
            <w:hideMark/>
          </w:tcPr>
          <w:p w14:paraId="3D97A24F" w14:textId="77777777" w:rsidR="00CF483E" w:rsidRPr="00123A84" w:rsidRDefault="00CF483E" w:rsidP="0046151C">
            <w:pPr>
              <w:spacing w:before="40" w:after="4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7/08/2018 - 30/06/2019</w:t>
            </w:r>
          </w:p>
        </w:tc>
        <w:tc>
          <w:tcPr>
            <w:tcW w:w="1356" w:type="dxa"/>
            <w:shd w:val="clear" w:color="auto" w:fill="EBF1DE"/>
            <w:noWrap/>
            <w:vAlign w:val="center"/>
            <w:hideMark/>
          </w:tcPr>
          <w:p w14:paraId="7D3A8298"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286</w:t>
            </w:r>
          </w:p>
        </w:tc>
        <w:tc>
          <w:tcPr>
            <w:tcW w:w="638" w:type="dxa"/>
            <w:shd w:val="clear" w:color="auto" w:fill="EBF1DE"/>
            <w:noWrap/>
            <w:vAlign w:val="center"/>
            <w:hideMark/>
          </w:tcPr>
          <w:p w14:paraId="48B0EF83"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1</w:t>
            </w:r>
            <w:r>
              <w:rPr>
                <w:rFonts w:asciiTheme="minorHAnsi" w:eastAsia="Times New Roman" w:hAnsiTheme="minorHAnsi" w:cstheme="minorHAnsi"/>
                <w:color w:val="000000"/>
                <w:sz w:val="20"/>
                <w:szCs w:val="20"/>
                <w:lang w:eastAsia="en-AU"/>
              </w:rPr>
              <w:t>19</w:t>
            </w:r>
          </w:p>
        </w:tc>
        <w:tc>
          <w:tcPr>
            <w:tcW w:w="638" w:type="dxa"/>
            <w:shd w:val="clear" w:color="auto" w:fill="EBF1DE"/>
            <w:noWrap/>
            <w:vAlign w:val="center"/>
            <w:hideMark/>
          </w:tcPr>
          <w:p w14:paraId="46E15CD1"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Pr>
                <w:rFonts w:asciiTheme="minorHAnsi" w:eastAsia="Times New Roman" w:hAnsiTheme="minorHAnsi" w:cstheme="minorHAnsi"/>
                <w:color w:val="000000"/>
                <w:sz w:val="20"/>
                <w:szCs w:val="20"/>
                <w:lang w:eastAsia="en-AU"/>
              </w:rPr>
              <w:t>42</w:t>
            </w:r>
          </w:p>
        </w:tc>
        <w:tc>
          <w:tcPr>
            <w:tcW w:w="2551" w:type="dxa"/>
            <w:shd w:val="clear" w:color="auto" w:fill="EBF1DE"/>
            <w:noWrap/>
            <w:vAlign w:val="center"/>
            <w:hideMark/>
          </w:tcPr>
          <w:p w14:paraId="4EB28ACD" w14:textId="77777777" w:rsidR="00CF483E" w:rsidRPr="00123A84" w:rsidRDefault="00CF483E" w:rsidP="0046151C">
            <w:pPr>
              <w:spacing w:before="40" w:after="4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gap of 42 days (21/09-01/11/2018)</w:t>
            </w:r>
          </w:p>
        </w:tc>
      </w:tr>
      <w:tr w:rsidR="00CF483E" w:rsidRPr="00833C2B" w14:paraId="7C0CCD58" w14:textId="77777777" w:rsidTr="0046151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899" w:type="dxa"/>
            <w:vMerge/>
            <w:shd w:val="clear" w:color="auto" w:fill="9BBB59"/>
            <w:hideMark/>
          </w:tcPr>
          <w:p w14:paraId="03BFDAAF" w14:textId="77777777" w:rsidR="00CF483E" w:rsidRPr="0044498D" w:rsidRDefault="00CF483E" w:rsidP="0046151C">
            <w:pPr>
              <w:spacing w:before="40" w:after="40" w:line="360" w:lineRule="auto"/>
              <w:jc w:val="center"/>
              <w:rPr>
                <w:rFonts w:asciiTheme="minorHAnsi" w:eastAsia="Times New Roman" w:hAnsiTheme="minorHAnsi" w:cstheme="minorHAnsi"/>
                <w:caps/>
                <w:sz w:val="20"/>
                <w:szCs w:val="20"/>
                <w:lang w:eastAsia="en-AU"/>
              </w:rPr>
            </w:pPr>
          </w:p>
        </w:tc>
        <w:tc>
          <w:tcPr>
            <w:tcW w:w="1619" w:type="dxa"/>
            <w:shd w:val="clear" w:color="auto" w:fill="9BBB59"/>
            <w:vAlign w:val="center"/>
            <w:hideMark/>
          </w:tcPr>
          <w:p w14:paraId="72351F59" w14:textId="77777777" w:rsidR="00CF483E"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Mulgutherie</w:t>
            </w:r>
          </w:p>
          <w:p w14:paraId="7B0086E0" w14:textId="77777777" w:rsidR="00CF483E" w:rsidRPr="0044498D"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(MG)</w:t>
            </w:r>
          </w:p>
        </w:tc>
        <w:tc>
          <w:tcPr>
            <w:tcW w:w="1356" w:type="dxa"/>
            <w:shd w:val="clear" w:color="auto" w:fill="EBF1DE"/>
            <w:noWrap/>
            <w:vAlign w:val="center"/>
            <w:hideMark/>
          </w:tcPr>
          <w:p w14:paraId="5E432ECB" w14:textId="77777777" w:rsidR="00CF483E" w:rsidRPr="00123A84" w:rsidRDefault="00CF483E" w:rsidP="0046151C">
            <w:pPr>
              <w:spacing w:before="40" w:after="4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7/08/2018 - 30/06/2019</w:t>
            </w:r>
          </w:p>
        </w:tc>
        <w:tc>
          <w:tcPr>
            <w:tcW w:w="1356" w:type="dxa"/>
            <w:shd w:val="clear" w:color="auto" w:fill="EBF1DE"/>
            <w:noWrap/>
            <w:vAlign w:val="center"/>
            <w:hideMark/>
          </w:tcPr>
          <w:p w14:paraId="5266FF7B"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328</w:t>
            </w:r>
          </w:p>
        </w:tc>
        <w:tc>
          <w:tcPr>
            <w:tcW w:w="638" w:type="dxa"/>
            <w:shd w:val="clear" w:color="auto" w:fill="EBF1DE"/>
            <w:noWrap/>
            <w:vAlign w:val="center"/>
            <w:hideMark/>
          </w:tcPr>
          <w:p w14:paraId="5463F470"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139</w:t>
            </w:r>
          </w:p>
        </w:tc>
        <w:tc>
          <w:tcPr>
            <w:tcW w:w="638" w:type="dxa"/>
            <w:shd w:val="clear" w:color="auto" w:fill="EBF1DE"/>
            <w:noWrap/>
            <w:vAlign w:val="center"/>
            <w:hideMark/>
          </w:tcPr>
          <w:p w14:paraId="19A555F7" w14:textId="77777777" w:rsidR="00CF483E" w:rsidRPr="00123A84" w:rsidRDefault="00CF483E" w:rsidP="0046151C">
            <w:pPr>
              <w:spacing w:before="40" w:after="4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42</w:t>
            </w:r>
          </w:p>
        </w:tc>
        <w:tc>
          <w:tcPr>
            <w:tcW w:w="2551" w:type="dxa"/>
            <w:shd w:val="clear" w:color="auto" w:fill="EBF1DE"/>
            <w:noWrap/>
            <w:vAlign w:val="center"/>
            <w:hideMark/>
          </w:tcPr>
          <w:p w14:paraId="76DFA012" w14:textId="77777777" w:rsidR="00CF483E" w:rsidRPr="00123A84" w:rsidRDefault="00CF483E" w:rsidP="0046151C">
            <w:pPr>
              <w:spacing w:before="40" w:after="40" w:line="36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AU"/>
              </w:rPr>
            </w:pPr>
            <w:r>
              <w:rPr>
                <w:rFonts w:asciiTheme="minorHAnsi" w:eastAsia="Times New Roman" w:hAnsiTheme="minorHAnsi" w:cstheme="minorHAnsi"/>
                <w:color w:val="000000"/>
                <w:sz w:val="20"/>
                <w:szCs w:val="20"/>
                <w:lang w:eastAsia="en-AU"/>
              </w:rPr>
              <w:t>elimination of all 113 logged days before 28/11/2018</w:t>
            </w:r>
          </w:p>
        </w:tc>
      </w:tr>
      <w:tr w:rsidR="00CF483E" w:rsidRPr="00833C2B" w14:paraId="15C71C05" w14:textId="77777777" w:rsidTr="0046151C">
        <w:trPr>
          <w:trHeight w:val="222"/>
        </w:trPr>
        <w:tc>
          <w:tcPr>
            <w:cnfStyle w:val="001000000000" w:firstRow="0" w:lastRow="0" w:firstColumn="1" w:lastColumn="0" w:oddVBand="0" w:evenVBand="0" w:oddHBand="0" w:evenHBand="0" w:firstRowFirstColumn="0" w:firstRowLastColumn="0" w:lastRowFirstColumn="0" w:lastRowLastColumn="0"/>
            <w:tcW w:w="899" w:type="dxa"/>
            <w:vMerge/>
            <w:shd w:val="clear" w:color="auto" w:fill="9BBB59"/>
            <w:hideMark/>
          </w:tcPr>
          <w:p w14:paraId="122E9E16" w14:textId="77777777" w:rsidR="00CF483E" w:rsidRPr="0044498D" w:rsidRDefault="00CF483E" w:rsidP="0046151C">
            <w:pPr>
              <w:spacing w:before="40" w:after="40" w:line="360" w:lineRule="auto"/>
              <w:jc w:val="center"/>
              <w:rPr>
                <w:rFonts w:asciiTheme="minorHAnsi" w:eastAsia="Times New Roman" w:hAnsiTheme="minorHAnsi" w:cstheme="minorHAnsi"/>
                <w:caps/>
                <w:sz w:val="20"/>
                <w:szCs w:val="20"/>
                <w:lang w:eastAsia="en-AU"/>
              </w:rPr>
            </w:pPr>
          </w:p>
        </w:tc>
        <w:tc>
          <w:tcPr>
            <w:tcW w:w="1619" w:type="dxa"/>
            <w:shd w:val="clear" w:color="auto" w:fill="9BBB59"/>
            <w:vAlign w:val="center"/>
            <w:hideMark/>
          </w:tcPr>
          <w:p w14:paraId="217361E0" w14:textId="77777777" w:rsidR="00CF483E"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Techam</w:t>
            </w:r>
          </w:p>
          <w:p w14:paraId="627E8479" w14:textId="77777777" w:rsidR="00CF483E" w:rsidRPr="0044498D"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aps/>
                <w:color w:val="FFFFFF"/>
                <w:sz w:val="20"/>
                <w:szCs w:val="20"/>
                <w:lang w:eastAsia="en-AU"/>
              </w:rPr>
            </w:pPr>
            <w:r w:rsidRPr="0044498D">
              <w:rPr>
                <w:rFonts w:asciiTheme="minorHAnsi" w:eastAsia="Times New Roman" w:hAnsiTheme="minorHAnsi" w:cstheme="minorHAnsi"/>
                <w:b/>
                <w:bCs/>
                <w:caps/>
                <w:color w:val="FFFFFF"/>
                <w:sz w:val="20"/>
                <w:szCs w:val="20"/>
                <w:lang w:eastAsia="en-AU"/>
              </w:rPr>
              <w:t>(TH)</w:t>
            </w:r>
          </w:p>
        </w:tc>
        <w:tc>
          <w:tcPr>
            <w:tcW w:w="1356" w:type="dxa"/>
            <w:shd w:val="clear" w:color="auto" w:fill="EBF1DE"/>
            <w:noWrap/>
            <w:vAlign w:val="center"/>
            <w:hideMark/>
          </w:tcPr>
          <w:p w14:paraId="2AACF558" w14:textId="77777777" w:rsidR="00CF483E" w:rsidRPr="00123A84" w:rsidRDefault="00CF483E" w:rsidP="0046151C">
            <w:pPr>
              <w:spacing w:before="40" w:after="4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7/08/2018 - 30/06/2019</w:t>
            </w:r>
          </w:p>
        </w:tc>
        <w:tc>
          <w:tcPr>
            <w:tcW w:w="1356" w:type="dxa"/>
            <w:shd w:val="clear" w:color="auto" w:fill="EBF1DE"/>
            <w:noWrap/>
            <w:vAlign w:val="center"/>
            <w:hideMark/>
          </w:tcPr>
          <w:p w14:paraId="484CED36"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328</w:t>
            </w:r>
          </w:p>
        </w:tc>
        <w:tc>
          <w:tcPr>
            <w:tcW w:w="638" w:type="dxa"/>
            <w:shd w:val="clear" w:color="auto" w:fill="EBF1DE"/>
            <w:noWrap/>
            <w:vAlign w:val="center"/>
            <w:hideMark/>
          </w:tcPr>
          <w:p w14:paraId="4A350BF4"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123</w:t>
            </w:r>
          </w:p>
        </w:tc>
        <w:tc>
          <w:tcPr>
            <w:tcW w:w="638" w:type="dxa"/>
            <w:shd w:val="clear" w:color="auto" w:fill="EBF1DE"/>
            <w:noWrap/>
            <w:vAlign w:val="center"/>
            <w:hideMark/>
          </w:tcPr>
          <w:p w14:paraId="70187996" w14:textId="77777777" w:rsidR="00CF483E" w:rsidRPr="00123A84" w:rsidRDefault="00CF483E" w:rsidP="0046151C">
            <w:pPr>
              <w:spacing w:before="40" w:after="4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r w:rsidRPr="00123A84">
              <w:rPr>
                <w:rFonts w:asciiTheme="minorHAnsi" w:eastAsia="Times New Roman" w:hAnsiTheme="minorHAnsi" w:cstheme="minorHAnsi"/>
                <w:color w:val="000000"/>
                <w:sz w:val="20"/>
                <w:szCs w:val="20"/>
                <w:lang w:eastAsia="en-AU"/>
              </w:rPr>
              <w:t>38</w:t>
            </w:r>
          </w:p>
        </w:tc>
        <w:tc>
          <w:tcPr>
            <w:tcW w:w="2551" w:type="dxa"/>
            <w:shd w:val="clear" w:color="auto" w:fill="EBF1DE"/>
            <w:noWrap/>
            <w:vAlign w:val="center"/>
            <w:hideMark/>
          </w:tcPr>
          <w:p w14:paraId="75FD698C" w14:textId="77777777" w:rsidR="00CF483E" w:rsidRPr="00123A84" w:rsidRDefault="00CF483E" w:rsidP="0046151C">
            <w:pPr>
              <w:spacing w:before="40" w:after="40" w:line="36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AU"/>
              </w:rPr>
            </w:pPr>
          </w:p>
        </w:tc>
      </w:tr>
    </w:tbl>
    <w:p w14:paraId="128A9E8C" w14:textId="77777777" w:rsidR="00CF483E" w:rsidRDefault="00CF483E" w:rsidP="00CF483E">
      <w:pPr>
        <w:rPr>
          <w:lang w:val="en-GB"/>
        </w:rPr>
      </w:pPr>
    </w:p>
    <w:p w14:paraId="6AF11335" w14:textId="011930A0" w:rsidR="00CF483E" w:rsidRPr="00D90606" w:rsidRDefault="00CF483E" w:rsidP="00CF483E">
      <w:pPr>
        <w:rPr>
          <w:lang w:val="en-GB"/>
        </w:rPr>
      </w:pPr>
      <w:r w:rsidRPr="00EA4DCE">
        <w:rPr>
          <w:lang w:val="en-GB"/>
        </w:rPr>
        <w:t xml:space="preserve">Time series plots of </w:t>
      </w:r>
      <w:r>
        <w:rPr>
          <w:lang w:val="en-GB"/>
        </w:rPr>
        <w:t xml:space="preserve">logged </w:t>
      </w:r>
      <w:r w:rsidRPr="00EA4DCE">
        <w:rPr>
          <w:lang w:val="en-GB"/>
        </w:rPr>
        <w:t>temperature, dissolved oxygen</w:t>
      </w:r>
      <w:r>
        <w:rPr>
          <w:lang w:val="en-GB"/>
        </w:rPr>
        <w:t xml:space="preserve"> are shown in </w:t>
      </w:r>
      <w:r>
        <w:rPr>
          <w:lang w:val="en-GB"/>
        </w:rPr>
        <w:fldChar w:fldCharType="begin"/>
      </w:r>
      <w:r>
        <w:rPr>
          <w:lang w:val="en-GB"/>
        </w:rPr>
        <w:instrText xml:space="preserve"> REF _Ref20403724 \h </w:instrText>
      </w:r>
      <w:r>
        <w:rPr>
          <w:lang w:val="en-GB"/>
        </w:rPr>
      </w:r>
      <w:r>
        <w:rPr>
          <w:lang w:val="en-GB"/>
        </w:rPr>
        <w:fldChar w:fldCharType="separate"/>
      </w:r>
      <w:r w:rsidR="007F7607" w:rsidRPr="00D14712">
        <w:t xml:space="preserve">Figure </w:t>
      </w:r>
      <w:r w:rsidR="007F7607">
        <w:rPr>
          <w:noProof/>
        </w:rPr>
        <w:t>25</w:t>
      </w:r>
      <w:r>
        <w:rPr>
          <w:lang w:val="en-GB"/>
        </w:rPr>
        <w:fldChar w:fldCharType="end"/>
      </w:r>
      <w:r>
        <w:rPr>
          <w:lang w:val="en-GB"/>
        </w:rPr>
        <w:t xml:space="preserve"> on </w:t>
      </w:r>
      <w:r w:rsidR="00507E37">
        <w:rPr>
          <w:lang w:val="en-GB"/>
        </w:rPr>
        <w:t>p.</w:t>
      </w:r>
      <w:r>
        <w:rPr>
          <w:lang w:val="en-GB"/>
        </w:rPr>
        <w:t xml:space="preserve"> </w:t>
      </w:r>
      <w:r>
        <w:rPr>
          <w:lang w:val="en-GB"/>
        </w:rPr>
        <w:fldChar w:fldCharType="begin"/>
      </w:r>
      <w:r>
        <w:rPr>
          <w:lang w:val="en-GB"/>
        </w:rPr>
        <w:instrText xml:space="preserve"> PAGEREF _Ref20404527 \h </w:instrText>
      </w:r>
      <w:r>
        <w:rPr>
          <w:lang w:val="en-GB"/>
        </w:rPr>
      </w:r>
      <w:r>
        <w:rPr>
          <w:lang w:val="en-GB"/>
        </w:rPr>
        <w:fldChar w:fldCharType="separate"/>
      </w:r>
      <w:r w:rsidR="007F7607">
        <w:rPr>
          <w:noProof/>
          <w:lang w:val="en-GB"/>
        </w:rPr>
        <w:t>57</w:t>
      </w:r>
      <w:r>
        <w:rPr>
          <w:lang w:val="en-GB"/>
        </w:rPr>
        <w:fldChar w:fldCharType="end"/>
      </w:r>
      <w:r>
        <w:rPr>
          <w:lang w:val="en-GB"/>
        </w:rPr>
        <w:t xml:space="preserve">. Discharge from the nearest NSW gauging station, logged DO, </w:t>
      </w:r>
      <w:r w:rsidRPr="00EA4DCE">
        <w:rPr>
          <w:lang w:val="en-GB"/>
        </w:rPr>
        <w:t>GPP</w:t>
      </w:r>
      <w:r>
        <w:rPr>
          <w:lang w:val="en-GB"/>
        </w:rPr>
        <w:t>,</w:t>
      </w:r>
      <w:r w:rsidRPr="00EA4DCE">
        <w:rPr>
          <w:lang w:val="en-GB"/>
        </w:rPr>
        <w:t xml:space="preserve"> ER</w:t>
      </w:r>
      <w:r>
        <w:rPr>
          <w:lang w:val="en-GB"/>
        </w:rPr>
        <w:t xml:space="preserve">, </w:t>
      </w:r>
      <w:r w:rsidRPr="00EA4DCE">
        <w:rPr>
          <w:lang w:val="en-GB"/>
        </w:rPr>
        <w:t xml:space="preserve">reaeration (K) </w:t>
      </w:r>
      <w:r>
        <w:rPr>
          <w:lang w:val="en-GB"/>
        </w:rPr>
        <w:t xml:space="preserve">and the </w:t>
      </w:r>
      <w:r>
        <w:t xml:space="preserve">GGP/ER ratio </w:t>
      </w:r>
      <w:r w:rsidRPr="00EA4DCE">
        <w:rPr>
          <w:lang w:val="en-GB"/>
        </w:rPr>
        <w:t xml:space="preserve">for </w:t>
      </w:r>
      <w:r>
        <w:rPr>
          <w:lang w:val="en-GB"/>
        </w:rPr>
        <w:t xml:space="preserve">Techam as an example from the mid Lachlan </w:t>
      </w:r>
      <w:r w:rsidRPr="00EA4DCE">
        <w:rPr>
          <w:lang w:val="en-GB"/>
        </w:rPr>
        <w:t xml:space="preserve">sites are shown </w:t>
      </w:r>
      <w:r w:rsidRPr="00D151E8">
        <w:rPr>
          <w:lang w:val="en-GB"/>
        </w:rPr>
        <w:t>in</w:t>
      </w:r>
      <w:r>
        <w:rPr>
          <w:lang w:val="en-GB"/>
        </w:rPr>
        <w:t xml:space="preserve"> </w:t>
      </w:r>
      <w:r w:rsidRPr="00267229">
        <w:rPr>
          <w:i/>
          <w:iCs/>
          <w:lang w:val="en-GB"/>
        </w:rPr>
        <w:fldChar w:fldCharType="begin"/>
      </w:r>
      <w:r w:rsidRPr="00267229">
        <w:rPr>
          <w:i/>
          <w:iCs/>
          <w:lang w:val="en-GB"/>
        </w:rPr>
        <w:instrText xml:space="preserve"> REF _Ref18063735 \h </w:instrText>
      </w:r>
      <w:r>
        <w:rPr>
          <w:i/>
          <w:iCs/>
          <w:lang w:val="en-GB"/>
        </w:rPr>
        <w:instrText xml:space="preserve"> \* MERGEFORMAT </w:instrText>
      </w:r>
      <w:r w:rsidRPr="00267229">
        <w:rPr>
          <w:i/>
          <w:iCs/>
          <w:lang w:val="en-GB"/>
        </w:rPr>
      </w:r>
      <w:r w:rsidRPr="00267229">
        <w:rPr>
          <w:i/>
          <w:iCs/>
          <w:lang w:val="en-GB"/>
        </w:rPr>
        <w:fldChar w:fldCharType="separate"/>
      </w:r>
      <w:r w:rsidR="007F7607" w:rsidRPr="007F7607">
        <w:rPr>
          <w:rStyle w:val="CaptionChar"/>
          <w:rFonts w:eastAsia="MS Mincho"/>
          <w:bCs w:val="0"/>
          <w:i w:val="0"/>
          <w:iCs/>
        </w:rPr>
        <w:t xml:space="preserve">Figure </w:t>
      </w:r>
      <w:r w:rsidR="007F7607" w:rsidRPr="007F7607">
        <w:rPr>
          <w:rStyle w:val="CaptionChar"/>
          <w:rFonts w:eastAsia="MS Mincho"/>
          <w:i w:val="0"/>
          <w:iCs/>
          <w:noProof/>
        </w:rPr>
        <w:t>32</w:t>
      </w:r>
      <w:r w:rsidRPr="00267229">
        <w:rPr>
          <w:i/>
          <w:iCs/>
          <w:lang w:val="en-GB"/>
        </w:rPr>
        <w:fldChar w:fldCharType="end"/>
      </w:r>
      <w:r>
        <w:rPr>
          <w:lang w:val="en-GB"/>
        </w:rPr>
        <w:t xml:space="preserve">, and in section </w:t>
      </w:r>
      <w:r>
        <w:rPr>
          <w:lang w:val="en-GB"/>
        </w:rPr>
        <w:fldChar w:fldCharType="begin"/>
      </w:r>
      <w:r>
        <w:rPr>
          <w:lang w:val="en-GB"/>
        </w:rPr>
        <w:instrText xml:space="preserve"> REF _Ref19538562 \r \h </w:instrText>
      </w:r>
      <w:r>
        <w:rPr>
          <w:lang w:val="en-GB"/>
        </w:rPr>
      </w:r>
      <w:r>
        <w:rPr>
          <w:lang w:val="en-GB"/>
        </w:rPr>
        <w:fldChar w:fldCharType="separate"/>
      </w:r>
      <w:r w:rsidR="007F7607">
        <w:rPr>
          <w:lang w:val="en-GB"/>
        </w:rPr>
        <w:t>5.8</w:t>
      </w:r>
      <w:r>
        <w:rPr>
          <w:lang w:val="en-GB"/>
        </w:rPr>
        <w:fldChar w:fldCharType="end"/>
      </w:r>
      <w:r>
        <w:rPr>
          <w:lang w:val="en-GB"/>
        </w:rPr>
        <w:t xml:space="preserve">: </w:t>
      </w:r>
      <w:r>
        <w:rPr>
          <w:lang w:val="en-GB"/>
        </w:rPr>
        <w:fldChar w:fldCharType="begin"/>
      </w:r>
      <w:r>
        <w:rPr>
          <w:lang w:val="en-GB"/>
        </w:rPr>
        <w:instrText xml:space="preserve"> REF _Ref19538562 \h </w:instrText>
      </w:r>
      <w:r>
        <w:rPr>
          <w:lang w:val="en-GB"/>
        </w:rPr>
      </w:r>
      <w:r>
        <w:rPr>
          <w:lang w:val="en-GB"/>
        </w:rPr>
        <w:fldChar w:fldCharType="separate"/>
      </w:r>
      <w:r w:rsidR="007F7607">
        <w:t>Appendix 2:</w:t>
      </w:r>
      <w:r w:rsidR="007F7607" w:rsidRPr="000F6D58">
        <w:t xml:space="preserve"> </w:t>
      </w:r>
      <w:r w:rsidR="007F7607">
        <w:t>Stream metabolism plots for additional sites in the Mid Lachlan River 2018-19</w:t>
      </w:r>
      <w:r>
        <w:rPr>
          <w:lang w:val="en-GB"/>
        </w:rPr>
        <w:fldChar w:fldCharType="end"/>
      </w:r>
      <w:r>
        <w:rPr>
          <w:lang w:val="en-GB"/>
        </w:rPr>
        <w:t xml:space="preserve"> can be found.</w:t>
      </w:r>
    </w:p>
    <w:p w14:paraId="3D7ADADB" w14:textId="393A964F" w:rsidR="00CF483E" w:rsidRPr="00E76AF6" w:rsidRDefault="00CF483E" w:rsidP="00CF483E">
      <w:pPr>
        <w:rPr>
          <w:lang w:val="en-GB"/>
        </w:rPr>
      </w:pPr>
      <w:bookmarkStart w:id="238" w:name="_Hlk23883875"/>
      <w:r w:rsidRPr="002B697A">
        <w:rPr>
          <w:color w:val="000000" w:themeColor="text1"/>
        </w:rPr>
        <w:t>Watering Action 1</w:t>
      </w:r>
      <w:r>
        <w:rPr>
          <w:color w:val="000000" w:themeColor="text1"/>
        </w:rPr>
        <w:t xml:space="preserve"> commenced </w:t>
      </w:r>
      <w:r w:rsidRPr="00BC249B">
        <w:rPr>
          <w:color w:val="000000" w:themeColor="text1"/>
        </w:rPr>
        <w:t>on 29</w:t>
      </w:r>
      <w:r w:rsidRPr="00735664">
        <w:rPr>
          <w:color w:val="000000" w:themeColor="text1"/>
          <w:vertAlign w:val="superscript"/>
        </w:rPr>
        <w:t>th</w:t>
      </w:r>
      <w:r>
        <w:rPr>
          <w:color w:val="000000" w:themeColor="text1"/>
        </w:rPr>
        <w:t xml:space="preserve"> </w:t>
      </w:r>
      <w:r w:rsidRPr="00BC249B">
        <w:rPr>
          <w:color w:val="000000" w:themeColor="text1"/>
        </w:rPr>
        <w:t>August 2018</w:t>
      </w:r>
      <w:r>
        <w:rPr>
          <w:color w:val="000000" w:themeColor="text1"/>
        </w:rPr>
        <w:t xml:space="preserve"> and delivered 10 391 ML of water targeting</w:t>
      </w:r>
      <w:r w:rsidRPr="00BC249B">
        <w:rPr>
          <w:color w:val="000000" w:themeColor="text1"/>
        </w:rPr>
        <w:t xml:space="preserve"> native fish and strea</w:t>
      </w:r>
      <w:r>
        <w:rPr>
          <w:color w:val="000000" w:themeColor="text1"/>
        </w:rPr>
        <w:t xml:space="preserve">m productivity outcomes in </w:t>
      </w:r>
      <w:r w:rsidRPr="00BC249B">
        <w:rPr>
          <w:color w:val="000000" w:themeColor="text1"/>
        </w:rPr>
        <w:t xml:space="preserve">the mid Lachlan. </w:t>
      </w:r>
      <w:r>
        <w:rPr>
          <w:color w:val="000000" w:themeColor="text1"/>
        </w:rPr>
        <w:t xml:space="preserve">Data for GPP and ER were relatively sparse for this flow event, with no data available from Mulgutherie and poor curve fits for the other three sites. There was no clear </w:t>
      </w:r>
      <w:r w:rsidR="00500567">
        <w:rPr>
          <w:color w:val="000000" w:themeColor="text1"/>
        </w:rPr>
        <w:t xml:space="preserve">consistent </w:t>
      </w:r>
      <w:r>
        <w:rPr>
          <w:color w:val="000000" w:themeColor="text1"/>
        </w:rPr>
        <w:t>effect of this event on either GPP or ER</w:t>
      </w:r>
      <w:r w:rsidR="00500567">
        <w:rPr>
          <w:color w:val="000000" w:themeColor="text1"/>
        </w:rPr>
        <w:t>, although there was a small increase observed in GPP at Condobolin</w:t>
      </w:r>
      <w:r>
        <w:rPr>
          <w:color w:val="000000" w:themeColor="text1"/>
        </w:rPr>
        <w:t xml:space="preserve"> (</w:t>
      </w:r>
      <w:r>
        <w:rPr>
          <w:color w:val="000000" w:themeColor="text1"/>
        </w:rPr>
        <w:fldChar w:fldCharType="begin"/>
      </w:r>
      <w:r>
        <w:rPr>
          <w:color w:val="000000" w:themeColor="text1"/>
        </w:rPr>
        <w:instrText xml:space="preserve"> REF _Ref18063735 \h </w:instrText>
      </w:r>
      <w:r>
        <w:rPr>
          <w:color w:val="000000" w:themeColor="text1"/>
        </w:rPr>
      </w:r>
      <w:r>
        <w:rPr>
          <w:color w:val="000000" w:themeColor="text1"/>
        </w:rPr>
        <w:fldChar w:fldCharType="separate"/>
      </w:r>
      <w:r w:rsidR="007F7607" w:rsidRPr="00267229">
        <w:rPr>
          <w:rStyle w:val="CaptionChar"/>
          <w:rFonts w:eastAsia="MS Mincho"/>
        </w:rPr>
        <w:t xml:space="preserve">Figure </w:t>
      </w:r>
      <w:r w:rsidR="007F7607">
        <w:rPr>
          <w:rStyle w:val="CaptionChar"/>
          <w:rFonts w:eastAsia="MS Mincho"/>
          <w:bCs w:val="0"/>
          <w:i w:val="0"/>
          <w:noProof/>
        </w:rPr>
        <w:t>32</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_Ref19538912 \h </w:instrText>
      </w:r>
      <w:r>
        <w:rPr>
          <w:color w:val="000000" w:themeColor="text1"/>
        </w:rPr>
      </w:r>
      <w:r>
        <w:rPr>
          <w:color w:val="000000" w:themeColor="text1"/>
        </w:rPr>
        <w:fldChar w:fldCharType="separate"/>
      </w:r>
      <w:r w:rsidR="007F7607" w:rsidRPr="00050741">
        <w:t xml:space="preserve">Figure </w:t>
      </w:r>
      <w:r w:rsidR="007F7607">
        <w:rPr>
          <w:noProof/>
        </w:rPr>
        <w:t>39</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_Ref19538915 \h </w:instrText>
      </w:r>
      <w:r>
        <w:rPr>
          <w:color w:val="000000" w:themeColor="text1"/>
        </w:rPr>
      </w:r>
      <w:r>
        <w:rPr>
          <w:color w:val="000000" w:themeColor="text1"/>
        </w:rPr>
        <w:fldChar w:fldCharType="separate"/>
      </w:r>
      <w:r w:rsidR="007F7607" w:rsidRPr="00050741">
        <w:t xml:space="preserve">Figure </w:t>
      </w:r>
      <w:r w:rsidR="007F7607">
        <w:rPr>
          <w:noProof/>
        </w:rPr>
        <w:t>40</w:t>
      </w:r>
      <w:r>
        <w:rPr>
          <w:color w:val="000000" w:themeColor="text1"/>
        </w:rPr>
        <w:fldChar w:fldCharType="end"/>
      </w:r>
      <w:r>
        <w:rPr>
          <w:color w:val="000000" w:themeColor="text1"/>
        </w:rPr>
        <w:t>)</w:t>
      </w:r>
      <w:r w:rsidR="00500567">
        <w:rPr>
          <w:color w:val="000000" w:themeColor="text1"/>
        </w:rPr>
        <w:t>. T</w:t>
      </w:r>
      <w:r>
        <w:rPr>
          <w:color w:val="000000" w:themeColor="text1"/>
        </w:rPr>
        <w:t xml:space="preserve">here is some evidence for a slight increase in GPP and ER </w:t>
      </w:r>
      <w:r w:rsidR="00500567">
        <w:rPr>
          <w:color w:val="000000" w:themeColor="text1"/>
        </w:rPr>
        <w:t xml:space="preserve">during the delivery of </w:t>
      </w:r>
      <w:r w:rsidRPr="00FB6553">
        <w:rPr>
          <w:color w:val="000000" w:themeColor="text1"/>
        </w:rPr>
        <w:t>Watering Action 2</w:t>
      </w:r>
      <w:r>
        <w:rPr>
          <w:color w:val="000000" w:themeColor="text1"/>
        </w:rPr>
        <w:t>, although the increase in ER could be as a consequence of increased reaeration (</w:t>
      </w:r>
      <w:r>
        <w:rPr>
          <w:color w:val="000000" w:themeColor="text1"/>
        </w:rPr>
        <w:fldChar w:fldCharType="begin"/>
      </w:r>
      <w:r>
        <w:rPr>
          <w:color w:val="000000" w:themeColor="text1"/>
        </w:rPr>
        <w:instrText xml:space="preserve"> REF _Ref19538933 \h </w:instrText>
      </w:r>
      <w:r>
        <w:rPr>
          <w:color w:val="000000" w:themeColor="text1"/>
        </w:rPr>
      </w:r>
      <w:r>
        <w:rPr>
          <w:color w:val="000000" w:themeColor="text1"/>
        </w:rPr>
        <w:fldChar w:fldCharType="separate"/>
      </w:r>
      <w:r w:rsidR="007F7607" w:rsidRPr="00050741">
        <w:t xml:space="preserve">Figure </w:t>
      </w:r>
      <w:r w:rsidR="007F7607">
        <w:rPr>
          <w:noProof/>
        </w:rPr>
        <w:t>41</w:t>
      </w:r>
      <w:r>
        <w:rPr>
          <w:color w:val="000000" w:themeColor="text1"/>
        </w:rPr>
        <w:fldChar w:fldCharType="end"/>
      </w:r>
      <w:r>
        <w:rPr>
          <w:color w:val="000000" w:themeColor="text1"/>
        </w:rPr>
        <w:t>), particularly at the Techam site (</w:t>
      </w:r>
      <w:r>
        <w:rPr>
          <w:color w:val="000000" w:themeColor="text1"/>
        </w:rPr>
        <w:fldChar w:fldCharType="begin"/>
      </w:r>
      <w:r>
        <w:rPr>
          <w:color w:val="000000" w:themeColor="text1"/>
        </w:rPr>
        <w:instrText xml:space="preserve"> REF _Ref18063735 \h </w:instrText>
      </w:r>
      <w:r>
        <w:rPr>
          <w:color w:val="000000" w:themeColor="text1"/>
        </w:rPr>
      </w:r>
      <w:r>
        <w:rPr>
          <w:color w:val="000000" w:themeColor="text1"/>
        </w:rPr>
        <w:fldChar w:fldCharType="separate"/>
      </w:r>
      <w:r w:rsidR="007F7607" w:rsidRPr="00267229">
        <w:rPr>
          <w:rStyle w:val="CaptionChar"/>
          <w:rFonts w:eastAsia="MS Mincho"/>
        </w:rPr>
        <w:t xml:space="preserve">Figure </w:t>
      </w:r>
      <w:r w:rsidR="007F7607">
        <w:rPr>
          <w:rStyle w:val="CaptionChar"/>
          <w:rFonts w:eastAsia="MS Mincho"/>
          <w:bCs w:val="0"/>
          <w:i w:val="0"/>
          <w:noProof/>
        </w:rPr>
        <w:t>32</w:t>
      </w:r>
      <w:r>
        <w:rPr>
          <w:color w:val="000000" w:themeColor="text1"/>
        </w:rPr>
        <w:fldChar w:fldCharType="end"/>
      </w:r>
      <w:r>
        <w:rPr>
          <w:color w:val="000000" w:themeColor="text1"/>
        </w:rPr>
        <w:t>). The high degree of correlation in GPP and ER responses</w:t>
      </w:r>
      <w:r w:rsidR="00500567">
        <w:rPr>
          <w:color w:val="000000" w:themeColor="text1"/>
        </w:rPr>
        <w:t xml:space="preserve"> during both watering actions</w:t>
      </w:r>
      <w:r>
        <w:rPr>
          <w:color w:val="000000" w:themeColor="text1"/>
        </w:rPr>
        <w:t xml:space="preserve"> meant that there was no observed effect of environmental flows on GPP/ER ratios (</w:t>
      </w:r>
      <w:r>
        <w:rPr>
          <w:color w:val="000000" w:themeColor="text1"/>
        </w:rPr>
        <w:fldChar w:fldCharType="begin"/>
      </w:r>
      <w:r>
        <w:rPr>
          <w:color w:val="000000" w:themeColor="text1"/>
        </w:rPr>
        <w:instrText xml:space="preserve"> REF _Ref18063735 \h </w:instrText>
      </w:r>
      <w:r>
        <w:rPr>
          <w:color w:val="000000" w:themeColor="text1"/>
        </w:rPr>
      </w:r>
      <w:r>
        <w:rPr>
          <w:color w:val="000000" w:themeColor="text1"/>
        </w:rPr>
        <w:fldChar w:fldCharType="separate"/>
      </w:r>
      <w:r w:rsidR="007F7607" w:rsidRPr="00267229">
        <w:rPr>
          <w:rStyle w:val="CaptionChar"/>
          <w:rFonts w:eastAsia="MS Mincho"/>
        </w:rPr>
        <w:t xml:space="preserve">Figure </w:t>
      </w:r>
      <w:r w:rsidR="007F7607">
        <w:rPr>
          <w:rStyle w:val="CaptionChar"/>
          <w:rFonts w:eastAsia="MS Mincho"/>
          <w:bCs w:val="0"/>
          <w:i w:val="0"/>
          <w:noProof/>
        </w:rPr>
        <w:t>32</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_Ref19539007 \h </w:instrText>
      </w:r>
      <w:r>
        <w:rPr>
          <w:color w:val="000000" w:themeColor="text1"/>
        </w:rPr>
      </w:r>
      <w:r>
        <w:rPr>
          <w:color w:val="000000" w:themeColor="text1"/>
        </w:rPr>
        <w:fldChar w:fldCharType="separate"/>
      </w:r>
      <w:r w:rsidR="007F7607" w:rsidRPr="00050741">
        <w:t xml:space="preserve">Figure </w:t>
      </w:r>
      <w:r w:rsidR="007F7607">
        <w:rPr>
          <w:noProof/>
        </w:rPr>
        <w:t>42</w:t>
      </w:r>
      <w:r>
        <w:rPr>
          <w:color w:val="000000" w:themeColor="text1"/>
        </w:rPr>
        <w:fldChar w:fldCharType="end"/>
      </w:r>
      <w:r>
        <w:rPr>
          <w:color w:val="000000" w:themeColor="text1"/>
        </w:rPr>
        <w:t xml:space="preserve">). </w:t>
      </w:r>
      <w:r w:rsidRPr="00FB6553">
        <w:rPr>
          <w:color w:val="000000" w:themeColor="text1"/>
        </w:rPr>
        <w:t xml:space="preserve">The increases in GPP and ER are </w:t>
      </w:r>
      <w:r>
        <w:rPr>
          <w:color w:val="000000" w:themeColor="text1"/>
        </w:rPr>
        <w:t xml:space="preserve">consistent with </w:t>
      </w:r>
      <w:r w:rsidR="0014255A">
        <w:rPr>
          <w:color w:val="000000" w:themeColor="text1"/>
        </w:rPr>
        <w:t xml:space="preserve">a small amount of </w:t>
      </w:r>
      <w:r w:rsidRPr="00FB6553">
        <w:rPr>
          <w:color w:val="000000" w:themeColor="text1"/>
        </w:rPr>
        <w:t>increased photosynthetic activity and mobilisation/consumption of organic matter. This is consistent with evidence from the water quality data which suggests mobilisation of both nutrients and carbon generating an increase in basal resources and productivity.</w:t>
      </w:r>
    </w:p>
    <w:bookmarkEnd w:id="238"/>
    <w:p w14:paraId="2D2ACE1D" w14:textId="6D6B3B9F" w:rsidR="00CF483E" w:rsidRDefault="00CF483E" w:rsidP="00CF483E">
      <w:pPr>
        <w:rPr>
          <w:lang w:val="en-GB"/>
        </w:rPr>
      </w:pPr>
      <w:r>
        <w:rPr>
          <w:color w:val="000000" w:themeColor="text1"/>
        </w:rPr>
        <w:t xml:space="preserve">Small flow peaks later in the season, in June 2019, did not appear to be associated with an increase in either GPP or ER. </w:t>
      </w:r>
      <w:r>
        <w:rPr>
          <w:lang w:val="en-GB"/>
        </w:rPr>
        <w:t>The Mulgutherie site showed markedly different results to the other three sites, with a marked increase in ER, and an evident but smaller increase in GPP from February onwards (</w:t>
      </w:r>
      <w:r>
        <w:rPr>
          <w:lang w:val="en-GB"/>
        </w:rPr>
        <w:fldChar w:fldCharType="begin"/>
      </w:r>
      <w:r>
        <w:rPr>
          <w:lang w:val="en-GB"/>
        </w:rPr>
        <w:instrText xml:space="preserve"> REF _Ref19538912 \h </w:instrText>
      </w:r>
      <w:r>
        <w:rPr>
          <w:lang w:val="en-GB"/>
        </w:rPr>
      </w:r>
      <w:r>
        <w:rPr>
          <w:lang w:val="en-GB"/>
        </w:rPr>
        <w:fldChar w:fldCharType="separate"/>
      </w:r>
      <w:r w:rsidR="007F7607" w:rsidRPr="00050741">
        <w:t xml:space="preserve">Figure </w:t>
      </w:r>
      <w:r w:rsidR="007F7607">
        <w:rPr>
          <w:noProof/>
        </w:rPr>
        <w:t>39</w:t>
      </w:r>
      <w:r>
        <w:rPr>
          <w:lang w:val="en-GB"/>
        </w:rPr>
        <w:fldChar w:fldCharType="end"/>
      </w:r>
      <w:r>
        <w:rPr>
          <w:lang w:val="en-GB"/>
        </w:rPr>
        <w:t xml:space="preserve">, </w:t>
      </w:r>
      <w:r>
        <w:rPr>
          <w:lang w:val="en-GB"/>
        </w:rPr>
        <w:fldChar w:fldCharType="begin"/>
      </w:r>
      <w:r>
        <w:rPr>
          <w:lang w:val="en-GB"/>
        </w:rPr>
        <w:instrText xml:space="preserve"> REF _Ref19538915 \h </w:instrText>
      </w:r>
      <w:r>
        <w:rPr>
          <w:lang w:val="en-GB"/>
        </w:rPr>
      </w:r>
      <w:r>
        <w:rPr>
          <w:lang w:val="en-GB"/>
        </w:rPr>
        <w:fldChar w:fldCharType="separate"/>
      </w:r>
      <w:r w:rsidR="007F7607" w:rsidRPr="00050741">
        <w:t xml:space="preserve">Figure </w:t>
      </w:r>
      <w:r w:rsidR="007F7607">
        <w:rPr>
          <w:noProof/>
        </w:rPr>
        <w:t>40</w:t>
      </w:r>
      <w:r>
        <w:rPr>
          <w:lang w:val="en-GB"/>
        </w:rPr>
        <w:fldChar w:fldCharType="end"/>
      </w:r>
      <w:r>
        <w:rPr>
          <w:lang w:val="en-GB"/>
        </w:rPr>
        <w:t>). This was also correlated with an increase in reaeration at this site (</w:t>
      </w:r>
      <w:r>
        <w:rPr>
          <w:lang w:val="en-GB"/>
        </w:rPr>
        <w:fldChar w:fldCharType="begin"/>
      </w:r>
      <w:r>
        <w:rPr>
          <w:lang w:val="en-GB"/>
        </w:rPr>
        <w:instrText xml:space="preserve"> REF _Ref19538933 \h </w:instrText>
      </w:r>
      <w:r>
        <w:rPr>
          <w:lang w:val="en-GB"/>
        </w:rPr>
      </w:r>
      <w:r>
        <w:rPr>
          <w:lang w:val="en-GB"/>
        </w:rPr>
        <w:fldChar w:fldCharType="separate"/>
      </w:r>
      <w:r w:rsidR="007F7607" w:rsidRPr="00050741">
        <w:t xml:space="preserve">Figure </w:t>
      </w:r>
      <w:r w:rsidR="007F7607">
        <w:rPr>
          <w:noProof/>
        </w:rPr>
        <w:t>41</w:t>
      </w:r>
      <w:r>
        <w:rPr>
          <w:lang w:val="en-GB"/>
        </w:rPr>
        <w:fldChar w:fldCharType="end"/>
      </w:r>
      <w:r>
        <w:rPr>
          <w:lang w:val="en-GB"/>
        </w:rPr>
        <w:t xml:space="preserve">). Our interpretation of this data is that the logger was becoming exposed to highly oxygenated water, potentially due to being too close to the water surface. An alternate explanation may be that the logger itself experienced a progressive failure. </w:t>
      </w:r>
    </w:p>
    <w:p w14:paraId="5E31FE1C" w14:textId="77777777" w:rsidR="00CF483E" w:rsidRDefault="00CF483E" w:rsidP="00CF483E">
      <w:pPr>
        <w:spacing w:before="0" w:after="160" w:line="259" w:lineRule="auto"/>
        <w:rPr>
          <w:lang w:eastAsia="x-none"/>
        </w:rPr>
      </w:pPr>
      <w:r>
        <w:rPr>
          <w:lang w:eastAsia="x-none"/>
        </w:rPr>
        <w:br w:type="page"/>
      </w:r>
    </w:p>
    <w:p w14:paraId="3EEE4E44" w14:textId="3FDF53F5" w:rsidR="00CF483E" w:rsidRPr="00207C2A" w:rsidRDefault="001F65C8" w:rsidP="00CF483E">
      <w:pPr>
        <w:rPr>
          <w:sz w:val="16"/>
          <w:szCs w:val="16"/>
        </w:rPr>
      </w:pPr>
      <w:r>
        <w:rPr>
          <w:noProof/>
          <w:sz w:val="16"/>
          <w:szCs w:val="16"/>
          <w:lang w:eastAsia="en-AU"/>
        </w:rPr>
        <mc:AlternateContent>
          <mc:Choice Requires="wps">
            <w:drawing>
              <wp:anchor distT="0" distB="0" distL="114300" distR="114300" simplePos="0" relativeHeight="251654144" behindDoc="0" locked="0" layoutInCell="1" allowOverlap="1" wp14:anchorId="33D58465" wp14:editId="2CE438EE">
                <wp:simplePos x="0" y="0"/>
                <wp:positionH relativeFrom="column">
                  <wp:posOffset>2197100</wp:posOffset>
                </wp:positionH>
                <wp:positionV relativeFrom="paragraph">
                  <wp:posOffset>170180</wp:posOffset>
                </wp:positionV>
                <wp:extent cx="146050" cy="6608445"/>
                <wp:effectExtent l="0" t="0" r="6350" b="1905"/>
                <wp:wrapNone/>
                <wp:docPr id="88" name="Rectangle 88"/>
                <wp:cNvGraphicFramePr/>
                <a:graphic xmlns:a="http://schemas.openxmlformats.org/drawingml/2006/main">
                  <a:graphicData uri="http://schemas.microsoft.com/office/word/2010/wordprocessingShape">
                    <wps:wsp>
                      <wps:cNvSpPr/>
                      <wps:spPr>
                        <a:xfrm>
                          <a:off x="0" y="0"/>
                          <a:ext cx="146050" cy="660844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3F1B1B" id="Rectangle 88" o:spid="_x0000_s1026" style="position:absolute;margin-left:173pt;margin-top:13.4pt;width:11.5pt;height:520.3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" fillcolor="#b6dde8 [1304]" stroked="f" strokeweight="2pt">
                <v:fill opacity="32896f"/>
              </v:rect>
            </w:pict>
          </mc:Fallback>
        </mc:AlternateContent>
      </w:r>
      <w:r w:rsidR="00CF483E">
        <w:rPr>
          <w:noProof/>
          <w:sz w:val="16"/>
          <w:szCs w:val="16"/>
          <w:lang w:eastAsia="en-AU"/>
        </w:rPr>
        <mc:AlternateContent>
          <mc:Choice Requires="wps">
            <w:drawing>
              <wp:anchor distT="0" distB="0" distL="114300" distR="114300" simplePos="0" relativeHeight="251653120" behindDoc="0" locked="0" layoutInCell="1" allowOverlap="1" wp14:anchorId="0ED0B696" wp14:editId="4A68CCDD">
                <wp:simplePos x="0" y="0"/>
                <wp:positionH relativeFrom="column">
                  <wp:posOffset>1606550</wp:posOffset>
                </wp:positionH>
                <wp:positionV relativeFrom="paragraph">
                  <wp:posOffset>163830</wp:posOffset>
                </wp:positionV>
                <wp:extent cx="209550" cy="6619875"/>
                <wp:effectExtent l="0" t="0" r="0" b="9525"/>
                <wp:wrapNone/>
                <wp:docPr id="83" name="Rectangle 83"/>
                <wp:cNvGraphicFramePr/>
                <a:graphic xmlns:a="http://schemas.openxmlformats.org/drawingml/2006/main">
                  <a:graphicData uri="http://schemas.microsoft.com/office/word/2010/wordprocessingShape">
                    <wps:wsp>
                      <wps:cNvSpPr/>
                      <wps:spPr>
                        <a:xfrm>
                          <a:off x="0" y="0"/>
                          <a:ext cx="209550" cy="661987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505A6A" id="Rectangle 83" o:spid="_x0000_s1026" style="position:absolute;margin-left:126.5pt;margin-top:12.9pt;width:16.5pt;height:521.2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" fillcolor="#b6dde8 [1304]" stroked="f" strokeweight="2pt">
                <v:fill opacity="32896f"/>
              </v:rect>
            </w:pict>
          </mc:Fallback>
        </mc:AlternateContent>
      </w:r>
      <w:r w:rsidR="00CF483E">
        <w:rPr>
          <w:noProof/>
          <w:sz w:val="16"/>
          <w:szCs w:val="16"/>
          <w:lang w:eastAsia="en-AU"/>
        </w:rPr>
        <w:drawing>
          <wp:inline distT="0" distB="0" distL="0" distR="0" wp14:anchorId="69628A64" wp14:editId="31882249">
            <wp:extent cx="5651008" cy="1857375"/>
            <wp:effectExtent l="0" t="0" r="698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5653101" cy="1858063"/>
                    </a:xfrm>
                    <a:prstGeom prst="rect">
                      <a:avLst/>
                    </a:prstGeom>
                    <a:noFill/>
                    <a:ln>
                      <a:noFill/>
                    </a:ln>
                    <a:extLst>
                      <a:ext uri="{53640926-AAD7-44D8-BBD7-CCE9431645EC}">
                        <a14:shadowObscured xmlns:a14="http://schemas.microsoft.com/office/drawing/2010/main"/>
                      </a:ext>
                    </a:extLst>
                  </pic:spPr>
                </pic:pic>
              </a:graphicData>
            </a:graphic>
          </wp:inline>
        </w:drawing>
      </w:r>
      <w:r w:rsidR="00CF483E">
        <w:rPr>
          <w:noProof/>
          <w:sz w:val="16"/>
          <w:szCs w:val="16"/>
          <w:lang w:eastAsia="en-AU"/>
        </w:rPr>
        <w:drawing>
          <wp:inline distT="0" distB="0" distL="0" distR="0" wp14:anchorId="0DE8F09E" wp14:editId="4E9828DB">
            <wp:extent cx="5638800" cy="1726465"/>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652555" cy="1730676"/>
                    </a:xfrm>
                    <a:prstGeom prst="rect">
                      <a:avLst/>
                    </a:prstGeom>
                    <a:noFill/>
                    <a:ln>
                      <a:noFill/>
                    </a:ln>
                    <a:extLst>
                      <a:ext uri="{53640926-AAD7-44D8-BBD7-CCE9431645EC}">
                        <a14:shadowObscured xmlns:a14="http://schemas.microsoft.com/office/drawing/2010/main"/>
                      </a:ext>
                    </a:extLst>
                  </pic:spPr>
                </pic:pic>
              </a:graphicData>
            </a:graphic>
          </wp:inline>
        </w:drawing>
      </w:r>
      <w:r w:rsidR="00CF483E">
        <w:rPr>
          <w:noProof/>
          <w:sz w:val="16"/>
          <w:szCs w:val="16"/>
          <w:lang w:eastAsia="en-AU"/>
        </w:rPr>
        <w:drawing>
          <wp:inline distT="0" distB="0" distL="0" distR="0" wp14:anchorId="55D30F5A" wp14:editId="3E642756">
            <wp:extent cx="5638800" cy="1774339"/>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651809" cy="1778432"/>
                    </a:xfrm>
                    <a:prstGeom prst="rect">
                      <a:avLst/>
                    </a:prstGeom>
                    <a:noFill/>
                    <a:ln>
                      <a:noFill/>
                    </a:ln>
                    <a:extLst>
                      <a:ext uri="{53640926-AAD7-44D8-BBD7-CCE9431645EC}">
                        <a14:shadowObscured xmlns:a14="http://schemas.microsoft.com/office/drawing/2010/main"/>
                      </a:ext>
                    </a:extLst>
                  </pic:spPr>
                </pic:pic>
              </a:graphicData>
            </a:graphic>
          </wp:inline>
        </w:drawing>
      </w:r>
      <w:r w:rsidR="00CF483E">
        <w:rPr>
          <w:noProof/>
          <w:sz w:val="16"/>
          <w:szCs w:val="16"/>
          <w:lang w:eastAsia="en-AU"/>
        </w:rPr>
        <w:drawing>
          <wp:inline distT="0" distB="0" distL="0" distR="0" wp14:anchorId="443487F0" wp14:editId="2345D68D">
            <wp:extent cx="5661660" cy="2049576"/>
            <wp:effectExtent l="0" t="0" r="0" b="825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5662627" cy="2049926"/>
                    </a:xfrm>
                    <a:prstGeom prst="rect">
                      <a:avLst/>
                    </a:prstGeom>
                    <a:noFill/>
                    <a:ln>
                      <a:noFill/>
                    </a:ln>
                    <a:extLst>
                      <a:ext uri="{53640926-AAD7-44D8-BBD7-CCE9431645EC}">
                        <a14:shadowObscured xmlns:a14="http://schemas.microsoft.com/office/drawing/2010/main"/>
                      </a:ext>
                    </a:extLst>
                  </pic:spPr>
                </pic:pic>
              </a:graphicData>
            </a:graphic>
          </wp:inline>
        </w:drawing>
      </w:r>
    </w:p>
    <w:p w14:paraId="573D553A" w14:textId="0CDC723B" w:rsidR="00CF483E" w:rsidRPr="00267229" w:rsidRDefault="00CF483E" w:rsidP="00CF483E">
      <w:pPr>
        <w:pStyle w:val="Caption"/>
        <w:rPr>
          <w:rStyle w:val="CaptionChar"/>
          <w:rFonts w:eastAsia="MS Mincho"/>
          <w:bCs/>
          <w:i/>
        </w:rPr>
      </w:pPr>
      <w:bookmarkStart w:id="239" w:name="_Ref18063735"/>
      <w:bookmarkStart w:id="240" w:name="_Toc18672222"/>
      <w:bookmarkStart w:id="241" w:name="_Toc31985596"/>
      <w:r w:rsidRPr="00267229">
        <w:rPr>
          <w:rStyle w:val="CaptionChar"/>
          <w:bCs/>
          <w:i/>
        </w:rPr>
        <w:t xml:space="preserve">Figure </w:t>
      </w:r>
      <w:r w:rsidRPr="00267229">
        <w:rPr>
          <w:rStyle w:val="CaptionChar"/>
          <w:bCs/>
          <w:i/>
        </w:rPr>
        <w:fldChar w:fldCharType="begin"/>
      </w:r>
      <w:r w:rsidRPr="00267229">
        <w:rPr>
          <w:rStyle w:val="CaptionChar"/>
          <w:bCs/>
          <w:i/>
        </w:rPr>
        <w:instrText xml:space="preserve"> SEQ Figure \* ARABIC </w:instrText>
      </w:r>
      <w:r w:rsidRPr="00267229">
        <w:rPr>
          <w:rStyle w:val="CaptionChar"/>
          <w:bCs/>
          <w:i/>
        </w:rPr>
        <w:fldChar w:fldCharType="separate"/>
      </w:r>
      <w:r w:rsidR="007F7607">
        <w:rPr>
          <w:rStyle w:val="CaptionChar"/>
          <w:bCs/>
          <w:i/>
          <w:noProof/>
        </w:rPr>
        <w:t>32</w:t>
      </w:r>
      <w:r w:rsidRPr="00267229">
        <w:rPr>
          <w:rStyle w:val="CaptionChar"/>
          <w:bCs/>
          <w:i/>
        </w:rPr>
        <w:fldChar w:fldCharType="end"/>
      </w:r>
      <w:bookmarkEnd w:id="239"/>
      <w:r w:rsidRPr="00267229">
        <w:rPr>
          <w:rStyle w:val="CaptionChar"/>
          <w:bCs/>
          <w:i/>
        </w:rPr>
        <w:t xml:space="preserve">. </w:t>
      </w:r>
      <w:r w:rsidRPr="004E54B5">
        <w:rPr>
          <w:rStyle w:val="CaptionChar"/>
          <w:bCs/>
          <w:i/>
        </w:rPr>
        <w:t xml:space="preserve">Gross primary production (GPP), </w:t>
      </w:r>
      <w:r w:rsidRPr="004E54B5">
        <w:t>Ecosystem respiration (ER), Reaeration (K) and the GPP/ ER ratio from</w:t>
      </w:r>
      <w:r>
        <w:t xml:space="preserve"> Techham</w:t>
      </w:r>
      <w:r w:rsidRPr="00267229">
        <w:rPr>
          <w:rStyle w:val="CaptionChar"/>
          <w:bCs/>
          <w:i/>
        </w:rPr>
        <w:t xml:space="preserve"> in the Mid Lachlan, Aug</w:t>
      </w:r>
      <w:r>
        <w:rPr>
          <w:rStyle w:val="CaptionChar"/>
          <w:bCs/>
          <w:i/>
        </w:rPr>
        <w:t>ust</w:t>
      </w:r>
      <w:r w:rsidRPr="00267229">
        <w:rPr>
          <w:rStyle w:val="CaptionChar"/>
          <w:bCs/>
          <w:i/>
        </w:rPr>
        <w:t xml:space="preserve"> 2018 - June 2019.</w:t>
      </w:r>
      <w:bookmarkEnd w:id="240"/>
      <w:bookmarkEnd w:id="241"/>
      <w:r w:rsidRPr="00267229">
        <w:rPr>
          <w:rStyle w:val="CaptionChar"/>
          <w:bCs/>
          <w:i/>
        </w:rPr>
        <w:t xml:space="preserve"> </w:t>
      </w:r>
    </w:p>
    <w:p w14:paraId="66FB79B2" w14:textId="77777777" w:rsidR="00CF483E" w:rsidRDefault="00CF483E" w:rsidP="00CF483E">
      <w:pPr>
        <w:pStyle w:val="Caption"/>
        <w:rPr>
          <w:rStyle w:val="CaptionChar"/>
          <w:bCs/>
          <w:i/>
        </w:rPr>
      </w:pPr>
      <w:r w:rsidRPr="00267229">
        <w:rPr>
          <w:rStyle w:val="CaptionChar"/>
          <w:bCs/>
          <w:i/>
        </w:rPr>
        <w:t>Blue shaded vertical bars indicate watering actions.</w:t>
      </w:r>
    </w:p>
    <w:p w14:paraId="58788385" w14:textId="77777777" w:rsidR="00CF483E" w:rsidRPr="007A099A" w:rsidRDefault="00CF483E" w:rsidP="00CF483E">
      <w:pPr>
        <w:pStyle w:val="Caption"/>
        <w:rPr>
          <w:rStyle w:val="CaptionChar"/>
          <w:bCs/>
          <w:i/>
          <w:highlight w:val="yellow"/>
        </w:rPr>
      </w:pPr>
      <w:r>
        <w:rPr>
          <w:rStyle w:val="CaptionChar"/>
          <w:bCs/>
          <w:i/>
        </w:rPr>
        <w:t>Note:</w:t>
      </w:r>
      <w:r w:rsidRPr="00C73A9B">
        <w:t xml:space="preserve"> </w:t>
      </w:r>
      <w:r w:rsidRPr="004E54B5">
        <w:t>Ecosystem respiration (ER)</w:t>
      </w:r>
      <w:r>
        <w:t xml:space="preserve"> graph on a higher scale.</w:t>
      </w:r>
      <w:r>
        <w:rPr>
          <w:rStyle w:val="CaptionChar"/>
          <w:bCs/>
          <w:i/>
        </w:rPr>
        <w:t xml:space="preserve"> </w:t>
      </w:r>
      <w:r>
        <w:rPr>
          <w:rStyle w:val="CaptionChar"/>
          <w:highlight w:val="yellow"/>
        </w:rPr>
        <w:br w:type="page"/>
      </w:r>
      <w:bookmarkStart w:id="242" w:name="_Hlk18064717"/>
    </w:p>
    <w:p w14:paraId="225A67B3" w14:textId="4F8A6D25" w:rsidR="00CF483E" w:rsidRPr="0061232D" w:rsidRDefault="00CF483E" w:rsidP="00CF483E">
      <w:pPr>
        <w:pStyle w:val="Heading3"/>
        <w:rPr>
          <w:lang w:val="en-AU"/>
        </w:rPr>
      </w:pPr>
      <w:bookmarkStart w:id="243" w:name="_Toc31985466"/>
      <w:bookmarkEnd w:id="242"/>
      <w:r>
        <w:rPr>
          <w:lang w:val="en-AU"/>
        </w:rPr>
        <w:t>Stream metabolism –</w:t>
      </w:r>
      <w:r w:rsidRPr="0061232D">
        <w:rPr>
          <w:lang w:val="en-AU"/>
        </w:rPr>
        <w:t xml:space="preserve"> </w:t>
      </w:r>
      <w:r>
        <w:rPr>
          <w:lang w:val="en-AU"/>
        </w:rPr>
        <w:t>2014-19</w:t>
      </w:r>
      <w:bookmarkEnd w:id="243"/>
    </w:p>
    <w:p w14:paraId="01490477" w14:textId="77777777" w:rsidR="00CF483E" w:rsidRDefault="00CF483E" w:rsidP="00CF483E">
      <w:r>
        <w:t>The consolidated metabolism data from the lower Lachlan shows clear overall patterns.</w:t>
      </w:r>
    </w:p>
    <w:p w14:paraId="693CF2D0" w14:textId="77777777" w:rsidR="00CF483E" w:rsidRDefault="00CF483E" w:rsidP="00D437E3">
      <w:pPr>
        <w:pStyle w:val="ListParagraph"/>
        <w:numPr>
          <w:ilvl w:val="0"/>
          <w:numId w:val="35"/>
        </w:numPr>
        <w:spacing w:before="120" w:after="120"/>
      </w:pPr>
      <w:r>
        <w:t>Strong seasonality in Gross Primary Production and Ecosystem Respiration, indicating a close coupling with water temperature. Effects of environmental flow delivery on GPP and ER are marked even when considered against this natural variability.</w:t>
      </w:r>
    </w:p>
    <w:p w14:paraId="623C0E7F" w14:textId="77777777" w:rsidR="00CF483E" w:rsidRDefault="00CF483E" w:rsidP="00D437E3">
      <w:pPr>
        <w:pStyle w:val="ListParagraph"/>
        <w:numPr>
          <w:ilvl w:val="0"/>
          <w:numId w:val="35"/>
        </w:numPr>
        <w:spacing w:before="120" w:after="120"/>
      </w:pPr>
      <w:r>
        <w:t>High variability in both GPP and ER, which appears to be both a consequence of variability in the physical process of reaeration and biological responses in the parameters. This variability means that there are large intervals where estimates for GPP and ER cannot be calculated, and these correlate with times of higher flows, including the large natural flood in 2016-17 and environmental flow events.</w:t>
      </w:r>
    </w:p>
    <w:p w14:paraId="350509E2" w14:textId="77777777" w:rsidR="00CF483E" w:rsidRDefault="00CF483E" w:rsidP="00D437E3">
      <w:pPr>
        <w:pStyle w:val="ListParagraph"/>
        <w:numPr>
          <w:ilvl w:val="0"/>
          <w:numId w:val="35"/>
        </w:numPr>
        <w:spacing w:before="120" w:after="120"/>
      </w:pPr>
      <w:r>
        <w:t xml:space="preserve">Evidence of a pattern of increased GPP and ER correlated with higher DOC and higher nutrient and algal concentrations during environmental flow delivery, particularly if this was associated with warm water conditions. In cooler conditions, the GPP response was considerably less, whereas the ER response appeared to be maintained.  </w:t>
      </w:r>
    </w:p>
    <w:p w14:paraId="1D590496" w14:textId="44474225" w:rsidR="00CF483E" w:rsidRDefault="00CF483E" w:rsidP="00CF483E">
      <w:r w:rsidRPr="00385C4A">
        <w:t>GPP and ER showed a seasonal pattern (</w:t>
      </w:r>
      <w:r w:rsidRPr="00385C4A">
        <w:fldChar w:fldCharType="begin"/>
      </w:r>
      <w:r w:rsidRPr="00385C4A">
        <w:instrText xml:space="preserve"> REF _Ref18069500 \h  \* MERGEFORMAT </w:instrText>
      </w:r>
      <w:r w:rsidRPr="00385C4A">
        <w:fldChar w:fldCharType="separate"/>
      </w:r>
      <w:r w:rsidR="007F7607" w:rsidRPr="00267229">
        <w:t xml:space="preserve">Figure </w:t>
      </w:r>
      <w:r w:rsidR="007F7607">
        <w:t>34</w:t>
      </w:r>
      <w:r w:rsidRPr="00385C4A">
        <w:fldChar w:fldCharType="end"/>
      </w:r>
      <w:r w:rsidRPr="00385C4A">
        <w:t xml:space="preserve">, </w:t>
      </w:r>
      <w:r w:rsidRPr="00385C4A">
        <w:fldChar w:fldCharType="begin"/>
      </w:r>
      <w:r w:rsidRPr="00385C4A">
        <w:instrText xml:space="preserve"> REF _Ref19612259 \h </w:instrText>
      </w:r>
      <w:r w:rsidRPr="00385C4A">
        <w:fldChar w:fldCharType="separate"/>
      </w:r>
      <w:r w:rsidR="007F7607" w:rsidRPr="00050741">
        <w:t xml:space="preserve">Figure </w:t>
      </w:r>
      <w:r w:rsidR="007F7607">
        <w:rPr>
          <w:noProof/>
        </w:rPr>
        <w:t>43</w:t>
      </w:r>
      <w:r w:rsidRPr="00385C4A">
        <w:fldChar w:fldCharType="end"/>
      </w:r>
      <w:r>
        <w:t xml:space="preserve">, </w:t>
      </w:r>
      <w:r w:rsidRPr="00385C4A">
        <w:fldChar w:fldCharType="begin"/>
      </w:r>
      <w:r w:rsidRPr="00385C4A">
        <w:instrText xml:space="preserve"> REF _Ref19612260 \h </w:instrText>
      </w:r>
      <w:r w:rsidRPr="00385C4A">
        <w:fldChar w:fldCharType="separate"/>
      </w:r>
      <w:r w:rsidR="007F7607" w:rsidRPr="00385C4A">
        <w:t xml:space="preserve">Figure </w:t>
      </w:r>
      <w:r w:rsidR="007F7607">
        <w:rPr>
          <w:noProof/>
        </w:rPr>
        <w:t>44</w:t>
      </w:r>
      <w:r w:rsidRPr="00385C4A">
        <w:fldChar w:fldCharType="end"/>
      </w:r>
      <w:r w:rsidR="00507E37">
        <w:t xml:space="preserve">, p. </w:t>
      </w:r>
      <w:r w:rsidR="00507E37">
        <w:fldChar w:fldCharType="begin"/>
      </w:r>
      <w:r w:rsidR="00507E37">
        <w:instrText xml:space="preserve"> PAGEREF _Ref19612251 \h </w:instrText>
      </w:r>
      <w:r w:rsidR="00507E37">
        <w:fldChar w:fldCharType="separate"/>
      </w:r>
      <w:r w:rsidR="007F7607">
        <w:rPr>
          <w:noProof/>
        </w:rPr>
        <w:t>84</w:t>
      </w:r>
      <w:r w:rsidR="00507E37">
        <w:fldChar w:fldCharType="end"/>
      </w:r>
      <w:r w:rsidRPr="00385C4A">
        <w:t>), strongly correlated</w:t>
      </w:r>
      <w:r>
        <w:t xml:space="preserve"> with seasonal variation in temperature (</w:t>
      </w:r>
      <w:r>
        <w:fldChar w:fldCharType="begin"/>
      </w:r>
      <w:r>
        <w:instrText xml:space="preserve"> REF _Ref19280310 \h </w:instrText>
      </w:r>
      <w:r>
        <w:fldChar w:fldCharType="separate"/>
      </w:r>
      <w:r w:rsidR="007F7607" w:rsidRPr="00D14712">
        <w:t xml:space="preserve">Figure </w:t>
      </w:r>
      <w:r w:rsidR="007F7607">
        <w:rPr>
          <w:noProof/>
        </w:rPr>
        <w:t>22</w:t>
      </w:r>
      <w:r>
        <w:fldChar w:fldCharType="end"/>
      </w:r>
      <w:r>
        <w:t>, p</w:t>
      </w:r>
      <w:r w:rsidR="00507E37">
        <w:t>.</w:t>
      </w:r>
      <w:r>
        <w:t xml:space="preserve"> </w:t>
      </w:r>
      <w:r>
        <w:fldChar w:fldCharType="begin"/>
      </w:r>
      <w:r>
        <w:instrText xml:space="preserve"> PAGEREF _Ref19536674 \h </w:instrText>
      </w:r>
      <w:r>
        <w:fldChar w:fldCharType="separate"/>
      </w:r>
      <w:r w:rsidR="007F7607">
        <w:rPr>
          <w:noProof/>
        </w:rPr>
        <w:t>61</w:t>
      </w:r>
      <w:r>
        <w:fldChar w:fldCharType="end"/>
      </w:r>
      <w:r>
        <w:t xml:space="preserve"> and </w:t>
      </w:r>
      <w:r>
        <w:fldChar w:fldCharType="begin"/>
      </w:r>
      <w:r>
        <w:instrText xml:space="preserve"> PAGEREF _Ref18069593 \h </w:instrText>
      </w:r>
      <w:r>
        <w:fldChar w:fldCharType="separate"/>
      </w:r>
      <w:r w:rsidR="007F7607">
        <w:rPr>
          <w:noProof/>
        </w:rPr>
        <w:t>62</w:t>
      </w:r>
      <w:r>
        <w:fldChar w:fldCharType="end"/>
      </w:r>
      <w:r>
        <w:t>). This pattern was particularly marked for GPP (</w:t>
      </w:r>
      <w:r>
        <w:fldChar w:fldCharType="begin"/>
      </w:r>
      <w:r>
        <w:instrText xml:space="preserve"> REF _Ref18069500 \h </w:instrText>
      </w:r>
      <w:r>
        <w:fldChar w:fldCharType="separate"/>
      </w:r>
      <w:r w:rsidR="007F7607" w:rsidRPr="00267229">
        <w:t xml:space="preserve">Figure </w:t>
      </w:r>
      <w:r w:rsidR="007F7607">
        <w:rPr>
          <w:noProof/>
        </w:rPr>
        <w:t>34</w:t>
      </w:r>
      <w:r>
        <w:fldChar w:fldCharType="end"/>
      </w:r>
      <w:r>
        <w:t xml:space="preserve">, </w:t>
      </w:r>
      <w:r>
        <w:fldChar w:fldCharType="begin"/>
      </w:r>
      <w:r>
        <w:instrText xml:space="preserve"> REF _Ref19612259 \h </w:instrText>
      </w:r>
      <w:r>
        <w:fldChar w:fldCharType="separate"/>
      </w:r>
      <w:r w:rsidR="007F7607" w:rsidRPr="00050741">
        <w:t xml:space="preserve">Figure </w:t>
      </w:r>
      <w:r w:rsidR="007F7607">
        <w:rPr>
          <w:noProof/>
        </w:rPr>
        <w:t>43</w:t>
      </w:r>
      <w:r>
        <w:fldChar w:fldCharType="end"/>
      </w:r>
      <w:r>
        <w:t>). However environmental flows in warmer months were also associated with increased GPP, generally lagged by a short period after the flow delivery commenced. ER responses were also seasonal, but the pattern was less marked and there were also intermittent very high values (</w:t>
      </w:r>
      <w:r>
        <w:fldChar w:fldCharType="begin"/>
      </w:r>
      <w:r>
        <w:instrText xml:space="preserve"> REF _Ref18069500 \h </w:instrText>
      </w:r>
      <w:r>
        <w:fldChar w:fldCharType="separate"/>
      </w:r>
      <w:r w:rsidR="007F7607" w:rsidRPr="00267229">
        <w:t xml:space="preserve">Figure </w:t>
      </w:r>
      <w:r w:rsidR="007F7607">
        <w:rPr>
          <w:noProof/>
        </w:rPr>
        <w:t>34</w:t>
      </w:r>
      <w:r>
        <w:fldChar w:fldCharType="end"/>
      </w:r>
      <w:r>
        <w:t xml:space="preserve">, </w:t>
      </w:r>
      <w:r>
        <w:fldChar w:fldCharType="begin"/>
      </w:r>
      <w:r>
        <w:instrText xml:space="preserve"> REF _Ref19612259 \h </w:instrText>
      </w:r>
      <w:r>
        <w:fldChar w:fldCharType="separate"/>
      </w:r>
      <w:r w:rsidR="007F7607" w:rsidRPr="00050741">
        <w:t xml:space="preserve">Figure </w:t>
      </w:r>
      <w:r w:rsidR="007F7607">
        <w:rPr>
          <w:noProof/>
        </w:rPr>
        <w:t>43</w:t>
      </w:r>
      <w:r>
        <w:fldChar w:fldCharType="end"/>
      </w:r>
      <w:r>
        <w:t xml:space="preserve">). Some of these values are likely to be artefacts of loggers becoming exposed to the air, however there were clear high ER events that were not simply correlated with flow – for example at </w:t>
      </w:r>
      <w:r w:rsidRPr="00385C4A">
        <w:t>Cowl Cowl in June 2016, preceding the large natural flood (</w:t>
      </w:r>
      <w:r w:rsidRPr="00385C4A">
        <w:fldChar w:fldCharType="begin"/>
      </w:r>
      <w:r w:rsidRPr="00385C4A">
        <w:instrText xml:space="preserve"> REF _Ref19612260 \h </w:instrText>
      </w:r>
      <w:r>
        <w:instrText xml:space="preserve"> \* MERGEFORMAT </w:instrText>
      </w:r>
      <w:r w:rsidRPr="00385C4A">
        <w:fldChar w:fldCharType="separate"/>
      </w:r>
      <w:r w:rsidR="007F7607" w:rsidRPr="00385C4A">
        <w:t xml:space="preserve">Figure </w:t>
      </w:r>
      <w:r w:rsidR="007F7607">
        <w:t>44</w:t>
      </w:r>
      <w:r w:rsidRPr="00385C4A">
        <w:fldChar w:fldCharType="end"/>
      </w:r>
      <w:r w:rsidRPr="00385C4A">
        <w:t>). Very high variation in</w:t>
      </w:r>
      <w:r>
        <w:t xml:space="preserve"> reaeration (</w:t>
      </w:r>
      <w:r>
        <w:fldChar w:fldCharType="begin"/>
      </w:r>
      <w:r>
        <w:instrText xml:space="preserve"> REF _Ref18070050 \h </w:instrText>
      </w:r>
      <w:r>
        <w:fldChar w:fldCharType="separate"/>
      </w:r>
      <w:r w:rsidR="007F7607" w:rsidRPr="00207366">
        <w:t xml:space="preserve">Table </w:t>
      </w:r>
      <w:r w:rsidR="007F7607">
        <w:rPr>
          <w:noProof/>
        </w:rPr>
        <w:t>9</w:t>
      </w:r>
      <w:r>
        <w:fldChar w:fldCharType="end"/>
      </w:r>
      <w:r>
        <w:t>) is characteristic of the Lachlan, reflecting the complex nature of the banks and the presence of in-stream structure, which appears to generate a complex reaeration response as flows rise and fall (</w:t>
      </w:r>
      <w:r>
        <w:fldChar w:fldCharType="begin"/>
      </w:r>
      <w:r>
        <w:instrText xml:space="preserve"> REF _Ref19614555 \h </w:instrText>
      </w:r>
      <w:r>
        <w:fldChar w:fldCharType="separate"/>
      </w:r>
      <w:r w:rsidR="007F7607" w:rsidRPr="006A148A">
        <w:t xml:space="preserve">Figure </w:t>
      </w:r>
      <w:r w:rsidR="007F7607">
        <w:rPr>
          <w:noProof/>
        </w:rPr>
        <w:t>33</w:t>
      </w:r>
      <w:r>
        <w:fldChar w:fldCharType="end"/>
      </w:r>
      <w:r>
        <w:t>).</w:t>
      </w:r>
      <w:r w:rsidRPr="009B56DD">
        <w:rPr>
          <w:color w:val="000000" w:themeColor="text1"/>
          <w:szCs w:val="22"/>
        </w:rPr>
        <w:t xml:space="preserve"> </w:t>
      </w:r>
      <w:r w:rsidRPr="000C7C85">
        <w:rPr>
          <w:color w:val="000000" w:themeColor="text1"/>
          <w:szCs w:val="22"/>
        </w:rPr>
        <w:t xml:space="preserve">ER rates </w:t>
      </w:r>
      <w:r>
        <w:rPr>
          <w:color w:val="000000" w:themeColor="text1"/>
          <w:szCs w:val="22"/>
        </w:rPr>
        <w:t>we</w:t>
      </w:r>
      <w:r w:rsidRPr="000C7C85">
        <w:rPr>
          <w:color w:val="000000" w:themeColor="text1"/>
          <w:szCs w:val="22"/>
        </w:rPr>
        <w:t>re generally significantly higher than the corresponding GPP rates, meaning that</w:t>
      </w:r>
      <w:r>
        <w:rPr>
          <w:color w:val="000000" w:themeColor="text1"/>
          <w:szCs w:val="22"/>
        </w:rPr>
        <w:t xml:space="preserve"> the</w:t>
      </w:r>
      <w:r w:rsidRPr="000C7C85">
        <w:rPr>
          <w:color w:val="000000" w:themeColor="text1"/>
          <w:szCs w:val="22"/>
        </w:rPr>
        <w:t xml:space="preserve"> site</w:t>
      </w:r>
      <w:r>
        <w:rPr>
          <w:color w:val="000000" w:themeColor="text1"/>
          <w:szCs w:val="22"/>
        </w:rPr>
        <w:t>s</w:t>
      </w:r>
      <w:r w:rsidRPr="000C7C85">
        <w:rPr>
          <w:color w:val="000000" w:themeColor="text1"/>
          <w:szCs w:val="22"/>
        </w:rPr>
        <w:t xml:space="preserve"> </w:t>
      </w:r>
      <w:r>
        <w:rPr>
          <w:color w:val="000000" w:themeColor="text1"/>
          <w:szCs w:val="22"/>
        </w:rPr>
        <w:t>are</w:t>
      </w:r>
      <w:r w:rsidRPr="000C7C85">
        <w:rPr>
          <w:color w:val="000000" w:themeColor="text1"/>
          <w:szCs w:val="22"/>
        </w:rPr>
        <w:t xml:space="preserve"> predominantly heterotrophic </w:t>
      </w:r>
      <w:r>
        <w:rPr>
          <w:color w:val="000000" w:themeColor="text1"/>
          <w:szCs w:val="22"/>
        </w:rPr>
        <w:t xml:space="preserve">(P:R&lt;1) and dominated by externally-sourced organic carbon </w:t>
      </w:r>
      <w:r w:rsidRPr="000C7C85">
        <w:rPr>
          <w:color w:val="000000" w:themeColor="text1"/>
          <w:szCs w:val="22"/>
        </w:rPr>
        <w:t>rather than</w:t>
      </w:r>
      <w:r>
        <w:rPr>
          <w:color w:val="000000" w:themeColor="text1"/>
          <w:szCs w:val="22"/>
        </w:rPr>
        <w:t xml:space="preserve"> in situ </w:t>
      </w:r>
      <w:r w:rsidRPr="000C7C85">
        <w:rPr>
          <w:color w:val="000000" w:themeColor="text1"/>
          <w:szCs w:val="22"/>
        </w:rPr>
        <w:t>photosynthesis.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480"/>
      </w:tblGrid>
      <w:tr w:rsidR="00CF483E" w14:paraId="05916911" w14:textId="77777777" w:rsidTr="0046151C">
        <w:tc>
          <w:tcPr>
            <w:tcW w:w="4536" w:type="dxa"/>
          </w:tcPr>
          <w:p w14:paraId="7B11AE07" w14:textId="77777777" w:rsidR="00CF483E" w:rsidRDefault="00CF483E" w:rsidP="0046151C">
            <w:r>
              <w:rPr>
                <w:noProof/>
                <w:lang w:eastAsia="en-AU"/>
              </w:rPr>
              <w:drawing>
                <wp:inline distT="0" distB="0" distL="0" distR="0" wp14:anchorId="4A6DB68F" wp14:editId="49449D90">
                  <wp:extent cx="2722330" cy="2042956"/>
                  <wp:effectExtent l="0" t="0" r="190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740314" cy="2056452"/>
                          </a:xfrm>
                          <a:prstGeom prst="rect">
                            <a:avLst/>
                          </a:prstGeom>
                          <a:noFill/>
                          <a:ln>
                            <a:noFill/>
                          </a:ln>
                        </pic:spPr>
                      </pic:pic>
                    </a:graphicData>
                  </a:graphic>
                </wp:inline>
              </w:drawing>
            </w:r>
          </w:p>
        </w:tc>
        <w:tc>
          <w:tcPr>
            <w:tcW w:w="4480" w:type="dxa"/>
          </w:tcPr>
          <w:p w14:paraId="704E43F1" w14:textId="77777777" w:rsidR="00CF483E" w:rsidRDefault="00CF483E" w:rsidP="0046151C">
            <w:r>
              <w:rPr>
                <w:noProof/>
                <w:lang w:eastAsia="en-AU"/>
              </w:rPr>
              <w:drawing>
                <wp:inline distT="0" distB="0" distL="0" distR="0" wp14:anchorId="44B69E8F" wp14:editId="685D7BF2">
                  <wp:extent cx="2701873" cy="2024009"/>
                  <wp:effectExtent l="0" t="0" r="381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712688" cy="2032111"/>
                          </a:xfrm>
                          <a:prstGeom prst="rect">
                            <a:avLst/>
                          </a:prstGeom>
                          <a:noFill/>
                          <a:ln>
                            <a:noFill/>
                          </a:ln>
                        </pic:spPr>
                      </pic:pic>
                    </a:graphicData>
                  </a:graphic>
                </wp:inline>
              </w:drawing>
            </w:r>
          </w:p>
        </w:tc>
      </w:tr>
    </w:tbl>
    <w:p w14:paraId="36787609" w14:textId="77B96B92" w:rsidR="00CF483E" w:rsidRPr="006A148A" w:rsidRDefault="00CF483E" w:rsidP="00CF483E">
      <w:pPr>
        <w:pStyle w:val="Caption"/>
      </w:pPr>
      <w:bookmarkStart w:id="244" w:name="_Ref19614555"/>
      <w:bookmarkStart w:id="245" w:name="_Toc31985597"/>
      <w:r w:rsidRPr="006A148A">
        <w:t xml:space="preserve">Figure </w:t>
      </w:r>
      <w:r>
        <w:fldChar w:fldCharType="begin"/>
      </w:r>
      <w:r>
        <w:instrText>SEQ Figure \* ARABIC</w:instrText>
      </w:r>
      <w:r>
        <w:fldChar w:fldCharType="separate"/>
      </w:r>
      <w:r w:rsidR="007F7607">
        <w:rPr>
          <w:noProof/>
        </w:rPr>
        <w:t>33</w:t>
      </w:r>
      <w:r>
        <w:fldChar w:fldCharType="end"/>
      </w:r>
      <w:bookmarkEnd w:id="244"/>
      <w:r w:rsidRPr="006A148A">
        <w:t xml:space="preserve">. </w:t>
      </w:r>
      <w:r>
        <w:t>In-stream structures</w:t>
      </w:r>
      <w:r w:rsidRPr="006A148A">
        <w:t xml:space="preserve"> </w:t>
      </w:r>
      <w:r>
        <w:t>at Whealbah.</w:t>
      </w:r>
      <w:bookmarkEnd w:id="245"/>
      <w:r w:rsidRPr="006A148A">
        <w:br w:type="page"/>
      </w:r>
    </w:p>
    <w:p w14:paraId="46550E56" w14:textId="65C24BB2" w:rsidR="00CF483E" w:rsidRPr="00D40CA6" w:rsidRDefault="00CF483E" w:rsidP="00CF483E">
      <w:r>
        <w:t>Fluctuations in ER in particular create considerable variability in GPP/ER ratios through time. This relationship appears to vary in space – at Cowl Cowl there is evidence for a response to environmental flows which is marked, but at the other three sites there is no clear pattern (</w:t>
      </w:r>
      <w:r>
        <w:fldChar w:fldCharType="begin"/>
      </w:r>
      <w:r>
        <w:instrText xml:space="preserve"> REF _Ref18069500 \h </w:instrText>
      </w:r>
      <w:r>
        <w:fldChar w:fldCharType="separate"/>
      </w:r>
      <w:r w:rsidR="007F7607" w:rsidRPr="00267229">
        <w:t xml:space="preserve">Figure </w:t>
      </w:r>
      <w:r w:rsidR="007F7607">
        <w:rPr>
          <w:noProof/>
        </w:rPr>
        <w:t>34</w:t>
      </w:r>
      <w:r>
        <w:fldChar w:fldCharType="end"/>
      </w:r>
      <w:r>
        <w:t xml:space="preserve">, </w:t>
      </w:r>
      <w:r>
        <w:fldChar w:fldCharType="begin"/>
      </w:r>
      <w:r>
        <w:instrText xml:space="preserve"> REF _Ref19614906 \h </w:instrText>
      </w:r>
      <w:r>
        <w:fldChar w:fldCharType="separate"/>
      </w:r>
      <w:r w:rsidR="007F7607" w:rsidRPr="00507E37">
        <w:t xml:space="preserve">Figure </w:t>
      </w:r>
      <w:r w:rsidR="007F7607">
        <w:rPr>
          <w:noProof/>
        </w:rPr>
        <w:t>46</w:t>
      </w:r>
      <w:r>
        <w:fldChar w:fldCharType="end"/>
      </w:r>
      <w:r>
        <w:t>).</w:t>
      </w:r>
    </w:p>
    <w:p w14:paraId="4813D5A1" w14:textId="467B7CA3" w:rsidR="00CF483E" w:rsidRDefault="00CF483E" w:rsidP="00CF483E">
      <w:r w:rsidRPr="00D40CA6">
        <w:t>There is a limited amount of data available for</w:t>
      </w:r>
      <w:r>
        <w:t xml:space="preserve"> making clear conclusions on the effects of environmental water in the lower Lachlan, and interpretation is made more complex by the high year to year variability in inflows (</w:t>
      </w:r>
      <w:r>
        <w:fldChar w:fldCharType="begin"/>
      </w:r>
      <w:r>
        <w:instrText xml:space="preserve"> REF _Ref18056651 \h </w:instrText>
      </w:r>
      <w:r>
        <w:fldChar w:fldCharType="separate"/>
      </w:r>
      <w:r w:rsidR="007F7607" w:rsidRPr="00207366">
        <w:t xml:space="preserve">Table </w:t>
      </w:r>
      <w:r w:rsidR="007F7607">
        <w:rPr>
          <w:noProof/>
        </w:rPr>
        <w:t>8</w:t>
      </w:r>
      <w:r>
        <w:fldChar w:fldCharType="end"/>
      </w:r>
      <w:r>
        <w:t xml:space="preserve">). </w:t>
      </w:r>
    </w:p>
    <w:p w14:paraId="3BF759E7" w14:textId="77777777" w:rsidR="00CF483E" w:rsidRPr="00507E37" w:rsidRDefault="00CF483E" w:rsidP="00CF483E">
      <w:pPr>
        <w:spacing w:before="0" w:after="0"/>
      </w:pPr>
    </w:p>
    <w:p w14:paraId="1B40D9A6" w14:textId="1BB9A534" w:rsidR="00CF483E" w:rsidRDefault="00CF483E" w:rsidP="00CF483E">
      <w:pPr>
        <w:pStyle w:val="Caption"/>
      </w:pPr>
      <w:bookmarkStart w:id="246" w:name="_Ref18056651"/>
      <w:bookmarkStart w:id="247" w:name="_Hlk17987991"/>
      <w:bookmarkStart w:id="248" w:name="_Toc31985675"/>
      <w:r w:rsidRPr="00207366">
        <w:t xml:space="preserve">Table </w:t>
      </w:r>
      <w:r>
        <w:rPr>
          <w:noProof/>
        </w:rPr>
        <w:fldChar w:fldCharType="begin"/>
      </w:r>
      <w:r>
        <w:rPr>
          <w:noProof/>
        </w:rPr>
        <w:instrText xml:space="preserve"> SEQ Table \* ARABIC </w:instrText>
      </w:r>
      <w:r>
        <w:rPr>
          <w:noProof/>
        </w:rPr>
        <w:fldChar w:fldCharType="separate"/>
      </w:r>
      <w:r w:rsidR="007F7607">
        <w:rPr>
          <w:noProof/>
        </w:rPr>
        <w:t>8</w:t>
      </w:r>
      <w:r>
        <w:rPr>
          <w:noProof/>
        </w:rPr>
        <w:fldChar w:fldCharType="end"/>
      </w:r>
      <w:bookmarkEnd w:id="246"/>
      <w:r w:rsidRPr="00207366">
        <w:t xml:space="preserve">. Stream metabolism </w:t>
      </w:r>
      <w:bookmarkEnd w:id="247"/>
      <w:r w:rsidRPr="00207366">
        <w:t xml:space="preserve">data obtained from the </w:t>
      </w:r>
      <w:r>
        <w:t>four</w:t>
      </w:r>
      <w:r w:rsidRPr="00207366">
        <w:t xml:space="preserve"> sites </w:t>
      </w:r>
      <w:r>
        <w:t>i</w:t>
      </w:r>
      <w:r w:rsidRPr="00207366">
        <w:t xml:space="preserve">n the Lower Lachlan river system </w:t>
      </w:r>
      <w:r w:rsidRPr="003A6BDD">
        <w:t>during the</w:t>
      </w:r>
      <w:r>
        <w:t xml:space="preserve"> whole</w:t>
      </w:r>
      <w:r w:rsidRPr="003A6BDD">
        <w:t xml:space="preserve"> sampling period </w:t>
      </w:r>
      <w:r>
        <w:rPr>
          <w:rStyle w:val="CaptionChar"/>
        </w:rPr>
        <w:t>2014-</w:t>
      </w:r>
      <w:r w:rsidRPr="007B2589">
        <w:rPr>
          <w:rStyle w:val="CaptionChar"/>
        </w:rPr>
        <w:t>19</w:t>
      </w:r>
      <w:r>
        <w:t>.</w:t>
      </w:r>
      <w:bookmarkEnd w:id="248"/>
      <w:r>
        <w:t xml:space="preserve"> </w:t>
      </w:r>
    </w:p>
    <w:p w14:paraId="21EA69E8" w14:textId="77777777" w:rsidR="00CF483E" w:rsidRDefault="00CF483E" w:rsidP="00CF483E">
      <w:pPr>
        <w:pStyle w:val="Caption"/>
        <w:rPr>
          <w:rFonts w:eastAsiaTheme="minorHAnsi"/>
        </w:rPr>
      </w:pPr>
      <w:r w:rsidRPr="00131F12">
        <w:t xml:space="preserve">Shown is the number of logged days of oxygen data for each site (data days = Y) </w:t>
      </w:r>
      <w:r w:rsidRPr="00131F12">
        <w:rPr>
          <w:rFonts w:eastAsiaTheme="minorHAnsi"/>
        </w:rPr>
        <w:t>and the percentile (%) for which a GPP/ER /K estimate could be modelled under the standard acceptance criteria.</w:t>
      </w:r>
      <w:r w:rsidRPr="003D1AA5">
        <w:rPr>
          <w:rFonts w:eastAsiaTheme="minorHAnsi"/>
        </w:rPr>
        <w:t xml:space="preserve"> </w:t>
      </w:r>
    </w:p>
    <w:tbl>
      <w:tblPr>
        <w:tblStyle w:val="GridTable5Dark-Accent6"/>
        <w:tblW w:w="4805" w:type="dxa"/>
        <w:tblLook w:val="04A0" w:firstRow="1" w:lastRow="0" w:firstColumn="1" w:lastColumn="0" w:noHBand="0" w:noVBand="1"/>
      </w:tblPr>
      <w:tblGrid>
        <w:gridCol w:w="1769"/>
        <w:gridCol w:w="1760"/>
        <w:gridCol w:w="709"/>
        <w:gridCol w:w="567"/>
      </w:tblGrid>
      <w:tr w:rsidR="00CF483E" w:rsidRPr="00CE62DF" w14:paraId="263FC1C2" w14:textId="77777777" w:rsidTr="00507E37">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7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38EDB064" w14:textId="77777777" w:rsidR="00CF483E" w:rsidRPr="00CE62DF" w:rsidRDefault="00CF483E" w:rsidP="009A2F49">
            <w:pPr>
              <w:spacing w:before="0" w:after="0"/>
              <w:jc w:val="center"/>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Site</w:t>
            </w:r>
          </w:p>
        </w:tc>
        <w:tc>
          <w:tcPr>
            <w:tcW w:w="17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1194AE45" w14:textId="77777777" w:rsidR="00CF483E" w:rsidRPr="00CE62DF" w:rsidRDefault="00CF483E" w:rsidP="009A2F4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Count logged days</w:t>
            </w:r>
          </w:p>
        </w:tc>
        <w:tc>
          <w:tcPr>
            <w:tcW w:w="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0FEE3A8D" w14:textId="77777777" w:rsidR="00CF483E" w:rsidRPr="00CE62DF" w:rsidRDefault="00CF483E" w:rsidP="009A2F4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Y</w:t>
            </w:r>
          </w:p>
        </w:tc>
        <w:tc>
          <w:tcPr>
            <w:tcW w:w="5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BBB59"/>
            <w:hideMark/>
          </w:tcPr>
          <w:p w14:paraId="4148F084" w14:textId="77777777" w:rsidR="00CF483E" w:rsidRPr="00CE62DF" w:rsidRDefault="00CF483E" w:rsidP="009A2F4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w:t>
            </w:r>
          </w:p>
        </w:tc>
      </w:tr>
      <w:tr w:rsidR="00CF483E" w:rsidRPr="00CE62DF" w14:paraId="3046BDDA" w14:textId="77777777" w:rsidTr="00507E37">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769" w:type="dxa"/>
            <w:tcBorders>
              <w:top w:val="single" w:sz="12" w:space="0" w:color="FFFFFF" w:themeColor="background1"/>
            </w:tcBorders>
            <w:shd w:val="clear" w:color="auto" w:fill="9BBB59"/>
            <w:hideMark/>
          </w:tcPr>
          <w:p w14:paraId="76F90617" w14:textId="77777777" w:rsidR="00CF483E" w:rsidRPr="00CE62DF" w:rsidRDefault="00CF483E" w:rsidP="009A2F49">
            <w:pPr>
              <w:spacing w:before="0" w:after="0"/>
              <w:rPr>
                <w:rFonts w:asciiTheme="minorHAnsi" w:eastAsia="Times New Roman" w:hAnsiTheme="minorHAnsi" w:cstheme="minorHAnsi"/>
                <w:color w:val="FFFFFF"/>
                <w:sz w:val="18"/>
                <w:szCs w:val="18"/>
                <w:lang w:eastAsia="en-AU"/>
              </w:rPr>
            </w:pPr>
            <w:bookmarkStart w:id="249" w:name="_Hlk17282542"/>
            <w:r w:rsidRPr="00CE62DF">
              <w:rPr>
                <w:rFonts w:asciiTheme="minorHAnsi" w:eastAsia="Times New Roman" w:hAnsiTheme="minorHAnsi" w:cstheme="minorHAnsi"/>
                <w:color w:val="FFFFFF"/>
                <w:sz w:val="18"/>
                <w:szCs w:val="18"/>
                <w:lang w:eastAsia="en-AU"/>
              </w:rPr>
              <w:t>Cowl Cowl (CC)</w:t>
            </w:r>
          </w:p>
        </w:tc>
        <w:tc>
          <w:tcPr>
            <w:tcW w:w="1760" w:type="dxa"/>
            <w:tcBorders>
              <w:top w:val="single" w:sz="12" w:space="0" w:color="FFFFFF" w:themeColor="background1"/>
            </w:tcBorders>
            <w:shd w:val="clear" w:color="auto" w:fill="EBF1DE"/>
            <w:noWrap/>
            <w:hideMark/>
          </w:tcPr>
          <w:p w14:paraId="4A6B9FA9"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eastAsia="Times New Roman" w:hAnsiTheme="minorHAnsi" w:cstheme="minorHAnsi"/>
                <w:color w:val="000000"/>
                <w:sz w:val="18"/>
                <w:szCs w:val="18"/>
                <w:lang w:eastAsia="en-AU"/>
              </w:rPr>
              <w:t>1141</w:t>
            </w:r>
          </w:p>
        </w:tc>
        <w:tc>
          <w:tcPr>
            <w:tcW w:w="709" w:type="dxa"/>
            <w:tcBorders>
              <w:top w:val="single" w:sz="12" w:space="0" w:color="FFFFFF" w:themeColor="background1"/>
            </w:tcBorders>
            <w:shd w:val="clear" w:color="auto" w:fill="EBF1DE"/>
            <w:noWrap/>
            <w:vAlign w:val="bottom"/>
            <w:hideMark/>
          </w:tcPr>
          <w:p w14:paraId="1DD8E140"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hAnsiTheme="minorHAnsi" w:cstheme="minorHAnsi"/>
                <w:color w:val="000000"/>
                <w:sz w:val="18"/>
                <w:szCs w:val="18"/>
              </w:rPr>
              <w:t>5</w:t>
            </w:r>
            <w:r>
              <w:rPr>
                <w:rFonts w:asciiTheme="minorHAnsi" w:hAnsiTheme="minorHAnsi" w:cstheme="minorHAnsi"/>
                <w:color w:val="000000"/>
                <w:sz w:val="18"/>
                <w:szCs w:val="18"/>
              </w:rPr>
              <w:t>21</w:t>
            </w:r>
          </w:p>
        </w:tc>
        <w:tc>
          <w:tcPr>
            <w:tcW w:w="567" w:type="dxa"/>
            <w:tcBorders>
              <w:top w:val="single" w:sz="12" w:space="0" w:color="FFFFFF" w:themeColor="background1"/>
            </w:tcBorders>
            <w:shd w:val="clear" w:color="auto" w:fill="EBF1DE"/>
            <w:noWrap/>
            <w:vAlign w:val="bottom"/>
          </w:tcPr>
          <w:p w14:paraId="24461956"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hAnsiTheme="minorHAnsi" w:cstheme="minorHAnsi"/>
                <w:color w:val="000000"/>
                <w:sz w:val="18"/>
                <w:szCs w:val="18"/>
              </w:rPr>
              <w:t>4</w:t>
            </w:r>
            <w:r>
              <w:rPr>
                <w:rFonts w:asciiTheme="minorHAnsi" w:hAnsiTheme="minorHAnsi" w:cstheme="minorHAnsi"/>
                <w:color w:val="000000"/>
                <w:sz w:val="18"/>
                <w:szCs w:val="18"/>
              </w:rPr>
              <w:t>6</w:t>
            </w:r>
          </w:p>
        </w:tc>
      </w:tr>
      <w:tr w:rsidR="00CF483E" w:rsidRPr="00CE62DF" w14:paraId="549F4DB5" w14:textId="77777777" w:rsidTr="00507E37">
        <w:trPr>
          <w:trHeight w:val="252"/>
        </w:trPr>
        <w:tc>
          <w:tcPr>
            <w:cnfStyle w:val="001000000000" w:firstRow="0" w:lastRow="0" w:firstColumn="1" w:lastColumn="0" w:oddVBand="0" w:evenVBand="0" w:oddHBand="0" w:evenHBand="0" w:firstRowFirstColumn="0" w:firstRowLastColumn="0" w:lastRowFirstColumn="0" w:lastRowLastColumn="0"/>
            <w:tcW w:w="1769" w:type="dxa"/>
            <w:shd w:val="clear" w:color="auto" w:fill="9BBB59"/>
            <w:hideMark/>
          </w:tcPr>
          <w:p w14:paraId="24EE2439" w14:textId="77777777" w:rsidR="00CF483E" w:rsidRPr="00CE62DF" w:rsidRDefault="00CF483E" w:rsidP="009A2F49">
            <w:pPr>
              <w:spacing w:before="0" w:after="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Lanes Bridge (LB)</w:t>
            </w:r>
          </w:p>
        </w:tc>
        <w:tc>
          <w:tcPr>
            <w:tcW w:w="1760" w:type="dxa"/>
            <w:shd w:val="clear" w:color="auto" w:fill="EBF1DE"/>
            <w:noWrap/>
            <w:hideMark/>
          </w:tcPr>
          <w:p w14:paraId="5EF051E2"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eastAsia="Times New Roman" w:hAnsiTheme="minorHAnsi" w:cstheme="minorHAnsi"/>
                <w:color w:val="000000"/>
                <w:sz w:val="18"/>
                <w:szCs w:val="18"/>
                <w:lang w:eastAsia="en-AU"/>
              </w:rPr>
              <w:t>1519</w:t>
            </w:r>
          </w:p>
        </w:tc>
        <w:tc>
          <w:tcPr>
            <w:tcW w:w="709" w:type="dxa"/>
            <w:shd w:val="clear" w:color="auto" w:fill="EBF1DE"/>
            <w:noWrap/>
            <w:vAlign w:val="bottom"/>
            <w:hideMark/>
          </w:tcPr>
          <w:p w14:paraId="44822743"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Pr>
                <w:rFonts w:asciiTheme="minorHAnsi" w:hAnsiTheme="minorHAnsi" w:cstheme="minorHAnsi"/>
                <w:color w:val="000000"/>
                <w:sz w:val="18"/>
                <w:szCs w:val="18"/>
                <w:lang w:eastAsia="en-AU"/>
              </w:rPr>
              <w:t>988</w:t>
            </w:r>
          </w:p>
        </w:tc>
        <w:tc>
          <w:tcPr>
            <w:tcW w:w="567" w:type="dxa"/>
            <w:shd w:val="clear" w:color="auto" w:fill="EBF1DE"/>
            <w:noWrap/>
            <w:vAlign w:val="bottom"/>
          </w:tcPr>
          <w:p w14:paraId="50291F36"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Pr>
                <w:rFonts w:asciiTheme="minorHAnsi" w:hAnsiTheme="minorHAnsi" w:cstheme="minorHAnsi"/>
                <w:color w:val="000000"/>
                <w:sz w:val="18"/>
                <w:szCs w:val="18"/>
                <w:lang w:eastAsia="en-AU"/>
              </w:rPr>
              <w:t>65</w:t>
            </w:r>
          </w:p>
        </w:tc>
      </w:tr>
      <w:tr w:rsidR="00CF483E" w:rsidRPr="00CE62DF" w14:paraId="26F658B9" w14:textId="77777777" w:rsidTr="00507E37">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769" w:type="dxa"/>
            <w:shd w:val="clear" w:color="auto" w:fill="9BBB59"/>
            <w:hideMark/>
          </w:tcPr>
          <w:p w14:paraId="7E74F297" w14:textId="77777777" w:rsidR="00CF483E" w:rsidRPr="00CE62DF" w:rsidRDefault="00CF483E" w:rsidP="009A2F49">
            <w:pPr>
              <w:spacing w:before="0" w:after="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Wallanthery (WAL)</w:t>
            </w:r>
          </w:p>
        </w:tc>
        <w:tc>
          <w:tcPr>
            <w:tcW w:w="1760" w:type="dxa"/>
            <w:shd w:val="clear" w:color="auto" w:fill="EBF1DE"/>
            <w:noWrap/>
            <w:hideMark/>
          </w:tcPr>
          <w:p w14:paraId="678B82E3"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eastAsia="Times New Roman" w:hAnsiTheme="minorHAnsi" w:cstheme="minorHAnsi"/>
                <w:color w:val="000000"/>
                <w:sz w:val="18"/>
                <w:szCs w:val="18"/>
                <w:lang w:eastAsia="en-AU"/>
              </w:rPr>
              <w:t>797</w:t>
            </w:r>
          </w:p>
        </w:tc>
        <w:tc>
          <w:tcPr>
            <w:tcW w:w="709" w:type="dxa"/>
            <w:shd w:val="clear" w:color="auto" w:fill="EBF1DE"/>
            <w:noWrap/>
            <w:vAlign w:val="bottom"/>
          </w:tcPr>
          <w:p w14:paraId="6E293E5D"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hAnsiTheme="minorHAnsi" w:cstheme="minorHAnsi"/>
                <w:color w:val="000000"/>
                <w:sz w:val="18"/>
                <w:szCs w:val="18"/>
              </w:rPr>
              <w:t>3</w:t>
            </w:r>
            <w:r>
              <w:rPr>
                <w:rFonts w:asciiTheme="minorHAnsi" w:hAnsiTheme="minorHAnsi" w:cstheme="minorHAnsi"/>
                <w:color w:val="000000"/>
                <w:sz w:val="18"/>
                <w:szCs w:val="18"/>
              </w:rPr>
              <w:t>05</w:t>
            </w:r>
          </w:p>
        </w:tc>
        <w:tc>
          <w:tcPr>
            <w:tcW w:w="567" w:type="dxa"/>
            <w:shd w:val="clear" w:color="auto" w:fill="EBF1DE"/>
            <w:noWrap/>
            <w:vAlign w:val="bottom"/>
          </w:tcPr>
          <w:p w14:paraId="3F4A7850" w14:textId="77777777" w:rsidR="00CF483E" w:rsidRPr="00CE62DF" w:rsidRDefault="00CF483E" w:rsidP="009A2F4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r>
              <w:rPr>
                <w:rFonts w:asciiTheme="minorHAnsi" w:hAnsiTheme="minorHAnsi" w:cstheme="minorHAnsi"/>
                <w:color w:val="000000"/>
                <w:sz w:val="18"/>
                <w:szCs w:val="18"/>
                <w:lang w:eastAsia="en-AU"/>
              </w:rPr>
              <w:t>38</w:t>
            </w:r>
          </w:p>
        </w:tc>
      </w:tr>
      <w:tr w:rsidR="00CF483E" w:rsidRPr="00CE62DF" w14:paraId="3AB6E88E" w14:textId="77777777" w:rsidTr="00507E37">
        <w:trPr>
          <w:trHeight w:val="252"/>
        </w:trPr>
        <w:tc>
          <w:tcPr>
            <w:cnfStyle w:val="001000000000" w:firstRow="0" w:lastRow="0" w:firstColumn="1" w:lastColumn="0" w:oddVBand="0" w:evenVBand="0" w:oddHBand="0" w:evenHBand="0" w:firstRowFirstColumn="0" w:firstRowLastColumn="0" w:lastRowFirstColumn="0" w:lastRowLastColumn="0"/>
            <w:tcW w:w="1769" w:type="dxa"/>
            <w:tcBorders>
              <w:bottom w:val="none" w:sz="0" w:space="0" w:color="auto"/>
            </w:tcBorders>
            <w:shd w:val="clear" w:color="auto" w:fill="9BBB59"/>
            <w:hideMark/>
          </w:tcPr>
          <w:p w14:paraId="53B68BDF" w14:textId="77777777" w:rsidR="00CF483E" w:rsidRPr="00CE62DF" w:rsidRDefault="00CF483E" w:rsidP="009A2F49">
            <w:pPr>
              <w:spacing w:before="0" w:after="0"/>
              <w:rPr>
                <w:rFonts w:asciiTheme="minorHAnsi" w:eastAsia="Times New Roman" w:hAnsiTheme="minorHAnsi" w:cstheme="minorHAnsi"/>
                <w:color w:val="FFFFFF"/>
                <w:sz w:val="18"/>
                <w:szCs w:val="18"/>
                <w:lang w:eastAsia="en-AU"/>
              </w:rPr>
            </w:pPr>
            <w:r w:rsidRPr="00CE62DF">
              <w:rPr>
                <w:rFonts w:asciiTheme="minorHAnsi" w:eastAsia="Times New Roman" w:hAnsiTheme="minorHAnsi" w:cstheme="minorHAnsi"/>
                <w:color w:val="FFFFFF"/>
                <w:sz w:val="18"/>
                <w:szCs w:val="18"/>
                <w:lang w:eastAsia="en-AU"/>
              </w:rPr>
              <w:t>Whealbah (WB)</w:t>
            </w:r>
          </w:p>
        </w:tc>
        <w:tc>
          <w:tcPr>
            <w:tcW w:w="1760" w:type="dxa"/>
            <w:shd w:val="clear" w:color="auto" w:fill="EBF1DE"/>
            <w:noWrap/>
            <w:hideMark/>
          </w:tcPr>
          <w:p w14:paraId="1D20BB9C"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eastAsia="Times New Roman" w:hAnsiTheme="minorHAnsi" w:cstheme="minorHAnsi"/>
                <w:color w:val="000000"/>
                <w:sz w:val="18"/>
                <w:szCs w:val="18"/>
                <w:lang w:eastAsia="en-AU"/>
              </w:rPr>
              <w:t>1413</w:t>
            </w:r>
          </w:p>
        </w:tc>
        <w:tc>
          <w:tcPr>
            <w:tcW w:w="709" w:type="dxa"/>
            <w:shd w:val="clear" w:color="auto" w:fill="EBF1DE"/>
            <w:noWrap/>
            <w:vAlign w:val="bottom"/>
          </w:tcPr>
          <w:p w14:paraId="0BCA2219"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Pr>
                <w:rFonts w:asciiTheme="minorHAnsi" w:hAnsiTheme="minorHAnsi" w:cstheme="minorHAnsi"/>
                <w:color w:val="000000"/>
                <w:sz w:val="18"/>
                <w:szCs w:val="18"/>
                <w:lang w:eastAsia="en-AU"/>
              </w:rPr>
              <w:t>888</w:t>
            </w:r>
          </w:p>
        </w:tc>
        <w:tc>
          <w:tcPr>
            <w:tcW w:w="567" w:type="dxa"/>
            <w:shd w:val="clear" w:color="auto" w:fill="EBF1DE"/>
            <w:noWrap/>
            <w:vAlign w:val="bottom"/>
          </w:tcPr>
          <w:p w14:paraId="648AC510" w14:textId="77777777" w:rsidR="00CF483E" w:rsidRPr="00CE62DF" w:rsidRDefault="00CF483E" w:rsidP="009A2F4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CE62DF">
              <w:rPr>
                <w:rFonts w:asciiTheme="minorHAnsi" w:hAnsiTheme="minorHAnsi" w:cstheme="minorHAnsi"/>
                <w:color w:val="000000"/>
                <w:sz w:val="18"/>
                <w:szCs w:val="18"/>
              </w:rPr>
              <w:t>6</w:t>
            </w:r>
            <w:r>
              <w:rPr>
                <w:rFonts w:asciiTheme="minorHAnsi" w:hAnsiTheme="minorHAnsi" w:cstheme="minorHAnsi"/>
                <w:color w:val="000000"/>
                <w:sz w:val="18"/>
                <w:szCs w:val="18"/>
              </w:rPr>
              <w:t>3</w:t>
            </w:r>
          </w:p>
        </w:tc>
      </w:tr>
      <w:bookmarkEnd w:id="249"/>
    </w:tbl>
    <w:p w14:paraId="16045F16" w14:textId="77777777" w:rsidR="00CF483E" w:rsidRPr="00507E37" w:rsidRDefault="00CF483E" w:rsidP="00CF483E"/>
    <w:p w14:paraId="40C09E1E" w14:textId="69A847DF" w:rsidR="00CF483E" w:rsidRDefault="00CF483E" w:rsidP="00CF483E">
      <w:pPr>
        <w:pStyle w:val="Caption"/>
      </w:pPr>
      <w:bookmarkStart w:id="250" w:name="_Ref18070050"/>
      <w:bookmarkStart w:id="251" w:name="_Toc31985676"/>
      <w:r w:rsidRPr="00207366">
        <w:t xml:space="preserve">Table </w:t>
      </w:r>
      <w:r>
        <w:rPr>
          <w:noProof/>
        </w:rPr>
        <w:fldChar w:fldCharType="begin"/>
      </w:r>
      <w:r>
        <w:rPr>
          <w:noProof/>
        </w:rPr>
        <w:instrText xml:space="preserve"> SEQ Table \* ARABIC </w:instrText>
      </w:r>
      <w:r>
        <w:rPr>
          <w:noProof/>
        </w:rPr>
        <w:fldChar w:fldCharType="separate"/>
      </w:r>
      <w:r w:rsidR="007F7607">
        <w:rPr>
          <w:noProof/>
        </w:rPr>
        <w:t>9</w:t>
      </w:r>
      <w:r>
        <w:rPr>
          <w:noProof/>
        </w:rPr>
        <w:fldChar w:fldCharType="end"/>
      </w:r>
      <w:bookmarkEnd w:id="250"/>
      <w:r w:rsidRPr="00207366">
        <w:t xml:space="preserve">. Stream metabolism data </w:t>
      </w:r>
      <w:r>
        <w:t>averages for all four variables and all four Lower Lachlan River sites over the sampling period 2014-2019</w:t>
      </w:r>
      <w:bookmarkEnd w:id="251"/>
    </w:p>
    <w:tbl>
      <w:tblPr>
        <w:tblStyle w:val="GridTable5Dark-Accent6"/>
        <w:tblW w:w="8926" w:type="dxa"/>
        <w:tblLayout w:type="fixed"/>
        <w:tblLook w:val="04A0" w:firstRow="1" w:lastRow="0" w:firstColumn="1" w:lastColumn="0" w:noHBand="0" w:noVBand="1"/>
      </w:tblPr>
      <w:tblGrid>
        <w:gridCol w:w="1555"/>
        <w:gridCol w:w="1474"/>
        <w:gridCol w:w="1474"/>
        <w:gridCol w:w="1474"/>
        <w:gridCol w:w="1474"/>
        <w:gridCol w:w="1475"/>
      </w:tblGrid>
      <w:tr w:rsidR="00CF483E" w:rsidRPr="00CE62DF" w14:paraId="3AE27A14" w14:textId="77777777" w:rsidTr="00507E3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FFFFFF" w:themeColor="background1"/>
              <w:right w:val="single" w:sz="4" w:space="0" w:color="FFFFFF" w:themeColor="background1"/>
            </w:tcBorders>
            <w:shd w:val="clear" w:color="auto" w:fill="9BBB59"/>
            <w:noWrap/>
            <w:vAlign w:val="center"/>
            <w:hideMark/>
          </w:tcPr>
          <w:p w14:paraId="387EB78C"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Sampling period</w:t>
            </w:r>
          </w:p>
        </w:tc>
        <w:tc>
          <w:tcPr>
            <w:tcW w:w="1474" w:type="dxa"/>
            <w:tcBorders>
              <w:left w:val="single" w:sz="4" w:space="0" w:color="FFFFFF" w:themeColor="background1"/>
              <w:bottom w:val="single" w:sz="4" w:space="0" w:color="FFFFFF" w:themeColor="background1"/>
              <w:right w:val="single" w:sz="4" w:space="0" w:color="FFFFFF" w:themeColor="background1"/>
            </w:tcBorders>
            <w:shd w:val="clear" w:color="auto" w:fill="9BBB59"/>
            <w:noWrap/>
            <w:vAlign w:val="center"/>
            <w:hideMark/>
          </w:tcPr>
          <w:p w14:paraId="705436BF" w14:textId="77777777" w:rsidR="00CF483E" w:rsidRPr="00CE62DF" w:rsidRDefault="00CF483E" w:rsidP="00507E3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CE62DF">
              <w:rPr>
                <w:rFonts w:asciiTheme="minorHAnsi" w:hAnsiTheme="minorHAnsi" w:cstheme="minorHAnsi"/>
                <w:caps/>
                <w:sz w:val="18"/>
                <w:szCs w:val="18"/>
              </w:rPr>
              <w:t>Cowl Cowl</w:t>
            </w:r>
            <w:r>
              <w:rPr>
                <w:rFonts w:asciiTheme="minorHAnsi" w:hAnsiTheme="minorHAnsi" w:cstheme="minorHAnsi"/>
                <w:caps/>
                <w:sz w:val="18"/>
                <w:szCs w:val="18"/>
              </w:rPr>
              <w:t xml:space="preserve"> (CC)</w:t>
            </w:r>
          </w:p>
        </w:tc>
        <w:tc>
          <w:tcPr>
            <w:tcW w:w="1474" w:type="dxa"/>
            <w:tcBorders>
              <w:left w:val="single" w:sz="4" w:space="0" w:color="FFFFFF" w:themeColor="background1"/>
              <w:bottom w:val="single" w:sz="4" w:space="0" w:color="FFFFFF" w:themeColor="background1"/>
              <w:right w:val="single" w:sz="4" w:space="0" w:color="FFFFFF" w:themeColor="background1"/>
            </w:tcBorders>
            <w:shd w:val="clear" w:color="auto" w:fill="9BBB59"/>
            <w:noWrap/>
            <w:vAlign w:val="center"/>
            <w:hideMark/>
          </w:tcPr>
          <w:p w14:paraId="69C522C3" w14:textId="77777777" w:rsidR="00CF483E" w:rsidRPr="00CE62DF" w:rsidRDefault="00CF483E" w:rsidP="00507E3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CE62DF">
              <w:rPr>
                <w:rFonts w:asciiTheme="minorHAnsi" w:hAnsiTheme="minorHAnsi" w:cstheme="minorHAnsi"/>
                <w:caps/>
                <w:sz w:val="18"/>
                <w:szCs w:val="18"/>
              </w:rPr>
              <w:t>Lanes Bridge</w:t>
            </w:r>
            <w:r>
              <w:rPr>
                <w:rFonts w:asciiTheme="minorHAnsi" w:hAnsiTheme="minorHAnsi" w:cstheme="minorHAnsi"/>
                <w:caps/>
                <w:sz w:val="18"/>
                <w:szCs w:val="18"/>
              </w:rPr>
              <w:t xml:space="preserve"> (LB)</w:t>
            </w:r>
          </w:p>
        </w:tc>
        <w:tc>
          <w:tcPr>
            <w:tcW w:w="1474" w:type="dxa"/>
            <w:tcBorders>
              <w:left w:val="single" w:sz="4" w:space="0" w:color="FFFFFF" w:themeColor="background1"/>
              <w:bottom w:val="single" w:sz="4" w:space="0" w:color="FFFFFF" w:themeColor="background1"/>
              <w:right w:val="single" w:sz="4" w:space="0" w:color="FFFFFF" w:themeColor="background1"/>
            </w:tcBorders>
            <w:shd w:val="clear" w:color="auto" w:fill="9BBB59"/>
            <w:noWrap/>
            <w:vAlign w:val="center"/>
            <w:hideMark/>
          </w:tcPr>
          <w:p w14:paraId="4AD389E7" w14:textId="77777777" w:rsidR="00CF483E" w:rsidRPr="00CE62DF" w:rsidRDefault="00CF483E" w:rsidP="00507E3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CE62DF">
              <w:rPr>
                <w:rFonts w:asciiTheme="minorHAnsi" w:hAnsiTheme="minorHAnsi" w:cstheme="minorHAnsi"/>
                <w:caps/>
                <w:sz w:val="18"/>
                <w:szCs w:val="18"/>
              </w:rPr>
              <w:t>Wallanthery</w:t>
            </w:r>
            <w:r>
              <w:rPr>
                <w:rFonts w:asciiTheme="minorHAnsi" w:hAnsiTheme="minorHAnsi" w:cstheme="minorHAnsi"/>
                <w:caps/>
                <w:sz w:val="18"/>
                <w:szCs w:val="18"/>
              </w:rPr>
              <w:t xml:space="preserve"> (WAL)</w:t>
            </w:r>
          </w:p>
        </w:tc>
        <w:tc>
          <w:tcPr>
            <w:tcW w:w="1474" w:type="dxa"/>
            <w:tcBorders>
              <w:left w:val="single" w:sz="4" w:space="0" w:color="FFFFFF" w:themeColor="background1"/>
              <w:bottom w:val="single" w:sz="4" w:space="0" w:color="FFFFFF" w:themeColor="background1"/>
              <w:right w:val="single" w:sz="4" w:space="0" w:color="FFFFFF" w:themeColor="background1"/>
            </w:tcBorders>
            <w:shd w:val="clear" w:color="auto" w:fill="9BBB59"/>
            <w:noWrap/>
            <w:vAlign w:val="center"/>
            <w:hideMark/>
          </w:tcPr>
          <w:p w14:paraId="305E2E72" w14:textId="77777777" w:rsidR="00CF483E" w:rsidRPr="00CE62DF" w:rsidRDefault="00CF483E" w:rsidP="00507E3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CE62DF">
              <w:rPr>
                <w:rFonts w:asciiTheme="minorHAnsi" w:hAnsiTheme="minorHAnsi" w:cstheme="minorHAnsi"/>
                <w:caps/>
                <w:sz w:val="18"/>
                <w:szCs w:val="18"/>
              </w:rPr>
              <w:t>Whealbah</w:t>
            </w:r>
            <w:r>
              <w:rPr>
                <w:rFonts w:asciiTheme="minorHAnsi" w:hAnsiTheme="minorHAnsi" w:cstheme="minorHAnsi"/>
                <w:caps/>
                <w:sz w:val="18"/>
                <w:szCs w:val="18"/>
              </w:rPr>
              <w:t xml:space="preserve"> (WB)</w:t>
            </w:r>
          </w:p>
        </w:tc>
        <w:tc>
          <w:tcPr>
            <w:tcW w:w="1475" w:type="dxa"/>
            <w:tcBorders>
              <w:left w:val="single" w:sz="4" w:space="0" w:color="FFFFFF" w:themeColor="background1"/>
              <w:bottom w:val="single" w:sz="4" w:space="0" w:color="FFFFFF" w:themeColor="background1"/>
            </w:tcBorders>
            <w:shd w:val="clear" w:color="auto" w:fill="9BBB59"/>
            <w:vAlign w:val="center"/>
          </w:tcPr>
          <w:p w14:paraId="2828A8DA" w14:textId="77777777" w:rsidR="00CF483E" w:rsidRPr="00CE62DF" w:rsidRDefault="00CF483E" w:rsidP="00507E3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CE62DF">
              <w:rPr>
                <w:rFonts w:asciiTheme="minorHAnsi" w:hAnsiTheme="minorHAnsi" w:cstheme="minorHAnsi"/>
                <w:caps/>
                <w:sz w:val="18"/>
                <w:szCs w:val="18"/>
              </w:rPr>
              <w:t>Average</w:t>
            </w:r>
          </w:p>
        </w:tc>
      </w:tr>
      <w:tr w:rsidR="00CF483E" w:rsidRPr="00507E37" w14:paraId="62C8C179"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C2D69B"/>
            <w:noWrap/>
            <w:vAlign w:val="center"/>
            <w:hideMark/>
          </w:tcPr>
          <w:p w14:paraId="1D7224AA" w14:textId="77777777" w:rsidR="00CF483E" w:rsidRPr="00507E37" w:rsidRDefault="00CF483E" w:rsidP="00507E37">
            <w:pPr>
              <w:spacing w:before="0" w:after="0"/>
              <w:rPr>
                <w:rFonts w:asciiTheme="minorHAnsi" w:hAnsiTheme="minorHAnsi" w:cstheme="minorHAnsi"/>
                <w:caps/>
                <w:sz w:val="18"/>
                <w:szCs w:val="18"/>
              </w:rPr>
            </w:pPr>
          </w:p>
        </w:tc>
        <w:tc>
          <w:tcPr>
            <w:tcW w:w="7371" w:type="dxa"/>
            <w:gridSpan w:val="5"/>
            <w:tcBorders>
              <w:bottom w:val="single" w:sz="4" w:space="0" w:color="FFFFFF" w:themeColor="background1"/>
            </w:tcBorders>
            <w:shd w:val="clear" w:color="auto" w:fill="C2D69B"/>
            <w:noWrap/>
            <w:vAlign w:val="center"/>
            <w:hideMark/>
          </w:tcPr>
          <w:p w14:paraId="3EF5479A" w14:textId="77777777" w:rsidR="00CF483E" w:rsidRPr="00507E37"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07E37">
              <w:rPr>
                <w:rFonts w:asciiTheme="minorHAnsi" w:hAnsiTheme="minorHAnsi" w:cstheme="minorHAnsi"/>
                <w:b/>
                <w:bCs/>
                <w:sz w:val="18"/>
                <w:szCs w:val="18"/>
              </w:rPr>
              <w:t>Gross primary production (GPP)</w:t>
            </w:r>
          </w:p>
        </w:tc>
      </w:tr>
      <w:tr w:rsidR="00CF483E" w:rsidRPr="00801268" w14:paraId="7E07B7F8"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4AB339B0"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2014-15</w:t>
            </w:r>
          </w:p>
        </w:tc>
        <w:tc>
          <w:tcPr>
            <w:tcW w:w="1474" w:type="dxa"/>
            <w:shd w:val="clear" w:color="auto" w:fill="EBF1DE"/>
            <w:noWrap/>
            <w:vAlign w:val="bottom"/>
            <w:hideMark/>
          </w:tcPr>
          <w:p w14:paraId="58B9030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1.8</w:t>
            </w:r>
          </w:p>
        </w:tc>
        <w:tc>
          <w:tcPr>
            <w:tcW w:w="1474" w:type="dxa"/>
            <w:shd w:val="clear" w:color="auto" w:fill="EBF1DE"/>
            <w:noWrap/>
            <w:vAlign w:val="bottom"/>
            <w:hideMark/>
          </w:tcPr>
          <w:p w14:paraId="4CB5370C"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1.4</w:t>
            </w:r>
          </w:p>
        </w:tc>
        <w:tc>
          <w:tcPr>
            <w:tcW w:w="1474" w:type="dxa"/>
            <w:shd w:val="clear" w:color="auto" w:fill="EBF1DE"/>
            <w:noWrap/>
            <w:vAlign w:val="bottom"/>
            <w:hideMark/>
          </w:tcPr>
          <w:p w14:paraId="5F0DA099"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28D6F43C"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2.4</w:t>
            </w:r>
          </w:p>
        </w:tc>
        <w:tc>
          <w:tcPr>
            <w:tcW w:w="1475" w:type="dxa"/>
            <w:shd w:val="clear" w:color="auto" w:fill="EBF1DE"/>
            <w:vAlign w:val="bottom"/>
          </w:tcPr>
          <w:p w14:paraId="596475CA"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1.4</w:t>
            </w:r>
          </w:p>
        </w:tc>
      </w:tr>
      <w:tr w:rsidR="00CF483E" w:rsidRPr="00801268" w14:paraId="03514C9E"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0929B363"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2015-16</w:t>
            </w:r>
          </w:p>
        </w:tc>
        <w:tc>
          <w:tcPr>
            <w:tcW w:w="1474" w:type="dxa"/>
            <w:shd w:val="clear" w:color="auto" w:fill="EBF1DE"/>
            <w:noWrap/>
            <w:vAlign w:val="bottom"/>
            <w:hideMark/>
          </w:tcPr>
          <w:p w14:paraId="1FD38E0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1.9</w:t>
            </w:r>
          </w:p>
        </w:tc>
        <w:tc>
          <w:tcPr>
            <w:tcW w:w="1474" w:type="dxa"/>
            <w:shd w:val="clear" w:color="auto" w:fill="EBF1DE"/>
            <w:noWrap/>
            <w:vAlign w:val="bottom"/>
            <w:hideMark/>
          </w:tcPr>
          <w:p w14:paraId="11FD14DD"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1.6</w:t>
            </w:r>
          </w:p>
        </w:tc>
        <w:tc>
          <w:tcPr>
            <w:tcW w:w="1474" w:type="dxa"/>
            <w:shd w:val="clear" w:color="auto" w:fill="EBF1DE"/>
            <w:noWrap/>
            <w:vAlign w:val="bottom"/>
            <w:hideMark/>
          </w:tcPr>
          <w:p w14:paraId="35162619"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3.1</w:t>
            </w:r>
          </w:p>
        </w:tc>
        <w:tc>
          <w:tcPr>
            <w:tcW w:w="1474" w:type="dxa"/>
            <w:shd w:val="clear" w:color="auto" w:fill="EBF1DE"/>
            <w:noWrap/>
            <w:vAlign w:val="bottom"/>
            <w:hideMark/>
          </w:tcPr>
          <w:p w14:paraId="2DC04F52"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2.5</w:t>
            </w:r>
          </w:p>
        </w:tc>
        <w:tc>
          <w:tcPr>
            <w:tcW w:w="1475" w:type="dxa"/>
            <w:shd w:val="clear" w:color="auto" w:fill="EBF1DE"/>
            <w:vAlign w:val="bottom"/>
          </w:tcPr>
          <w:p w14:paraId="45AFC625"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2.3</w:t>
            </w:r>
          </w:p>
        </w:tc>
      </w:tr>
      <w:tr w:rsidR="00CF483E" w:rsidRPr="00801268" w14:paraId="3EBE6270"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60F4EE56"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2016-17</w:t>
            </w:r>
          </w:p>
        </w:tc>
        <w:tc>
          <w:tcPr>
            <w:tcW w:w="1474" w:type="dxa"/>
            <w:shd w:val="clear" w:color="auto" w:fill="EBF1DE"/>
            <w:noWrap/>
            <w:vAlign w:val="bottom"/>
            <w:hideMark/>
          </w:tcPr>
          <w:p w14:paraId="2F684824"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0.8</w:t>
            </w:r>
          </w:p>
        </w:tc>
        <w:tc>
          <w:tcPr>
            <w:tcW w:w="1474" w:type="dxa"/>
            <w:shd w:val="clear" w:color="auto" w:fill="EBF1DE"/>
            <w:noWrap/>
            <w:vAlign w:val="bottom"/>
            <w:hideMark/>
          </w:tcPr>
          <w:p w14:paraId="4EA450F6"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2.9</w:t>
            </w:r>
          </w:p>
        </w:tc>
        <w:tc>
          <w:tcPr>
            <w:tcW w:w="1474" w:type="dxa"/>
            <w:shd w:val="clear" w:color="auto" w:fill="EBF1DE"/>
            <w:noWrap/>
            <w:vAlign w:val="bottom"/>
            <w:hideMark/>
          </w:tcPr>
          <w:p w14:paraId="10C2DCF0"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1EA2A86C"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2.5</w:t>
            </w:r>
          </w:p>
        </w:tc>
        <w:tc>
          <w:tcPr>
            <w:tcW w:w="1475" w:type="dxa"/>
            <w:shd w:val="clear" w:color="auto" w:fill="EBF1DE"/>
            <w:vAlign w:val="bottom"/>
          </w:tcPr>
          <w:p w14:paraId="61240AC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2.1</w:t>
            </w:r>
          </w:p>
        </w:tc>
      </w:tr>
      <w:tr w:rsidR="00CF483E" w:rsidRPr="00801268" w14:paraId="3244023A"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28D33CFA"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2017-18</w:t>
            </w:r>
          </w:p>
        </w:tc>
        <w:tc>
          <w:tcPr>
            <w:tcW w:w="1474" w:type="dxa"/>
            <w:shd w:val="clear" w:color="auto" w:fill="EBF1DE"/>
            <w:noWrap/>
            <w:vAlign w:val="bottom"/>
            <w:hideMark/>
          </w:tcPr>
          <w:p w14:paraId="4AD717F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4.0</w:t>
            </w:r>
          </w:p>
        </w:tc>
        <w:tc>
          <w:tcPr>
            <w:tcW w:w="1474" w:type="dxa"/>
            <w:shd w:val="clear" w:color="auto" w:fill="EBF1DE"/>
            <w:noWrap/>
            <w:vAlign w:val="bottom"/>
            <w:hideMark/>
          </w:tcPr>
          <w:p w14:paraId="38BE3937"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2.6</w:t>
            </w:r>
          </w:p>
        </w:tc>
        <w:tc>
          <w:tcPr>
            <w:tcW w:w="1474" w:type="dxa"/>
            <w:shd w:val="clear" w:color="auto" w:fill="EBF1DE"/>
            <w:noWrap/>
            <w:vAlign w:val="bottom"/>
            <w:hideMark/>
          </w:tcPr>
          <w:p w14:paraId="74A5C37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2.5</w:t>
            </w:r>
          </w:p>
        </w:tc>
        <w:tc>
          <w:tcPr>
            <w:tcW w:w="1474" w:type="dxa"/>
            <w:shd w:val="clear" w:color="auto" w:fill="EBF1DE"/>
            <w:noWrap/>
            <w:vAlign w:val="bottom"/>
            <w:hideMark/>
          </w:tcPr>
          <w:p w14:paraId="16481621"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3.0</w:t>
            </w:r>
          </w:p>
        </w:tc>
        <w:tc>
          <w:tcPr>
            <w:tcW w:w="1475" w:type="dxa"/>
            <w:shd w:val="clear" w:color="auto" w:fill="EBF1DE"/>
            <w:vAlign w:val="bottom"/>
          </w:tcPr>
          <w:p w14:paraId="6685B37F"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3.0</w:t>
            </w:r>
          </w:p>
        </w:tc>
      </w:tr>
      <w:tr w:rsidR="00CF483E" w:rsidRPr="00801268" w14:paraId="2ED89585"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761644E8"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2018-19</w:t>
            </w:r>
          </w:p>
        </w:tc>
        <w:tc>
          <w:tcPr>
            <w:tcW w:w="1474" w:type="dxa"/>
            <w:shd w:val="clear" w:color="auto" w:fill="EBF1DE"/>
            <w:noWrap/>
            <w:vAlign w:val="bottom"/>
            <w:hideMark/>
          </w:tcPr>
          <w:p w14:paraId="4F5E7051"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5.4</w:t>
            </w:r>
          </w:p>
        </w:tc>
        <w:tc>
          <w:tcPr>
            <w:tcW w:w="1474" w:type="dxa"/>
            <w:shd w:val="clear" w:color="auto" w:fill="EBF1DE"/>
            <w:noWrap/>
            <w:vAlign w:val="bottom"/>
            <w:hideMark/>
          </w:tcPr>
          <w:p w14:paraId="7507ACF6"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1.8</w:t>
            </w:r>
          </w:p>
        </w:tc>
        <w:tc>
          <w:tcPr>
            <w:tcW w:w="1474" w:type="dxa"/>
            <w:shd w:val="clear" w:color="auto" w:fill="EBF1DE"/>
            <w:noWrap/>
            <w:vAlign w:val="bottom"/>
            <w:hideMark/>
          </w:tcPr>
          <w:p w14:paraId="42835BE4"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2.4</w:t>
            </w:r>
          </w:p>
        </w:tc>
        <w:tc>
          <w:tcPr>
            <w:tcW w:w="1474" w:type="dxa"/>
            <w:shd w:val="clear" w:color="auto" w:fill="EBF1DE"/>
            <w:noWrap/>
            <w:vAlign w:val="bottom"/>
            <w:hideMark/>
          </w:tcPr>
          <w:p w14:paraId="446923DA"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2.6</w:t>
            </w:r>
          </w:p>
        </w:tc>
        <w:tc>
          <w:tcPr>
            <w:tcW w:w="1475" w:type="dxa"/>
            <w:shd w:val="clear" w:color="auto" w:fill="EBF1DE"/>
            <w:vAlign w:val="bottom"/>
          </w:tcPr>
          <w:p w14:paraId="10913CDD"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3.1</w:t>
            </w:r>
          </w:p>
        </w:tc>
      </w:tr>
      <w:tr w:rsidR="00CF483E" w:rsidRPr="00801268" w14:paraId="6627FDEF"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FFFFFF" w:themeColor="background1"/>
            </w:tcBorders>
            <w:shd w:val="clear" w:color="auto" w:fill="9BBB59"/>
            <w:noWrap/>
            <w:vAlign w:val="center"/>
            <w:hideMark/>
          </w:tcPr>
          <w:p w14:paraId="45ECE1BD" w14:textId="77777777" w:rsidR="00CF483E" w:rsidRPr="00507E37" w:rsidRDefault="00CF483E" w:rsidP="00507E37">
            <w:pPr>
              <w:spacing w:before="0" w:after="0"/>
              <w:jc w:val="right"/>
              <w:rPr>
                <w:rFonts w:asciiTheme="minorHAnsi" w:hAnsiTheme="minorHAnsi" w:cstheme="minorHAnsi"/>
                <w:caps/>
                <w:sz w:val="18"/>
                <w:szCs w:val="18"/>
              </w:rPr>
            </w:pPr>
            <w:r w:rsidRPr="00507E37">
              <w:rPr>
                <w:rFonts w:asciiTheme="minorHAnsi" w:hAnsiTheme="minorHAnsi" w:cstheme="minorHAnsi"/>
                <w:caps/>
                <w:sz w:val="18"/>
                <w:szCs w:val="18"/>
              </w:rPr>
              <w:t>Average</w:t>
            </w:r>
          </w:p>
        </w:tc>
        <w:tc>
          <w:tcPr>
            <w:tcW w:w="1474" w:type="dxa"/>
            <w:tcBorders>
              <w:bottom w:val="single" w:sz="4" w:space="0" w:color="FFFFFF" w:themeColor="background1"/>
            </w:tcBorders>
            <w:shd w:val="clear" w:color="auto" w:fill="EBF1DE"/>
            <w:noWrap/>
            <w:vAlign w:val="bottom"/>
            <w:hideMark/>
          </w:tcPr>
          <w:p w14:paraId="2B9CE202"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2.8</w:t>
            </w:r>
          </w:p>
        </w:tc>
        <w:tc>
          <w:tcPr>
            <w:tcW w:w="1474" w:type="dxa"/>
            <w:tcBorders>
              <w:bottom w:val="single" w:sz="4" w:space="0" w:color="FFFFFF" w:themeColor="background1"/>
            </w:tcBorders>
            <w:shd w:val="clear" w:color="auto" w:fill="EBF1DE"/>
            <w:noWrap/>
            <w:vAlign w:val="bottom"/>
            <w:hideMark/>
          </w:tcPr>
          <w:p w14:paraId="3C97321B"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2.1</w:t>
            </w:r>
          </w:p>
        </w:tc>
        <w:tc>
          <w:tcPr>
            <w:tcW w:w="1474" w:type="dxa"/>
            <w:tcBorders>
              <w:bottom w:val="single" w:sz="4" w:space="0" w:color="FFFFFF" w:themeColor="background1"/>
            </w:tcBorders>
            <w:shd w:val="clear" w:color="auto" w:fill="EBF1DE"/>
            <w:noWrap/>
            <w:vAlign w:val="bottom"/>
            <w:hideMark/>
          </w:tcPr>
          <w:p w14:paraId="0F6A055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c>
          <w:tcPr>
            <w:tcW w:w="1474" w:type="dxa"/>
            <w:tcBorders>
              <w:bottom w:val="single" w:sz="4" w:space="0" w:color="FFFFFF" w:themeColor="background1"/>
            </w:tcBorders>
            <w:shd w:val="clear" w:color="auto" w:fill="EBF1DE"/>
            <w:noWrap/>
            <w:vAlign w:val="bottom"/>
            <w:hideMark/>
          </w:tcPr>
          <w:p w14:paraId="715A76D2"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2.6</w:t>
            </w:r>
          </w:p>
        </w:tc>
        <w:tc>
          <w:tcPr>
            <w:tcW w:w="1475" w:type="dxa"/>
            <w:tcBorders>
              <w:bottom w:val="single" w:sz="4" w:space="0" w:color="FFFFFF" w:themeColor="background1"/>
            </w:tcBorders>
            <w:shd w:val="clear" w:color="auto" w:fill="EBF1DE"/>
            <w:vAlign w:val="bottom"/>
          </w:tcPr>
          <w:p w14:paraId="368D4F4D"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2.4</w:t>
            </w:r>
          </w:p>
        </w:tc>
      </w:tr>
      <w:tr w:rsidR="00CF483E" w:rsidRPr="00507E37" w14:paraId="6D402A57"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C2D69B"/>
            <w:noWrap/>
            <w:vAlign w:val="center"/>
            <w:hideMark/>
          </w:tcPr>
          <w:p w14:paraId="2745A62C" w14:textId="77777777" w:rsidR="00CF483E" w:rsidRPr="00507E37" w:rsidRDefault="00CF483E" w:rsidP="00507E37">
            <w:pPr>
              <w:spacing w:before="0" w:after="0"/>
              <w:rPr>
                <w:rFonts w:asciiTheme="minorHAnsi" w:hAnsiTheme="minorHAnsi" w:cstheme="minorHAnsi"/>
                <w:caps/>
                <w:sz w:val="18"/>
                <w:szCs w:val="18"/>
              </w:rPr>
            </w:pPr>
          </w:p>
        </w:tc>
        <w:tc>
          <w:tcPr>
            <w:tcW w:w="7371" w:type="dxa"/>
            <w:gridSpan w:val="5"/>
            <w:tcBorders>
              <w:bottom w:val="single" w:sz="4" w:space="0" w:color="FFFFFF" w:themeColor="background1"/>
            </w:tcBorders>
            <w:shd w:val="clear" w:color="auto" w:fill="C2D69B"/>
            <w:noWrap/>
            <w:vAlign w:val="center"/>
            <w:hideMark/>
          </w:tcPr>
          <w:p w14:paraId="3604B27D" w14:textId="77777777" w:rsidR="00CF483E" w:rsidRPr="00507E37"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507E37">
              <w:rPr>
                <w:rFonts w:asciiTheme="minorHAnsi" w:hAnsiTheme="minorHAnsi" w:cstheme="minorHAnsi"/>
                <w:b/>
                <w:bCs/>
                <w:sz w:val="18"/>
                <w:szCs w:val="18"/>
              </w:rPr>
              <w:t>Ecosystem respiration (ER)</w:t>
            </w:r>
          </w:p>
        </w:tc>
      </w:tr>
      <w:tr w:rsidR="00CF483E" w:rsidRPr="00801268" w14:paraId="7E0AEB03"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51A55001"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2014-15</w:t>
            </w:r>
          </w:p>
        </w:tc>
        <w:tc>
          <w:tcPr>
            <w:tcW w:w="1474" w:type="dxa"/>
            <w:shd w:val="clear" w:color="auto" w:fill="EBF1DE"/>
            <w:noWrap/>
            <w:vAlign w:val="bottom"/>
            <w:hideMark/>
          </w:tcPr>
          <w:p w14:paraId="4DFB0EB4"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2.2</w:t>
            </w:r>
          </w:p>
        </w:tc>
        <w:tc>
          <w:tcPr>
            <w:tcW w:w="1474" w:type="dxa"/>
            <w:shd w:val="clear" w:color="auto" w:fill="EBF1DE"/>
            <w:noWrap/>
            <w:vAlign w:val="bottom"/>
            <w:hideMark/>
          </w:tcPr>
          <w:p w14:paraId="336FEF26"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2.1</w:t>
            </w:r>
          </w:p>
        </w:tc>
        <w:tc>
          <w:tcPr>
            <w:tcW w:w="1474" w:type="dxa"/>
            <w:shd w:val="clear" w:color="auto" w:fill="EBF1DE"/>
            <w:noWrap/>
            <w:vAlign w:val="bottom"/>
            <w:hideMark/>
          </w:tcPr>
          <w:p w14:paraId="683663E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09A2E89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2.8</w:t>
            </w:r>
          </w:p>
        </w:tc>
        <w:tc>
          <w:tcPr>
            <w:tcW w:w="1475" w:type="dxa"/>
            <w:shd w:val="clear" w:color="auto" w:fill="EBF1DE"/>
            <w:vAlign w:val="bottom"/>
          </w:tcPr>
          <w:p w14:paraId="49C0A1C5"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1.8</w:t>
            </w:r>
          </w:p>
        </w:tc>
      </w:tr>
      <w:tr w:rsidR="00CF483E" w:rsidRPr="00801268" w14:paraId="5C2F54D9"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03E6DA3D"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2015-16</w:t>
            </w:r>
          </w:p>
        </w:tc>
        <w:tc>
          <w:tcPr>
            <w:tcW w:w="1474" w:type="dxa"/>
            <w:shd w:val="clear" w:color="auto" w:fill="EBF1DE"/>
            <w:noWrap/>
            <w:vAlign w:val="bottom"/>
            <w:hideMark/>
          </w:tcPr>
          <w:p w14:paraId="4A4F0B49"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4.6</w:t>
            </w:r>
          </w:p>
        </w:tc>
        <w:tc>
          <w:tcPr>
            <w:tcW w:w="1474" w:type="dxa"/>
            <w:shd w:val="clear" w:color="auto" w:fill="EBF1DE"/>
            <w:noWrap/>
            <w:vAlign w:val="bottom"/>
            <w:hideMark/>
          </w:tcPr>
          <w:p w14:paraId="5570C10A"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3.9</w:t>
            </w:r>
          </w:p>
        </w:tc>
        <w:tc>
          <w:tcPr>
            <w:tcW w:w="1474" w:type="dxa"/>
            <w:shd w:val="clear" w:color="auto" w:fill="EBF1DE"/>
            <w:noWrap/>
            <w:vAlign w:val="bottom"/>
            <w:hideMark/>
          </w:tcPr>
          <w:p w14:paraId="61AA8E7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4.0</w:t>
            </w:r>
          </w:p>
        </w:tc>
        <w:tc>
          <w:tcPr>
            <w:tcW w:w="1474" w:type="dxa"/>
            <w:shd w:val="clear" w:color="auto" w:fill="EBF1DE"/>
            <w:noWrap/>
            <w:vAlign w:val="bottom"/>
            <w:hideMark/>
          </w:tcPr>
          <w:p w14:paraId="6727A83E"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4.6</w:t>
            </w:r>
          </w:p>
        </w:tc>
        <w:tc>
          <w:tcPr>
            <w:tcW w:w="1475" w:type="dxa"/>
            <w:shd w:val="clear" w:color="auto" w:fill="EBF1DE"/>
            <w:vAlign w:val="bottom"/>
          </w:tcPr>
          <w:p w14:paraId="776E43E3"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4.3</w:t>
            </w:r>
          </w:p>
        </w:tc>
      </w:tr>
      <w:tr w:rsidR="00CF483E" w:rsidRPr="00801268" w14:paraId="1109FF95"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1ED6EC90"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2016-17</w:t>
            </w:r>
          </w:p>
        </w:tc>
        <w:tc>
          <w:tcPr>
            <w:tcW w:w="1474" w:type="dxa"/>
            <w:shd w:val="clear" w:color="auto" w:fill="EBF1DE"/>
            <w:noWrap/>
            <w:vAlign w:val="bottom"/>
            <w:hideMark/>
          </w:tcPr>
          <w:p w14:paraId="363E2116"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c>
          <w:tcPr>
            <w:tcW w:w="1474" w:type="dxa"/>
            <w:shd w:val="clear" w:color="auto" w:fill="EBF1DE"/>
            <w:noWrap/>
            <w:vAlign w:val="bottom"/>
            <w:hideMark/>
          </w:tcPr>
          <w:p w14:paraId="08881B7E"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6.1</w:t>
            </w:r>
          </w:p>
        </w:tc>
        <w:tc>
          <w:tcPr>
            <w:tcW w:w="1474" w:type="dxa"/>
            <w:shd w:val="clear" w:color="auto" w:fill="EBF1DE"/>
            <w:noWrap/>
            <w:vAlign w:val="bottom"/>
            <w:hideMark/>
          </w:tcPr>
          <w:p w14:paraId="689363B9"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79659DD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4.1</w:t>
            </w:r>
          </w:p>
        </w:tc>
        <w:tc>
          <w:tcPr>
            <w:tcW w:w="1475" w:type="dxa"/>
            <w:shd w:val="clear" w:color="auto" w:fill="EBF1DE"/>
            <w:vAlign w:val="bottom"/>
          </w:tcPr>
          <w:p w14:paraId="4A649DE4"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4.1</w:t>
            </w:r>
          </w:p>
        </w:tc>
      </w:tr>
      <w:tr w:rsidR="00CF483E" w:rsidRPr="00801268" w14:paraId="72F813E3"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479EC31B"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2017-18</w:t>
            </w:r>
          </w:p>
        </w:tc>
        <w:tc>
          <w:tcPr>
            <w:tcW w:w="1474" w:type="dxa"/>
            <w:shd w:val="clear" w:color="auto" w:fill="EBF1DE"/>
            <w:noWrap/>
            <w:vAlign w:val="bottom"/>
            <w:hideMark/>
          </w:tcPr>
          <w:p w14:paraId="30AFC3B1"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3.2</w:t>
            </w:r>
          </w:p>
        </w:tc>
        <w:tc>
          <w:tcPr>
            <w:tcW w:w="1474" w:type="dxa"/>
            <w:shd w:val="clear" w:color="auto" w:fill="EBF1DE"/>
            <w:noWrap/>
            <w:vAlign w:val="bottom"/>
            <w:hideMark/>
          </w:tcPr>
          <w:p w14:paraId="61F331D1"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4.7</w:t>
            </w:r>
          </w:p>
        </w:tc>
        <w:tc>
          <w:tcPr>
            <w:tcW w:w="1474" w:type="dxa"/>
            <w:shd w:val="clear" w:color="auto" w:fill="EBF1DE"/>
            <w:noWrap/>
            <w:vAlign w:val="bottom"/>
            <w:hideMark/>
          </w:tcPr>
          <w:p w14:paraId="49CB1AEF"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7.8</w:t>
            </w:r>
          </w:p>
        </w:tc>
        <w:tc>
          <w:tcPr>
            <w:tcW w:w="1474" w:type="dxa"/>
            <w:shd w:val="clear" w:color="auto" w:fill="EBF1DE"/>
            <w:noWrap/>
            <w:vAlign w:val="bottom"/>
            <w:hideMark/>
          </w:tcPr>
          <w:p w14:paraId="0FD50DE8"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4.7</w:t>
            </w:r>
          </w:p>
        </w:tc>
        <w:tc>
          <w:tcPr>
            <w:tcW w:w="1475" w:type="dxa"/>
            <w:shd w:val="clear" w:color="auto" w:fill="EBF1DE"/>
            <w:vAlign w:val="bottom"/>
          </w:tcPr>
          <w:p w14:paraId="7B8330E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5.1</w:t>
            </w:r>
          </w:p>
        </w:tc>
      </w:tr>
      <w:tr w:rsidR="00CF483E" w:rsidRPr="00801268" w14:paraId="258B76B3"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321FE2FA"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2018-19</w:t>
            </w:r>
          </w:p>
        </w:tc>
        <w:tc>
          <w:tcPr>
            <w:tcW w:w="1474" w:type="dxa"/>
            <w:shd w:val="clear" w:color="auto" w:fill="EBF1DE"/>
            <w:noWrap/>
            <w:vAlign w:val="bottom"/>
            <w:hideMark/>
          </w:tcPr>
          <w:p w14:paraId="0C535FE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2.6</w:t>
            </w:r>
          </w:p>
        </w:tc>
        <w:tc>
          <w:tcPr>
            <w:tcW w:w="1474" w:type="dxa"/>
            <w:shd w:val="clear" w:color="auto" w:fill="EBF1DE"/>
            <w:noWrap/>
            <w:vAlign w:val="bottom"/>
            <w:hideMark/>
          </w:tcPr>
          <w:p w14:paraId="7591B9B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3.9</w:t>
            </w:r>
          </w:p>
        </w:tc>
        <w:tc>
          <w:tcPr>
            <w:tcW w:w="1474" w:type="dxa"/>
            <w:shd w:val="clear" w:color="auto" w:fill="EBF1DE"/>
            <w:noWrap/>
            <w:vAlign w:val="bottom"/>
            <w:hideMark/>
          </w:tcPr>
          <w:p w14:paraId="728D804F"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4.8</w:t>
            </w:r>
          </w:p>
        </w:tc>
        <w:tc>
          <w:tcPr>
            <w:tcW w:w="1474" w:type="dxa"/>
            <w:shd w:val="clear" w:color="auto" w:fill="EBF1DE"/>
            <w:noWrap/>
            <w:vAlign w:val="bottom"/>
            <w:hideMark/>
          </w:tcPr>
          <w:p w14:paraId="39803BC7"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5.8</w:t>
            </w:r>
          </w:p>
        </w:tc>
        <w:tc>
          <w:tcPr>
            <w:tcW w:w="1475" w:type="dxa"/>
            <w:shd w:val="clear" w:color="auto" w:fill="EBF1DE"/>
            <w:vAlign w:val="bottom"/>
          </w:tcPr>
          <w:p w14:paraId="07821C7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4.3</w:t>
            </w:r>
          </w:p>
        </w:tc>
      </w:tr>
      <w:tr w:rsidR="00CF483E" w:rsidRPr="00801268" w14:paraId="3E5E5BE8"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FFFFFF" w:themeColor="background1"/>
            </w:tcBorders>
            <w:shd w:val="clear" w:color="auto" w:fill="9BBB59"/>
            <w:noWrap/>
            <w:vAlign w:val="center"/>
            <w:hideMark/>
          </w:tcPr>
          <w:p w14:paraId="72556699" w14:textId="77777777" w:rsidR="00CF483E" w:rsidRPr="00507E37" w:rsidRDefault="00CF483E" w:rsidP="00507E37">
            <w:pPr>
              <w:spacing w:before="0" w:after="0"/>
              <w:jc w:val="right"/>
              <w:rPr>
                <w:rFonts w:asciiTheme="minorHAnsi" w:hAnsiTheme="minorHAnsi" w:cstheme="minorHAnsi"/>
                <w:caps/>
                <w:sz w:val="18"/>
                <w:szCs w:val="18"/>
              </w:rPr>
            </w:pPr>
            <w:r w:rsidRPr="00507E37">
              <w:rPr>
                <w:rFonts w:asciiTheme="minorHAnsi" w:hAnsiTheme="minorHAnsi" w:cstheme="minorHAnsi"/>
                <w:caps/>
                <w:sz w:val="18"/>
                <w:szCs w:val="18"/>
              </w:rPr>
              <w:t>Average</w:t>
            </w:r>
          </w:p>
        </w:tc>
        <w:tc>
          <w:tcPr>
            <w:tcW w:w="1474" w:type="dxa"/>
            <w:tcBorders>
              <w:bottom w:val="single" w:sz="4" w:space="0" w:color="FFFFFF" w:themeColor="background1"/>
            </w:tcBorders>
            <w:shd w:val="clear" w:color="auto" w:fill="EBF1DE"/>
            <w:noWrap/>
            <w:vAlign w:val="bottom"/>
            <w:hideMark/>
          </w:tcPr>
          <w:p w14:paraId="514DF6EA"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2.9</w:t>
            </w:r>
          </w:p>
        </w:tc>
        <w:tc>
          <w:tcPr>
            <w:tcW w:w="1474" w:type="dxa"/>
            <w:tcBorders>
              <w:bottom w:val="single" w:sz="4" w:space="0" w:color="FFFFFF" w:themeColor="background1"/>
            </w:tcBorders>
            <w:shd w:val="clear" w:color="auto" w:fill="EBF1DE"/>
            <w:noWrap/>
            <w:vAlign w:val="bottom"/>
            <w:hideMark/>
          </w:tcPr>
          <w:p w14:paraId="37064840"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4.1</w:t>
            </w:r>
          </w:p>
        </w:tc>
        <w:tc>
          <w:tcPr>
            <w:tcW w:w="1474" w:type="dxa"/>
            <w:tcBorders>
              <w:bottom w:val="single" w:sz="4" w:space="0" w:color="FFFFFF" w:themeColor="background1"/>
            </w:tcBorders>
            <w:shd w:val="clear" w:color="auto" w:fill="EBF1DE"/>
            <w:noWrap/>
            <w:vAlign w:val="bottom"/>
            <w:hideMark/>
          </w:tcPr>
          <w:p w14:paraId="070E7F8B"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4.1</w:t>
            </w:r>
          </w:p>
        </w:tc>
        <w:tc>
          <w:tcPr>
            <w:tcW w:w="1474" w:type="dxa"/>
            <w:tcBorders>
              <w:bottom w:val="single" w:sz="4" w:space="0" w:color="FFFFFF" w:themeColor="background1"/>
            </w:tcBorders>
            <w:shd w:val="clear" w:color="auto" w:fill="EBF1DE"/>
            <w:noWrap/>
            <w:vAlign w:val="bottom"/>
            <w:hideMark/>
          </w:tcPr>
          <w:p w14:paraId="523FA520"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4.4</w:t>
            </w:r>
          </w:p>
        </w:tc>
        <w:tc>
          <w:tcPr>
            <w:tcW w:w="1475" w:type="dxa"/>
            <w:tcBorders>
              <w:bottom w:val="single" w:sz="4" w:space="0" w:color="FFFFFF" w:themeColor="background1"/>
            </w:tcBorders>
            <w:shd w:val="clear" w:color="auto" w:fill="EBF1DE"/>
            <w:vAlign w:val="bottom"/>
          </w:tcPr>
          <w:p w14:paraId="6EAEAE3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3.9</w:t>
            </w:r>
          </w:p>
        </w:tc>
      </w:tr>
      <w:tr w:rsidR="00CF483E" w:rsidRPr="00507E37" w14:paraId="113820B7"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C2D69B"/>
            <w:noWrap/>
            <w:vAlign w:val="center"/>
            <w:hideMark/>
          </w:tcPr>
          <w:p w14:paraId="44F8AAB9" w14:textId="77777777" w:rsidR="00CF483E" w:rsidRPr="00507E37" w:rsidRDefault="00CF483E" w:rsidP="00507E37">
            <w:pPr>
              <w:spacing w:before="0" w:after="0"/>
              <w:rPr>
                <w:rFonts w:asciiTheme="minorHAnsi" w:hAnsiTheme="minorHAnsi" w:cstheme="minorHAnsi"/>
                <w:caps/>
                <w:sz w:val="18"/>
                <w:szCs w:val="18"/>
              </w:rPr>
            </w:pPr>
          </w:p>
        </w:tc>
        <w:tc>
          <w:tcPr>
            <w:tcW w:w="7371" w:type="dxa"/>
            <w:gridSpan w:val="5"/>
            <w:tcBorders>
              <w:bottom w:val="single" w:sz="4" w:space="0" w:color="FFFFFF" w:themeColor="background1"/>
            </w:tcBorders>
            <w:shd w:val="clear" w:color="auto" w:fill="C2D69B"/>
            <w:noWrap/>
            <w:vAlign w:val="center"/>
            <w:hideMark/>
          </w:tcPr>
          <w:p w14:paraId="12BA5413" w14:textId="77777777" w:rsidR="00CF483E" w:rsidRPr="00507E37"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07E37">
              <w:rPr>
                <w:rFonts w:asciiTheme="minorHAnsi" w:hAnsiTheme="minorHAnsi" w:cstheme="minorHAnsi"/>
                <w:b/>
                <w:bCs/>
                <w:sz w:val="18"/>
                <w:szCs w:val="18"/>
              </w:rPr>
              <w:t>GPP/ER ratio</w:t>
            </w:r>
          </w:p>
        </w:tc>
      </w:tr>
      <w:tr w:rsidR="00CF483E" w:rsidRPr="00801268" w14:paraId="3570B59A"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314BCEB8"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2014-15</w:t>
            </w:r>
          </w:p>
        </w:tc>
        <w:tc>
          <w:tcPr>
            <w:tcW w:w="1474" w:type="dxa"/>
            <w:shd w:val="clear" w:color="auto" w:fill="EBF1DE"/>
            <w:noWrap/>
            <w:vAlign w:val="bottom"/>
            <w:hideMark/>
          </w:tcPr>
          <w:p w14:paraId="44463233"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1.0</w:t>
            </w:r>
          </w:p>
        </w:tc>
        <w:tc>
          <w:tcPr>
            <w:tcW w:w="1474" w:type="dxa"/>
            <w:shd w:val="clear" w:color="auto" w:fill="EBF1DE"/>
            <w:noWrap/>
            <w:vAlign w:val="bottom"/>
            <w:hideMark/>
          </w:tcPr>
          <w:p w14:paraId="5400A1B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0.7</w:t>
            </w:r>
          </w:p>
        </w:tc>
        <w:tc>
          <w:tcPr>
            <w:tcW w:w="1474" w:type="dxa"/>
            <w:shd w:val="clear" w:color="auto" w:fill="EBF1DE"/>
            <w:noWrap/>
            <w:vAlign w:val="bottom"/>
            <w:hideMark/>
          </w:tcPr>
          <w:p w14:paraId="37481B55"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644D5468"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0.9</w:t>
            </w:r>
          </w:p>
        </w:tc>
        <w:tc>
          <w:tcPr>
            <w:tcW w:w="1475" w:type="dxa"/>
            <w:shd w:val="clear" w:color="auto" w:fill="EBF1DE"/>
            <w:vAlign w:val="bottom"/>
          </w:tcPr>
          <w:p w14:paraId="05AC1365"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r>
      <w:tr w:rsidR="00CF483E" w:rsidRPr="00801268" w14:paraId="652D0DE7"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3FF3995B"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2015-16</w:t>
            </w:r>
          </w:p>
        </w:tc>
        <w:tc>
          <w:tcPr>
            <w:tcW w:w="1474" w:type="dxa"/>
            <w:shd w:val="clear" w:color="auto" w:fill="EBF1DE"/>
            <w:noWrap/>
            <w:vAlign w:val="bottom"/>
            <w:hideMark/>
          </w:tcPr>
          <w:p w14:paraId="7F4F0BAD"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0.5</w:t>
            </w:r>
          </w:p>
        </w:tc>
        <w:tc>
          <w:tcPr>
            <w:tcW w:w="1474" w:type="dxa"/>
            <w:shd w:val="clear" w:color="auto" w:fill="EBF1DE"/>
            <w:noWrap/>
            <w:vAlign w:val="bottom"/>
            <w:hideMark/>
          </w:tcPr>
          <w:p w14:paraId="167FE0F7"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0.4</w:t>
            </w:r>
          </w:p>
        </w:tc>
        <w:tc>
          <w:tcPr>
            <w:tcW w:w="1474" w:type="dxa"/>
            <w:shd w:val="clear" w:color="auto" w:fill="EBF1DE"/>
            <w:noWrap/>
            <w:vAlign w:val="bottom"/>
            <w:hideMark/>
          </w:tcPr>
          <w:p w14:paraId="42E6139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0.8</w:t>
            </w:r>
          </w:p>
        </w:tc>
        <w:tc>
          <w:tcPr>
            <w:tcW w:w="1474" w:type="dxa"/>
            <w:shd w:val="clear" w:color="auto" w:fill="EBF1DE"/>
            <w:noWrap/>
            <w:vAlign w:val="bottom"/>
            <w:hideMark/>
          </w:tcPr>
          <w:p w14:paraId="0F8B242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c>
          <w:tcPr>
            <w:tcW w:w="1475" w:type="dxa"/>
            <w:shd w:val="clear" w:color="auto" w:fill="EBF1DE"/>
            <w:vAlign w:val="bottom"/>
          </w:tcPr>
          <w:p w14:paraId="67F60BB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r>
      <w:tr w:rsidR="00CF483E" w:rsidRPr="00801268" w14:paraId="092DBE7D"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0C7B3242"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2016-17</w:t>
            </w:r>
          </w:p>
        </w:tc>
        <w:tc>
          <w:tcPr>
            <w:tcW w:w="1474" w:type="dxa"/>
            <w:shd w:val="clear" w:color="auto" w:fill="EBF1DE"/>
            <w:noWrap/>
            <w:vAlign w:val="bottom"/>
            <w:hideMark/>
          </w:tcPr>
          <w:p w14:paraId="6D43D18F"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0.5</w:t>
            </w:r>
          </w:p>
        </w:tc>
        <w:tc>
          <w:tcPr>
            <w:tcW w:w="1474" w:type="dxa"/>
            <w:shd w:val="clear" w:color="auto" w:fill="EBF1DE"/>
            <w:noWrap/>
            <w:vAlign w:val="bottom"/>
            <w:hideMark/>
          </w:tcPr>
          <w:p w14:paraId="5DCB550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c>
          <w:tcPr>
            <w:tcW w:w="1474" w:type="dxa"/>
            <w:shd w:val="clear" w:color="auto" w:fill="EBF1DE"/>
            <w:noWrap/>
            <w:vAlign w:val="bottom"/>
            <w:hideMark/>
          </w:tcPr>
          <w:p w14:paraId="5C890385"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0F58DE56"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0.7</w:t>
            </w:r>
          </w:p>
        </w:tc>
        <w:tc>
          <w:tcPr>
            <w:tcW w:w="1475" w:type="dxa"/>
            <w:shd w:val="clear" w:color="auto" w:fill="EBF1DE"/>
            <w:vAlign w:val="bottom"/>
          </w:tcPr>
          <w:p w14:paraId="5F5634A0"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r>
      <w:tr w:rsidR="00CF483E" w:rsidRPr="00801268" w14:paraId="434941FA"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3AF16527"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2017-18</w:t>
            </w:r>
          </w:p>
        </w:tc>
        <w:tc>
          <w:tcPr>
            <w:tcW w:w="1474" w:type="dxa"/>
            <w:shd w:val="clear" w:color="auto" w:fill="EBF1DE"/>
            <w:noWrap/>
            <w:vAlign w:val="bottom"/>
            <w:hideMark/>
          </w:tcPr>
          <w:p w14:paraId="59C2554B"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7.1</w:t>
            </w:r>
          </w:p>
        </w:tc>
        <w:tc>
          <w:tcPr>
            <w:tcW w:w="1474" w:type="dxa"/>
            <w:shd w:val="clear" w:color="auto" w:fill="EBF1DE"/>
            <w:noWrap/>
            <w:vAlign w:val="bottom"/>
            <w:hideMark/>
          </w:tcPr>
          <w:p w14:paraId="0F4F0D11"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c>
          <w:tcPr>
            <w:tcW w:w="1474" w:type="dxa"/>
            <w:shd w:val="clear" w:color="auto" w:fill="EBF1DE"/>
            <w:noWrap/>
            <w:vAlign w:val="bottom"/>
            <w:hideMark/>
          </w:tcPr>
          <w:p w14:paraId="66B5117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0.4</w:t>
            </w:r>
          </w:p>
        </w:tc>
        <w:tc>
          <w:tcPr>
            <w:tcW w:w="1474" w:type="dxa"/>
            <w:shd w:val="clear" w:color="auto" w:fill="EBF1DE"/>
            <w:noWrap/>
            <w:vAlign w:val="bottom"/>
            <w:hideMark/>
          </w:tcPr>
          <w:p w14:paraId="4B6B6588"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0.7</w:t>
            </w:r>
          </w:p>
        </w:tc>
        <w:tc>
          <w:tcPr>
            <w:tcW w:w="1475" w:type="dxa"/>
            <w:shd w:val="clear" w:color="auto" w:fill="EBF1DE"/>
            <w:vAlign w:val="bottom"/>
          </w:tcPr>
          <w:p w14:paraId="7222FCCD"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2.2</w:t>
            </w:r>
          </w:p>
        </w:tc>
      </w:tr>
      <w:tr w:rsidR="00CF483E" w:rsidRPr="00801268" w14:paraId="00C65043"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6C74F73F"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2018-19</w:t>
            </w:r>
          </w:p>
        </w:tc>
        <w:tc>
          <w:tcPr>
            <w:tcW w:w="1474" w:type="dxa"/>
            <w:shd w:val="clear" w:color="auto" w:fill="EBF1DE"/>
            <w:noWrap/>
            <w:vAlign w:val="bottom"/>
            <w:hideMark/>
          </w:tcPr>
          <w:p w14:paraId="5E3E2D83"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5.4</w:t>
            </w:r>
          </w:p>
        </w:tc>
        <w:tc>
          <w:tcPr>
            <w:tcW w:w="1474" w:type="dxa"/>
            <w:shd w:val="clear" w:color="auto" w:fill="EBF1DE"/>
            <w:noWrap/>
            <w:vAlign w:val="bottom"/>
            <w:hideMark/>
          </w:tcPr>
          <w:p w14:paraId="1264DDB9"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0.5</w:t>
            </w:r>
          </w:p>
        </w:tc>
        <w:tc>
          <w:tcPr>
            <w:tcW w:w="1474" w:type="dxa"/>
            <w:shd w:val="clear" w:color="auto" w:fill="EBF1DE"/>
            <w:noWrap/>
            <w:vAlign w:val="bottom"/>
            <w:hideMark/>
          </w:tcPr>
          <w:p w14:paraId="429AC199"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c>
          <w:tcPr>
            <w:tcW w:w="1474" w:type="dxa"/>
            <w:shd w:val="clear" w:color="auto" w:fill="EBF1DE"/>
            <w:noWrap/>
            <w:vAlign w:val="bottom"/>
            <w:hideMark/>
          </w:tcPr>
          <w:p w14:paraId="4601D7AF"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0.5</w:t>
            </w:r>
          </w:p>
        </w:tc>
        <w:tc>
          <w:tcPr>
            <w:tcW w:w="1475" w:type="dxa"/>
            <w:shd w:val="clear" w:color="auto" w:fill="EBF1DE"/>
            <w:vAlign w:val="bottom"/>
          </w:tcPr>
          <w:p w14:paraId="4FBC2AE4"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1.7</w:t>
            </w:r>
          </w:p>
        </w:tc>
      </w:tr>
      <w:tr w:rsidR="00CF483E" w:rsidRPr="00801268" w14:paraId="5079EC0C"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FFFFFF" w:themeColor="background1"/>
            </w:tcBorders>
            <w:shd w:val="clear" w:color="auto" w:fill="9BBB59"/>
            <w:noWrap/>
            <w:vAlign w:val="center"/>
            <w:hideMark/>
          </w:tcPr>
          <w:p w14:paraId="5301CF3D" w14:textId="77777777" w:rsidR="00CF483E" w:rsidRPr="00507E37" w:rsidRDefault="00CF483E" w:rsidP="00507E37">
            <w:pPr>
              <w:spacing w:before="0" w:after="0"/>
              <w:jc w:val="right"/>
              <w:rPr>
                <w:rFonts w:asciiTheme="minorHAnsi" w:hAnsiTheme="minorHAnsi" w:cstheme="minorHAnsi"/>
                <w:caps/>
                <w:sz w:val="18"/>
                <w:szCs w:val="18"/>
              </w:rPr>
            </w:pPr>
            <w:r w:rsidRPr="00507E37">
              <w:rPr>
                <w:rFonts w:asciiTheme="minorHAnsi" w:hAnsiTheme="minorHAnsi" w:cstheme="minorHAnsi"/>
                <w:caps/>
                <w:sz w:val="18"/>
                <w:szCs w:val="18"/>
              </w:rPr>
              <w:t>Average</w:t>
            </w:r>
          </w:p>
        </w:tc>
        <w:tc>
          <w:tcPr>
            <w:tcW w:w="1474" w:type="dxa"/>
            <w:tcBorders>
              <w:bottom w:val="single" w:sz="4" w:space="0" w:color="FFFFFF" w:themeColor="background1"/>
            </w:tcBorders>
            <w:shd w:val="clear" w:color="auto" w:fill="EBF1DE"/>
            <w:noWrap/>
            <w:vAlign w:val="bottom"/>
            <w:hideMark/>
          </w:tcPr>
          <w:p w14:paraId="07783A25"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2.9</w:t>
            </w:r>
          </w:p>
        </w:tc>
        <w:tc>
          <w:tcPr>
            <w:tcW w:w="1474" w:type="dxa"/>
            <w:tcBorders>
              <w:bottom w:val="single" w:sz="4" w:space="0" w:color="FFFFFF" w:themeColor="background1"/>
            </w:tcBorders>
            <w:shd w:val="clear" w:color="auto" w:fill="EBF1DE"/>
            <w:noWrap/>
            <w:vAlign w:val="bottom"/>
            <w:hideMark/>
          </w:tcPr>
          <w:p w14:paraId="2A5B5A5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0.6</w:t>
            </w:r>
          </w:p>
        </w:tc>
        <w:tc>
          <w:tcPr>
            <w:tcW w:w="1474" w:type="dxa"/>
            <w:tcBorders>
              <w:bottom w:val="single" w:sz="4" w:space="0" w:color="FFFFFF" w:themeColor="background1"/>
            </w:tcBorders>
            <w:shd w:val="clear" w:color="auto" w:fill="EBF1DE"/>
            <w:noWrap/>
            <w:vAlign w:val="bottom"/>
            <w:hideMark/>
          </w:tcPr>
          <w:p w14:paraId="0DA648C0"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0.5</w:t>
            </w:r>
          </w:p>
        </w:tc>
        <w:tc>
          <w:tcPr>
            <w:tcW w:w="1474" w:type="dxa"/>
            <w:tcBorders>
              <w:bottom w:val="single" w:sz="4" w:space="0" w:color="FFFFFF" w:themeColor="background1"/>
            </w:tcBorders>
            <w:shd w:val="clear" w:color="auto" w:fill="EBF1DE"/>
            <w:noWrap/>
            <w:vAlign w:val="bottom"/>
            <w:hideMark/>
          </w:tcPr>
          <w:p w14:paraId="3F41B29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0.7</w:t>
            </w:r>
          </w:p>
        </w:tc>
        <w:tc>
          <w:tcPr>
            <w:tcW w:w="1475" w:type="dxa"/>
            <w:tcBorders>
              <w:bottom w:val="single" w:sz="4" w:space="0" w:color="FFFFFF" w:themeColor="background1"/>
            </w:tcBorders>
            <w:shd w:val="clear" w:color="auto" w:fill="EBF1DE"/>
            <w:vAlign w:val="bottom"/>
          </w:tcPr>
          <w:p w14:paraId="566DE1BD"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1.1</w:t>
            </w:r>
          </w:p>
        </w:tc>
      </w:tr>
      <w:tr w:rsidR="00CF483E" w:rsidRPr="00507E37" w14:paraId="0B9D7213"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C2D69B"/>
            <w:noWrap/>
            <w:vAlign w:val="center"/>
            <w:hideMark/>
          </w:tcPr>
          <w:p w14:paraId="706160C6" w14:textId="77777777" w:rsidR="00CF483E" w:rsidRPr="00507E37" w:rsidRDefault="00CF483E" w:rsidP="00507E37">
            <w:pPr>
              <w:spacing w:before="0" w:after="0"/>
              <w:rPr>
                <w:rFonts w:asciiTheme="minorHAnsi" w:hAnsiTheme="minorHAnsi" w:cstheme="minorHAnsi"/>
                <w:caps/>
                <w:sz w:val="18"/>
                <w:szCs w:val="18"/>
              </w:rPr>
            </w:pPr>
          </w:p>
        </w:tc>
        <w:tc>
          <w:tcPr>
            <w:tcW w:w="7371" w:type="dxa"/>
            <w:gridSpan w:val="5"/>
            <w:tcBorders>
              <w:bottom w:val="single" w:sz="4" w:space="0" w:color="FFFFFF" w:themeColor="background1"/>
            </w:tcBorders>
            <w:shd w:val="clear" w:color="auto" w:fill="C2D69B"/>
            <w:noWrap/>
            <w:vAlign w:val="center"/>
            <w:hideMark/>
          </w:tcPr>
          <w:p w14:paraId="62CA72A8" w14:textId="77777777" w:rsidR="00CF483E" w:rsidRPr="00507E37"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507E37">
              <w:rPr>
                <w:rFonts w:asciiTheme="minorHAnsi" w:hAnsiTheme="minorHAnsi" w:cstheme="minorHAnsi"/>
                <w:b/>
                <w:bCs/>
                <w:sz w:val="18"/>
                <w:szCs w:val="18"/>
              </w:rPr>
              <w:t>Reaeration (K)</w:t>
            </w:r>
          </w:p>
        </w:tc>
      </w:tr>
      <w:tr w:rsidR="00CF483E" w:rsidRPr="00801268" w14:paraId="3B2A0F78"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322DEA9E"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2014-15</w:t>
            </w:r>
          </w:p>
        </w:tc>
        <w:tc>
          <w:tcPr>
            <w:tcW w:w="1474" w:type="dxa"/>
            <w:shd w:val="clear" w:color="auto" w:fill="EBF1DE"/>
            <w:noWrap/>
            <w:vAlign w:val="bottom"/>
            <w:hideMark/>
          </w:tcPr>
          <w:p w14:paraId="268E6D37"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c>
          <w:tcPr>
            <w:tcW w:w="1474" w:type="dxa"/>
            <w:shd w:val="clear" w:color="auto" w:fill="EBF1DE"/>
            <w:noWrap/>
            <w:vAlign w:val="bottom"/>
            <w:hideMark/>
          </w:tcPr>
          <w:p w14:paraId="4100AB3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1.0</w:t>
            </w:r>
          </w:p>
        </w:tc>
        <w:tc>
          <w:tcPr>
            <w:tcW w:w="1474" w:type="dxa"/>
            <w:shd w:val="clear" w:color="auto" w:fill="EBF1DE"/>
            <w:noWrap/>
            <w:vAlign w:val="bottom"/>
            <w:hideMark/>
          </w:tcPr>
          <w:p w14:paraId="51B4A3A9"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19F765F6"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1.3</w:t>
            </w:r>
          </w:p>
        </w:tc>
        <w:tc>
          <w:tcPr>
            <w:tcW w:w="1475" w:type="dxa"/>
            <w:shd w:val="clear" w:color="auto" w:fill="EBF1DE"/>
            <w:vAlign w:val="bottom"/>
          </w:tcPr>
          <w:p w14:paraId="430F407F"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1.5</w:t>
            </w:r>
          </w:p>
        </w:tc>
      </w:tr>
      <w:tr w:rsidR="00CF483E" w:rsidRPr="00801268" w14:paraId="4FC144E8"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57A0456F"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2015-16</w:t>
            </w:r>
          </w:p>
        </w:tc>
        <w:tc>
          <w:tcPr>
            <w:tcW w:w="1474" w:type="dxa"/>
            <w:shd w:val="clear" w:color="auto" w:fill="EBF1DE"/>
            <w:noWrap/>
            <w:vAlign w:val="bottom"/>
            <w:hideMark/>
          </w:tcPr>
          <w:p w14:paraId="3A94A12B"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3.0</w:t>
            </w:r>
          </w:p>
        </w:tc>
        <w:tc>
          <w:tcPr>
            <w:tcW w:w="1474" w:type="dxa"/>
            <w:shd w:val="clear" w:color="auto" w:fill="EBF1DE"/>
            <w:noWrap/>
            <w:vAlign w:val="bottom"/>
            <w:hideMark/>
          </w:tcPr>
          <w:p w14:paraId="72F7D366"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c>
          <w:tcPr>
            <w:tcW w:w="1474" w:type="dxa"/>
            <w:shd w:val="clear" w:color="auto" w:fill="EBF1DE"/>
            <w:noWrap/>
            <w:vAlign w:val="bottom"/>
            <w:hideMark/>
          </w:tcPr>
          <w:p w14:paraId="2875D5A9"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2.8</w:t>
            </w:r>
          </w:p>
        </w:tc>
        <w:tc>
          <w:tcPr>
            <w:tcW w:w="1474" w:type="dxa"/>
            <w:shd w:val="clear" w:color="auto" w:fill="EBF1DE"/>
            <w:noWrap/>
            <w:vAlign w:val="bottom"/>
            <w:hideMark/>
          </w:tcPr>
          <w:p w14:paraId="4B92738F"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1.4</w:t>
            </w:r>
          </w:p>
        </w:tc>
        <w:tc>
          <w:tcPr>
            <w:tcW w:w="1475" w:type="dxa"/>
            <w:shd w:val="clear" w:color="auto" w:fill="EBF1DE"/>
            <w:vAlign w:val="bottom"/>
          </w:tcPr>
          <w:p w14:paraId="4C68138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2.3</w:t>
            </w:r>
          </w:p>
        </w:tc>
      </w:tr>
      <w:tr w:rsidR="00CF483E" w:rsidRPr="00801268" w14:paraId="610D0EBA"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447D5A96"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2016-17</w:t>
            </w:r>
          </w:p>
        </w:tc>
        <w:tc>
          <w:tcPr>
            <w:tcW w:w="1474" w:type="dxa"/>
            <w:shd w:val="clear" w:color="auto" w:fill="EBF1DE"/>
            <w:noWrap/>
            <w:vAlign w:val="bottom"/>
            <w:hideMark/>
          </w:tcPr>
          <w:p w14:paraId="18091253"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1.5</w:t>
            </w:r>
          </w:p>
        </w:tc>
        <w:tc>
          <w:tcPr>
            <w:tcW w:w="1474" w:type="dxa"/>
            <w:shd w:val="clear" w:color="auto" w:fill="EBF1DE"/>
            <w:noWrap/>
            <w:vAlign w:val="bottom"/>
            <w:hideMark/>
          </w:tcPr>
          <w:p w14:paraId="2F10A7D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1.9</w:t>
            </w:r>
          </w:p>
        </w:tc>
        <w:tc>
          <w:tcPr>
            <w:tcW w:w="1474" w:type="dxa"/>
            <w:shd w:val="clear" w:color="auto" w:fill="EBF1DE"/>
            <w:noWrap/>
            <w:vAlign w:val="bottom"/>
            <w:hideMark/>
          </w:tcPr>
          <w:p w14:paraId="2D04751F"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474" w:type="dxa"/>
            <w:shd w:val="clear" w:color="auto" w:fill="EBF1DE"/>
            <w:noWrap/>
            <w:vAlign w:val="bottom"/>
            <w:hideMark/>
          </w:tcPr>
          <w:p w14:paraId="1F0DE3B5"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1.3</w:t>
            </w:r>
          </w:p>
        </w:tc>
        <w:tc>
          <w:tcPr>
            <w:tcW w:w="1475" w:type="dxa"/>
            <w:shd w:val="clear" w:color="auto" w:fill="EBF1DE"/>
            <w:vAlign w:val="bottom"/>
          </w:tcPr>
          <w:p w14:paraId="72E54821"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1.5</w:t>
            </w:r>
          </w:p>
        </w:tc>
      </w:tr>
      <w:tr w:rsidR="00CF483E" w:rsidRPr="00801268" w14:paraId="6663997F"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4CFACF69"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2017-18</w:t>
            </w:r>
          </w:p>
        </w:tc>
        <w:tc>
          <w:tcPr>
            <w:tcW w:w="1474" w:type="dxa"/>
            <w:shd w:val="clear" w:color="auto" w:fill="EBF1DE"/>
            <w:noWrap/>
            <w:vAlign w:val="bottom"/>
            <w:hideMark/>
          </w:tcPr>
          <w:p w14:paraId="4CF3C0D1"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1.4</w:t>
            </w:r>
          </w:p>
        </w:tc>
        <w:tc>
          <w:tcPr>
            <w:tcW w:w="1474" w:type="dxa"/>
            <w:shd w:val="clear" w:color="auto" w:fill="EBF1DE"/>
            <w:noWrap/>
            <w:vAlign w:val="bottom"/>
            <w:hideMark/>
          </w:tcPr>
          <w:p w14:paraId="3E38EB51"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1.4</w:t>
            </w:r>
          </w:p>
        </w:tc>
        <w:tc>
          <w:tcPr>
            <w:tcW w:w="1474" w:type="dxa"/>
            <w:shd w:val="clear" w:color="auto" w:fill="EBF1DE"/>
            <w:noWrap/>
            <w:vAlign w:val="bottom"/>
            <w:hideMark/>
          </w:tcPr>
          <w:p w14:paraId="28A850A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4.2</w:t>
            </w:r>
          </w:p>
        </w:tc>
        <w:tc>
          <w:tcPr>
            <w:tcW w:w="1474" w:type="dxa"/>
            <w:shd w:val="clear" w:color="auto" w:fill="EBF1DE"/>
            <w:noWrap/>
            <w:vAlign w:val="bottom"/>
            <w:hideMark/>
          </w:tcPr>
          <w:p w14:paraId="5C2AE26B"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1.1</w:t>
            </w:r>
          </w:p>
        </w:tc>
        <w:tc>
          <w:tcPr>
            <w:tcW w:w="1475" w:type="dxa"/>
            <w:shd w:val="clear" w:color="auto" w:fill="EBF1DE"/>
            <w:vAlign w:val="bottom"/>
          </w:tcPr>
          <w:p w14:paraId="743D1535"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r>
      <w:tr w:rsidR="00CF483E" w:rsidRPr="00801268" w14:paraId="59305EB6" w14:textId="77777777" w:rsidTr="00507E3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16049819" w14:textId="77777777" w:rsidR="00CF483E" w:rsidRPr="00507E37" w:rsidRDefault="00CF483E" w:rsidP="00507E37">
            <w:pPr>
              <w:spacing w:before="0" w:after="0"/>
              <w:rPr>
                <w:rFonts w:asciiTheme="minorHAnsi" w:hAnsiTheme="minorHAnsi" w:cstheme="minorHAnsi"/>
                <w:caps/>
                <w:sz w:val="18"/>
                <w:szCs w:val="18"/>
              </w:rPr>
            </w:pPr>
            <w:r w:rsidRPr="00507E37">
              <w:rPr>
                <w:rFonts w:asciiTheme="minorHAnsi" w:hAnsiTheme="minorHAnsi" w:cstheme="minorHAnsi"/>
                <w:caps/>
                <w:sz w:val="18"/>
                <w:szCs w:val="18"/>
              </w:rPr>
              <w:t>2018-19</w:t>
            </w:r>
          </w:p>
        </w:tc>
        <w:tc>
          <w:tcPr>
            <w:tcW w:w="1474" w:type="dxa"/>
            <w:shd w:val="clear" w:color="auto" w:fill="EBF1DE"/>
            <w:noWrap/>
            <w:vAlign w:val="bottom"/>
            <w:hideMark/>
          </w:tcPr>
          <w:p w14:paraId="494BAD54"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1.7</w:t>
            </w:r>
          </w:p>
        </w:tc>
        <w:tc>
          <w:tcPr>
            <w:tcW w:w="1474" w:type="dxa"/>
            <w:shd w:val="clear" w:color="auto" w:fill="EBF1DE"/>
            <w:noWrap/>
            <w:vAlign w:val="bottom"/>
            <w:hideMark/>
          </w:tcPr>
          <w:p w14:paraId="77455CD5"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1.5</w:t>
            </w:r>
          </w:p>
        </w:tc>
        <w:tc>
          <w:tcPr>
            <w:tcW w:w="1474" w:type="dxa"/>
            <w:shd w:val="clear" w:color="auto" w:fill="EBF1DE"/>
            <w:noWrap/>
            <w:vAlign w:val="bottom"/>
            <w:hideMark/>
          </w:tcPr>
          <w:p w14:paraId="3B07581B"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2.3</w:t>
            </w:r>
          </w:p>
        </w:tc>
        <w:tc>
          <w:tcPr>
            <w:tcW w:w="1474" w:type="dxa"/>
            <w:shd w:val="clear" w:color="auto" w:fill="EBF1DE"/>
            <w:noWrap/>
            <w:vAlign w:val="bottom"/>
            <w:hideMark/>
          </w:tcPr>
          <w:p w14:paraId="23CBE00C"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1.6</w:t>
            </w:r>
          </w:p>
        </w:tc>
        <w:tc>
          <w:tcPr>
            <w:tcW w:w="1475" w:type="dxa"/>
            <w:shd w:val="clear" w:color="auto" w:fill="EBF1DE"/>
            <w:vAlign w:val="bottom"/>
          </w:tcPr>
          <w:p w14:paraId="5F5EF6D6" w14:textId="77777777" w:rsidR="00CF483E" w:rsidRPr="00CE62DF" w:rsidRDefault="00CF483E" w:rsidP="00507E37">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1.8</w:t>
            </w:r>
          </w:p>
        </w:tc>
      </w:tr>
      <w:tr w:rsidR="00CF483E" w:rsidRPr="00801268" w14:paraId="685FAE04" w14:textId="77777777" w:rsidTr="00507E37">
        <w:trPr>
          <w:trHeight w:val="240"/>
        </w:trPr>
        <w:tc>
          <w:tcPr>
            <w:cnfStyle w:val="001000000000" w:firstRow="0" w:lastRow="0" w:firstColumn="1" w:lastColumn="0" w:oddVBand="0" w:evenVBand="0" w:oddHBand="0" w:evenHBand="0" w:firstRowFirstColumn="0" w:firstRowLastColumn="0" w:lastRowFirstColumn="0" w:lastRowLastColumn="0"/>
            <w:tcW w:w="1555" w:type="dxa"/>
            <w:shd w:val="clear" w:color="auto" w:fill="9BBB59"/>
            <w:noWrap/>
            <w:vAlign w:val="center"/>
            <w:hideMark/>
          </w:tcPr>
          <w:p w14:paraId="2FAE4655" w14:textId="77777777" w:rsidR="00CF483E" w:rsidRPr="00507E37" w:rsidRDefault="00CF483E" w:rsidP="00507E37">
            <w:pPr>
              <w:spacing w:before="0" w:after="0"/>
              <w:jc w:val="right"/>
              <w:rPr>
                <w:rFonts w:asciiTheme="minorHAnsi" w:hAnsiTheme="minorHAnsi" w:cstheme="minorHAnsi"/>
                <w:caps/>
                <w:sz w:val="18"/>
                <w:szCs w:val="18"/>
              </w:rPr>
            </w:pPr>
            <w:r w:rsidRPr="00507E37">
              <w:rPr>
                <w:rFonts w:asciiTheme="minorHAnsi" w:hAnsiTheme="minorHAnsi" w:cstheme="minorHAnsi"/>
                <w:caps/>
                <w:sz w:val="18"/>
                <w:szCs w:val="18"/>
              </w:rPr>
              <w:t>Average</w:t>
            </w:r>
          </w:p>
        </w:tc>
        <w:tc>
          <w:tcPr>
            <w:tcW w:w="1474" w:type="dxa"/>
            <w:shd w:val="clear" w:color="auto" w:fill="EBF1DE"/>
            <w:noWrap/>
            <w:vAlign w:val="bottom"/>
            <w:hideMark/>
          </w:tcPr>
          <w:p w14:paraId="4BCCF90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1.9</w:t>
            </w:r>
          </w:p>
        </w:tc>
        <w:tc>
          <w:tcPr>
            <w:tcW w:w="1474" w:type="dxa"/>
            <w:shd w:val="clear" w:color="auto" w:fill="EBF1DE"/>
            <w:noWrap/>
            <w:vAlign w:val="bottom"/>
            <w:hideMark/>
          </w:tcPr>
          <w:p w14:paraId="117A6CB2"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1.6</w:t>
            </w:r>
          </w:p>
        </w:tc>
        <w:tc>
          <w:tcPr>
            <w:tcW w:w="1474" w:type="dxa"/>
            <w:shd w:val="clear" w:color="auto" w:fill="EBF1DE"/>
            <w:noWrap/>
            <w:vAlign w:val="bottom"/>
            <w:hideMark/>
          </w:tcPr>
          <w:p w14:paraId="20A89267"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3.1</w:t>
            </w:r>
          </w:p>
        </w:tc>
        <w:tc>
          <w:tcPr>
            <w:tcW w:w="1474" w:type="dxa"/>
            <w:shd w:val="clear" w:color="auto" w:fill="EBF1DE"/>
            <w:noWrap/>
            <w:vAlign w:val="bottom"/>
            <w:hideMark/>
          </w:tcPr>
          <w:p w14:paraId="7E05338F"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1.3</w:t>
            </w:r>
          </w:p>
        </w:tc>
        <w:tc>
          <w:tcPr>
            <w:tcW w:w="1475" w:type="dxa"/>
            <w:shd w:val="clear" w:color="auto" w:fill="EBF1DE"/>
            <w:vAlign w:val="bottom"/>
          </w:tcPr>
          <w:p w14:paraId="2897F35B" w14:textId="77777777" w:rsidR="00CF483E" w:rsidRPr="00CE62DF" w:rsidRDefault="00CF483E" w:rsidP="00507E37">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cs="Calibri"/>
                <w:color w:val="000000"/>
                <w:sz w:val="18"/>
                <w:szCs w:val="18"/>
              </w:rPr>
              <w:t>2.0</w:t>
            </w:r>
          </w:p>
        </w:tc>
      </w:tr>
    </w:tbl>
    <w:p w14:paraId="5AEF6263" w14:textId="77777777" w:rsidR="00CF483E" w:rsidRDefault="00CF483E" w:rsidP="00CF483E">
      <w:pPr>
        <w:spacing w:before="0" w:after="0"/>
      </w:pPr>
      <w:bookmarkStart w:id="252" w:name="_Hlk20401178"/>
      <w:r>
        <w:rPr>
          <w:noProof/>
          <w:lang w:eastAsia="en-AU"/>
        </w:rPr>
        <mc:AlternateContent>
          <mc:Choice Requires="wpg">
            <w:drawing>
              <wp:anchor distT="0" distB="0" distL="114300" distR="114300" simplePos="0" relativeHeight="251702272" behindDoc="0" locked="0" layoutInCell="1" allowOverlap="1" wp14:anchorId="33598544" wp14:editId="6568DC90">
                <wp:simplePos x="0" y="0"/>
                <wp:positionH relativeFrom="column">
                  <wp:posOffset>762000</wp:posOffset>
                </wp:positionH>
                <wp:positionV relativeFrom="paragraph">
                  <wp:posOffset>161925</wp:posOffset>
                </wp:positionV>
                <wp:extent cx="3543300" cy="6471920"/>
                <wp:effectExtent l="0" t="0" r="0" b="5080"/>
                <wp:wrapNone/>
                <wp:docPr id="232" name="Group 232"/>
                <wp:cNvGraphicFramePr/>
                <a:graphic xmlns:a="http://schemas.openxmlformats.org/drawingml/2006/main">
                  <a:graphicData uri="http://schemas.microsoft.com/office/word/2010/wordprocessingGroup">
                    <wpg:wgp>
                      <wpg:cNvGrpSpPr/>
                      <wpg:grpSpPr>
                        <a:xfrm>
                          <a:off x="0" y="0"/>
                          <a:ext cx="3543300" cy="6471920"/>
                          <a:chOff x="0" y="0"/>
                          <a:chExt cx="3543300" cy="6471920"/>
                        </a:xfrm>
                      </wpg:grpSpPr>
                      <wps:wsp>
                        <wps:cNvPr id="237" name="Rectangle 237"/>
                        <wps:cNvSpPr/>
                        <wps:spPr>
                          <a:xfrm>
                            <a:off x="0" y="0"/>
                            <a:ext cx="45719" cy="6452870"/>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Rectangle 240"/>
                        <wps:cNvSpPr/>
                        <wps:spPr>
                          <a:xfrm>
                            <a:off x="838200" y="9525"/>
                            <a:ext cx="400050" cy="6443662"/>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2152650" y="19050"/>
                            <a:ext cx="235585" cy="6443663"/>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9"/>
                        <wps:cNvSpPr/>
                        <wps:spPr>
                          <a:xfrm>
                            <a:off x="2895600" y="19050"/>
                            <a:ext cx="161925" cy="644334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50"/>
                        <wps:cNvSpPr/>
                        <wps:spPr>
                          <a:xfrm>
                            <a:off x="3486150" y="9525"/>
                            <a:ext cx="57150" cy="6462395"/>
                          </a:xfrm>
                          <a:prstGeom prst="rect">
                            <a:avLst/>
                          </a:prstGeom>
                          <a:solidFill>
                            <a:schemeClr val="accent5">
                              <a:lumMod val="40000"/>
                              <a:lumOff val="60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E3D449" id="Group 232" o:spid="_x0000_s1026" style="position:absolute;margin-left:60pt;margin-top:12.75pt;width:279pt;height:509.6pt;z-index:251702272" coordsize="35433,64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">
                <v:rect id="Rectangle 237" o:spid="_x0000_s1027" style="position:absolute;width:457;height:6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0AwcUA&#10;AADcAAAADwAAAGRycy9kb3ducmV2LnhtbESPwW7CMBBE75X4B2uReisOtCooxCCgqgrHBi7cNvaS&#10;RMTrELuQ/j1GqtTjaGbeaLJlbxtxpc7XjhWMRwkIYu1MzaWCw/7zZQbCB2SDjWNS8EselovBU4ap&#10;cTf+pmseShEh7FNUUIXQplJ6XZFFP3ItcfROrrMYouxKaTq8Rbht5CRJ3qXFmuNChS1tKtLn/Mcq&#10;aHNd7FbT/UZvj+bt67I+lsXHTqnnYb+agwjUh//wX3trFExep/A4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QDBxQAAANwAAAAPAAAAAAAAAAAAAAAAAJgCAABkcnMv&#10;ZG93bnJldi54bWxQSwUGAAAAAAQABAD1AAAAigMAAAAA&#10;" fillcolor="#b6dde8 [1304]" stroked="f" strokeweight="2pt">
                  <v:fill opacity="32896f"/>
                </v:rect>
                <v:rect id="Rectangle 240" o:spid="_x0000_s1028" style="position:absolute;left:8382;top:95;width:4000;height:64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ryMIA&#10;AADcAAAADwAAAGRycy9kb3ducmV2LnhtbERPPW/CMBDdK/U/WFepW+OAEEUpBqWpqsLYhCXbYV+T&#10;iPicxi6k/x4PSIxP73u9nWwvzjT6zrGCWZKCINbOdNwoOFSfLysQPiAb7B2Tgn/ysN08PqwxM+7C&#10;33QuQyNiCPsMFbQhDJmUXrdk0SduII7cjxsthgjHRpoRLzHc9nKepktpsePY0OJARUv6VP5ZBUOp&#10;j/v8tSr0rjaLr9/3ujl+7JV6fpryNxCBpnAX39w7o2C+iPPjmXgE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YuvIwgAAANwAAAAPAAAAAAAAAAAAAAAAAJgCAABkcnMvZG93&#10;bnJldi54bWxQSwUGAAAAAAQABAD1AAAAhwMAAAAA&#10;" fillcolor="#b6dde8 [1304]" stroked="f" strokeweight="2pt">
                  <v:fill opacity="32896f"/>
                </v:rect>
                <v:rect id="Rectangle 244" o:spid="_x0000_s1029" style="position:absolute;left:21526;top:190;width:2356;height:6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nty8QA&#10;AADcAAAADwAAAGRycy9kb3ducmV2LnhtbESPQWvCQBSE7wX/w/IEb3WjhFaiq6hFqsdGL96eu88k&#10;mH0bs1tN/31XEDwOM/MNM1t0thY3an3lWMFomIAg1s5UXCg47DfvExA+IBusHZOCP/KwmPfeZpgZ&#10;d+cfuuWhEBHCPkMFZQhNJqXXJVn0Q9cQR+/sWoshyraQpsV7hNtajpPkQ1qsOC6U2NC6JH3Jf62C&#10;Jten3fJzv9bbo0m/r6tjcfraKTXod8spiEBdeIWf7a1RME5TeJy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Z7cvEAAAA3AAAAA8AAAAAAAAAAAAAAAAAmAIAAGRycy9k&#10;b3ducmV2LnhtbFBLBQYAAAAABAAEAPUAAACJAwAAAAA=&#10;" fillcolor="#b6dde8 [1304]" stroked="f" strokeweight="2pt">
                  <v:fill opacity="32896f"/>
                </v:rect>
                <v:rect id="Rectangle 249" o:spid="_x0000_s1030" style="position:absolute;left:28956;top:190;width:1619;height:64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CVcUA&#10;AADcAAAADwAAAGRycy9kb3ducmV2LnhtbESPwW7CMBBE70j9B2srcQOnCAFNMYiCEHAk6YXbYm+T&#10;qPE6jQ2kf18jIXEczcwbzXzZ2VpcqfWVYwVvwwQEsXam4kLBV74dzED4gGywdkwK/sjDcvHSm2Nq&#10;3I2PdM1CISKEfYoKyhCaVEqvS7Loh64hjt63ay2GKNtCmhZvEW5rOUqSibRYcVwosaF1Sfonu1gF&#10;TabPh9U0X+v9yYx3v5+n4rw5KNV/7VYfIAJ14Rl+tPdGwWj8Dvc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EJVxQAAANwAAAAPAAAAAAAAAAAAAAAAAJgCAABkcnMv&#10;ZG93bnJldi54bWxQSwUGAAAAAAQABAD1AAAAigMAAAAA&#10;" fillcolor="#b6dde8 [1304]" stroked="f" strokeweight="2pt">
                  <v:fill opacity="32896f"/>
                </v:rect>
                <v:rect id="Rectangle 250" o:spid="_x0000_s1031" style="position:absolute;left:34861;top:95;width:572;height:64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t9FcEA&#10;AADcAAAADwAAAGRycy9kb3ducmV2LnhtbERPPW/CMBDdK/EfrENiKw6oFBQwCKiqwkhgYTvsI4mI&#10;zyE2EP49HpA6Pr3v2aK1lbhT40vHCgb9BASxdqbkXMFh//s5AeEDssHKMSl4kofFvPMxw9S4B+/o&#10;noVcxBD2KSooQqhTKb0uyKLvu5o4cmfXWAwRNrk0DT5iuK3kMEm+pcWSY0OBNa0L0pfsZhXUmT5t&#10;l+P9Wm+O5uvvujrmp5+tUr1uu5yCCNSGf/HbvTEKhqM4P56JR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7fRXBAAAA3AAAAA8AAAAAAAAAAAAAAAAAmAIAAGRycy9kb3du&#10;cmV2LnhtbFBLBQYAAAAABAAEAPUAAACGAwAAAAA=&#10;" fillcolor="#b6dde8 [1304]" stroked="f" strokeweight="2pt">
                  <v:fill opacity="32896f"/>
                </v:rect>
              </v:group>
            </w:pict>
          </mc:Fallback>
        </mc:AlternateContent>
      </w:r>
      <w:r>
        <w:rPr>
          <w:noProof/>
          <w:lang w:eastAsia="en-AU"/>
        </w:rPr>
        <mc:AlternateContent>
          <mc:Choice Requires="wps">
            <w:drawing>
              <wp:anchor distT="0" distB="0" distL="114300" distR="114300" simplePos="0" relativeHeight="251698176" behindDoc="0" locked="0" layoutInCell="1" allowOverlap="1" wp14:anchorId="7F320F4A" wp14:editId="02E25E80">
                <wp:simplePos x="0" y="0"/>
                <wp:positionH relativeFrom="column">
                  <wp:posOffset>5286375</wp:posOffset>
                </wp:positionH>
                <wp:positionV relativeFrom="paragraph">
                  <wp:posOffset>180975</wp:posOffset>
                </wp:positionV>
                <wp:extent cx="48372" cy="6433093"/>
                <wp:effectExtent l="0" t="0" r="8890" b="6350"/>
                <wp:wrapNone/>
                <wp:docPr id="154" name="Rectangle 154"/>
                <wp:cNvGraphicFramePr/>
                <a:graphic xmlns:a="http://schemas.openxmlformats.org/drawingml/2006/main">
                  <a:graphicData uri="http://schemas.microsoft.com/office/word/2010/wordprocessingShape">
                    <wps:wsp>
                      <wps:cNvSpPr/>
                      <wps:spPr>
                        <a:xfrm>
                          <a:off x="0" y="0"/>
                          <a:ext cx="48372" cy="6433093"/>
                        </a:xfrm>
                        <a:prstGeom prst="rect">
                          <a:avLst/>
                        </a:prstGeom>
                        <a:solidFill>
                          <a:srgbClr val="4F81BD">
                            <a:lumMod val="60000"/>
                            <a:lumOff val="40000"/>
                            <a:alpha val="32000"/>
                          </a:srgbClr>
                        </a:solidFill>
                        <a:ln w="25400" cap="flat" cmpd="sng" algn="ctr">
                          <a:noFill/>
                          <a:prstDash val="solid"/>
                        </a:ln>
                        <a:effectLst/>
                      </wps:spPr>
                      <wps:txbx>
                        <w:txbxContent>
                          <w:p w14:paraId="6FC11D95" w14:textId="77777777" w:rsidR="007F7607" w:rsidRPr="003B13E5" w:rsidRDefault="007F7607" w:rsidP="00CF483E">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320F4A" id="Rectangle 154" o:spid="_x0000_s1056" style="position:absolute;margin-left:416.25pt;margin-top:14.25pt;width:3.8pt;height:506.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" fillcolor="#95b3d7" stroked="f" strokeweight="2pt">
                <v:fill opacity="21074f"/>
                <v:textbox>
                  <w:txbxContent>
                    <w:p w14:paraId="6FC11D95" w14:textId="77777777" w:rsidR="007F7607" w:rsidRPr="003B13E5" w:rsidRDefault="007F7607" w:rsidP="00CF483E">
                      <w:pPr>
                        <w:rPr>
                          <w:b/>
                          <w:bCs/>
                        </w:rPr>
                      </w:pPr>
                    </w:p>
                  </w:txbxContent>
                </v:textbox>
              </v:rect>
            </w:pict>
          </mc:Fallback>
        </mc:AlternateContent>
      </w:r>
      <w:r>
        <w:rPr>
          <w:noProof/>
          <w:lang w:eastAsia="en-AU"/>
        </w:rPr>
        <mc:AlternateContent>
          <mc:Choice Requires="wps">
            <w:drawing>
              <wp:anchor distT="0" distB="0" distL="114300" distR="114300" simplePos="0" relativeHeight="251699200" behindDoc="0" locked="0" layoutInCell="1" allowOverlap="1" wp14:anchorId="08CF546F" wp14:editId="41501457">
                <wp:simplePos x="0" y="0"/>
                <wp:positionH relativeFrom="column">
                  <wp:posOffset>4619625</wp:posOffset>
                </wp:positionH>
                <wp:positionV relativeFrom="paragraph">
                  <wp:posOffset>176213</wp:posOffset>
                </wp:positionV>
                <wp:extent cx="48372" cy="6440495"/>
                <wp:effectExtent l="0" t="0" r="8890" b="0"/>
                <wp:wrapNone/>
                <wp:docPr id="157" name="Rectangle 157"/>
                <wp:cNvGraphicFramePr/>
                <a:graphic xmlns:a="http://schemas.openxmlformats.org/drawingml/2006/main">
                  <a:graphicData uri="http://schemas.microsoft.com/office/word/2010/wordprocessingShape">
                    <wps:wsp>
                      <wps:cNvSpPr/>
                      <wps:spPr>
                        <a:xfrm flipH="1">
                          <a:off x="0" y="0"/>
                          <a:ext cx="48372" cy="6440495"/>
                        </a:xfrm>
                        <a:prstGeom prst="rect">
                          <a:avLst/>
                        </a:prstGeom>
                        <a:solidFill>
                          <a:srgbClr val="4F81BD">
                            <a:lumMod val="60000"/>
                            <a:lumOff val="40000"/>
                            <a:alpha val="32000"/>
                          </a:srgbClr>
                        </a:solidFill>
                        <a:ln w="25400" cap="flat" cmpd="sng" algn="ctr">
                          <a:noFill/>
                          <a:prstDash val="solid"/>
                        </a:ln>
                        <a:effectLst/>
                      </wps:spPr>
                      <wps:txbx>
                        <w:txbxContent>
                          <w:p w14:paraId="5E98D22A" w14:textId="77777777" w:rsidR="007F7607" w:rsidRPr="003B13E5" w:rsidRDefault="007F7607" w:rsidP="00CF483E">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CF546F" id="Rectangle 157" o:spid="_x0000_s1057" style="position:absolute;margin-left:363.75pt;margin-top:13.9pt;width:3.8pt;height:507.15pt;flip:x;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" fillcolor="#95b3d7" stroked="f" strokeweight="2pt">
                <v:fill opacity="21074f"/>
                <v:textbox>
                  <w:txbxContent>
                    <w:p w14:paraId="5E98D22A" w14:textId="77777777" w:rsidR="007F7607" w:rsidRPr="003B13E5" w:rsidRDefault="007F7607" w:rsidP="00CF483E">
                      <w:pPr>
                        <w:rPr>
                          <w:b/>
                          <w:bCs/>
                        </w:rPr>
                      </w:pPr>
                    </w:p>
                  </w:txbxContent>
                </v:textbox>
              </v:rect>
            </w:pict>
          </mc:Fallback>
        </mc:AlternateContent>
      </w:r>
      <w:r>
        <w:rPr>
          <w:noProof/>
          <w:lang w:eastAsia="en-AU"/>
        </w:rPr>
        <mc:AlternateContent>
          <mc:Choice Requires="wps">
            <w:drawing>
              <wp:anchor distT="0" distB="0" distL="114300" distR="114300" simplePos="0" relativeHeight="251700224" behindDoc="0" locked="0" layoutInCell="1" allowOverlap="1" wp14:anchorId="794C677A" wp14:editId="38291E28">
                <wp:simplePos x="0" y="0"/>
                <wp:positionH relativeFrom="column">
                  <wp:posOffset>4705350</wp:posOffset>
                </wp:positionH>
                <wp:positionV relativeFrom="paragraph">
                  <wp:posOffset>176213</wp:posOffset>
                </wp:positionV>
                <wp:extent cx="14884" cy="6440495"/>
                <wp:effectExtent l="0" t="0" r="23495" b="0"/>
                <wp:wrapNone/>
                <wp:docPr id="158" name="Rectangle 158"/>
                <wp:cNvGraphicFramePr/>
                <a:graphic xmlns:a="http://schemas.openxmlformats.org/drawingml/2006/main">
                  <a:graphicData uri="http://schemas.microsoft.com/office/word/2010/wordprocessingShape">
                    <wps:wsp>
                      <wps:cNvSpPr/>
                      <wps:spPr>
                        <a:xfrm>
                          <a:off x="0" y="0"/>
                          <a:ext cx="14884" cy="6440495"/>
                        </a:xfrm>
                        <a:prstGeom prst="rect">
                          <a:avLst/>
                        </a:prstGeom>
                        <a:solidFill>
                          <a:srgbClr val="4F81BD">
                            <a:lumMod val="60000"/>
                            <a:lumOff val="40000"/>
                            <a:alpha val="32000"/>
                          </a:srgbClr>
                        </a:solidFill>
                        <a:ln w="25400" cap="flat" cmpd="sng" algn="ctr">
                          <a:noFill/>
                          <a:prstDash val="solid"/>
                        </a:ln>
                        <a:effectLst/>
                      </wps:spPr>
                      <wps:txbx>
                        <w:txbxContent>
                          <w:p w14:paraId="27C38AF9" w14:textId="77777777" w:rsidR="007F7607" w:rsidRDefault="007F7607" w:rsidP="00CF483E"/>
                          <w:p w14:paraId="13B733A6"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4C677A" id="Rectangle 158" o:spid="_x0000_s1058" style="position:absolute;margin-left:370.5pt;margin-top:13.9pt;width:1.15pt;height:507.1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" fillcolor="#95b3d7" stroked="f" strokeweight="2pt">
                <v:fill opacity="21074f"/>
                <v:textbox>
                  <w:txbxContent>
                    <w:p w14:paraId="27C38AF9" w14:textId="77777777" w:rsidR="007F7607" w:rsidRDefault="007F7607" w:rsidP="00CF483E"/>
                    <w:p w14:paraId="13B733A6"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701248" behindDoc="0" locked="0" layoutInCell="1" allowOverlap="1" wp14:anchorId="145BF9B7" wp14:editId="1C76B921">
                <wp:simplePos x="0" y="0"/>
                <wp:positionH relativeFrom="column">
                  <wp:posOffset>4733925</wp:posOffset>
                </wp:positionH>
                <wp:positionV relativeFrom="paragraph">
                  <wp:posOffset>176213</wp:posOffset>
                </wp:positionV>
                <wp:extent cx="55813" cy="6448425"/>
                <wp:effectExtent l="0" t="0" r="1905" b="9525"/>
                <wp:wrapNone/>
                <wp:docPr id="159" name="Rectangle 159"/>
                <wp:cNvGraphicFramePr/>
                <a:graphic xmlns:a="http://schemas.openxmlformats.org/drawingml/2006/main">
                  <a:graphicData uri="http://schemas.microsoft.com/office/word/2010/wordprocessingShape">
                    <wps:wsp>
                      <wps:cNvSpPr/>
                      <wps:spPr>
                        <a:xfrm>
                          <a:off x="0" y="0"/>
                          <a:ext cx="55813" cy="6448425"/>
                        </a:xfrm>
                        <a:prstGeom prst="rect">
                          <a:avLst/>
                        </a:prstGeom>
                        <a:solidFill>
                          <a:srgbClr val="4F81BD">
                            <a:lumMod val="60000"/>
                            <a:lumOff val="40000"/>
                            <a:alpha val="32000"/>
                          </a:srgbClr>
                        </a:solidFill>
                        <a:ln w="25400" cap="flat" cmpd="sng" algn="ctr">
                          <a:noFill/>
                          <a:prstDash val="solid"/>
                        </a:ln>
                        <a:effectLst/>
                      </wps:spPr>
                      <wps:txbx>
                        <w:txbxContent>
                          <w:p w14:paraId="76451BD4" w14:textId="77777777" w:rsidR="007F7607" w:rsidRPr="003B13E5" w:rsidRDefault="007F7607" w:rsidP="00CF483E">
                            <w:pPr>
                              <w:rPr>
                                <w:b/>
                                <w:bCs/>
                              </w:rPr>
                            </w:pPr>
                          </w:p>
                          <w:p w14:paraId="54497A84"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5BF9B7" id="Rectangle 159" o:spid="_x0000_s1059" style="position:absolute;margin-left:372.75pt;margin-top:13.9pt;width:4.4pt;height:507.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" fillcolor="#95b3d7" stroked="f" strokeweight="2pt">
                <v:fill opacity="21074f"/>
                <v:textbox>
                  <w:txbxContent>
                    <w:p w14:paraId="76451BD4" w14:textId="77777777" w:rsidR="007F7607" w:rsidRPr="003B13E5" w:rsidRDefault="007F7607" w:rsidP="00CF483E">
                      <w:pPr>
                        <w:rPr>
                          <w:b/>
                          <w:bCs/>
                        </w:rPr>
                      </w:pPr>
                    </w:p>
                    <w:p w14:paraId="54497A84" w14:textId="77777777" w:rsidR="007F7607" w:rsidRDefault="007F7607" w:rsidP="00CF483E"/>
                  </w:txbxContent>
                </v:textbox>
              </v:rect>
            </w:pict>
          </mc:Fallback>
        </mc:AlternateContent>
      </w:r>
      <w:r>
        <w:rPr>
          <w:noProof/>
          <w:lang w:eastAsia="en-AU"/>
        </w:rPr>
        <mc:AlternateContent>
          <mc:Choice Requires="wpg">
            <w:drawing>
              <wp:anchor distT="0" distB="0" distL="114300" distR="114300" simplePos="0" relativeHeight="251707392" behindDoc="0" locked="0" layoutInCell="1" allowOverlap="1" wp14:anchorId="16760EAD" wp14:editId="11A8DD3D">
                <wp:simplePos x="0" y="0"/>
                <wp:positionH relativeFrom="column">
                  <wp:posOffset>762000</wp:posOffset>
                </wp:positionH>
                <wp:positionV relativeFrom="paragraph">
                  <wp:posOffset>161925</wp:posOffset>
                </wp:positionV>
                <wp:extent cx="3543300" cy="6471920"/>
                <wp:effectExtent l="57150" t="0" r="57150" b="5080"/>
                <wp:wrapNone/>
                <wp:docPr id="251" name="Group 251"/>
                <wp:cNvGraphicFramePr/>
                <a:graphic xmlns:a="http://schemas.openxmlformats.org/drawingml/2006/main">
                  <a:graphicData uri="http://schemas.microsoft.com/office/word/2010/wordprocessingGroup">
                    <wpg:wgp>
                      <wpg:cNvGrpSpPr/>
                      <wpg:grpSpPr>
                        <a:xfrm>
                          <a:off x="0" y="0"/>
                          <a:ext cx="3543300" cy="6471920"/>
                          <a:chOff x="0" y="0"/>
                          <a:chExt cx="3543300" cy="6471920"/>
                        </a:xfrm>
                        <a:solidFill>
                          <a:schemeClr val="accent1">
                            <a:lumMod val="20000"/>
                            <a:lumOff val="80000"/>
                            <a:alpha val="14000"/>
                          </a:schemeClr>
                        </a:solidFill>
                      </wpg:grpSpPr>
                      <wps:wsp>
                        <wps:cNvPr id="252" name="Rectangle 252"/>
                        <wps:cNvSpPr/>
                        <wps:spPr>
                          <a:xfrm>
                            <a:off x="0" y="0"/>
                            <a:ext cx="45719" cy="645287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Rectangle 253"/>
                        <wps:cNvSpPr/>
                        <wps:spPr>
                          <a:xfrm>
                            <a:off x="838200" y="9525"/>
                            <a:ext cx="400050" cy="644366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Rectangle 254"/>
                        <wps:cNvSpPr/>
                        <wps:spPr>
                          <a:xfrm>
                            <a:off x="2152650" y="19050"/>
                            <a:ext cx="235585" cy="644366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Rectangle 255"/>
                        <wps:cNvSpPr/>
                        <wps:spPr>
                          <a:xfrm>
                            <a:off x="2895600" y="19050"/>
                            <a:ext cx="161925" cy="64433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Rectangle 1066"/>
                        <wps:cNvSpPr/>
                        <wps:spPr>
                          <a:xfrm>
                            <a:off x="3486150" y="9525"/>
                            <a:ext cx="57150" cy="64623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9DE207" id="Group 251" o:spid="_x0000_s1026" style="position:absolute;margin-left:60pt;margin-top:12.75pt;width:279pt;height:509.6pt;z-index:251707392" coordsize="35433,64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">
                <v:rect id="Rectangle 252" o:spid="_x0000_s1027" style="position:absolute;width:457;height:6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ZQLsQA&#10;AADcAAAADwAAAGRycy9kb3ducmV2LnhtbESPQWvCQBSE74X+h+UVvNVNQy0S3YRQatGjpiDentln&#10;Ept9G7JrjP/eFQo9DjPzDbPMRtOKgXrXWFbwNo1AEJdWN1wp+ClWr3MQziNrbC2Tghs5yNLnpyUm&#10;2l55S8POVyJA2CWooPa+S6R0ZU0G3dR2xME72d6gD7KvpO7xGuCmlXEUfUiDDYeFGjv6rKn83V2M&#10;AnccNsWty/fngyuP+Reb4n3zrdTkZcwXIDyN/j/8115rBfEshse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WUC7EAAAA3AAAAA8AAAAAAAAAAAAAAAAAmAIAAGRycy9k&#10;b3ducmV2LnhtbFBLBQYAAAAABAAEAPUAAACJAwAAAAA=&#10;" filled="f" stroked="f" strokeweight="2pt"/>
                <v:rect id="Rectangle 253" o:spid="_x0000_s1028" style="position:absolute;left:8382;top:95;width:4000;height:64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r1tcUA&#10;AADcAAAADwAAAGRycy9kb3ducmV2LnhtbESPQWvCQBSE74X+h+UVvDUbbS0luglBrOixplC8PbOv&#10;SWr2bciuMf77bkHwOMzMN8wyG00rBupdY1nBNIpBEJdWN1wp+Co+nt9BOI+ssbVMCq7kIEsfH5aY&#10;aHvhTxr2vhIBwi5BBbX3XSKlK2sy6CLbEQfvx/YGfZB9JXWPlwA3rZzF8Zs02HBYqLGjVU3laX82&#10;Ctxx2BXXLv/+PbjymK/ZFK+7jVKTpzFfgPA0+nv41t5qBbP5C/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GvW1xQAAANwAAAAPAAAAAAAAAAAAAAAAAJgCAABkcnMv&#10;ZG93bnJldi54bWxQSwUGAAAAAAQABAD1AAAAigMAAAAA&#10;" filled="f" stroked="f" strokeweight="2pt"/>
                <v:rect id="Rectangle 254" o:spid="_x0000_s1029" style="position:absolute;left:21526;top:190;width:2356;height:6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twcUA&#10;AADcAAAADwAAAGRycy9kb3ducmV2LnhtbESPQWvCQBSE70L/w/IKvZlNRaVEVwmlleZYUyi9vWSf&#10;Sdrs25BdY/Lv3YLgcZiZb5jtfjStGKh3jWUFz1EMgri0uuFKwVf+Pn8B4TyyxtYyKZjIwX73MNti&#10;ou2FP2k4+koECLsEFdTed4mUrqzJoItsRxy8k+0N+iD7SuoeLwFuWrmI47U02HBYqLGj15rKv+PZ&#10;KHDFkOVTl37//riySN/Y5MvsoNTT45huQHga/T18a39oBYvVEv7PhCMgd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823BxQAAANwAAAAPAAAAAAAAAAAAAAAAAJgCAABkcnMv&#10;ZG93bnJldi54bWxQSwUGAAAAAAQABAD1AAAAigMAAAAA&#10;" filled="f" stroked="f" strokeweight="2pt"/>
                <v:rect id="Rectangle 255" o:spid="_x0000_s1030" style="position:absolute;left:28956;top:190;width:1619;height:64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WsMA&#10;AADcAAAADwAAAGRycy9kb3ducmV2LnhtbESPQYvCMBSE74L/ITxhb5oq6yLVKEVU1uNaQbw9m2db&#10;bV5KE2v995uFBY/DzHzDLFadqURLjSstKxiPIhDEmdUl5wqO6XY4A+E8ssbKMil4kYPVst9bYKzt&#10;k3+oPfhcBAi7GBUU3texlC4ryKAb2Zo4eFfbGPRBNrnUDT4D3FRyEkVf0mDJYaHAmtYFZffDwyhw&#10;l3afvurkdDu77JJs2KSf+51SH4MumYPw1Pl3+L/9rRVMpl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IWsMAAADcAAAADwAAAAAAAAAAAAAAAACYAgAAZHJzL2Rv&#10;d25yZXYueG1sUEsFBgAAAAAEAAQA9QAAAIgDAAAAAA==&#10;" filled="f" stroked="f" strokeweight="2pt"/>
                <v:rect id="Rectangle 1066" o:spid="_x0000_s1031" style="position:absolute;left:34861;top:95;width:572;height:64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rrMMA&#10;AADdAAAADwAAAGRycy9kb3ducmV2LnhtbERPTWuDQBC9B/oflinkFteWIMVmE6S0pTlGA6W30Z2q&#10;iTsr7tbov88GAr3N433OZjeZTow0uNaygqcoBkFcWd1yreBYfKxeQDiPrLGzTApmcrDbPiw2mGp7&#10;4QONua9FCGGXooLG+z6V0lUNGXSR7YkD92sHgz7AoZZ6wEsIN518juNEGmw5NDTY01tD1Tn/Mwpc&#10;Oe6Luc++Tz+uKrN3NsV6/6nU8nHKXkF4mvy/+O7+0mF+nCRw+yac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grrMMAAADdAAAADwAAAAAAAAAAAAAAAACYAgAAZHJzL2Rv&#10;d25yZXYueG1sUEsFBgAAAAAEAAQA9QAAAIgDAAAAAA==&#10;" filled="f" stroked="f" strokeweight="2pt"/>
              </v:group>
            </w:pict>
          </mc:Fallback>
        </mc:AlternateContent>
      </w:r>
      <w:r>
        <w:rPr>
          <w:noProof/>
          <w:lang w:eastAsia="en-AU"/>
        </w:rPr>
        <mc:AlternateContent>
          <mc:Choice Requires="wps">
            <w:drawing>
              <wp:anchor distT="0" distB="0" distL="114300" distR="114300" simplePos="0" relativeHeight="251703296" behindDoc="0" locked="0" layoutInCell="1" allowOverlap="1" wp14:anchorId="703BE795" wp14:editId="163C341F">
                <wp:simplePos x="0" y="0"/>
                <wp:positionH relativeFrom="column">
                  <wp:posOffset>5286375</wp:posOffset>
                </wp:positionH>
                <wp:positionV relativeFrom="paragraph">
                  <wp:posOffset>180975</wp:posOffset>
                </wp:positionV>
                <wp:extent cx="48372" cy="6433093"/>
                <wp:effectExtent l="0" t="0" r="8890" b="6350"/>
                <wp:wrapNone/>
                <wp:docPr id="75" name="Rectangle 75"/>
                <wp:cNvGraphicFramePr/>
                <a:graphic xmlns:a="http://schemas.openxmlformats.org/drawingml/2006/main">
                  <a:graphicData uri="http://schemas.microsoft.com/office/word/2010/wordprocessingShape">
                    <wps:wsp>
                      <wps:cNvSpPr/>
                      <wps:spPr>
                        <a:xfrm>
                          <a:off x="0" y="0"/>
                          <a:ext cx="48372" cy="6433093"/>
                        </a:xfrm>
                        <a:prstGeom prst="rect">
                          <a:avLst/>
                        </a:prstGeom>
                        <a:solidFill>
                          <a:srgbClr val="4F81BD">
                            <a:lumMod val="60000"/>
                            <a:lumOff val="40000"/>
                            <a:alpha val="32000"/>
                          </a:srgbClr>
                        </a:solidFill>
                        <a:ln w="25400" cap="flat" cmpd="sng" algn="ctr">
                          <a:noFill/>
                          <a:prstDash val="solid"/>
                        </a:ln>
                        <a:effectLst/>
                      </wps:spPr>
                      <wps:txbx>
                        <w:txbxContent>
                          <w:p w14:paraId="21EE0660" w14:textId="77777777" w:rsidR="007F7607" w:rsidRPr="003B13E5" w:rsidRDefault="007F7607" w:rsidP="00CF483E">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3BE795" id="Rectangle 75" o:spid="_x0000_s1060" style="position:absolute;margin-left:416.25pt;margin-top:14.25pt;width:3.8pt;height:506.5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" fillcolor="#95b3d7" stroked="f" strokeweight="2pt">
                <v:fill opacity="21074f"/>
                <v:textbox>
                  <w:txbxContent>
                    <w:p w14:paraId="21EE0660" w14:textId="77777777" w:rsidR="007F7607" w:rsidRPr="003B13E5" w:rsidRDefault="007F7607" w:rsidP="00CF483E">
                      <w:pPr>
                        <w:rPr>
                          <w:b/>
                          <w:bCs/>
                        </w:rPr>
                      </w:pPr>
                    </w:p>
                  </w:txbxContent>
                </v:textbox>
              </v:rect>
            </w:pict>
          </mc:Fallback>
        </mc:AlternateContent>
      </w:r>
      <w:r>
        <w:rPr>
          <w:noProof/>
          <w:lang w:eastAsia="en-AU"/>
        </w:rPr>
        <mc:AlternateContent>
          <mc:Choice Requires="wps">
            <w:drawing>
              <wp:anchor distT="0" distB="0" distL="114300" distR="114300" simplePos="0" relativeHeight="251704320" behindDoc="0" locked="0" layoutInCell="1" allowOverlap="1" wp14:anchorId="63B8D721" wp14:editId="1EA83D44">
                <wp:simplePos x="0" y="0"/>
                <wp:positionH relativeFrom="column">
                  <wp:posOffset>4619625</wp:posOffset>
                </wp:positionH>
                <wp:positionV relativeFrom="paragraph">
                  <wp:posOffset>176213</wp:posOffset>
                </wp:positionV>
                <wp:extent cx="48372" cy="6440495"/>
                <wp:effectExtent l="0" t="0" r="8890" b="0"/>
                <wp:wrapNone/>
                <wp:docPr id="106" name="Rectangle 106"/>
                <wp:cNvGraphicFramePr/>
                <a:graphic xmlns:a="http://schemas.openxmlformats.org/drawingml/2006/main">
                  <a:graphicData uri="http://schemas.microsoft.com/office/word/2010/wordprocessingShape">
                    <wps:wsp>
                      <wps:cNvSpPr/>
                      <wps:spPr>
                        <a:xfrm flipH="1">
                          <a:off x="0" y="0"/>
                          <a:ext cx="48372" cy="6440495"/>
                        </a:xfrm>
                        <a:prstGeom prst="rect">
                          <a:avLst/>
                        </a:prstGeom>
                        <a:solidFill>
                          <a:srgbClr val="4F81BD">
                            <a:lumMod val="60000"/>
                            <a:lumOff val="40000"/>
                            <a:alpha val="32000"/>
                          </a:srgbClr>
                        </a:solidFill>
                        <a:ln w="25400" cap="flat" cmpd="sng" algn="ctr">
                          <a:noFill/>
                          <a:prstDash val="solid"/>
                        </a:ln>
                        <a:effectLst/>
                      </wps:spPr>
                      <wps:txbx>
                        <w:txbxContent>
                          <w:p w14:paraId="43776458" w14:textId="77777777" w:rsidR="007F7607" w:rsidRPr="003B13E5" w:rsidRDefault="007F7607" w:rsidP="00CF483E">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B8D721" id="Rectangle 106" o:spid="_x0000_s1061" style="position:absolute;margin-left:363.75pt;margin-top:13.9pt;width:3.8pt;height:507.15pt;flip:x;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" fillcolor="#95b3d7" stroked="f" strokeweight="2pt">
                <v:fill opacity="21074f"/>
                <v:textbox>
                  <w:txbxContent>
                    <w:p w14:paraId="43776458" w14:textId="77777777" w:rsidR="007F7607" w:rsidRPr="003B13E5" w:rsidRDefault="007F7607" w:rsidP="00CF483E">
                      <w:pPr>
                        <w:rPr>
                          <w:b/>
                          <w:bCs/>
                        </w:rPr>
                      </w:pPr>
                    </w:p>
                  </w:txbxContent>
                </v:textbox>
              </v:rect>
            </w:pict>
          </mc:Fallback>
        </mc:AlternateContent>
      </w:r>
      <w:r>
        <w:rPr>
          <w:noProof/>
          <w:lang w:eastAsia="en-AU"/>
        </w:rPr>
        <mc:AlternateContent>
          <mc:Choice Requires="wps">
            <w:drawing>
              <wp:anchor distT="0" distB="0" distL="114300" distR="114300" simplePos="0" relativeHeight="251705344" behindDoc="0" locked="0" layoutInCell="1" allowOverlap="1" wp14:anchorId="427B6F59" wp14:editId="37430F6D">
                <wp:simplePos x="0" y="0"/>
                <wp:positionH relativeFrom="column">
                  <wp:posOffset>4705350</wp:posOffset>
                </wp:positionH>
                <wp:positionV relativeFrom="paragraph">
                  <wp:posOffset>176213</wp:posOffset>
                </wp:positionV>
                <wp:extent cx="14884" cy="6440495"/>
                <wp:effectExtent l="0" t="0" r="23495" b="0"/>
                <wp:wrapNone/>
                <wp:docPr id="108" name="Rectangle 108"/>
                <wp:cNvGraphicFramePr/>
                <a:graphic xmlns:a="http://schemas.openxmlformats.org/drawingml/2006/main">
                  <a:graphicData uri="http://schemas.microsoft.com/office/word/2010/wordprocessingShape">
                    <wps:wsp>
                      <wps:cNvSpPr/>
                      <wps:spPr>
                        <a:xfrm>
                          <a:off x="0" y="0"/>
                          <a:ext cx="14884" cy="6440495"/>
                        </a:xfrm>
                        <a:prstGeom prst="rect">
                          <a:avLst/>
                        </a:prstGeom>
                        <a:solidFill>
                          <a:srgbClr val="4F81BD">
                            <a:lumMod val="60000"/>
                            <a:lumOff val="40000"/>
                            <a:alpha val="32000"/>
                          </a:srgbClr>
                        </a:solidFill>
                        <a:ln w="25400" cap="flat" cmpd="sng" algn="ctr">
                          <a:noFill/>
                          <a:prstDash val="solid"/>
                        </a:ln>
                        <a:effectLst/>
                      </wps:spPr>
                      <wps:txbx>
                        <w:txbxContent>
                          <w:p w14:paraId="56516B25" w14:textId="77777777" w:rsidR="007F7607" w:rsidRDefault="007F7607" w:rsidP="00CF483E"/>
                          <w:p w14:paraId="0C8848DB"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B6F59" id="Rectangle 108" o:spid="_x0000_s1062" style="position:absolute;margin-left:370.5pt;margin-top:13.9pt;width:1.15pt;height:507.1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" fillcolor="#95b3d7" stroked="f" strokeweight="2pt">
                <v:fill opacity="21074f"/>
                <v:textbox>
                  <w:txbxContent>
                    <w:p w14:paraId="56516B25" w14:textId="77777777" w:rsidR="007F7607" w:rsidRDefault="007F7607" w:rsidP="00CF483E"/>
                    <w:p w14:paraId="0C8848DB"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706368" behindDoc="0" locked="0" layoutInCell="1" allowOverlap="1" wp14:anchorId="7D180F32" wp14:editId="22B3AB81">
                <wp:simplePos x="0" y="0"/>
                <wp:positionH relativeFrom="column">
                  <wp:posOffset>4733925</wp:posOffset>
                </wp:positionH>
                <wp:positionV relativeFrom="paragraph">
                  <wp:posOffset>176213</wp:posOffset>
                </wp:positionV>
                <wp:extent cx="55813" cy="6448425"/>
                <wp:effectExtent l="0" t="0" r="1905" b="9525"/>
                <wp:wrapNone/>
                <wp:docPr id="125" name="Rectangle 125"/>
                <wp:cNvGraphicFramePr/>
                <a:graphic xmlns:a="http://schemas.openxmlformats.org/drawingml/2006/main">
                  <a:graphicData uri="http://schemas.microsoft.com/office/word/2010/wordprocessingShape">
                    <wps:wsp>
                      <wps:cNvSpPr/>
                      <wps:spPr>
                        <a:xfrm>
                          <a:off x="0" y="0"/>
                          <a:ext cx="55813" cy="6448425"/>
                        </a:xfrm>
                        <a:prstGeom prst="rect">
                          <a:avLst/>
                        </a:prstGeom>
                        <a:solidFill>
                          <a:srgbClr val="4F81BD">
                            <a:lumMod val="60000"/>
                            <a:lumOff val="40000"/>
                            <a:alpha val="32000"/>
                          </a:srgbClr>
                        </a:solidFill>
                        <a:ln w="25400" cap="flat" cmpd="sng" algn="ctr">
                          <a:noFill/>
                          <a:prstDash val="solid"/>
                        </a:ln>
                        <a:effectLst/>
                      </wps:spPr>
                      <wps:txbx>
                        <w:txbxContent>
                          <w:p w14:paraId="635FA7F0" w14:textId="77777777" w:rsidR="007F7607" w:rsidRPr="003B13E5" w:rsidRDefault="007F7607" w:rsidP="00CF483E">
                            <w:pPr>
                              <w:rPr>
                                <w:b/>
                                <w:bCs/>
                              </w:rPr>
                            </w:pPr>
                          </w:p>
                          <w:p w14:paraId="67BA8CBC"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180F32" id="Rectangle 125" o:spid="_x0000_s1063" style="position:absolute;margin-left:372.75pt;margin-top:13.9pt;width:4.4pt;height:507.7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" fillcolor="#95b3d7" stroked="f" strokeweight="2pt">
                <v:fill opacity="21074f"/>
                <v:textbox>
                  <w:txbxContent>
                    <w:p w14:paraId="635FA7F0" w14:textId="77777777" w:rsidR="007F7607" w:rsidRPr="003B13E5" w:rsidRDefault="007F7607" w:rsidP="00CF483E">
                      <w:pPr>
                        <w:rPr>
                          <w:b/>
                          <w:bCs/>
                        </w:rPr>
                      </w:pPr>
                    </w:p>
                    <w:p w14:paraId="67BA8CBC" w14:textId="77777777" w:rsidR="007F7607" w:rsidRDefault="007F7607" w:rsidP="00CF483E"/>
                  </w:txbxContent>
                </v:textbox>
              </v:rect>
            </w:pict>
          </mc:Fallback>
        </mc:AlternateContent>
      </w:r>
      <w:r>
        <w:rPr>
          <w:noProof/>
          <w:lang w:eastAsia="en-AU"/>
        </w:rPr>
        <w:drawing>
          <wp:inline distT="0" distB="0" distL="0" distR="0" wp14:anchorId="254376D6" wp14:editId="61C744B6">
            <wp:extent cx="5940419" cy="1804988"/>
            <wp:effectExtent l="0" t="0" r="3810" b="508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949379" cy="1807710"/>
                    </a:xfrm>
                    <a:prstGeom prst="rect">
                      <a:avLst/>
                    </a:prstGeom>
                    <a:noFill/>
                    <a:ln>
                      <a:noFill/>
                    </a:ln>
                    <a:extLst>
                      <a:ext uri="{53640926-AAD7-44D8-BBD7-CCE9431645EC}">
                        <a14:shadowObscured xmlns:a14="http://schemas.microsoft.com/office/drawing/2010/main"/>
                      </a:ext>
                    </a:extLst>
                  </pic:spPr>
                </pic:pic>
              </a:graphicData>
            </a:graphic>
          </wp:inline>
        </w:drawing>
      </w:r>
    </w:p>
    <w:p w14:paraId="2C9E43E3" w14:textId="77777777" w:rsidR="00CF483E" w:rsidRDefault="00CF483E" w:rsidP="00CF483E">
      <w:pPr>
        <w:spacing w:before="0" w:after="0"/>
      </w:pPr>
      <w:r>
        <w:rPr>
          <w:noProof/>
          <w:lang w:eastAsia="en-AU"/>
        </w:rPr>
        <w:drawing>
          <wp:inline distT="0" distB="0" distL="0" distR="0" wp14:anchorId="3B0DFD1C" wp14:editId="34A3D395">
            <wp:extent cx="5924550" cy="173139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5940626" cy="1736092"/>
                    </a:xfrm>
                    <a:prstGeom prst="rect">
                      <a:avLst/>
                    </a:prstGeom>
                    <a:noFill/>
                    <a:ln>
                      <a:noFill/>
                    </a:ln>
                    <a:extLst>
                      <a:ext uri="{53640926-AAD7-44D8-BBD7-CCE9431645EC}">
                        <a14:shadowObscured xmlns:a14="http://schemas.microsoft.com/office/drawing/2010/main"/>
                      </a:ext>
                    </a:extLst>
                  </pic:spPr>
                </pic:pic>
              </a:graphicData>
            </a:graphic>
          </wp:inline>
        </w:drawing>
      </w:r>
    </w:p>
    <w:bookmarkEnd w:id="252"/>
    <w:p w14:paraId="4E9F1FB9" w14:textId="77777777" w:rsidR="00CF483E" w:rsidRDefault="00CF483E" w:rsidP="00CF483E">
      <w:pPr>
        <w:spacing w:before="0" w:after="0"/>
      </w:pPr>
      <w:r>
        <w:rPr>
          <w:noProof/>
          <w:lang w:eastAsia="en-AU"/>
        </w:rPr>
        <w:drawing>
          <wp:inline distT="0" distB="0" distL="0" distR="0" wp14:anchorId="6B80B4A2" wp14:editId="0BF8D053">
            <wp:extent cx="5999480" cy="1638300"/>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6008124" cy="1640660"/>
                    </a:xfrm>
                    <a:prstGeom prst="rect">
                      <a:avLst/>
                    </a:prstGeom>
                    <a:noFill/>
                    <a:ln>
                      <a:noFill/>
                    </a:ln>
                    <a:extLst>
                      <a:ext uri="{53640926-AAD7-44D8-BBD7-CCE9431645EC}">
                        <a14:shadowObscured xmlns:a14="http://schemas.microsoft.com/office/drawing/2010/main"/>
                      </a:ext>
                    </a:extLst>
                  </pic:spPr>
                </pic:pic>
              </a:graphicData>
            </a:graphic>
          </wp:inline>
        </w:drawing>
      </w:r>
    </w:p>
    <w:p w14:paraId="4990E841" w14:textId="77777777" w:rsidR="00CF483E" w:rsidRDefault="00CF483E" w:rsidP="00CF483E">
      <w:pPr>
        <w:spacing w:before="0" w:after="0"/>
      </w:pPr>
      <w:r>
        <w:rPr>
          <w:noProof/>
          <w:lang w:eastAsia="en-AU"/>
        </w:rPr>
        <w:drawing>
          <wp:inline distT="0" distB="0" distL="0" distR="0" wp14:anchorId="354C557E" wp14:editId="635CC7C8">
            <wp:extent cx="5999141" cy="2117725"/>
            <wp:effectExtent l="0" t="0" r="190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6017049" cy="2124047"/>
                    </a:xfrm>
                    <a:prstGeom prst="rect">
                      <a:avLst/>
                    </a:prstGeom>
                    <a:noFill/>
                    <a:ln>
                      <a:noFill/>
                    </a:ln>
                    <a:extLst>
                      <a:ext uri="{53640926-AAD7-44D8-BBD7-CCE9431645EC}">
                        <a14:shadowObscured xmlns:a14="http://schemas.microsoft.com/office/drawing/2010/main"/>
                      </a:ext>
                    </a:extLst>
                  </pic:spPr>
                </pic:pic>
              </a:graphicData>
            </a:graphic>
          </wp:inline>
        </w:drawing>
      </w:r>
    </w:p>
    <w:p w14:paraId="572ADC9B" w14:textId="0E8A9ECC" w:rsidR="00CF483E" w:rsidRDefault="00CF483E" w:rsidP="00CF483E">
      <w:pPr>
        <w:pStyle w:val="Caption"/>
      </w:pPr>
      <w:bookmarkStart w:id="253" w:name="_Ref18069500"/>
      <w:bookmarkStart w:id="254" w:name="_Toc31985598"/>
      <w:bookmarkStart w:id="255" w:name="_Toc18672226"/>
      <w:r w:rsidRPr="00267229">
        <w:t xml:space="preserve">Figure </w:t>
      </w:r>
      <w:r>
        <w:fldChar w:fldCharType="begin"/>
      </w:r>
      <w:r>
        <w:instrText>SEQ Figure \* ARABIC</w:instrText>
      </w:r>
      <w:r>
        <w:fldChar w:fldCharType="separate"/>
      </w:r>
      <w:r w:rsidR="007F7607">
        <w:rPr>
          <w:noProof/>
        </w:rPr>
        <w:t>34</w:t>
      </w:r>
      <w:r>
        <w:fldChar w:fldCharType="end"/>
      </w:r>
      <w:bookmarkEnd w:id="253"/>
      <w:r w:rsidRPr="00267229">
        <w:t xml:space="preserve">. </w:t>
      </w:r>
      <w:r w:rsidRPr="004E54B5">
        <w:rPr>
          <w:rStyle w:val="CaptionChar"/>
          <w:bCs/>
          <w:i/>
        </w:rPr>
        <w:t xml:space="preserve">Gross primary production (GPP), </w:t>
      </w:r>
      <w:r w:rsidRPr="004E54B5">
        <w:t>Ecosystem respiration (ER), Reaeration (K) and the GPP/ ER ratio from Lane</w:t>
      </w:r>
      <w:r>
        <w:t>’</w:t>
      </w:r>
      <w:r w:rsidRPr="004E54B5">
        <w:t xml:space="preserve">s Bridge in the Lower Lachlan, </w:t>
      </w:r>
      <w:r w:rsidRPr="00267229">
        <w:t>August 2014 - June 2019.</w:t>
      </w:r>
      <w:bookmarkEnd w:id="254"/>
    </w:p>
    <w:p w14:paraId="225DFBBB" w14:textId="77777777" w:rsidR="00CF483E" w:rsidRDefault="00CF483E" w:rsidP="00CF483E">
      <w:pPr>
        <w:pStyle w:val="Caption"/>
      </w:pPr>
      <w:r w:rsidRPr="00267229">
        <w:t>Blue shaded vertical bars indicate watering actions.</w:t>
      </w:r>
      <w:bookmarkEnd w:id="255"/>
    </w:p>
    <w:p w14:paraId="0A8EEB1C" w14:textId="77777777" w:rsidR="00CF483E" w:rsidRPr="00131F12" w:rsidRDefault="00CF483E" w:rsidP="00CF483E">
      <w:pPr>
        <w:pStyle w:val="Caption"/>
      </w:pPr>
      <w:r>
        <w:t xml:space="preserve">Note: </w:t>
      </w:r>
      <w:r>
        <w:rPr>
          <w:rStyle w:val="CaptionChar"/>
          <w:bCs/>
          <w:i/>
        </w:rPr>
        <w:t>E</w:t>
      </w:r>
      <w:r w:rsidRPr="003A6BDD">
        <w:t>cosystem respi</w:t>
      </w:r>
      <w:r>
        <w:t xml:space="preserve">ration </w:t>
      </w:r>
      <w:r w:rsidRPr="003358DE">
        <w:rPr>
          <w:rStyle w:val="CaptionChar"/>
          <w:bCs/>
          <w:i/>
        </w:rPr>
        <w:t>(</w:t>
      </w:r>
      <w:r>
        <w:rPr>
          <w:rStyle w:val="CaptionChar"/>
          <w:bCs/>
          <w:i/>
        </w:rPr>
        <w:t>ER</w:t>
      </w:r>
      <w:r w:rsidRPr="003358DE">
        <w:rPr>
          <w:rStyle w:val="CaptionChar"/>
          <w:bCs/>
          <w:i/>
        </w:rPr>
        <w:t xml:space="preserve">) </w:t>
      </w:r>
      <w:r>
        <w:rPr>
          <w:rStyle w:val="CaptionChar"/>
          <w:bCs/>
          <w:i/>
        </w:rPr>
        <w:t>on higher scale.</w:t>
      </w:r>
      <w:r w:rsidRPr="00131F12">
        <w:br w:type="page"/>
      </w:r>
    </w:p>
    <w:p w14:paraId="56E154F0" w14:textId="77777777" w:rsidR="00CF483E" w:rsidRPr="002323B0" w:rsidRDefault="00CF483E" w:rsidP="00CF483E">
      <w:pPr>
        <w:pStyle w:val="Heading2"/>
      </w:pPr>
      <w:bookmarkStart w:id="256" w:name="_Toc527986378"/>
      <w:bookmarkStart w:id="257" w:name="_Toc4574785"/>
      <w:bookmarkStart w:id="258" w:name="_Toc31985467"/>
      <w:bookmarkEnd w:id="233"/>
      <w:bookmarkEnd w:id="234"/>
      <w:r w:rsidRPr="002323B0">
        <w:t>Discussion</w:t>
      </w:r>
      <w:bookmarkEnd w:id="256"/>
      <w:bookmarkEnd w:id="257"/>
      <w:bookmarkEnd w:id="258"/>
    </w:p>
    <w:p w14:paraId="1D846C68" w14:textId="548C446F" w:rsidR="00CF483E" w:rsidRDefault="00CF483E" w:rsidP="00CF483E">
      <w:r w:rsidRPr="002323B0">
        <w:rPr>
          <w:lang w:val="x-none"/>
        </w:rPr>
        <w:t xml:space="preserve">The </w:t>
      </w:r>
      <w:r w:rsidRPr="002323B0">
        <w:t xml:space="preserve">sampling </w:t>
      </w:r>
      <w:r w:rsidRPr="002323B0">
        <w:rPr>
          <w:lang w:val="x-none"/>
        </w:rPr>
        <w:t xml:space="preserve">period </w:t>
      </w:r>
      <w:r>
        <w:t>featured four</w:t>
      </w:r>
      <w:r w:rsidRPr="002323B0">
        <w:t xml:space="preserve"> environmental watering actions</w:t>
      </w:r>
      <w:r w:rsidR="00280274">
        <w:t xml:space="preserve"> in the Lower Lachlan</w:t>
      </w:r>
      <w:r w:rsidRPr="002323B0">
        <w:t xml:space="preserve">, </w:t>
      </w:r>
      <w:r w:rsidR="00280274">
        <w:t>three</w:t>
      </w:r>
      <w:r>
        <w:t xml:space="preserve"> in early summer and an additional </w:t>
      </w:r>
      <w:r w:rsidR="00280274">
        <w:t>one</w:t>
      </w:r>
      <w:r>
        <w:t xml:space="preserve"> in late autumn. </w:t>
      </w:r>
      <w:r w:rsidRPr="002323B0">
        <w:t xml:space="preserve">Water quality data </w:t>
      </w:r>
      <w:r>
        <w:t xml:space="preserve">suggested that the summer events </w:t>
      </w:r>
      <w:r w:rsidR="00D457D7">
        <w:t>mobilised</w:t>
      </w:r>
      <w:r>
        <w:t xml:space="preserve"> nutrients and carbon, with a response in productivity. </w:t>
      </w:r>
      <w:r w:rsidRPr="002323B0">
        <w:t xml:space="preserve">The delivery of environmental flows has the potential to increase primary production and organic matter breakdown by mobilising carbon and nutrients off the floodplain or from upstream </w:t>
      </w:r>
      <w:r w:rsidRPr="002323B0">
        <w:fldChar w:fldCharType="begin"/>
      </w:r>
      <w:r>
        <w:instrText xml:space="preserve"> ADDIN EN.CITE &lt;EndNote&gt;&lt;Cite&gt;&lt;Author&gt;Baldwin&lt;/Author&gt;&lt;Year&gt;2016&lt;/Year&gt;&lt;RecNum&gt;214&lt;/RecNum&gt;&lt;Prefix&gt;e.g. &lt;/Prefix&gt;&lt;DisplayText&gt;(e.g. Baldwin et al. 2016, Wallace and Furst 2016)&lt;/DisplayText&gt;&lt;record&gt;&lt;rec-number&gt;214&lt;/rec-number&gt;&lt;foreign-keys&gt;&lt;key app="EN" db-id="0a0zttz0gewd9befav559p5osxw5sftwfpdv" timestamp="1505694679"&gt;214&lt;/key&gt;&lt;/foreign-keys&gt;&lt;ref-type name="Journal Article"&gt;17&lt;/ref-type&gt;&lt;contributors&gt;&lt;authors&gt;&lt;author&gt;Baldwin, D.S.&lt;/author&gt;&lt;author&gt;Colloff, M.J.&lt;/author&gt;&lt;author&gt;Mitrovic, S.M.&lt;/author&gt;&lt;author&gt;Bond, N.R.&lt;/author&gt;&lt;author&gt;Wolfenden, B.&lt;/author&gt;&lt;/authors&gt;&lt;/contributors&gt;&lt;titles&gt;&lt;title&gt;Restoring dissolved organic carbon subsidies from floodplains to lowland river food webs: a role for environmental flows?&lt;/title&gt;&lt;secondary-title&gt;Marine and Freshwater Research&lt;/secondary-title&gt;&lt;/titles&gt;&lt;periodical&gt;&lt;full-title&gt;Marine and Freshwater Research&lt;/full-title&gt;&lt;/periodical&gt;&lt;pages&gt;1387-1399&lt;/pages&gt;&lt;volume&gt;67&lt;/volume&gt;&lt;dates&gt;&lt;year&gt;2016&lt;/year&gt;&lt;/dates&gt;&lt;urls&gt;&lt;/urls&gt;&lt;/record&gt;&lt;/Cite&gt;&lt;Cite&gt;&lt;Author&gt;Wallace&lt;/Author&gt;&lt;Year&gt;2016&lt;/Year&gt;&lt;RecNum&gt;215&lt;/RecNum&gt;&lt;record&gt;&lt;rec-number&gt;215&lt;/rec-number&gt;&lt;foreign-keys&gt;&lt;key app="EN" db-id="0a0zttz0gewd9befav559p5osxw5sftwfpdv" timestamp="1505694794"&gt;215&lt;/key&gt;&lt;/foreign-keys&gt;&lt;ref-type name="Journal Article"&gt;17&lt;/ref-type&gt;&lt;contributors&gt;&lt;authors&gt;&lt;author&gt;Wallace, T.A.&lt;/author&gt;&lt;author&gt;Furst, D., &lt;/author&gt;&lt;/authors&gt;&lt;/contributors&gt;&lt;titles&gt;&lt;title&gt;Open water metabolism and dissolved organic carbon in response to environmental watering in a lowland river–floodplain complex&lt;/title&gt;&lt;secondary-title&gt;Marine and Freshwater Research&lt;/secondary-title&gt;&lt;/titles&gt;&lt;periodical&gt;&lt;full-title&gt;Marine and Freshwater Research&lt;/full-title&gt;&lt;/periodical&gt;&lt;pages&gt;1346-1361&lt;/pages&gt;&lt;volume&gt;67&lt;/volume&gt;&lt;dates&gt;&lt;year&gt;2016&lt;/year&gt;&lt;/dates&gt;&lt;urls&gt;&lt;/urls&gt;&lt;/record&gt;&lt;/Cite&gt;&lt;/EndNote&gt;</w:instrText>
      </w:r>
      <w:r w:rsidRPr="002323B0">
        <w:fldChar w:fldCharType="separate"/>
      </w:r>
      <w:r w:rsidRPr="002323B0">
        <w:rPr>
          <w:noProof/>
        </w:rPr>
        <w:t>(e.g. Baldwin et al. 2016, Wallace and Furst 2016)</w:t>
      </w:r>
      <w:r w:rsidRPr="002323B0">
        <w:fldChar w:fldCharType="end"/>
      </w:r>
      <w:r w:rsidRPr="002323B0">
        <w:t>. There was evidence of a peak in GPP</w:t>
      </w:r>
      <w:r>
        <w:t xml:space="preserve"> and in ER</w:t>
      </w:r>
      <w:r w:rsidRPr="002323B0">
        <w:t xml:space="preserve"> in </w:t>
      </w:r>
      <w:r>
        <w:t xml:space="preserve">November and December </w:t>
      </w:r>
      <w:r w:rsidRPr="002323B0">
        <w:t>associated with delivery of environmental water</w:t>
      </w:r>
      <w:r>
        <w:t>. S</w:t>
      </w:r>
      <w:r w:rsidRPr="002323B0">
        <w:t>imilar small peak</w:t>
      </w:r>
      <w:r>
        <w:t xml:space="preserve">s were evident in the June flow, but were smaller, more transient in nature and not observed across all sites. </w:t>
      </w:r>
      <w:r w:rsidRPr="002323B0">
        <w:t xml:space="preserve">Results for ER </w:t>
      </w:r>
      <w:r>
        <w:t xml:space="preserve">during the second flow may suggest </w:t>
      </w:r>
      <w:r w:rsidRPr="002323B0">
        <w:t xml:space="preserve">mobilisation of carbon from in-stream benches, </w:t>
      </w:r>
      <w:r>
        <w:t xml:space="preserve">but are confounded by changes in reaeration due to physical processes. </w:t>
      </w:r>
    </w:p>
    <w:p w14:paraId="18A6D099" w14:textId="77777777" w:rsidR="00280274" w:rsidRPr="00131F12" w:rsidRDefault="00280274" w:rsidP="00280274">
      <w:pPr>
        <w:pStyle w:val="Heading3"/>
      </w:pPr>
      <w:bookmarkStart w:id="259" w:name="_Toc31985468"/>
      <w:bookmarkStart w:id="260" w:name="_Toc4574786"/>
      <w:r w:rsidRPr="00131F12">
        <w:t>Watering Action 1</w:t>
      </w:r>
      <w:bookmarkEnd w:id="259"/>
    </w:p>
    <w:p w14:paraId="529D46DD" w14:textId="77777777" w:rsidR="00280274" w:rsidRDefault="00280274" w:rsidP="00280274">
      <w:r>
        <w:t>The 2018-19 watering action in September 2018 targeted</w:t>
      </w:r>
      <w:r w:rsidRPr="002323B0">
        <w:t xml:space="preserve"> native fish </w:t>
      </w:r>
      <w:r>
        <w:t xml:space="preserve">and productivity </w:t>
      </w:r>
      <w:r w:rsidRPr="002323B0">
        <w:t>outcomes</w:t>
      </w:r>
      <w:r>
        <w:t xml:space="preserve"> in the mid reaches of the Lachlan River and Booberoi Creek, with retention and later release of water from Lake Brewster generating a small secondary flow pulse in late October in the lower Lachlan. </w:t>
      </w:r>
      <w:r w:rsidRPr="002323B0">
        <w:t xml:space="preserve">The watering action was designed to </w:t>
      </w:r>
      <w:r>
        <w:t xml:space="preserve">support the movement of native fish prior to the spawning season and stimulate primary productivity to support improvements in fish condition. </w:t>
      </w:r>
    </w:p>
    <w:p w14:paraId="76B46F7D" w14:textId="77777777" w:rsidR="00280274" w:rsidRDefault="00280274" w:rsidP="00280274">
      <w:r>
        <w:t xml:space="preserve">This event appeared to mobilise nutrients and carbon in channel, resulting in increases in algal biomass and a measurable increase in both GPP and ER. This is suggestive of basal productivity from both organic carbon from the banks and from photosynthesis. This pulse of productivity, if it is transferred to zooplankton consumers, would be an important resource in supporting larval fish. </w:t>
      </w:r>
      <w:r w:rsidRPr="002323B0">
        <w:t xml:space="preserve"> </w:t>
      </w:r>
    </w:p>
    <w:p w14:paraId="1308A8CE" w14:textId="77777777" w:rsidR="00280274" w:rsidRPr="00E57583" w:rsidRDefault="00280274" w:rsidP="00280274">
      <w:pPr>
        <w:pStyle w:val="Heading3"/>
        <w:rPr>
          <w:lang w:val="en-US"/>
        </w:rPr>
      </w:pPr>
      <w:bookmarkStart w:id="261" w:name="_Toc527986377"/>
      <w:bookmarkStart w:id="262" w:name="_Toc4574784"/>
      <w:bookmarkStart w:id="263" w:name="_Toc31985469"/>
      <w:r w:rsidRPr="002323B0">
        <w:t>Watering Action</w:t>
      </w:r>
      <w:r>
        <w:rPr>
          <w:lang w:val="en-AU"/>
        </w:rPr>
        <w:t xml:space="preserve"> 2</w:t>
      </w:r>
      <w:bookmarkEnd w:id="261"/>
      <w:bookmarkEnd w:id="262"/>
      <w:bookmarkEnd w:id="263"/>
    </w:p>
    <w:p w14:paraId="4E409FC8" w14:textId="77777777" w:rsidR="00280274" w:rsidRPr="002323B0" w:rsidRDefault="00280274" w:rsidP="00280274">
      <w:r>
        <w:t xml:space="preserve">The environmental flow provided over November 2018 </w:t>
      </w:r>
      <w:r>
        <w:rPr>
          <w:color w:val="000000" w:themeColor="text1"/>
        </w:rPr>
        <w:t>sought to generate</w:t>
      </w:r>
      <w:r w:rsidRPr="00BC249B">
        <w:rPr>
          <w:color w:val="000000" w:themeColor="text1"/>
        </w:rPr>
        <w:t xml:space="preserve"> minimum stable flows</w:t>
      </w:r>
      <w:r>
        <w:rPr>
          <w:color w:val="000000" w:themeColor="text1"/>
        </w:rPr>
        <w:t xml:space="preserve"> of in the mid Lachlan R</w:t>
      </w:r>
      <w:r w:rsidRPr="00BC249B">
        <w:rPr>
          <w:color w:val="000000" w:themeColor="text1"/>
        </w:rPr>
        <w:t>iver</w:t>
      </w:r>
      <w:r>
        <w:rPr>
          <w:color w:val="000000" w:themeColor="text1"/>
        </w:rPr>
        <w:t xml:space="preserve"> to protect Murray cod and </w:t>
      </w:r>
      <w:r w:rsidRPr="00BC249B">
        <w:rPr>
          <w:color w:val="000000" w:themeColor="text1"/>
        </w:rPr>
        <w:t>catfish nests</w:t>
      </w:r>
      <w:r>
        <w:rPr>
          <w:color w:val="000000" w:themeColor="text1"/>
        </w:rPr>
        <w:t xml:space="preserve">. CEW water release </w:t>
      </w:r>
      <w:r w:rsidRPr="00BC249B">
        <w:rPr>
          <w:color w:val="000000" w:themeColor="text1"/>
        </w:rPr>
        <w:t>for this action</w:t>
      </w:r>
      <w:r>
        <w:rPr>
          <w:color w:val="000000" w:themeColor="text1"/>
        </w:rPr>
        <w:t xml:space="preserve"> occurred between 22-30</w:t>
      </w:r>
      <w:r w:rsidRPr="0001250D">
        <w:rPr>
          <w:color w:val="000000" w:themeColor="text1"/>
          <w:vertAlign w:val="superscript"/>
        </w:rPr>
        <w:t>th</w:t>
      </w:r>
      <w:r>
        <w:rPr>
          <w:color w:val="000000" w:themeColor="text1"/>
        </w:rPr>
        <w:t xml:space="preserve"> October, compensating for lower operational flows over this period. </w:t>
      </w:r>
    </w:p>
    <w:p w14:paraId="203E974C" w14:textId="0E31C0AD" w:rsidR="00280274" w:rsidRDefault="00280274" w:rsidP="00280274">
      <w:r>
        <w:t xml:space="preserve">When re-regulated to provide a small fresh in the Lower Lachlan, this event appeared to mobilise nutrients and carbon in channel, resulting in increases in algal biomass and a measurable increase in both GPP and ER that appeared to exceed that seen in the earlier environmental flow. This is suggestive of enhanced basal productivity from organic carbon inputs and algae, with potential benefits to consumers higher up the food chain.  </w:t>
      </w:r>
    </w:p>
    <w:p w14:paraId="29DC3833" w14:textId="77777777" w:rsidR="00280274" w:rsidRPr="00E57583" w:rsidRDefault="00280274" w:rsidP="00280274">
      <w:pPr>
        <w:pStyle w:val="Heading3"/>
        <w:rPr>
          <w:lang w:val="en-US"/>
        </w:rPr>
      </w:pPr>
      <w:bookmarkStart w:id="264" w:name="_Toc31985470"/>
      <w:r w:rsidRPr="002323B0">
        <w:t xml:space="preserve">Watering Action </w:t>
      </w:r>
      <w:r>
        <w:t>4</w:t>
      </w:r>
      <w:bookmarkEnd w:id="264"/>
    </w:p>
    <w:p w14:paraId="0064D15A" w14:textId="3601E740" w:rsidR="00280274" w:rsidRDefault="00280274" w:rsidP="00280274">
      <w:pPr>
        <w:rPr>
          <w:color w:val="000000" w:themeColor="text1"/>
        </w:rPr>
      </w:pPr>
      <w:r>
        <w:t xml:space="preserve">The environmental flow provided </w:t>
      </w:r>
      <w:r>
        <w:rPr>
          <w:color w:val="000000" w:themeColor="text1"/>
        </w:rPr>
        <w:t>5,</w:t>
      </w:r>
      <w:r w:rsidRPr="00BC249B">
        <w:rPr>
          <w:color w:val="000000" w:themeColor="text1"/>
        </w:rPr>
        <w:t xml:space="preserve">338 ML </w:t>
      </w:r>
      <w:r>
        <w:rPr>
          <w:color w:val="000000" w:themeColor="text1"/>
        </w:rPr>
        <w:t xml:space="preserve">of water </w:t>
      </w:r>
      <w:r>
        <w:t xml:space="preserve">in June 2019, targeting productivity responses in the </w:t>
      </w:r>
      <w:r w:rsidRPr="00BC249B">
        <w:rPr>
          <w:color w:val="000000" w:themeColor="text1"/>
        </w:rPr>
        <w:t>Great Cumbung Swamp</w:t>
      </w:r>
      <w:r>
        <w:rPr>
          <w:color w:val="000000" w:themeColor="text1"/>
        </w:rPr>
        <w:t xml:space="preserve"> in the Lower Lachlan river system. </w:t>
      </w:r>
    </w:p>
    <w:p w14:paraId="36C00E7C" w14:textId="77777777" w:rsidR="00280274" w:rsidRDefault="00280274" w:rsidP="00280274">
      <w:r>
        <w:t xml:space="preserve">There was </w:t>
      </w:r>
      <w:r w:rsidRPr="002323B0">
        <w:t>evidence for increase</w:t>
      </w:r>
      <w:r>
        <w:t xml:space="preserve">s in ER, although high reaeration values mean that interpreting these values just as a consequence of increased respiration is not absolutely reliable. Relatively smaller increases in </w:t>
      </w:r>
      <w:r w:rsidRPr="002323B0">
        <w:t>GPP</w:t>
      </w:r>
      <w:r>
        <w:t xml:space="preserve"> may have been affected by lower water temperatures.</w:t>
      </w:r>
    </w:p>
    <w:p w14:paraId="352BF896" w14:textId="77777777" w:rsidR="00280274" w:rsidRPr="002323B0" w:rsidRDefault="00280274" w:rsidP="00280274">
      <w:pPr>
        <w:pStyle w:val="Heading3"/>
      </w:pPr>
      <w:bookmarkStart w:id="265" w:name="_Toc31985471"/>
      <w:bookmarkEnd w:id="260"/>
      <w:r w:rsidRPr="002323B0">
        <w:t xml:space="preserve">Watering </w:t>
      </w:r>
      <w:r>
        <w:t>over the period</w:t>
      </w:r>
      <w:r>
        <w:rPr>
          <w:lang w:val="en-AU"/>
        </w:rPr>
        <w:t xml:space="preserve"> 2014-19</w:t>
      </w:r>
      <w:bookmarkEnd w:id="265"/>
    </w:p>
    <w:p w14:paraId="72EC5ED7" w14:textId="77777777" w:rsidR="00280274" w:rsidRDefault="00280274" w:rsidP="00280274">
      <w:r>
        <w:t xml:space="preserve">There is a strong seasonal pattern in GPP and ER, but despite this there is evidence for effects of environmental flow delivery on GPP and ER. Both GPP and ER increase during flow delivery, correlated with higher DOC and higher nutrient and algal concentrations. This pattern is particularly evident during warmer conditions. In cooler conditions, the GPP response was considerably less, whereas the ER response appeared to be maintained.  </w:t>
      </w:r>
    </w:p>
    <w:p w14:paraId="70FF61D4" w14:textId="77777777" w:rsidR="00280274" w:rsidRDefault="00280274" w:rsidP="00280274">
      <w:r>
        <w:t>High variability in both GPP and ER is a consequence of variability in the physical process of reaeration and biological responses in the parameters. Reaeration becomes the dominant process during higher flows, meaning that estimates for GPP and ER cannot be calculated during peak flows. This complicates determining the magnitude of metabolism responses.</w:t>
      </w:r>
    </w:p>
    <w:p w14:paraId="1058E872" w14:textId="77777777" w:rsidR="00280274" w:rsidRDefault="00280274" w:rsidP="00280274">
      <w:r>
        <w:t xml:space="preserve">Delivery of small autumn flows has now been achieved several times in the Lachlan. Despite lower water temperatures at this time, there is evidence that this produces increases in ecosystem respiration, and smaller but detectable increases in algal production. It is not clear what role this may play in determining the magnitude of spring responses in the following year. </w:t>
      </w:r>
      <w:r w:rsidRPr="00AE7DF5">
        <w:t xml:space="preserve"> </w:t>
      </w:r>
    </w:p>
    <w:p w14:paraId="080F79A9" w14:textId="77777777" w:rsidR="00CF483E" w:rsidRPr="002323B0" w:rsidRDefault="00CF483E" w:rsidP="00CF483E">
      <w:pPr>
        <w:pStyle w:val="Heading2"/>
      </w:pPr>
      <w:bookmarkStart w:id="266" w:name="_Toc527986380"/>
      <w:bookmarkStart w:id="267" w:name="_Toc4574787"/>
      <w:bookmarkStart w:id="268" w:name="_Toc31985472"/>
      <w:r w:rsidRPr="002323B0">
        <w:t>Evaluation</w:t>
      </w:r>
      <w:bookmarkEnd w:id="266"/>
      <w:bookmarkEnd w:id="267"/>
      <w:bookmarkEnd w:id="268"/>
    </w:p>
    <w:p w14:paraId="54BAF593" w14:textId="77777777" w:rsidR="00CF483E" w:rsidRPr="002323B0" w:rsidRDefault="00CF483E" w:rsidP="00CF483E">
      <w:r>
        <w:t xml:space="preserve">Evaluation is complicated by major changes in the climatic context for flow responses over the five years program to date. A dry year in 2015-16 was followed by one of the wettest years on record in </w:t>
      </w:r>
      <w:r w:rsidRPr="002323B0">
        <w:t>2016-17</w:t>
      </w:r>
      <w:r>
        <w:t>, with natural flooding</w:t>
      </w:r>
      <w:r w:rsidRPr="002323B0">
        <w:t xml:space="preserve"> completely dominated the watering of the Lower Lachlan river system</w:t>
      </w:r>
      <w:r>
        <w:t>. T</w:t>
      </w:r>
      <w:r w:rsidRPr="002323B0">
        <w:t>he 2017-18 year was much dryer and environmental flows were responsible for relatively large flow events</w:t>
      </w:r>
      <w:r>
        <w:t xml:space="preserve"> in comparison to operational flows</w:t>
      </w:r>
      <w:r w:rsidRPr="002323B0">
        <w:t xml:space="preserve">. </w:t>
      </w:r>
      <w:r>
        <w:t xml:space="preserve">The most recent period has been dryer still, with smaller amounts of CEW water delivered against a progressively drying background and substantively lower operational flows. </w:t>
      </w:r>
    </w:p>
    <w:p w14:paraId="236BF68D" w14:textId="77777777" w:rsidR="00CF483E" w:rsidRPr="002323B0" w:rsidRDefault="00CF483E" w:rsidP="00CF483E">
      <w:r w:rsidRPr="002323B0">
        <w:t>In relation to the effects of Commonwealth environmental water, the evaluation questions are addressed as follows:</w:t>
      </w:r>
    </w:p>
    <w:p w14:paraId="7FDE3325" w14:textId="77777777" w:rsidR="00CF483E" w:rsidRPr="002323B0" w:rsidRDefault="00CF483E" w:rsidP="00D437E3">
      <w:pPr>
        <w:numPr>
          <w:ilvl w:val="0"/>
          <w:numId w:val="32"/>
        </w:numPr>
      </w:pPr>
      <w:r w:rsidRPr="002323B0">
        <w:t xml:space="preserve">What did Commonwealth environmental water contribute to water quality outcomes? </w:t>
      </w:r>
    </w:p>
    <w:p w14:paraId="0A5D0DED" w14:textId="77777777" w:rsidR="00CF483E" w:rsidRDefault="00CF483E" w:rsidP="00CF483E">
      <w:r w:rsidRPr="002323B0">
        <w:t xml:space="preserve">There </w:t>
      </w:r>
      <w:r>
        <w:t xml:space="preserve">is evidence that </w:t>
      </w:r>
      <w:r w:rsidRPr="002323B0">
        <w:t>watering event</w:t>
      </w:r>
      <w:r>
        <w:t xml:space="preserve">s can alter </w:t>
      </w:r>
      <w:r w:rsidRPr="002323B0">
        <w:t>water quality parameters,</w:t>
      </w:r>
      <w:r>
        <w:t xml:space="preserve"> particularly through increasing carbon and nutrients, although these </w:t>
      </w:r>
      <w:r w:rsidRPr="002323B0">
        <w:t>effects appear to be relatively transient</w:t>
      </w:r>
      <w:r>
        <w:t xml:space="preserve"> and can be highly variable in magnitude in both space (site to site) and time</w:t>
      </w:r>
      <w:r w:rsidRPr="002323B0">
        <w:t>.</w:t>
      </w:r>
      <w:r>
        <w:t xml:space="preserve"> These effects are much smaller than those observed during large natural flows. </w:t>
      </w:r>
    </w:p>
    <w:p w14:paraId="2EEBFDC3" w14:textId="77777777" w:rsidR="00CF483E" w:rsidRPr="002323B0" w:rsidRDefault="00CF483E" w:rsidP="00D437E3">
      <w:pPr>
        <w:numPr>
          <w:ilvl w:val="0"/>
          <w:numId w:val="32"/>
        </w:numPr>
      </w:pPr>
      <w:r w:rsidRPr="002323B0">
        <w:t>What did Commonwealth environmental water contribute to patterns and rates of ecosystem respiration (ER) and primary</w:t>
      </w:r>
      <w:r>
        <w:t xml:space="preserve"> productivity (GPP)</w:t>
      </w:r>
      <w:r w:rsidRPr="002323B0">
        <w:t>?</w:t>
      </w:r>
    </w:p>
    <w:p w14:paraId="2E72F250" w14:textId="77777777" w:rsidR="00CF483E" w:rsidRPr="002323B0" w:rsidRDefault="00CF483E" w:rsidP="00CF483E">
      <w:r>
        <w:t xml:space="preserve">There was evidence for </w:t>
      </w:r>
      <w:r w:rsidRPr="002323B0">
        <w:t>watering events generating short pulses of GPP and ER</w:t>
      </w:r>
      <w:r>
        <w:t xml:space="preserve">, with GPP responses being larger in warmer conditions. Relatively minor changes in nutrients and carbon (relative to background variability) do appear to support relatively larger (compared to background variability) responses in productivity. </w:t>
      </w:r>
    </w:p>
    <w:p w14:paraId="0AC6C40D" w14:textId="1692FED8" w:rsidR="00CF483E" w:rsidRDefault="00CF483E" w:rsidP="00CF483E">
      <w:pPr>
        <w:pStyle w:val="Heading2"/>
      </w:pPr>
      <w:bookmarkStart w:id="269" w:name="_Toc527986381"/>
      <w:bookmarkStart w:id="270" w:name="_Toc4574788"/>
      <w:bookmarkStart w:id="271" w:name="_Toc31985473"/>
      <w:r w:rsidRPr="002323B0">
        <w:t xml:space="preserve">Final </w:t>
      </w:r>
      <w:r w:rsidRPr="002323B0">
        <w:rPr>
          <w:lang w:val="en-AU"/>
        </w:rPr>
        <w:t>c</w:t>
      </w:r>
      <w:r w:rsidRPr="002323B0">
        <w:t>omments and recommendations</w:t>
      </w:r>
      <w:bookmarkEnd w:id="269"/>
      <w:bookmarkEnd w:id="270"/>
      <w:bookmarkEnd w:id="271"/>
    </w:p>
    <w:p w14:paraId="22B48E30" w14:textId="4F3280E5" w:rsidR="00280274" w:rsidRDefault="00280274" w:rsidP="00280274">
      <w:bookmarkStart w:id="272" w:name="_Hlk3987386"/>
      <w:r w:rsidRPr="002323B0">
        <w:t xml:space="preserve">Commonwealth environmental water was used strategically </w:t>
      </w:r>
      <w:r>
        <w:t xml:space="preserve">in 2018-19 </w:t>
      </w:r>
      <w:r w:rsidRPr="002323B0">
        <w:t xml:space="preserve">to support fish breeding in </w:t>
      </w:r>
      <w:r>
        <w:t>the mid</w:t>
      </w:r>
      <w:r w:rsidR="002E0631">
        <w:t xml:space="preserve"> and lower</w:t>
      </w:r>
      <w:r>
        <w:t xml:space="preserve"> Lachlan and appears to have generated productivity pulses at times that are likely to have </w:t>
      </w:r>
      <w:r w:rsidRPr="002323B0">
        <w:t xml:space="preserve">benefited higher consumers. </w:t>
      </w:r>
      <w:r>
        <w:t xml:space="preserve">Later </w:t>
      </w:r>
      <w:r w:rsidRPr="002323B0">
        <w:t>small</w:t>
      </w:r>
      <w:r>
        <w:t>er flows under</w:t>
      </w:r>
      <w:r w:rsidRPr="002323B0">
        <w:t xml:space="preserve"> cooler </w:t>
      </w:r>
      <w:r>
        <w:t>conditions yielded detectable, but more transient and spatially variable pulses in production.</w:t>
      </w:r>
    </w:p>
    <w:p w14:paraId="00D0F887" w14:textId="77777777" w:rsidR="00280274" w:rsidRDefault="00280274" w:rsidP="00D437E3">
      <w:pPr>
        <w:pStyle w:val="ListParagraph"/>
        <w:numPr>
          <w:ilvl w:val="0"/>
          <w:numId w:val="33"/>
        </w:numPr>
      </w:pPr>
      <w:r>
        <w:t xml:space="preserve">There was no clear evidence for either positive or adverse effects of CEW on </w:t>
      </w:r>
      <w:r w:rsidRPr="0001250D">
        <w:t>water quality</w:t>
      </w:r>
      <w:r>
        <w:t xml:space="preserve">. Temperature was dominated by seasonal cycles, with consequent effects on dissolved oxygen. This is reflective of the lack of sources of nutrients to be mobilised by flows of this scale, and the relatively small volumes of water being applied. Larger volumes of water can be an effective management tool in terms of mobilising or diluting dissolved organic carbon, as has been evident in previous watering actions. Large natural flows can dramatically alter water chemistry parameters, but far exceed the volumes available for environmental watering.   </w:t>
      </w:r>
      <w:r w:rsidRPr="0001250D">
        <w:t xml:space="preserve"> </w:t>
      </w:r>
    </w:p>
    <w:p w14:paraId="6BDAFF9F" w14:textId="77777777" w:rsidR="00280274" w:rsidRDefault="00280274" w:rsidP="00D437E3">
      <w:pPr>
        <w:pStyle w:val="ListBullet"/>
        <w:numPr>
          <w:ilvl w:val="0"/>
          <w:numId w:val="33"/>
        </w:numPr>
      </w:pPr>
      <w:r>
        <w:t xml:space="preserve">Concentrations of key basal resources (DOC and chlorophyll) were variable with some evidence of effects of environmental flows. There was evidence of initial dilution of algal cells on the ascending limb of the hydrograph and then a lagged increase after the peak flow. Several environmental flow events showed evidence of slight increases in DOC consistent with increased carbon availability. Environmental flows with even small peaks in nutrient availability were associated with high values of chlorophyll. As for water chemistry more broadly, values of DOC during large natural flows event indicated large scale mobilisation of carbon. </w:t>
      </w:r>
    </w:p>
    <w:p w14:paraId="4B8D79E3" w14:textId="77777777" w:rsidR="00280274" w:rsidRPr="002323B0" w:rsidRDefault="00280274" w:rsidP="00D437E3">
      <w:pPr>
        <w:numPr>
          <w:ilvl w:val="0"/>
          <w:numId w:val="33"/>
        </w:numPr>
      </w:pPr>
      <w:r w:rsidRPr="002323B0">
        <w:t>The</w:t>
      </w:r>
      <w:r>
        <w:t xml:space="preserve">re is evidence for productivity responses to environmental flow delivery in the lower </w:t>
      </w:r>
      <w:r w:rsidRPr="002323B0">
        <w:t>Lachlan River</w:t>
      </w:r>
      <w:r>
        <w:t xml:space="preserve">, particularly when water temperatures are warmer. While the river was generally heterotrophic (dominated by external carbon rather than in situ photosynthesis), it tended to be more autotrophic during environmental flows. This may be suggestive of generating higher quality local production. Flows targeting productivity responses or supporting fish larvae should be targeted to warmer conditions. </w:t>
      </w:r>
    </w:p>
    <w:p w14:paraId="0D89D9E7" w14:textId="77777777" w:rsidR="00280274" w:rsidRDefault="00280274" w:rsidP="00D437E3">
      <w:pPr>
        <w:numPr>
          <w:ilvl w:val="0"/>
          <w:numId w:val="33"/>
        </w:numPr>
      </w:pPr>
      <w:r w:rsidRPr="002323B0">
        <w:t>Provision of environmental water as a short term, relatively small event in autumn appear</w:t>
      </w:r>
      <w:r>
        <w:t>ed</w:t>
      </w:r>
      <w:r w:rsidRPr="002323B0">
        <w:t xml:space="preserve"> to meet the objective of generating a </w:t>
      </w:r>
      <w:r>
        <w:t xml:space="preserve">small </w:t>
      </w:r>
      <w:r w:rsidRPr="002323B0">
        <w:t>resource pulse in-channel.</w:t>
      </w:r>
      <w:r>
        <w:t xml:space="preserve"> These may be important ecologically in providing resources at a relatively resource poor period, supporting maintenance of fish condition into the winter period. </w:t>
      </w:r>
      <w:r w:rsidRPr="002323B0">
        <w:t xml:space="preserve"> </w:t>
      </w:r>
    </w:p>
    <w:p w14:paraId="77728E7B" w14:textId="77777777" w:rsidR="00280274" w:rsidRDefault="00280274" w:rsidP="00280274"/>
    <w:p w14:paraId="0F32ECA8" w14:textId="77777777" w:rsidR="00CF483E" w:rsidRDefault="00CF483E" w:rsidP="00CF483E">
      <w:r>
        <w:t>Based on these outcomes the following can be recommended:</w:t>
      </w:r>
    </w:p>
    <w:p w14:paraId="2FADA0A1" w14:textId="77777777" w:rsidR="00CF483E" w:rsidRDefault="00CF483E" w:rsidP="00D437E3">
      <w:pPr>
        <w:pStyle w:val="ListParagraph"/>
        <w:numPr>
          <w:ilvl w:val="0"/>
          <w:numId w:val="36"/>
        </w:numPr>
        <w:spacing w:before="120" w:after="120"/>
      </w:pPr>
      <w:r>
        <w:t>Provision of flows to generate productivity responses to support fish larvae and to improve food availability is realistic and will generate the greatest responses when associated with warmer water conditions.</w:t>
      </w:r>
    </w:p>
    <w:p w14:paraId="32F811C9" w14:textId="2FF80322" w:rsidR="00CF483E" w:rsidRPr="00131F12" w:rsidRDefault="00CF483E" w:rsidP="00D437E3">
      <w:pPr>
        <w:pStyle w:val="ListParagraph"/>
        <w:numPr>
          <w:ilvl w:val="0"/>
          <w:numId w:val="36"/>
        </w:numPr>
        <w:spacing w:before="120" w:after="120"/>
      </w:pPr>
      <w:r>
        <w:t xml:space="preserve">Provision of environmental flows during cooler periods does not produce as large a productivity response, and the response appears to be dominated by carbon respiration rather than primary production by algae. Provision of resources at this time may ‘prime’ ecosystems and contribute to fish condition, allowing for more rapid and larger responses to spring flows in the subsequent year. </w:t>
      </w:r>
      <w:bookmarkEnd w:id="272"/>
      <w:r w:rsidR="00EE02C7">
        <w:t>Additional years of data will enable greater understanding of these processes and their role in the Lachlan river system.</w:t>
      </w:r>
    </w:p>
    <w:p w14:paraId="71CF28EE" w14:textId="77777777" w:rsidR="00CF483E" w:rsidRPr="005E5CA8" w:rsidRDefault="00CF483E" w:rsidP="00CF483E">
      <w:pPr>
        <w:spacing w:before="0" w:after="160" w:line="259" w:lineRule="auto"/>
        <w:rPr>
          <w:sz w:val="16"/>
          <w:szCs w:val="16"/>
        </w:rPr>
      </w:pPr>
      <w:r>
        <w:br w:type="page"/>
      </w:r>
    </w:p>
    <w:p w14:paraId="3362154B" w14:textId="1BB16780" w:rsidR="00CF483E" w:rsidRDefault="00CF483E" w:rsidP="00CF483E">
      <w:pPr>
        <w:pStyle w:val="Heading2"/>
      </w:pPr>
      <w:bookmarkStart w:id="273" w:name="_Ref19536256"/>
      <w:bookmarkStart w:id="274" w:name="_Toc31985474"/>
      <w:r>
        <w:t>Appendi</w:t>
      </w:r>
      <w:r>
        <w:rPr>
          <w:lang w:val="en-AU"/>
        </w:rPr>
        <w:t xml:space="preserve">x 1: Stream metabolism plots for additional sites in the Lower Lachlan </w:t>
      </w:r>
      <w:r w:rsidR="004E69F3">
        <w:rPr>
          <w:lang w:val="en-AU"/>
        </w:rPr>
        <w:t>R</w:t>
      </w:r>
      <w:r>
        <w:rPr>
          <w:lang w:val="en-AU"/>
        </w:rPr>
        <w:t>iver 2018-19</w:t>
      </w:r>
      <w:bookmarkEnd w:id="273"/>
      <w:bookmarkEnd w:id="274"/>
    </w:p>
    <w:p w14:paraId="54D7A833" w14:textId="77777777" w:rsidR="00CF483E" w:rsidRDefault="00CF483E" w:rsidP="00CF483E">
      <w:pPr>
        <w:rPr>
          <w:lang w:val="x-none" w:eastAsia="x-none"/>
        </w:rPr>
      </w:pPr>
    </w:p>
    <w:p w14:paraId="705C9114" w14:textId="77777777" w:rsidR="00CF483E" w:rsidRDefault="00CF483E" w:rsidP="00CF483E">
      <w:pPr>
        <w:rPr>
          <w:noProof/>
        </w:rPr>
      </w:pPr>
      <w:r>
        <w:rPr>
          <w:noProof/>
          <w:lang w:eastAsia="en-AU"/>
        </w:rPr>
        <mc:AlternateContent>
          <mc:Choice Requires="wpg">
            <w:drawing>
              <wp:anchor distT="0" distB="0" distL="114300" distR="114300" simplePos="0" relativeHeight="251663360" behindDoc="0" locked="0" layoutInCell="1" allowOverlap="1" wp14:anchorId="478AC253" wp14:editId="7969365E">
                <wp:simplePos x="0" y="0"/>
                <wp:positionH relativeFrom="column">
                  <wp:posOffset>1724025</wp:posOffset>
                </wp:positionH>
                <wp:positionV relativeFrom="paragraph">
                  <wp:posOffset>121920</wp:posOffset>
                </wp:positionV>
                <wp:extent cx="3373120" cy="5638800"/>
                <wp:effectExtent l="0" t="0" r="0" b="0"/>
                <wp:wrapNone/>
                <wp:docPr id="1068" name="Group 1068"/>
                <wp:cNvGraphicFramePr/>
                <a:graphic xmlns:a="http://schemas.openxmlformats.org/drawingml/2006/main">
                  <a:graphicData uri="http://schemas.microsoft.com/office/word/2010/wordprocessingGroup">
                    <wpg:wgp>
                      <wpg:cNvGrpSpPr/>
                      <wpg:grpSpPr>
                        <a:xfrm>
                          <a:off x="0" y="0"/>
                          <a:ext cx="3373120" cy="5638800"/>
                          <a:chOff x="0" y="0"/>
                          <a:chExt cx="3373120" cy="7261098"/>
                        </a:xfrm>
                      </wpg:grpSpPr>
                      <wps:wsp>
                        <wps:cNvPr id="1069" name="Rectangle 1069"/>
                        <wps:cNvSpPr/>
                        <wps:spPr>
                          <a:xfrm>
                            <a:off x="3155950" y="0"/>
                            <a:ext cx="217170" cy="7223379"/>
                          </a:xfrm>
                          <a:prstGeom prst="rect">
                            <a:avLst/>
                          </a:prstGeom>
                          <a:solidFill>
                            <a:srgbClr val="4F81BD">
                              <a:lumMod val="60000"/>
                              <a:lumOff val="40000"/>
                              <a:alpha val="32000"/>
                            </a:srgbClr>
                          </a:solidFill>
                          <a:ln w="25400" cap="flat" cmpd="sng" algn="ctr">
                            <a:noFill/>
                            <a:prstDash val="solid"/>
                          </a:ln>
                          <a:effectLst/>
                        </wps:spPr>
                        <wps:txbx>
                          <w:txbxContent>
                            <w:p w14:paraId="7AB5ED5F"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Rectangle 1070"/>
                        <wps:cNvSpPr/>
                        <wps:spPr>
                          <a:xfrm flipH="1">
                            <a:off x="0" y="19050"/>
                            <a:ext cx="236170" cy="7242048"/>
                          </a:xfrm>
                          <a:prstGeom prst="rect">
                            <a:avLst/>
                          </a:prstGeom>
                          <a:solidFill>
                            <a:srgbClr val="4F81BD">
                              <a:lumMod val="60000"/>
                              <a:lumOff val="40000"/>
                              <a:alpha val="32000"/>
                            </a:srgbClr>
                          </a:solidFill>
                          <a:ln w="25400" cap="flat" cmpd="sng" algn="ctr">
                            <a:noFill/>
                            <a:prstDash val="solid"/>
                          </a:ln>
                          <a:effectLst/>
                        </wps:spPr>
                        <wps:txbx>
                          <w:txbxContent>
                            <w:p w14:paraId="306056FD"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Rectangle 1071"/>
                        <wps:cNvSpPr/>
                        <wps:spPr>
                          <a:xfrm>
                            <a:off x="438150" y="19050"/>
                            <a:ext cx="83971" cy="7214235"/>
                          </a:xfrm>
                          <a:prstGeom prst="rect">
                            <a:avLst/>
                          </a:prstGeom>
                          <a:solidFill>
                            <a:srgbClr val="4F81BD">
                              <a:lumMod val="60000"/>
                              <a:lumOff val="40000"/>
                              <a:alpha val="32000"/>
                            </a:srgbClr>
                          </a:solidFill>
                          <a:ln w="25400" cap="flat" cmpd="sng" algn="ctr">
                            <a:noFill/>
                            <a:prstDash val="solid"/>
                          </a:ln>
                          <a:effectLst/>
                        </wps:spPr>
                        <wps:txbx>
                          <w:txbxContent>
                            <w:p w14:paraId="7AF5FCF3" w14:textId="77777777" w:rsidR="007F7607" w:rsidRDefault="007F7607" w:rsidP="00CF483E"/>
                            <w:p w14:paraId="49F5FCB3"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Rectangle 1072"/>
                        <wps:cNvSpPr/>
                        <wps:spPr>
                          <a:xfrm>
                            <a:off x="565150" y="19050"/>
                            <a:ext cx="244698" cy="7214235"/>
                          </a:xfrm>
                          <a:prstGeom prst="rect">
                            <a:avLst/>
                          </a:prstGeom>
                          <a:solidFill>
                            <a:srgbClr val="4F81BD">
                              <a:lumMod val="60000"/>
                              <a:lumOff val="40000"/>
                              <a:alpha val="32000"/>
                            </a:srgbClr>
                          </a:solidFill>
                          <a:ln w="25400" cap="flat" cmpd="sng" algn="ctr">
                            <a:noFill/>
                            <a:prstDash val="solid"/>
                          </a:ln>
                          <a:effectLst/>
                        </wps:spPr>
                        <wps:txbx>
                          <w:txbxContent>
                            <w:p w14:paraId="7CEC33C5" w14:textId="77777777" w:rsidR="007F7607" w:rsidRDefault="007F7607" w:rsidP="00CF483E"/>
                            <w:p w14:paraId="0C8AF71E"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8AC253" id="Group 1068" o:spid="_x0000_s1064" style="position:absolute;margin-left:135.75pt;margin-top:9.6pt;width:265.6pt;height:444pt;z-index:251663360;mso-height-relative:margin" coordsize="33731,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">
                <v:rect id="Rectangle 1069" o:spid="_x0000_s1065" style="position:absolute;left:31559;width:2172;height:72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6LecIA&#10;AADdAAAADwAAAGRycy9kb3ducmV2LnhtbERPzWrCQBC+F3yHZQQvpdnUg02jmyClsR5b0wcYsmMS&#10;zM6G3a3Gt+8Kgrf5+H5nU05mEGdyvres4DVJQRA3VvfcKvitq5cMhA/IGgfLpOBKHspi9rTBXNsL&#10;/9D5EFoRQ9jnqKALYcyl9E1HBn1iR+LIHa0zGCJ0rdQOLzHcDHKZpitpsOfY0OFIHx01p8OfUfB5&#10;0tRk1ddbZd34rOvs27ndVqnFfNquQQSawkN8d+91nJ+u3uH2TTxB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ot5wgAAAN0AAAAPAAAAAAAAAAAAAAAAAJgCAABkcnMvZG93&#10;bnJldi54bWxQSwUGAAAAAAQABAD1AAAAhwMAAAAA&#10;" fillcolor="#95b3d7" stroked="f" strokeweight="2pt">
                  <v:fill opacity="21074f"/>
                  <v:textbox>
                    <w:txbxContent>
                      <w:p w14:paraId="7AB5ED5F" w14:textId="77777777" w:rsidR="007F7607" w:rsidRDefault="007F7607" w:rsidP="00CF483E"/>
                    </w:txbxContent>
                  </v:textbox>
                </v:rect>
                <v:rect id="Rectangle 1070" o:spid="_x0000_s1066" style="position:absolute;top:190;width:2361;height:724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baXMcA&#10;AADdAAAADwAAAGRycy9kb3ducmV2LnhtbESPQWvCQBCF70L/wzKF3nS3RWxJXaVoC14Eta3gbciO&#10;STA7G7JbE/31zqHgbYb35r1vpvPe1+pMbawCW3geGVDEeXAVFxZ+vr+Gb6BiQnZYByYLF4ownz0M&#10;ppi50PGWzrtUKAnhmKGFMqUm0zrmJXmMo9AQi3YMrccka1to12In4b7WL8ZMtMeKpaHEhhYl5afd&#10;n7ewPK7NdvX5O16e9t3mGik/jBfR2qfH/uMdVKI+3c3/1ysn+OZV+OUbGUHP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G2lzHAAAA3QAAAA8AAAAAAAAAAAAAAAAAmAIAAGRy&#10;cy9kb3ducmV2LnhtbFBLBQYAAAAABAAEAPUAAACMAwAAAAA=&#10;" fillcolor="#95b3d7" stroked="f" strokeweight="2pt">
                  <v:fill opacity="21074f"/>
                  <v:textbox>
                    <w:txbxContent>
                      <w:p w14:paraId="306056FD" w14:textId="77777777" w:rsidR="007F7607" w:rsidRDefault="007F7607" w:rsidP="00CF483E"/>
                    </w:txbxContent>
                  </v:textbox>
                </v:rect>
                <v:rect id="Rectangle 1071" o:spid="_x0000_s1067" style="position:absolute;left:4381;top:190;width:840;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ERosEA&#10;AADdAAAADwAAAGRycy9kb3ducmV2LnhtbERPzWrCQBC+F/oOyxS8FLOJhxrSrCJitMdWfYAhO02C&#10;2dmwu8b49q5Q6G0+vt8p15PpxUjOd5YVZEkKgri2uuNGwflUzXMQPiBr7C2Tgjt5WK9eX0ostL3x&#10;D43H0IgYwr5ABW0IQyGlr1sy6BM7EEfu1zqDIULXSO3wFsNNLxdp+iENdhwbWhxo21J9OV6Ngt1F&#10;U51Xh2Vl3fCuT/m3c/uNUrO3afMJItAU/sV/7i8d56fLDJ7fx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EaLBAAAA3QAAAA8AAAAAAAAAAAAAAAAAmAIAAGRycy9kb3du&#10;cmV2LnhtbFBLBQYAAAAABAAEAPUAAACGAwAAAAA=&#10;" fillcolor="#95b3d7" stroked="f" strokeweight="2pt">
                  <v:fill opacity="21074f"/>
                  <v:textbox>
                    <w:txbxContent>
                      <w:p w14:paraId="7AF5FCF3" w14:textId="77777777" w:rsidR="007F7607" w:rsidRDefault="007F7607" w:rsidP="00CF483E"/>
                      <w:p w14:paraId="49F5FCB3" w14:textId="77777777" w:rsidR="007F7607" w:rsidRDefault="007F7607" w:rsidP="00CF483E"/>
                    </w:txbxContent>
                  </v:textbox>
                </v:rect>
                <v:rect id="Rectangle 1072" o:spid="_x0000_s1068" style="position:absolute;left:5651;top:190;width:2447;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P1cAA&#10;AADdAAAADwAAAGRycy9kb3ducmV2LnhtbERPzYrCMBC+L/gOYQQvi6Z60FJNRcS6HnfVBxiasS1t&#10;JiWJWt/eLCzsbT6+39lsB9OJBznfWFYwnyUgiEurG64UXC/FNAXhA7LGzjIpeJGHbT762GCm7ZN/&#10;6HEOlYgh7DNUUIfQZ1L6siaDfmZ74sjdrDMYInSV1A6fMdx0cpEkS2mw4dhQY0/7msr2fDcKDq2m&#10;Mi2+VoV1/ae+pN/OHXdKTcbDbg0i0BD+xX/uk47zk9UCfr+JJ8j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1OP1cAAAADdAAAADwAAAAAAAAAAAAAAAACYAgAAZHJzL2Rvd25y&#10;ZXYueG1sUEsFBgAAAAAEAAQA9QAAAIUDAAAAAA==&#10;" fillcolor="#95b3d7" stroked="f" strokeweight="2pt">
                  <v:fill opacity="21074f"/>
                  <v:textbox>
                    <w:txbxContent>
                      <w:p w14:paraId="7CEC33C5" w14:textId="77777777" w:rsidR="007F7607" w:rsidRDefault="007F7607" w:rsidP="00CF483E"/>
                      <w:p w14:paraId="0C8AF71E" w14:textId="77777777" w:rsidR="007F7607" w:rsidRDefault="007F7607" w:rsidP="00CF483E"/>
                    </w:txbxContent>
                  </v:textbox>
                </v:rect>
              </v:group>
            </w:pict>
          </mc:Fallback>
        </mc:AlternateContent>
      </w:r>
      <w:r>
        <w:rPr>
          <w:noProof/>
          <w:lang w:eastAsia="en-AU"/>
        </w:rPr>
        <w:drawing>
          <wp:inline distT="0" distB="0" distL="0" distR="0" wp14:anchorId="0D06343D" wp14:editId="5457B7DF">
            <wp:extent cx="5642610" cy="2040052"/>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5643574" cy="204040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84464C7" wp14:editId="4435CC70">
            <wp:extent cx="5660452" cy="211582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5662627" cy="2116633"/>
                    </a:xfrm>
                    <a:prstGeom prst="rect">
                      <a:avLst/>
                    </a:prstGeom>
                    <a:noFill/>
                    <a:ln>
                      <a:noFill/>
                    </a:ln>
                    <a:extLst>
                      <a:ext uri="{53640926-AAD7-44D8-BBD7-CCE9431645EC}">
                        <a14:shadowObscured xmlns:a14="http://schemas.microsoft.com/office/drawing/2010/main"/>
                      </a:ext>
                    </a:extLst>
                  </pic:spPr>
                </pic:pic>
              </a:graphicData>
            </a:graphic>
          </wp:inline>
        </w:drawing>
      </w:r>
    </w:p>
    <w:p w14:paraId="2A36A354" w14:textId="77777777" w:rsidR="00CF483E" w:rsidRDefault="00CF483E" w:rsidP="00CF483E">
      <w:pPr>
        <w:rPr>
          <w:lang w:val="x-none" w:eastAsia="x-none"/>
        </w:rPr>
      </w:pPr>
      <w:r>
        <w:rPr>
          <w:noProof/>
          <w:lang w:eastAsia="en-AU"/>
        </w:rPr>
        <w:drawing>
          <wp:inline distT="0" distB="0" distL="0" distR="0" wp14:anchorId="26A3C9E5" wp14:editId="5EF0CA24">
            <wp:extent cx="5660470" cy="215392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662627" cy="2154741"/>
                    </a:xfrm>
                    <a:prstGeom prst="rect">
                      <a:avLst/>
                    </a:prstGeom>
                    <a:noFill/>
                    <a:ln>
                      <a:noFill/>
                    </a:ln>
                    <a:extLst>
                      <a:ext uri="{53640926-AAD7-44D8-BBD7-CCE9431645EC}">
                        <a14:shadowObscured xmlns:a14="http://schemas.microsoft.com/office/drawing/2010/main"/>
                      </a:ext>
                    </a:extLst>
                  </pic:spPr>
                </pic:pic>
              </a:graphicData>
            </a:graphic>
          </wp:inline>
        </w:drawing>
      </w:r>
    </w:p>
    <w:p w14:paraId="0D24991F" w14:textId="42B585B1" w:rsidR="00CF483E" w:rsidRPr="00953089" w:rsidRDefault="00CF483E" w:rsidP="00953089">
      <w:pPr>
        <w:pStyle w:val="Caption"/>
      </w:pPr>
      <w:bookmarkStart w:id="275" w:name="_Ref19528317"/>
      <w:bookmarkStart w:id="276" w:name="_Toc31985599"/>
      <w:r w:rsidRPr="00953089">
        <w:t xml:space="preserve">Figure </w:t>
      </w:r>
      <w:r>
        <w:fldChar w:fldCharType="begin"/>
      </w:r>
      <w:r>
        <w:instrText>SEQ Figure \* ARABIC</w:instrText>
      </w:r>
      <w:r>
        <w:fldChar w:fldCharType="separate"/>
      </w:r>
      <w:r w:rsidR="007F7607">
        <w:rPr>
          <w:noProof/>
        </w:rPr>
        <w:t>35</w:t>
      </w:r>
      <w:r>
        <w:fldChar w:fldCharType="end"/>
      </w:r>
      <w:bookmarkEnd w:id="275"/>
      <w:r w:rsidRPr="00953089">
        <w:t>. Gross primary production (GPP) from Wallanthery, Cowl Cowl and Whealbah in the Lower Lachlan, June 2018 - June 2019.</w:t>
      </w:r>
      <w:bookmarkEnd w:id="276"/>
    </w:p>
    <w:p w14:paraId="5012F84D" w14:textId="77777777" w:rsidR="00CF483E" w:rsidRPr="00953089" w:rsidRDefault="00CF483E" w:rsidP="00953089">
      <w:pPr>
        <w:pStyle w:val="Caption"/>
      </w:pPr>
      <w:r w:rsidRPr="00953089">
        <w:t>Blue shaded vertical bars indicate watering actions.</w:t>
      </w:r>
    </w:p>
    <w:p w14:paraId="02CC8B1A" w14:textId="77777777" w:rsidR="00CF483E" w:rsidRPr="003358DE" w:rsidRDefault="00CF483E" w:rsidP="00953089">
      <w:pPr>
        <w:pStyle w:val="Caption"/>
      </w:pPr>
      <w:r w:rsidRPr="00953089">
        <w:t>Note: Cowl Cowl on a higher scale for dissolved oxygen and GPP.</w:t>
      </w:r>
      <w:r w:rsidRPr="003358DE">
        <w:rPr>
          <w:rStyle w:val="CaptionChar"/>
          <w:bCs/>
          <w:i/>
        </w:rPr>
        <w:t xml:space="preserve"> </w:t>
      </w:r>
      <w:r w:rsidRPr="003358DE">
        <w:br w:type="page"/>
      </w:r>
    </w:p>
    <w:p w14:paraId="7C0111D9" w14:textId="77777777" w:rsidR="00CF483E" w:rsidRDefault="00CF483E" w:rsidP="00CF483E">
      <w:pPr>
        <w:rPr>
          <w:lang w:val="x-none" w:eastAsia="x-none"/>
        </w:rPr>
      </w:pPr>
      <w:r>
        <w:rPr>
          <w:noProof/>
          <w:lang w:eastAsia="en-AU"/>
        </w:rPr>
        <mc:AlternateContent>
          <mc:Choice Requires="wpg">
            <w:drawing>
              <wp:anchor distT="0" distB="0" distL="114300" distR="114300" simplePos="0" relativeHeight="251664384" behindDoc="0" locked="0" layoutInCell="1" allowOverlap="1" wp14:anchorId="33E13379" wp14:editId="56879EAB">
                <wp:simplePos x="0" y="0"/>
                <wp:positionH relativeFrom="column">
                  <wp:posOffset>1724025</wp:posOffset>
                </wp:positionH>
                <wp:positionV relativeFrom="paragraph">
                  <wp:posOffset>171450</wp:posOffset>
                </wp:positionV>
                <wp:extent cx="3373120" cy="5562600"/>
                <wp:effectExtent l="0" t="0" r="0" b="0"/>
                <wp:wrapNone/>
                <wp:docPr id="1081" name="Group 1081"/>
                <wp:cNvGraphicFramePr/>
                <a:graphic xmlns:a="http://schemas.openxmlformats.org/drawingml/2006/main">
                  <a:graphicData uri="http://schemas.microsoft.com/office/word/2010/wordprocessingGroup">
                    <wpg:wgp>
                      <wpg:cNvGrpSpPr/>
                      <wpg:grpSpPr>
                        <a:xfrm>
                          <a:off x="0" y="0"/>
                          <a:ext cx="3373120" cy="5562600"/>
                          <a:chOff x="0" y="0"/>
                          <a:chExt cx="3373120" cy="7261098"/>
                        </a:xfrm>
                      </wpg:grpSpPr>
                      <wps:wsp>
                        <wps:cNvPr id="1082" name="Rectangle 1082"/>
                        <wps:cNvSpPr/>
                        <wps:spPr>
                          <a:xfrm>
                            <a:off x="3155950" y="0"/>
                            <a:ext cx="217170" cy="7223379"/>
                          </a:xfrm>
                          <a:prstGeom prst="rect">
                            <a:avLst/>
                          </a:prstGeom>
                          <a:solidFill>
                            <a:srgbClr val="4F81BD">
                              <a:lumMod val="60000"/>
                              <a:lumOff val="40000"/>
                              <a:alpha val="32000"/>
                            </a:srgbClr>
                          </a:solidFill>
                          <a:ln w="25400" cap="flat" cmpd="sng" algn="ctr">
                            <a:noFill/>
                            <a:prstDash val="solid"/>
                          </a:ln>
                          <a:effectLst/>
                        </wps:spPr>
                        <wps:txbx>
                          <w:txbxContent>
                            <w:p w14:paraId="4A36F8C3"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Rectangle 1083"/>
                        <wps:cNvSpPr/>
                        <wps:spPr>
                          <a:xfrm flipH="1">
                            <a:off x="0" y="19050"/>
                            <a:ext cx="236170" cy="7242048"/>
                          </a:xfrm>
                          <a:prstGeom prst="rect">
                            <a:avLst/>
                          </a:prstGeom>
                          <a:solidFill>
                            <a:srgbClr val="4F81BD">
                              <a:lumMod val="60000"/>
                              <a:lumOff val="40000"/>
                              <a:alpha val="32000"/>
                            </a:srgbClr>
                          </a:solidFill>
                          <a:ln w="25400" cap="flat" cmpd="sng" algn="ctr">
                            <a:noFill/>
                            <a:prstDash val="solid"/>
                          </a:ln>
                          <a:effectLst/>
                        </wps:spPr>
                        <wps:txbx>
                          <w:txbxContent>
                            <w:p w14:paraId="1CA3ACA2"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Rectangle 1084"/>
                        <wps:cNvSpPr/>
                        <wps:spPr>
                          <a:xfrm>
                            <a:off x="438150" y="19050"/>
                            <a:ext cx="83971" cy="7214235"/>
                          </a:xfrm>
                          <a:prstGeom prst="rect">
                            <a:avLst/>
                          </a:prstGeom>
                          <a:solidFill>
                            <a:srgbClr val="4F81BD">
                              <a:lumMod val="60000"/>
                              <a:lumOff val="40000"/>
                              <a:alpha val="32000"/>
                            </a:srgbClr>
                          </a:solidFill>
                          <a:ln w="25400" cap="flat" cmpd="sng" algn="ctr">
                            <a:noFill/>
                            <a:prstDash val="solid"/>
                          </a:ln>
                          <a:effectLst/>
                        </wps:spPr>
                        <wps:txbx>
                          <w:txbxContent>
                            <w:p w14:paraId="1C2D9A2A" w14:textId="77777777" w:rsidR="007F7607" w:rsidRDefault="007F7607" w:rsidP="00CF483E"/>
                            <w:p w14:paraId="1C7FF0A9"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Rectangle 1085"/>
                        <wps:cNvSpPr/>
                        <wps:spPr>
                          <a:xfrm>
                            <a:off x="565150" y="19050"/>
                            <a:ext cx="244698" cy="7214235"/>
                          </a:xfrm>
                          <a:prstGeom prst="rect">
                            <a:avLst/>
                          </a:prstGeom>
                          <a:solidFill>
                            <a:srgbClr val="4F81BD">
                              <a:lumMod val="60000"/>
                              <a:lumOff val="40000"/>
                              <a:alpha val="32000"/>
                            </a:srgbClr>
                          </a:solidFill>
                          <a:ln w="25400" cap="flat" cmpd="sng" algn="ctr">
                            <a:noFill/>
                            <a:prstDash val="solid"/>
                          </a:ln>
                          <a:effectLst/>
                        </wps:spPr>
                        <wps:txbx>
                          <w:txbxContent>
                            <w:p w14:paraId="0500F299" w14:textId="77777777" w:rsidR="007F7607" w:rsidRDefault="007F7607" w:rsidP="00CF483E"/>
                            <w:p w14:paraId="10677F13"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E13379" id="Group 1081" o:spid="_x0000_s1069" style="position:absolute;margin-left:135.75pt;margin-top:13.5pt;width:265.6pt;height:438pt;z-index:251664384;mso-height-relative:margin" coordsize="33731,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">
                <v:rect id="Rectangle 1082" o:spid="_x0000_s1070" style="position:absolute;left:31559;width:2172;height:72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8sIA&#10;AADdAAAADwAAAGRycy9kb3ducmV2LnhtbERPzWqDQBC+B/oOyxRyCcnaHBoxWUVKbXtsNQ8wuFMV&#10;3VnZ3Sbm7buFQm7z8f3OqVjMJC7k/GBZwdMuAUHcWj1wp+DcVNsUhA/IGifLpOBGHor8YXXCTNsr&#10;f9GlDp2IIewzVNCHMGdS+rYng35nZ+LIfVtnMEToOqkdXmO4meQ+SZ6lwYFjQ48zvfTUjvWPUfA6&#10;amrT6v1QWTdvdJN+OvdWKrV+XMojiEBLuIv/3R86zk/SPfx9E0+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hv/ywgAAAN0AAAAPAAAAAAAAAAAAAAAAAJgCAABkcnMvZG93&#10;bnJldi54bWxQSwUGAAAAAAQABAD1AAAAhwMAAAAA&#10;" fillcolor="#95b3d7" stroked="f" strokeweight="2pt">
                  <v:fill opacity="21074f"/>
                  <v:textbox>
                    <w:txbxContent>
                      <w:p w14:paraId="4A36F8C3" w14:textId="77777777" w:rsidR="007F7607" w:rsidRDefault="007F7607" w:rsidP="00CF483E"/>
                    </w:txbxContent>
                  </v:textbox>
                </v:rect>
                <v:rect id="Rectangle 1083" o:spid="_x0000_s1071" style="position:absolute;top:190;width:2361;height:724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0DMQA&#10;AADdAAAADwAAAGRycy9kb3ducmV2LnhtbERPS2vCQBC+F/wPywi91d1akRBdpfgAL4X6aMHbkB2T&#10;YHY2ZFeT+uvdguBtPr7nTOedrcSVGl861vA+UCCIM2dKzjUc9uu3BIQPyAYrx6ThjzzMZ72XKabG&#10;tbyl6y7kIoawT1FDEUKdSumzgiz6gauJI3dyjcUQYZNL02Abw20lh0qNpcWSY0OBNS0Kys67i9Ww&#10;PH2p7Wb1M1qef9vvm6fsOFp4rV/73ecERKAuPMUP98bE+Sr5gP9v4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BNAzEAAAA3QAAAA8AAAAAAAAAAAAAAAAAmAIAAGRycy9k&#10;b3ducmV2LnhtbFBLBQYAAAAABAAEAPUAAACJAwAAAAA=&#10;" fillcolor="#95b3d7" stroked="f" strokeweight="2pt">
                  <v:fill opacity="21074f"/>
                  <v:textbox>
                    <w:txbxContent>
                      <w:p w14:paraId="1CA3ACA2" w14:textId="77777777" w:rsidR="007F7607" w:rsidRDefault="007F7607" w:rsidP="00CF483E"/>
                    </w:txbxContent>
                  </v:textbox>
                </v:rect>
                <v:rect id="Rectangle 1084" o:spid="_x0000_s1072" style="position:absolute;left:4381;top:190;width:840;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CHcIA&#10;AADdAAAADwAAAGRycy9kb3ducmV2LnhtbERPS2rDMBDdB3IHMYVuQi23hMS4UYIJddNlYucAgzW1&#10;TayRkVTHvX1VKHQ3j/ed3WE2g5jI+d6yguckBUHcWN1zq+Bal08ZCB+QNQ6WScE3eTjsl4sd5tre&#10;+UJTFVoRQ9jnqKALYcyl9E1HBn1iR+LIfVpnMEToWqkd3mO4GeRLmm6kwZ5jQ4cjHTtqbtWXUfB2&#10;09Rk5WlbWjeudJ2dnXsvlHp8mItXEIHm8C/+c3/oOD/N1vD7TTxB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I8IdwgAAAN0AAAAPAAAAAAAAAAAAAAAAAJgCAABkcnMvZG93&#10;bnJldi54bWxQSwUGAAAAAAQABAD1AAAAhwMAAAAA&#10;" fillcolor="#95b3d7" stroked="f" strokeweight="2pt">
                  <v:fill opacity="21074f"/>
                  <v:textbox>
                    <w:txbxContent>
                      <w:p w14:paraId="1C2D9A2A" w14:textId="77777777" w:rsidR="007F7607" w:rsidRDefault="007F7607" w:rsidP="00CF483E"/>
                      <w:p w14:paraId="1C7FF0A9" w14:textId="77777777" w:rsidR="007F7607" w:rsidRDefault="007F7607" w:rsidP="00CF483E"/>
                    </w:txbxContent>
                  </v:textbox>
                </v:rect>
                <v:rect id="Rectangle 1085" o:spid="_x0000_s1073" style="position:absolute;left:5651;top:190;width:2447;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9nhsIA&#10;AADdAAAADwAAAGRycy9kb3ducmV2LnhtbERPS2rDMBDdB3IHMYVuQi23kMS4UYIJddNlYucAgzW1&#10;TayRkVTHvX1VKHQ3j/ed3WE2g5jI+d6yguckBUHcWN1zq+Bal08ZCB+QNQ6WScE3eTjsl4sd5tre&#10;+UJTFVoRQ9jnqKALYcyl9E1HBn1iR+LIfVpnMEToWqkd3mO4GeRLmm6kwZ5jQ4cjHTtqbtWXUfB2&#10;09Rk5WlbWjeudJ2dnXsvlHp8mItXEIHm8C/+c3/oOD/N1vD7TTxB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2eGwgAAAN0AAAAPAAAAAAAAAAAAAAAAAJgCAABkcnMvZG93&#10;bnJldi54bWxQSwUGAAAAAAQABAD1AAAAhwMAAAAA&#10;" fillcolor="#95b3d7" stroked="f" strokeweight="2pt">
                  <v:fill opacity="21074f"/>
                  <v:textbox>
                    <w:txbxContent>
                      <w:p w14:paraId="0500F299" w14:textId="77777777" w:rsidR="007F7607" w:rsidRDefault="007F7607" w:rsidP="00CF483E"/>
                      <w:p w14:paraId="10677F13" w14:textId="77777777" w:rsidR="007F7607" w:rsidRDefault="007F7607" w:rsidP="00CF483E"/>
                    </w:txbxContent>
                  </v:textbox>
                </v:rect>
              </v:group>
            </w:pict>
          </mc:Fallback>
        </mc:AlternateContent>
      </w:r>
      <w:r>
        <w:rPr>
          <w:noProof/>
          <w:lang w:eastAsia="en-AU"/>
        </w:rPr>
        <w:drawing>
          <wp:inline distT="0" distB="0" distL="0" distR="0" wp14:anchorId="16274BD3" wp14:editId="2BDEECED">
            <wp:extent cx="5652135" cy="2078148"/>
            <wp:effectExtent l="0" t="0" r="5715"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653101" cy="2078503"/>
                    </a:xfrm>
                    <a:prstGeom prst="rect">
                      <a:avLst/>
                    </a:prstGeom>
                    <a:noFill/>
                    <a:ln>
                      <a:noFill/>
                    </a:ln>
                    <a:extLst>
                      <a:ext uri="{53640926-AAD7-44D8-BBD7-CCE9431645EC}">
                        <a14:shadowObscured xmlns:a14="http://schemas.microsoft.com/office/drawing/2010/main"/>
                      </a:ext>
                    </a:extLst>
                  </pic:spPr>
                </pic:pic>
              </a:graphicData>
            </a:graphic>
          </wp:inline>
        </w:drawing>
      </w:r>
    </w:p>
    <w:p w14:paraId="5016B4E2" w14:textId="77777777" w:rsidR="00CF483E" w:rsidRDefault="00CF483E" w:rsidP="00CF483E">
      <w:pPr>
        <w:rPr>
          <w:lang w:val="x-none" w:eastAsia="x-none"/>
        </w:rPr>
      </w:pPr>
      <w:r>
        <w:rPr>
          <w:noProof/>
          <w:lang w:eastAsia="en-AU"/>
        </w:rPr>
        <w:drawing>
          <wp:inline distT="0" distB="0" distL="0" distR="0" wp14:anchorId="6BE3A166" wp14:editId="2233FBAB">
            <wp:extent cx="5650865" cy="2115797"/>
            <wp:effectExtent l="0" t="0" r="698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b="-2"/>
                    <a:stretch/>
                  </pic:blipFill>
                  <pic:spPr bwMode="auto">
                    <a:xfrm>
                      <a:off x="0" y="0"/>
                      <a:ext cx="5653101" cy="2116634"/>
                    </a:xfrm>
                    <a:prstGeom prst="rect">
                      <a:avLst/>
                    </a:prstGeom>
                    <a:noFill/>
                    <a:ln>
                      <a:noFill/>
                    </a:ln>
                    <a:extLst>
                      <a:ext uri="{53640926-AAD7-44D8-BBD7-CCE9431645EC}">
                        <a14:shadowObscured xmlns:a14="http://schemas.microsoft.com/office/drawing/2010/main"/>
                      </a:ext>
                    </a:extLst>
                  </pic:spPr>
                </pic:pic>
              </a:graphicData>
            </a:graphic>
          </wp:inline>
        </w:drawing>
      </w:r>
    </w:p>
    <w:p w14:paraId="12262708" w14:textId="77777777" w:rsidR="00CF483E" w:rsidRDefault="00CF483E" w:rsidP="00CF483E">
      <w:pPr>
        <w:rPr>
          <w:lang w:val="x-none" w:eastAsia="x-none"/>
        </w:rPr>
      </w:pPr>
      <w:r>
        <w:rPr>
          <w:noProof/>
          <w:lang w:eastAsia="en-AU"/>
        </w:rPr>
        <w:drawing>
          <wp:inline distT="0" distB="0" distL="0" distR="0" wp14:anchorId="05D5D140" wp14:editId="3F4A921B">
            <wp:extent cx="5642610" cy="2030528"/>
            <wp:effectExtent l="0" t="0" r="0" b="825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643574" cy="2030875"/>
                    </a:xfrm>
                    <a:prstGeom prst="rect">
                      <a:avLst/>
                    </a:prstGeom>
                    <a:noFill/>
                    <a:ln>
                      <a:noFill/>
                    </a:ln>
                    <a:extLst>
                      <a:ext uri="{53640926-AAD7-44D8-BBD7-CCE9431645EC}">
                        <a14:shadowObscured xmlns:a14="http://schemas.microsoft.com/office/drawing/2010/main"/>
                      </a:ext>
                    </a:extLst>
                  </pic:spPr>
                </pic:pic>
              </a:graphicData>
            </a:graphic>
          </wp:inline>
        </w:drawing>
      </w:r>
    </w:p>
    <w:p w14:paraId="5CB42B15" w14:textId="74AE26F8" w:rsidR="00CF483E" w:rsidRPr="00507E37" w:rsidRDefault="00CF483E" w:rsidP="00507E37">
      <w:pPr>
        <w:pStyle w:val="Caption"/>
      </w:pPr>
      <w:bookmarkStart w:id="277" w:name="_Ref19536225"/>
      <w:bookmarkStart w:id="278" w:name="_Toc31985600"/>
      <w:r w:rsidRPr="00507E37">
        <w:t xml:space="preserve">Figure </w:t>
      </w:r>
      <w:r>
        <w:fldChar w:fldCharType="begin"/>
      </w:r>
      <w:r>
        <w:instrText>SEQ Figure \* ARABIC</w:instrText>
      </w:r>
      <w:r>
        <w:fldChar w:fldCharType="separate"/>
      </w:r>
      <w:r w:rsidR="007F7607">
        <w:rPr>
          <w:noProof/>
        </w:rPr>
        <w:t>36</w:t>
      </w:r>
      <w:r>
        <w:fldChar w:fldCharType="end"/>
      </w:r>
      <w:bookmarkEnd w:id="277"/>
      <w:r w:rsidRPr="00507E37">
        <w:t>. Ecosystem respiration (ER) from Wallanthery, Cowl Cowl and Whealbah in the Lower Lachlan, June 2018 - June 2019.</w:t>
      </w:r>
      <w:bookmarkEnd w:id="278"/>
    </w:p>
    <w:p w14:paraId="06E5A1EB" w14:textId="77777777" w:rsidR="00CF483E" w:rsidRPr="00507E37" w:rsidRDefault="00CF483E" w:rsidP="00507E37">
      <w:pPr>
        <w:pStyle w:val="Caption"/>
      </w:pPr>
      <w:r w:rsidRPr="00507E37">
        <w:t>Blue shaded vertical bars indicate watering actions.</w:t>
      </w:r>
    </w:p>
    <w:p w14:paraId="32816D51" w14:textId="73C3E8EC" w:rsidR="00CF483E" w:rsidRPr="00507E37" w:rsidRDefault="00CF483E" w:rsidP="00507E37">
      <w:pPr>
        <w:pStyle w:val="Caption"/>
      </w:pPr>
      <w:r w:rsidRPr="00507E37">
        <w:t>Note: W</w:t>
      </w:r>
      <w:r w:rsidR="00050741">
        <w:t>h</w:t>
      </w:r>
      <w:r w:rsidRPr="00507E37">
        <w:t>ealbah on a higher scale for dissolved oxygen and ER.</w:t>
      </w:r>
    </w:p>
    <w:p w14:paraId="2A4B9811" w14:textId="77777777" w:rsidR="00CF483E" w:rsidRDefault="00CF483E" w:rsidP="00CF483E">
      <w:pPr>
        <w:spacing w:before="0" w:after="160" w:line="259" w:lineRule="auto"/>
        <w:rPr>
          <w:lang w:val="x-none" w:eastAsia="x-none"/>
        </w:rPr>
      </w:pPr>
      <w:r>
        <w:rPr>
          <w:lang w:val="x-none" w:eastAsia="x-none"/>
        </w:rPr>
        <w:br w:type="page"/>
      </w:r>
    </w:p>
    <w:p w14:paraId="31157D46" w14:textId="77777777" w:rsidR="00CF483E" w:rsidRDefault="00CF483E" w:rsidP="00CF483E">
      <w:pPr>
        <w:rPr>
          <w:lang w:val="x-none" w:eastAsia="x-none"/>
        </w:rPr>
      </w:pPr>
      <w:r>
        <w:rPr>
          <w:noProof/>
          <w:lang w:eastAsia="en-AU"/>
        </w:rPr>
        <mc:AlternateContent>
          <mc:Choice Requires="wpg">
            <w:drawing>
              <wp:anchor distT="0" distB="0" distL="114300" distR="114300" simplePos="0" relativeHeight="251665408" behindDoc="0" locked="0" layoutInCell="1" allowOverlap="1" wp14:anchorId="2051CD69" wp14:editId="2AD3FE7C">
                <wp:simplePos x="0" y="0"/>
                <wp:positionH relativeFrom="column">
                  <wp:posOffset>1704975</wp:posOffset>
                </wp:positionH>
                <wp:positionV relativeFrom="paragraph">
                  <wp:posOffset>114300</wp:posOffset>
                </wp:positionV>
                <wp:extent cx="3373120" cy="5676900"/>
                <wp:effectExtent l="0" t="0" r="0" b="0"/>
                <wp:wrapNone/>
                <wp:docPr id="1086" name="Group 1086"/>
                <wp:cNvGraphicFramePr/>
                <a:graphic xmlns:a="http://schemas.openxmlformats.org/drawingml/2006/main">
                  <a:graphicData uri="http://schemas.microsoft.com/office/word/2010/wordprocessingGroup">
                    <wpg:wgp>
                      <wpg:cNvGrpSpPr/>
                      <wpg:grpSpPr>
                        <a:xfrm>
                          <a:off x="0" y="0"/>
                          <a:ext cx="3373120" cy="5676900"/>
                          <a:chOff x="0" y="0"/>
                          <a:chExt cx="3373120" cy="7261098"/>
                        </a:xfrm>
                      </wpg:grpSpPr>
                      <wps:wsp>
                        <wps:cNvPr id="1087" name="Rectangle 1087"/>
                        <wps:cNvSpPr/>
                        <wps:spPr>
                          <a:xfrm>
                            <a:off x="3155950" y="0"/>
                            <a:ext cx="217170" cy="7223379"/>
                          </a:xfrm>
                          <a:prstGeom prst="rect">
                            <a:avLst/>
                          </a:prstGeom>
                          <a:solidFill>
                            <a:srgbClr val="4F81BD">
                              <a:lumMod val="60000"/>
                              <a:lumOff val="40000"/>
                              <a:alpha val="32000"/>
                            </a:srgbClr>
                          </a:solidFill>
                          <a:ln w="25400" cap="flat" cmpd="sng" algn="ctr">
                            <a:noFill/>
                            <a:prstDash val="solid"/>
                          </a:ln>
                          <a:effectLst/>
                        </wps:spPr>
                        <wps:txbx>
                          <w:txbxContent>
                            <w:p w14:paraId="47F9A025"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flipH="1">
                            <a:off x="0" y="19050"/>
                            <a:ext cx="236170" cy="7242048"/>
                          </a:xfrm>
                          <a:prstGeom prst="rect">
                            <a:avLst/>
                          </a:prstGeom>
                          <a:solidFill>
                            <a:srgbClr val="4F81BD">
                              <a:lumMod val="60000"/>
                              <a:lumOff val="40000"/>
                              <a:alpha val="32000"/>
                            </a:srgbClr>
                          </a:solidFill>
                          <a:ln w="25400" cap="flat" cmpd="sng" algn="ctr">
                            <a:noFill/>
                            <a:prstDash val="solid"/>
                          </a:ln>
                          <a:effectLst/>
                        </wps:spPr>
                        <wps:txbx>
                          <w:txbxContent>
                            <w:p w14:paraId="5AAC23C6"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438150" y="19050"/>
                            <a:ext cx="83971" cy="7214235"/>
                          </a:xfrm>
                          <a:prstGeom prst="rect">
                            <a:avLst/>
                          </a:prstGeom>
                          <a:solidFill>
                            <a:srgbClr val="4F81BD">
                              <a:lumMod val="60000"/>
                              <a:lumOff val="40000"/>
                              <a:alpha val="32000"/>
                            </a:srgbClr>
                          </a:solidFill>
                          <a:ln w="25400" cap="flat" cmpd="sng" algn="ctr">
                            <a:noFill/>
                            <a:prstDash val="solid"/>
                          </a:ln>
                          <a:effectLst/>
                        </wps:spPr>
                        <wps:txbx>
                          <w:txbxContent>
                            <w:p w14:paraId="300B0434" w14:textId="77777777" w:rsidR="007F7607" w:rsidRDefault="007F7607" w:rsidP="00CF483E"/>
                            <w:p w14:paraId="31ACFA4F"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565150" y="19050"/>
                            <a:ext cx="244698" cy="7214235"/>
                          </a:xfrm>
                          <a:prstGeom prst="rect">
                            <a:avLst/>
                          </a:prstGeom>
                          <a:solidFill>
                            <a:srgbClr val="4F81BD">
                              <a:lumMod val="60000"/>
                              <a:lumOff val="40000"/>
                              <a:alpha val="32000"/>
                            </a:srgbClr>
                          </a:solidFill>
                          <a:ln w="25400" cap="flat" cmpd="sng" algn="ctr">
                            <a:noFill/>
                            <a:prstDash val="solid"/>
                          </a:ln>
                          <a:effectLst/>
                        </wps:spPr>
                        <wps:txbx>
                          <w:txbxContent>
                            <w:p w14:paraId="58D81716" w14:textId="77777777" w:rsidR="007F7607" w:rsidRDefault="007F7607" w:rsidP="00CF483E"/>
                            <w:p w14:paraId="74FA9CED"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051CD69" id="Group 1086" o:spid="_x0000_s1074" style="position:absolute;margin-left:134.25pt;margin-top:9pt;width:265.6pt;height:447pt;z-index:251665408;mso-height-relative:margin" coordsize="33731,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">
                <v:rect id="Rectangle 1087" o:spid="_x0000_s1075" style="position:absolute;left:31559;width:2172;height:72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car8A&#10;AADdAAAADwAAAGRycy9kb3ducmV2LnhtbERPy6rCMBDdX/AfwghuLprqQks1iohVl74+YGjGtthM&#10;ShK1/r0RLtzdHM5zFqvONOJJzteWFYxHCQjiwuqaSwXXSz5MQfiArLGxTAre5GG17P0sMNP2xSd6&#10;nkMpYgj7DBVUIbSZlL6oyKAf2ZY4cjfrDIYIXSm1w1cMN42cJMlUGqw5NlTY0qai4n5+GAXbu6Yi&#10;zfez3Lr2V1/So3O7tVKDfreegwjUhX/xn/ug4/wkncH3m3iC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8VxqvwAAAN0AAAAPAAAAAAAAAAAAAAAAAJgCAABkcnMvZG93bnJl&#10;di54bWxQSwUGAAAAAAQABAD1AAAAhAMAAAAA&#10;" fillcolor="#95b3d7" stroked="f" strokeweight="2pt">
                  <v:fill opacity="21074f"/>
                  <v:textbox>
                    <w:txbxContent>
                      <w:p w14:paraId="47F9A025" w14:textId="77777777" w:rsidR="007F7607" w:rsidRDefault="007F7607" w:rsidP="00CF483E"/>
                    </w:txbxContent>
                  </v:textbox>
                </v:rect>
                <v:rect id="Rectangle 161" o:spid="_x0000_s1076" style="position:absolute;top:190;width:2361;height:724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YFcIA&#10;AADcAAAADwAAAGRycy9kb3ducmV2LnhtbERPS4vCMBC+C/6HMMLeNHURkWoqoit4WVif4G1opg9s&#10;JqWJtru/fiMI3ubje85i2ZlKPKhxpWUF41EEgji1uuRcwem4Hc5AOI+ssbJMCn7JwTLp9xYYa9vy&#10;nh4Hn4sQwi5GBYX3dSylSwsy6Ea2Jg5cZhuDPsAml7rBNoSbSn5G0VQaLDk0FFjTuqD0drgbBZvs&#10;O9rvvs6Tze3S/vw5Sq+TtVPqY9Ct5iA8df4tfrl3OsyfjuH5TLhAJ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9gVwgAAANwAAAAPAAAAAAAAAAAAAAAAAJgCAABkcnMvZG93&#10;bnJldi54bWxQSwUGAAAAAAQABAD1AAAAhwMAAAAA&#10;" fillcolor="#95b3d7" stroked="f" strokeweight="2pt">
                  <v:fill opacity="21074f"/>
                  <v:textbox>
                    <w:txbxContent>
                      <w:p w14:paraId="5AAC23C6" w14:textId="77777777" w:rsidR="007F7607" w:rsidRDefault="007F7607" w:rsidP="00CF483E"/>
                    </w:txbxContent>
                  </v:textbox>
                </v:rect>
                <v:rect id="Rectangle 162" o:spid="_x0000_s1077" style="position:absolute;left:4381;top:190;width:840;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UvMEA&#10;AADcAAAADwAAAGRycy9kb3ducmV2LnhtbERPS2rDMBDdB3oHMYVsQi03i8S4VkIIcdJlPj3AYE1t&#10;E2tkJNV2b18FCtnN432n2E6mEwM531pW8J6kIIgrq1uuFXzdyrcMhA/IGjvLpOCXPGw3L7MCc21H&#10;vtBwDbWIIexzVNCE0OdS+qohgz6xPXHkvq0zGCJ0tdQOxxhuOrlM05U02HJsaLCnfUPV/fpjFBzu&#10;mqqsPK1L6/qFvmVn5447peav0+4DRKApPMX/7k8d56+W8HgmXi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YVLzBAAAA3AAAAA8AAAAAAAAAAAAAAAAAmAIAAGRycy9kb3du&#10;cmV2LnhtbFBLBQYAAAAABAAEAPUAAACGAwAAAAA=&#10;" fillcolor="#95b3d7" stroked="f" strokeweight="2pt">
                  <v:fill opacity="21074f"/>
                  <v:textbox>
                    <w:txbxContent>
                      <w:p w14:paraId="300B0434" w14:textId="77777777" w:rsidR="007F7607" w:rsidRDefault="007F7607" w:rsidP="00CF483E"/>
                      <w:p w14:paraId="31ACFA4F" w14:textId="77777777" w:rsidR="007F7607" w:rsidRDefault="007F7607" w:rsidP="00CF483E"/>
                    </w:txbxContent>
                  </v:textbox>
                </v:rect>
                <v:rect id="Rectangle 163" o:spid="_x0000_s1078" style="position:absolute;left:5651;top:190;width:2447;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TxJ8EA&#10;AADcAAAADwAAAGRycy9kb3ducmV2LnhtbERPzWrCQBC+F3yHZQQvpdlUwYaYVaQ01mNr+gBDdkxC&#10;srNhd6vx7buC0Nt8fL9T7CYziAs531lW8JqkIIhrqztuFPxU5UsGwgdkjYNlUnAjD7vt7KnAXNsr&#10;f9PlFBoRQ9jnqKANYcyl9HVLBn1iR+LIna0zGCJ0jdQOrzHcDHKZpmtpsOPY0OJI7y3V/enXKPjo&#10;NdVZ+flWWjc+6yr7cu6wV2oxn/YbEIGm8C9+uI86zl+v4P5MvE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U8SfBAAAA3AAAAA8AAAAAAAAAAAAAAAAAmAIAAGRycy9kb3du&#10;cmV2LnhtbFBLBQYAAAAABAAEAPUAAACGAwAAAAA=&#10;" fillcolor="#95b3d7" stroked="f" strokeweight="2pt">
                  <v:fill opacity="21074f"/>
                  <v:textbox>
                    <w:txbxContent>
                      <w:p w14:paraId="58D81716" w14:textId="77777777" w:rsidR="007F7607" w:rsidRDefault="007F7607" w:rsidP="00CF483E"/>
                      <w:p w14:paraId="74FA9CED" w14:textId="77777777" w:rsidR="007F7607" w:rsidRDefault="007F7607" w:rsidP="00CF483E"/>
                    </w:txbxContent>
                  </v:textbox>
                </v:rect>
              </v:group>
            </w:pict>
          </mc:Fallback>
        </mc:AlternateContent>
      </w:r>
      <w:r>
        <w:rPr>
          <w:noProof/>
          <w:lang w:eastAsia="en-AU"/>
        </w:rPr>
        <w:drawing>
          <wp:inline distT="0" distB="0" distL="0" distR="0" wp14:anchorId="6446B047" wp14:editId="21D6AB5F">
            <wp:extent cx="5661660" cy="2087672"/>
            <wp:effectExtent l="0" t="0" r="0" b="825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5662627" cy="2088029"/>
                    </a:xfrm>
                    <a:prstGeom prst="rect">
                      <a:avLst/>
                    </a:prstGeom>
                    <a:noFill/>
                    <a:ln>
                      <a:noFill/>
                    </a:ln>
                    <a:extLst>
                      <a:ext uri="{53640926-AAD7-44D8-BBD7-CCE9431645EC}">
                        <a14:shadowObscured xmlns:a14="http://schemas.microsoft.com/office/drawing/2010/main"/>
                      </a:ext>
                    </a:extLst>
                  </pic:spPr>
                </pic:pic>
              </a:graphicData>
            </a:graphic>
          </wp:inline>
        </w:drawing>
      </w:r>
    </w:p>
    <w:p w14:paraId="2073A9A5" w14:textId="77777777" w:rsidR="00CF483E" w:rsidRDefault="00CF483E" w:rsidP="00CF483E">
      <w:pPr>
        <w:rPr>
          <w:lang w:val="x-none" w:eastAsia="x-none"/>
        </w:rPr>
      </w:pPr>
      <w:r>
        <w:rPr>
          <w:noProof/>
          <w:lang w:eastAsia="en-AU"/>
        </w:rPr>
        <w:drawing>
          <wp:inline distT="0" distB="0" distL="0" distR="0" wp14:anchorId="2CB11A3F" wp14:editId="43792A90">
            <wp:extent cx="5671185" cy="2087672"/>
            <wp:effectExtent l="0" t="0" r="5715" b="8255"/>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5672154" cy="2088029"/>
                    </a:xfrm>
                    <a:prstGeom prst="rect">
                      <a:avLst/>
                    </a:prstGeom>
                    <a:noFill/>
                    <a:ln>
                      <a:noFill/>
                    </a:ln>
                    <a:extLst>
                      <a:ext uri="{53640926-AAD7-44D8-BBD7-CCE9431645EC}">
                        <a14:shadowObscured xmlns:a14="http://schemas.microsoft.com/office/drawing/2010/main"/>
                      </a:ext>
                    </a:extLst>
                  </pic:spPr>
                </pic:pic>
              </a:graphicData>
            </a:graphic>
          </wp:inline>
        </w:drawing>
      </w:r>
    </w:p>
    <w:p w14:paraId="103FCFCC" w14:textId="77777777" w:rsidR="00CF483E" w:rsidRDefault="00CF483E" w:rsidP="00CF483E">
      <w:pPr>
        <w:rPr>
          <w:lang w:val="x-none" w:eastAsia="x-none"/>
        </w:rPr>
      </w:pPr>
      <w:r>
        <w:rPr>
          <w:noProof/>
          <w:lang w:eastAsia="en-AU"/>
        </w:rPr>
        <w:drawing>
          <wp:inline distT="0" distB="0" distL="0" distR="0" wp14:anchorId="7C7D5442" wp14:editId="1A62A1FE">
            <wp:extent cx="5670026" cy="2087245"/>
            <wp:effectExtent l="0" t="0" r="6985" b="825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672156" cy="2088029"/>
                    </a:xfrm>
                    <a:prstGeom prst="rect">
                      <a:avLst/>
                    </a:prstGeom>
                    <a:noFill/>
                    <a:ln>
                      <a:noFill/>
                    </a:ln>
                    <a:extLst>
                      <a:ext uri="{53640926-AAD7-44D8-BBD7-CCE9431645EC}">
                        <a14:shadowObscured xmlns:a14="http://schemas.microsoft.com/office/drawing/2010/main"/>
                      </a:ext>
                    </a:extLst>
                  </pic:spPr>
                </pic:pic>
              </a:graphicData>
            </a:graphic>
          </wp:inline>
        </w:drawing>
      </w:r>
    </w:p>
    <w:p w14:paraId="7B138911" w14:textId="1DDF9602" w:rsidR="00CF483E" w:rsidRPr="00953089" w:rsidRDefault="00CF483E" w:rsidP="00953089">
      <w:pPr>
        <w:pStyle w:val="Caption"/>
      </w:pPr>
      <w:bookmarkStart w:id="279" w:name="_Ref19536574"/>
      <w:bookmarkStart w:id="280" w:name="_Toc31985601"/>
      <w:r w:rsidRPr="00953089">
        <w:t xml:space="preserve">Figure </w:t>
      </w:r>
      <w:r>
        <w:fldChar w:fldCharType="begin"/>
      </w:r>
      <w:r>
        <w:instrText>SEQ Figure \* ARABIC</w:instrText>
      </w:r>
      <w:r>
        <w:fldChar w:fldCharType="separate"/>
      </w:r>
      <w:r w:rsidR="007F7607">
        <w:rPr>
          <w:noProof/>
        </w:rPr>
        <w:t>37</w:t>
      </w:r>
      <w:r>
        <w:fldChar w:fldCharType="end"/>
      </w:r>
      <w:bookmarkEnd w:id="279"/>
      <w:r w:rsidRPr="00953089">
        <w:t>. Reaeration (K) from Wallanthery, Cowl Cowl and Whealbah in the Lower Lachlan, June 2018 - June 2019.</w:t>
      </w:r>
      <w:bookmarkEnd w:id="280"/>
    </w:p>
    <w:p w14:paraId="377E47B7" w14:textId="77777777" w:rsidR="00CF483E" w:rsidRPr="00953089" w:rsidRDefault="00CF483E" w:rsidP="00953089">
      <w:pPr>
        <w:pStyle w:val="Caption"/>
      </w:pPr>
      <w:r w:rsidRPr="00953089">
        <w:t>Blue shaded vertical bars indicate watering actions.</w:t>
      </w:r>
    </w:p>
    <w:p w14:paraId="0291F8BF" w14:textId="77777777" w:rsidR="00CF483E" w:rsidRDefault="00CF483E" w:rsidP="00CF483E">
      <w:pPr>
        <w:spacing w:before="0" w:after="160" w:line="259" w:lineRule="auto"/>
        <w:rPr>
          <w:lang w:val="x-none" w:eastAsia="x-none"/>
        </w:rPr>
      </w:pPr>
      <w:r>
        <w:rPr>
          <w:lang w:val="x-none" w:eastAsia="x-none"/>
        </w:rPr>
        <w:br w:type="page"/>
      </w:r>
    </w:p>
    <w:p w14:paraId="350072E1" w14:textId="77777777" w:rsidR="00CF483E" w:rsidRDefault="00CF483E" w:rsidP="00CF483E">
      <w:pPr>
        <w:rPr>
          <w:lang w:val="x-none" w:eastAsia="x-none"/>
        </w:rPr>
      </w:pPr>
      <w:r>
        <w:rPr>
          <w:noProof/>
          <w:lang w:eastAsia="en-AU"/>
        </w:rPr>
        <mc:AlternateContent>
          <mc:Choice Requires="wpg">
            <w:drawing>
              <wp:anchor distT="0" distB="0" distL="114300" distR="114300" simplePos="0" relativeHeight="251666432" behindDoc="0" locked="0" layoutInCell="1" allowOverlap="1" wp14:anchorId="4A487737" wp14:editId="54ED5248">
                <wp:simplePos x="0" y="0"/>
                <wp:positionH relativeFrom="column">
                  <wp:posOffset>1695450</wp:posOffset>
                </wp:positionH>
                <wp:positionV relativeFrom="paragraph">
                  <wp:posOffset>114300</wp:posOffset>
                </wp:positionV>
                <wp:extent cx="3373120" cy="5676900"/>
                <wp:effectExtent l="0" t="0" r="0" b="0"/>
                <wp:wrapNone/>
                <wp:docPr id="164" name="Group 164"/>
                <wp:cNvGraphicFramePr/>
                <a:graphic xmlns:a="http://schemas.openxmlformats.org/drawingml/2006/main">
                  <a:graphicData uri="http://schemas.microsoft.com/office/word/2010/wordprocessingGroup">
                    <wpg:wgp>
                      <wpg:cNvGrpSpPr/>
                      <wpg:grpSpPr>
                        <a:xfrm>
                          <a:off x="0" y="0"/>
                          <a:ext cx="3373120" cy="5676900"/>
                          <a:chOff x="0" y="0"/>
                          <a:chExt cx="3373120" cy="7261098"/>
                        </a:xfrm>
                      </wpg:grpSpPr>
                      <wps:wsp>
                        <wps:cNvPr id="165" name="Rectangle 165"/>
                        <wps:cNvSpPr/>
                        <wps:spPr>
                          <a:xfrm>
                            <a:off x="3155950" y="0"/>
                            <a:ext cx="217170" cy="7223379"/>
                          </a:xfrm>
                          <a:prstGeom prst="rect">
                            <a:avLst/>
                          </a:prstGeom>
                          <a:solidFill>
                            <a:srgbClr val="4F81BD">
                              <a:lumMod val="60000"/>
                              <a:lumOff val="40000"/>
                              <a:alpha val="32000"/>
                            </a:srgbClr>
                          </a:solidFill>
                          <a:ln w="25400" cap="flat" cmpd="sng" algn="ctr">
                            <a:noFill/>
                            <a:prstDash val="solid"/>
                          </a:ln>
                          <a:effectLst/>
                        </wps:spPr>
                        <wps:txbx>
                          <w:txbxContent>
                            <w:p w14:paraId="70B1122F"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flipH="1">
                            <a:off x="0" y="19050"/>
                            <a:ext cx="236170" cy="7242048"/>
                          </a:xfrm>
                          <a:prstGeom prst="rect">
                            <a:avLst/>
                          </a:prstGeom>
                          <a:solidFill>
                            <a:srgbClr val="4F81BD">
                              <a:lumMod val="60000"/>
                              <a:lumOff val="40000"/>
                              <a:alpha val="32000"/>
                            </a:srgbClr>
                          </a:solidFill>
                          <a:ln w="25400" cap="flat" cmpd="sng" algn="ctr">
                            <a:noFill/>
                            <a:prstDash val="solid"/>
                          </a:ln>
                          <a:effectLst/>
                        </wps:spPr>
                        <wps:txbx>
                          <w:txbxContent>
                            <w:p w14:paraId="0BAF14DC"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angle 167"/>
                        <wps:cNvSpPr/>
                        <wps:spPr>
                          <a:xfrm>
                            <a:off x="438150" y="19050"/>
                            <a:ext cx="83971" cy="7214235"/>
                          </a:xfrm>
                          <a:prstGeom prst="rect">
                            <a:avLst/>
                          </a:prstGeom>
                          <a:solidFill>
                            <a:srgbClr val="4F81BD">
                              <a:lumMod val="60000"/>
                              <a:lumOff val="40000"/>
                              <a:alpha val="32000"/>
                            </a:srgbClr>
                          </a:solidFill>
                          <a:ln w="25400" cap="flat" cmpd="sng" algn="ctr">
                            <a:noFill/>
                            <a:prstDash val="solid"/>
                          </a:ln>
                          <a:effectLst/>
                        </wps:spPr>
                        <wps:txbx>
                          <w:txbxContent>
                            <w:p w14:paraId="1DA5FE57" w14:textId="77777777" w:rsidR="007F7607" w:rsidRDefault="007F7607" w:rsidP="00CF483E"/>
                            <w:p w14:paraId="041B0AF4"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565150" y="19050"/>
                            <a:ext cx="244698" cy="7214235"/>
                          </a:xfrm>
                          <a:prstGeom prst="rect">
                            <a:avLst/>
                          </a:prstGeom>
                          <a:solidFill>
                            <a:srgbClr val="4F81BD">
                              <a:lumMod val="60000"/>
                              <a:lumOff val="40000"/>
                              <a:alpha val="32000"/>
                            </a:srgbClr>
                          </a:solidFill>
                          <a:ln w="25400" cap="flat" cmpd="sng" algn="ctr">
                            <a:noFill/>
                            <a:prstDash val="solid"/>
                          </a:ln>
                          <a:effectLst/>
                        </wps:spPr>
                        <wps:txbx>
                          <w:txbxContent>
                            <w:p w14:paraId="70DCE7E1" w14:textId="77777777" w:rsidR="007F7607" w:rsidRDefault="007F7607" w:rsidP="00CF483E"/>
                            <w:p w14:paraId="65B8984C"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A487737" id="Group 164" o:spid="_x0000_s1079" style="position:absolute;margin-left:133.5pt;margin-top:9pt;width:265.6pt;height:447pt;z-index:251666432;mso-height-relative:margin" coordsize="33731,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">
                <v:rect id="Rectangle 165" o:spid="_x0000_s1080" style="position:absolute;left:31559;width:2172;height:72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HMyMEA&#10;AADcAAAADwAAAGRycy9kb3ducmV2LnhtbERPzWrCQBC+F3yHZQQvpdlU0IaYVaQ01mNr+gBDdkxC&#10;srNhd6vx7buC0Nt8fL9T7CYziAs531lW8JqkIIhrqztuFPxU5UsGwgdkjYNlUnAjD7vt7KnAXNsr&#10;f9PlFBoRQ9jnqKANYcyl9HVLBn1iR+LIna0zGCJ0jdQOrzHcDHKZpmtpsOPY0OJI7y3V/enXKPjo&#10;NdVZ+flWWjc+6yr7cu6wV2oxn/YbEIGm8C9+uI86zl+v4P5MvE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xzMjBAAAA3AAAAA8AAAAAAAAAAAAAAAAAmAIAAGRycy9kb3du&#10;cmV2LnhtbFBLBQYAAAAABAAEAPUAAACGAwAAAAA=&#10;" fillcolor="#95b3d7" stroked="f" strokeweight="2pt">
                  <v:fill opacity="21074f"/>
                  <v:textbox>
                    <w:txbxContent>
                      <w:p w14:paraId="70B1122F" w14:textId="77777777" w:rsidR="007F7607" w:rsidRDefault="007F7607" w:rsidP="00CF483E"/>
                    </w:txbxContent>
                  </v:textbox>
                </v:rect>
                <v:rect id="Rectangle 166" o:spid="_x0000_s1081" style="position:absolute;top:190;width:2361;height:7242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5AYcQA&#10;AADcAAAADwAAAGRycy9kb3ducmV2LnhtbERPyWrDMBC9B/IPYgK9xXJDMMG1EoqTQi6FZmmht8Ea&#10;L9gaGUuN3X59VSjkNo+3TrabTCduNLjGsoLHKAZBXFjdcKXgenlZbkA4j6yxs0wKvsnBbjufZZhq&#10;O/KJbmdfiRDCLkUFtfd9KqUrajLoItsTB660g0Ef4FBJPeAYwk0nV3GcSIMNh4Yae8prKtrzl1Gw&#10;L1/j0/Hwvt63H+Pbj6Pic507pR4W0/MTCE+Tv4v/3Ucd5icJ/D0TL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eQGHEAAAA3AAAAA8AAAAAAAAAAAAAAAAAmAIAAGRycy9k&#10;b3ducmV2LnhtbFBLBQYAAAAABAAEAPUAAACJAwAAAAA=&#10;" fillcolor="#95b3d7" stroked="f" strokeweight="2pt">
                  <v:fill opacity="21074f"/>
                  <v:textbox>
                    <w:txbxContent>
                      <w:p w14:paraId="0BAF14DC" w14:textId="77777777" w:rsidR="007F7607" w:rsidRDefault="007F7607" w:rsidP="00CF483E"/>
                    </w:txbxContent>
                  </v:textbox>
                </v:rect>
                <v:rect id="Rectangle 167" o:spid="_x0000_s1082" style="position:absolute;left:4381;top:190;width:840;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3JMEA&#10;AADcAAAADwAAAGRycy9kb3ducmV2LnhtbERPzWrCQBC+C32HZQq9iNnUg4Y0q4gY67FVH2DITpNg&#10;djbsbpP07buC4G0+vt8ptpPpxEDOt5YVvCcpCOLK6pZrBddLuchA+ICssbNMCv7Iw3bzMisw13bk&#10;bxrOoRYxhH2OCpoQ+lxKXzVk0Ce2J47cj3UGQ4SultrhGMNNJ5dpupIGW44NDfa0b6i6nX+NgsNN&#10;U5WVn+vSun6uL9mXc8edUm+v0+4DRKApPMUP90nH+as13J+JF8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v9yTBAAAA3AAAAA8AAAAAAAAAAAAAAAAAmAIAAGRycy9kb3du&#10;cmV2LnhtbFBLBQYAAAAABAAEAPUAAACGAwAAAAA=&#10;" fillcolor="#95b3d7" stroked="f" strokeweight="2pt">
                  <v:fill opacity="21074f"/>
                  <v:textbox>
                    <w:txbxContent>
                      <w:p w14:paraId="1DA5FE57" w14:textId="77777777" w:rsidR="007F7607" w:rsidRDefault="007F7607" w:rsidP="00CF483E"/>
                      <w:p w14:paraId="041B0AF4" w14:textId="77777777" w:rsidR="007F7607" w:rsidRDefault="007F7607" w:rsidP="00CF483E"/>
                    </w:txbxContent>
                  </v:textbox>
                </v:rect>
                <v:rect id="Rectangle 168" o:spid="_x0000_s1083" style="position:absolute;left:5651;top:190;width:2447;height:72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jVsIA&#10;AADcAAAADwAAAGRycy9kb3ducmV2LnhtbESPQW/CMAyF75P4D5GRuKCRwgGqjoDQtALHDfYDrMZr&#10;KxqnSgKUf48PSLvZes/vfV5vB9epG4XYejYwn2WgiCtvW64N/J7L9xxUTMgWO89k4EERtpvR2xoL&#10;6+/8Q7dTqpWEcCzQQJNSX2gdq4YcxpnviUX788FhkjXU2ga8S7jr9CLLltphy9LQYE+fDVWX09UZ&#10;+LpYqvLysCp96Kf2nH+HsN8ZMxkPuw9QiYb0b35dH63gL4VWnpEJ9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GNWwgAAANwAAAAPAAAAAAAAAAAAAAAAAJgCAABkcnMvZG93&#10;bnJldi54bWxQSwUGAAAAAAQABAD1AAAAhwMAAAAA&#10;" fillcolor="#95b3d7" stroked="f" strokeweight="2pt">
                  <v:fill opacity="21074f"/>
                  <v:textbox>
                    <w:txbxContent>
                      <w:p w14:paraId="70DCE7E1" w14:textId="77777777" w:rsidR="007F7607" w:rsidRDefault="007F7607" w:rsidP="00CF483E"/>
                      <w:p w14:paraId="65B8984C" w14:textId="77777777" w:rsidR="007F7607" w:rsidRDefault="007F7607" w:rsidP="00CF483E"/>
                    </w:txbxContent>
                  </v:textbox>
                </v:rect>
              </v:group>
            </w:pict>
          </mc:Fallback>
        </mc:AlternateContent>
      </w:r>
      <w:r>
        <w:rPr>
          <w:noProof/>
          <w:lang w:eastAsia="en-AU"/>
        </w:rPr>
        <w:drawing>
          <wp:inline distT="0" distB="0" distL="0" distR="0" wp14:anchorId="2FE6099E" wp14:editId="2F7A7929">
            <wp:extent cx="5810250" cy="2070561"/>
            <wp:effectExtent l="0" t="0" r="0" b="635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5820183" cy="2074101"/>
                    </a:xfrm>
                    <a:prstGeom prst="rect">
                      <a:avLst/>
                    </a:prstGeom>
                    <a:noFill/>
                    <a:ln>
                      <a:noFill/>
                    </a:ln>
                    <a:extLst>
                      <a:ext uri="{53640926-AAD7-44D8-BBD7-CCE9431645EC}">
                        <a14:shadowObscured xmlns:a14="http://schemas.microsoft.com/office/drawing/2010/main"/>
                      </a:ext>
                    </a:extLst>
                  </pic:spPr>
                </pic:pic>
              </a:graphicData>
            </a:graphic>
          </wp:inline>
        </w:drawing>
      </w:r>
    </w:p>
    <w:p w14:paraId="6D44041E" w14:textId="77777777" w:rsidR="00CF483E" w:rsidRDefault="00CF483E" w:rsidP="00CF483E">
      <w:pPr>
        <w:rPr>
          <w:lang w:val="x-none" w:eastAsia="x-none"/>
        </w:rPr>
      </w:pPr>
      <w:r>
        <w:rPr>
          <w:noProof/>
          <w:lang w:eastAsia="en-AU"/>
        </w:rPr>
        <w:drawing>
          <wp:inline distT="0" distB="0" distL="0" distR="0" wp14:anchorId="072BF9ED" wp14:editId="0886EE0B">
            <wp:extent cx="5671185" cy="2087672"/>
            <wp:effectExtent l="0" t="0" r="5715" b="825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672154" cy="2088029"/>
                    </a:xfrm>
                    <a:prstGeom prst="rect">
                      <a:avLst/>
                    </a:prstGeom>
                    <a:noFill/>
                    <a:ln>
                      <a:noFill/>
                    </a:ln>
                    <a:extLst>
                      <a:ext uri="{53640926-AAD7-44D8-BBD7-CCE9431645EC}">
                        <a14:shadowObscured xmlns:a14="http://schemas.microsoft.com/office/drawing/2010/main"/>
                      </a:ext>
                    </a:extLst>
                  </pic:spPr>
                </pic:pic>
              </a:graphicData>
            </a:graphic>
          </wp:inline>
        </w:drawing>
      </w:r>
    </w:p>
    <w:p w14:paraId="655EF6B2" w14:textId="77777777" w:rsidR="00CF483E" w:rsidRDefault="00CF483E" w:rsidP="00CF483E">
      <w:pPr>
        <w:rPr>
          <w:lang w:val="x-none" w:eastAsia="x-none"/>
        </w:rPr>
      </w:pPr>
      <w:r>
        <w:rPr>
          <w:noProof/>
          <w:lang w:eastAsia="en-AU"/>
        </w:rPr>
        <w:drawing>
          <wp:inline distT="0" distB="0" distL="0" distR="0" wp14:anchorId="04D5C1F0" wp14:editId="3B66CECC">
            <wp:extent cx="5671185" cy="2116244"/>
            <wp:effectExtent l="0" t="0" r="5715"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5672154" cy="2116606"/>
                    </a:xfrm>
                    <a:prstGeom prst="rect">
                      <a:avLst/>
                    </a:prstGeom>
                    <a:noFill/>
                    <a:ln>
                      <a:noFill/>
                    </a:ln>
                    <a:extLst>
                      <a:ext uri="{53640926-AAD7-44D8-BBD7-CCE9431645EC}">
                        <a14:shadowObscured xmlns:a14="http://schemas.microsoft.com/office/drawing/2010/main"/>
                      </a:ext>
                    </a:extLst>
                  </pic:spPr>
                </pic:pic>
              </a:graphicData>
            </a:graphic>
          </wp:inline>
        </w:drawing>
      </w:r>
    </w:p>
    <w:p w14:paraId="072AF7FD" w14:textId="78273A88" w:rsidR="00CF483E" w:rsidRPr="00953089" w:rsidRDefault="00CF483E" w:rsidP="00953089">
      <w:pPr>
        <w:pStyle w:val="Caption"/>
      </w:pPr>
      <w:bookmarkStart w:id="281" w:name="_Ref19537210"/>
      <w:bookmarkStart w:id="282" w:name="_Toc31985602"/>
      <w:r w:rsidRPr="00953089">
        <w:t xml:space="preserve">Figure </w:t>
      </w:r>
      <w:r>
        <w:fldChar w:fldCharType="begin"/>
      </w:r>
      <w:r>
        <w:instrText>SEQ Figure \* ARABIC</w:instrText>
      </w:r>
      <w:r>
        <w:fldChar w:fldCharType="separate"/>
      </w:r>
      <w:r w:rsidR="007F7607">
        <w:rPr>
          <w:noProof/>
        </w:rPr>
        <w:t>38</w:t>
      </w:r>
      <w:r>
        <w:fldChar w:fldCharType="end"/>
      </w:r>
      <w:bookmarkEnd w:id="281"/>
      <w:r w:rsidRPr="00953089">
        <w:t>. GPP/ ER ratio from Wallanthery, Cowl Cowl and Whealbah in the Lower Lachlan, June 2018 - June 2019.</w:t>
      </w:r>
      <w:bookmarkEnd w:id="282"/>
    </w:p>
    <w:p w14:paraId="167858EA" w14:textId="77777777" w:rsidR="00CF483E" w:rsidRPr="00953089" w:rsidRDefault="00CF483E" w:rsidP="00953089">
      <w:pPr>
        <w:pStyle w:val="Caption"/>
      </w:pPr>
      <w:r w:rsidRPr="00953089">
        <w:t>Blue shaded vertical bars indicate watering actions.</w:t>
      </w:r>
    </w:p>
    <w:p w14:paraId="21F7BEBC" w14:textId="77777777" w:rsidR="00CF483E" w:rsidRDefault="00CF483E" w:rsidP="00953089">
      <w:pPr>
        <w:pStyle w:val="Caption"/>
        <w:rPr>
          <w:rStyle w:val="CaptionChar"/>
          <w:bCs/>
          <w:i/>
        </w:rPr>
      </w:pPr>
      <w:r w:rsidRPr="00953089">
        <w:t>Note: Cowl Cowl on a higher scale for dissolved oxygen and the GPP/ ER ratio.</w:t>
      </w:r>
    </w:p>
    <w:p w14:paraId="385CEED7" w14:textId="77777777" w:rsidR="00CF483E" w:rsidRDefault="00CF483E" w:rsidP="00CF483E">
      <w:pPr>
        <w:spacing w:before="0" w:after="160" w:line="259" w:lineRule="auto"/>
      </w:pPr>
      <w:r>
        <w:br w:type="page"/>
      </w:r>
    </w:p>
    <w:p w14:paraId="60437EF4" w14:textId="77777777" w:rsidR="00CF483E" w:rsidRDefault="00CF483E" w:rsidP="00CF483E">
      <w:pPr>
        <w:pStyle w:val="Heading2"/>
      </w:pPr>
      <w:bookmarkStart w:id="283" w:name="_Ref19538562"/>
      <w:bookmarkStart w:id="284" w:name="_Toc31985475"/>
      <w:r>
        <w:t>Appendi</w:t>
      </w:r>
      <w:r>
        <w:rPr>
          <w:lang w:val="en-AU"/>
        </w:rPr>
        <w:t>x 2:</w:t>
      </w:r>
      <w:r w:rsidRPr="000F6D58">
        <w:rPr>
          <w:lang w:val="en-AU"/>
        </w:rPr>
        <w:t xml:space="preserve"> </w:t>
      </w:r>
      <w:r>
        <w:rPr>
          <w:lang w:val="en-AU"/>
        </w:rPr>
        <w:t>Stream metabolism plots for additional sites in the Mid Lachlan River 2018-19</w:t>
      </w:r>
      <w:bookmarkEnd w:id="283"/>
      <w:bookmarkEnd w:id="284"/>
    </w:p>
    <w:p w14:paraId="186A301C" w14:textId="77777777" w:rsidR="00CF483E" w:rsidRPr="00F447C3" w:rsidRDefault="00CF483E" w:rsidP="00CF483E">
      <w:pPr>
        <w:rPr>
          <w:lang w:eastAsia="x-none"/>
        </w:rPr>
      </w:pPr>
    </w:p>
    <w:p w14:paraId="3CC45101" w14:textId="709D3B51" w:rsidR="00CF483E" w:rsidRDefault="00EE02C7" w:rsidP="00CF483E">
      <w:r>
        <w:rPr>
          <w:noProof/>
          <w:lang w:eastAsia="en-AU"/>
        </w:rPr>
        <mc:AlternateContent>
          <mc:Choice Requires="wps">
            <w:drawing>
              <wp:anchor distT="0" distB="0" distL="114300" distR="114300" simplePos="0" relativeHeight="251668480" behindDoc="0" locked="0" layoutInCell="1" allowOverlap="1" wp14:anchorId="5D5AAB15" wp14:editId="721847CA">
                <wp:simplePos x="0" y="0"/>
                <wp:positionH relativeFrom="column">
                  <wp:posOffset>2133600</wp:posOffset>
                </wp:positionH>
                <wp:positionV relativeFrom="paragraph">
                  <wp:posOffset>136525</wp:posOffset>
                </wp:positionV>
                <wp:extent cx="152400" cy="5666740"/>
                <wp:effectExtent l="0" t="0" r="0" b="0"/>
                <wp:wrapNone/>
                <wp:docPr id="72" name="Rectangle 72"/>
                <wp:cNvGraphicFramePr/>
                <a:graphic xmlns:a="http://schemas.openxmlformats.org/drawingml/2006/main">
                  <a:graphicData uri="http://schemas.microsoft.com/office/word/2010/wordprocessingShape">
                    <wps:wsp>
                      <wps:cNvSpPr/>
                      <wps:spPr>
                        <a:xfrm>
                          <a:off x="0" y="0"/>
                          <a:ext cx="152400" cy="566674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CD926" id="Rectangle 72" o:spid="_x0000_s1026" style="position:absolute;margin-left:168pt;margin-top:10.75pt;width:12pt;height:446.2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" fillcolor="#b8cce4 [1300]" stroked="f" strokeweight="2pt">
                <v:fill opacity="21074f"/>
              </v:rect>
            </w:pict>
          </mc:Fallback>
        </mc:AlternateContent>
      </w:r>
      <w:r w:rsidR="00CF483E">
        <w:rPr>
          <w:noProof/>
          <w:lang w:eastAsia="en-AU"/>
        </w:rPr>
        <mc:AlternateContent>
          <mc:Choice Requires="wps">
            <w:drawing>
              <wp:anchor distT="0" distB="0" distL="114300" distR="114300" simplePos="0" relativeHeight="251667456" behindDoc="0" locked="0" layoutInCell="1" allowOverlap="1" wp14:anchorId="30735B40" wp14:editId="28870EDD">
                <wp:simplePos x="0" y="0"/>
                <wp:positionH relativeFrom="column">
                  <wp:posOffset>1552575</wp:posOffset>
                </wp:positionH>
                <wp:positionV relativeFrom="paragraph">
                  <wp:posOffset>125095</wp:posOffset>
                </wp:positionV>
                <wp:extent cx="200025" cy="5676900"/>
                <wp:effectExtent l="0" t="0" r="9525" b="0"/>
                <wp:wrapNone/>
                <wp:docPr id="71" name="Rectangle 71"/>
                <wp:cNvGraphicFramePr/>
                <a:graphic xmlns:a="http://schemas.openxmlformats.org/drawingml/2006/main">
                  <a:graphicData uri="http://schemas.microsoft.com/office/word/2010/wordprocessingShape">
                    <wps:wsp>
                      <wps:cNvSpPr/>
                      <wps:spPr>
                        <a:xfrm>
                          <a:off x="0" y="0"/>
                          <a:ext cx="200025" cy="567690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23B5B2" id="Rectangle 71" o:spid="_x0000_s1026" style="position:absolute;margin-left:122.25pt;margin-top:9.85pt;width:15.75pt;height:44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" fillcolor="#b8cce4 [1300]" stroked="f" strokeweight="2pt">
                <v:fill opacity="21074f"/>
              </v:rect>
            </w:pict>
          </mc:Fallback>
        </mc:AlternateContent>
      </w:r>
      <w:r w:rsidR="00CF483E">
        <w:rPr>
          <w:noProof/>
          <w:lang w:eastAsia="en-AU"/>
        </w:rPr>
        <w:drawing>
          <wp:inline distT="0" distB="0" distL="0" distR="0" wp14:anchorId="23B016D1" wp14:editId="6051FF23">
            <wp:extent cx="5676900" cy="2083743"/>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696646" cy="2090991"/>
                    </a:xfrm>
                    <a:prstGeom prst="rect">
                      <a:avLst/>
                    </a:prstGeom>
                    <a:noFill/>
                    <a:ln>
                      <a:noFill/>
                    </a:ln>
                    <a:extLst>
                      <a:ext uri="{53640926-AAD7-44D8-BBD7-CCE9431645EC}">
                        <a14:shadowObscured xmlns:a14="http://schemas.microsoft.com/office/drawing/2010/main"/>
                      </a:ext>
                    </a:extLst>
                  </pic:spPr>
                </pic:pic>
              </a:graphicData>
            </a:graphic>
          </wp:inline>
        </w:drawing>
      </w:r>
    </w:p>
    <w:p w14:paraId="52645AFE" w14:textId="77777777" w:rsidR="00CF483E" w:rsidRDefault="00CF483E" w:rsidP="00CF483E">
      <w:r>
        <w:rPr>
          <w:noProof/>
          <w:lang w:eastAsia="en-AU"/>
        </w:rPr>
        <w:drawing>
          <wp:inline distT="0" distB="0" distL="0" distR="0" wp14:anchorId="7468404A" wp14:editId="44B5CD29">
            <wp:extent cx="5652135" cy="2099643"/>
            <wp:effectExtent l="0" t="0" r="5715"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660021" cy="2102572"/>
                    </a:xfrm>
                    <a:prstGeom prst="rect">
                      <a:avLst/>
                    </a:prstGeom>
                    <a:noFill/>
                    <a:ln>
                      <a:noFill/>
                    </a:ln>
                    <a:extLst>
                      <a:ext uri="{53640926-AAD7-44D8-BBD7-CCE9431645EC}">
                        <a14:shadowObscured xmlns:a14="http://schemas.microsoft.com/office/drawing/2010/main"/>
                      </a:ext>
                    </a:extLst>
                  </pic:spPr>
                </pic:pic>
              </a:graphicData>
            </a:graphic>
          </wp:inline>
        </w:drawing>
      </w:r>
    </w:p>
    <w:p w14:paraId="6F03B4FC" w14:textId="77777777" w:rsidR="00CF483E" w:rsidRDefault="00CF483E" w:rsidP="00CF483E">
      <w:r>
        <w:rPr>
          <w:noProof/>
          <w:lang w:eastAsia="en-AU"/>
        </w:rPr>
        <w:drawing>
          <wp:inline distT="0" distB="0" distL="0" distR="0" wp14:anchorId="249C69FF" wp14:editId="0D8C89DF">
            <wp:extent cx="5661660" cy="209719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668065" cy="2099569"/>
                    </a:xfrm>
                    <a:prstGeom prst="rect">
                      <a:avLst/>
                    </a:prstGeom>
                    <a:noFill/>
                    <a:ln>
                      <a:noFill/>
                    </a:ln>
                    <a:extLst>
                      <a:ext uri="{53640926-AAD7-44D8-BBD7-CCE9431645EC}">
                        <a14:shadowObscured xmlns:a14="http://schemas.microsoft.com/office/drawing/2010/main"/>
                      </a:ext>
                    </a:extLst>
                  </pic:spPr>
                </pic:pic>
              </a:graphicData>
            </a:graphic>
          </wp:inline>
        </w:drawing>
      </w:r>
    </w:p>
    <w:p w14:paraId="7C432B44" w14:textId="5BEB67E0" w:rsidR="00CF483E" w:rsidRPr="00050741" w:rsidRDefault="00CF483E" w:rsidP="00050741">
      <w:pPr>
        <w:pStyle w:val="Caption"/>
      </w:pPr>
      <w:bookmarkStart w:id="285" w:name="_Ref19538912"/>
      <w:bookmarkStart w:id="286" w:name="_Toc31985603"/>
      <w:r w:rsidRPr="00050741">
        <w:t xml:space="preserve">Figure </w:t>
      </w:r>
      <w:r>
        <w:fldChar w:fldCharType="begin"/>
      </w:r>
      <w:r>
        <w:instrText>SEQ Figure \* ARABIC</w:instrText>
      </w:r>
      <w:r>
        <w:fldChar w:fldCharType="separate"/>
      </w:r>
      <w:r w:rsidR="007F7607">
        <w:rPr>
          <w:noProof/>
        </w:rPr>
        <w:t>39</w:t>
      </w:r>
      <w:r>
        <w:fldChar w:fldCharType="end"/>
      </w:r>
      <w:bookmarkEnd w:id="285"/>
      <w:r w:rsidRPr="00050741">
        <w:t>. Gross primary production (GPP) from Kirkup Park, Mulgutherie and Euabalong in the Mid Lachlan, August 2018 - June 2019.</w:t>
      </w:r>
      <w:bookmarkEnd w:id="286"/>
    </w:p>
    <w:p w14:paraId="37DFDC7F" w14:textId="77777777" w:rsidR="00CF483E" w:rsidRPr="00050741" w:rsidRDefault="00CF483E" w:rsidP="00050741">
      <w:pPr>
        <w:pStyle w:val="Caption"/>
      </w:pPr>
      <w:r w:rsidRPr="00050741">
        <w:t>Blue shaded vertical bars indicate watering actions.</w:t>
      </w:r>
    </w:p>
    <w:p w14:paraId="221AB34E" w14:textId="77777777" w:rsidR="00CF483E" w:rsidRPr="003358DE" w:rsidRDefault="00CF483E" w:rsidP="00050741">
      <w:pPr>
        <w:pStyle w:val="Caption"/>
      </w:pPr>
      <w:r w:rsidRPr="00050741">
        <w:t>Note: Euabalong on a lower scale for discharge.</w:t>
      </w:r>
      <w:r w:rsidRPr="003358DE">
        <w:rPr>
          <w:rStyle w:val="CaptionChar"/>
          <w:bCs/>
          <w:i/>
        </w:rPr>
        <w:t xml:space="preserve"> </w:t>
      </w:r>
      <w:r w:rsidRPr="003358DE">
        <w:br w:type="page"/>
      </w:r>
    </w:p>
    <w:p w14:paraId="755D6F87" w14:textId="6A31A0C4" w:rsidR="00CF483E" w:rsidRDefault="00EE02C7" w:rsidP="00CF483E">
      <w:r>
        <w:rPr>
          <w:noProof/>
          <w:lang w:eastAsia="en-AU"/>
        </w:rPr>
        <mc:AlternateContent>
          <mc:Choice Requires="wps">
            <w:drawing>
              <wp:anchor distT="0" distB="0" distL="114300" distR="114300" simplePos="0" relativeHeight="251671552" behindDoc="0" locked="0" layoutInCell="1" allowOverlap="1" wp14:anchorId="444DC12B" wp14:editId="6391D9AC">
                <wp:simplePos x="0" y="0"/>
                <wp:positionH relativeFrom="column">
                  <wp:posOffset>2139951</wp:posOffset>
                </wp:positionH>
                <wp:positionV relativeFrom="paragraph">
                  <wp:posOffset>170180</wp:posOffset>
                </wp:positionV>
                <wp:extent cx="120650" cy="5524500"/>
                <wp:effectExtent l="0" t="0" r="0" b="0"/>
                <wp:wrapNone/>
                <wp:docPr id="173" name="Rectangle 173"/>
                <wp:cNvGraphicFramePr/>
                <a:graphic xmlns:a="http://schemas.openxmlformats.org/drawingml/2006/main">
                  <a:graphicData uri="http://schemas.microsoft.com/office/word/2010/wordprocessingShape">
                    <wps:wsp>
                      <wps:cNvSpPr/>
                      <wps:spPr>
                        <a:xfrm>
                          <a:off x="0" y="0"/>
                          <a:ext cx="120650" cy="552450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FB4A15" id="Rectangle 173" o:spid="_x0000_s1026" style="position:absolute;margin-left:168.5pt;margin-top:13.4pt;width:9.5pt;height:43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70528" behindDoc="0" locked="0" layoutInCell="1" allowOverlap="1" wp14:anchorId="52877C63" wp14:editId="6D587505">
                <wp:simplePos x="0" y="0"/>
                <wp:positionH relativeFrom="column">
                  <wp:posOffset>1574800</wp:posOffset>
                </wp:positionH>
                <wp:positionV relativeFrom="paragraph">
                  <wp:posOffset>163830</wp:posOffset>
                </wp:positionV>
                <wp:extent cx="171450" cy="5534025"/>
                <wp:effectExtent l="0" t="0" r="0" b="9525"/>
                <wp:wrapNone/>
                <wp:docPr id="172" name="Rectangle 172"/>
                <wp:cNvGraphicFramePr/>
                <a:graphic xmlns:a="http://schemas.openxmlformats.org/drawingml/2006/main">
                  <a:graphicData uri="http://schemas.microsoft.com/office/word/2010/wordprocessingShape">
                    <wps:wsp>
                      <wps:cNvSpPr/>
                      <wps:spPr>
                        <a:xfrm>
                          <a:off x="0" y="0"/>
                          <a:ext cx="171450" cy="5534025"/>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25039B" id="Rectangle 172" o:spid="_x0000_s1026" style="position:absolute;margin-left:124pt;margin-top:12.9pt;width:13.5pt;height:435.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" fillcolor="#b8cce4 [1300]" stroked="f" strokeweight="2pt">
                <v:fill opacity="21074f"/>
              </v:rect>
            </w:pict>
          </mc:Fallback>
        </mc:AlternateContent>
      </w:r>
      <w:r w:rsidR="00CF483E">
        <w:rPr>
          <w:noProof/>
          <w:lang w:eastAsia="en-AU"/>
        </w:rPr>
        <w:drawing>
          <wp:inline distT="0" distB="0" distL="0" distR="0" wp14:anchorId="66A9DD99" wp14:editId="758E4357">
            <wp:extent cx="5606412" cy="2105025"/>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5615716" cy="2108518"/>
                    </a:xfrm>
                    <a:prstGeom prst="rect">
                      <a:avLst/>
                    </a:prstGeom>
                    <a:noFill/>
                    <a:ln>
                      <a:noFill/>
                    </a:ln>
                    <a:extLst>
                      <a:ext uri="{53640926-AAD7-44D8-BBD7-CCE9431645EC}">
                        <a14:shadowObscured xmlns:a14="http://schemas.microsoft.com/office/drawing/2010/main"/>
                      </a:ext>
                    </a:extLst>
                  </pic:spPr>
                </pic:pic>
              </a:graphicData>
            </a:graphic>
          </wp:inline>
        </w:drawing>
      </w:r>
    </w:p>
    <w:p w14:paraId="1C8C9717" w14:textId="77777777" w:rsidR="00CF483E" w:rsidRDefault="00CF483E" w:rsidP="00CF483E">
      <w:r>
        <w:rPr>
          <w:noProof/>
          <w:lang w:eastAsia="en-AU"/>
        </w:rPr>
        <w:drawing>
          <wp:inline distT="0" distB="0" distL="0" distR="0" wp14:anchorId="3080AAA1" wp14:editId="6DBA4AA0">
            <wp:extent cx="5661660" cy="2068625"/>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5662627" cy="2068978"/>
                    </a:xfrm>
                    <a:prstGeom prst="rect">
                      <a:avLst/>
                    </a:prstGeom>
                    <a:noFill/>
                    <a:ln>
                      <a:noFill/>
                    </a:ln>
                    <a:extLst>
                      <a:ext uri="{53640926-AAD7-44D8-BBD7-CCE9431645EC}">
                        <a14:shadowObscured xmlns:a14="http://schemas.microsoft.com/office/drawing/2010/main"/>
                      </a:ext>
                    </a:extLst>
                  </pic:spPr>
                </pic:pic>
              </a:graphicData>
            </a:graphic>
          </wp:inline>
        </w:drawing>
      </w:r>
    </w:p>
    <w:p w14:paraId="588D095F" w14:textId="77777777" w:rsidR="00CF483E" w:rsidRDefault="00CF483E" w:rsidP="00CF483E">
      <w:pPr>
        <w:rPr>
          <w:noProof/>
        </w:rPr>
      </w:pPr>
      <w:r>
        <w:rPr>
          <w:noProof/>
        </w:rPr>
        <w:t xml:space="preserve"> </w:t>
      </w:r>
      <w:r>
        <w:rPr>
          <w:noProof/>
          <w:lang w:eastAsia="en-AU"/>
        </w:rPr>
        <w:drawing>
          <wp:inline distT="0" distB="0" distL="0" distR="0" wp14:anchorId="5885A9BA" wp14:editId="1ECDDD3B">
            <wp:extent cx="5623560" cy="2004032"/>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637466" cy="2008988"/>
                    </a:xfrm>
                    <a:prstGeom prst="rect">
                      <a:avLst/>
                    </a:prstGeom>
                    <a:noFill/>
                    <a:ln>
                      <a:noFill/>
                    </a:ln>
                    <a:extLst>
                      <a:ext uri="{53640926-AAD7-44D8-BBD7-CCE9431645EC}">
                        <a14:shadowObscured xmlns:a14="http://schemas.microsoft.com/office/drawing/2010/main"/>
                      </a:ext>
                    </a:extLst>
                  </pic:spPr>
                </pic:pic>
              </a:graphicData>
            </a:graphic>
          </wp:inline>
        </w:drawing>
      </w:r>
    </w:p>
    <w:p w14:paraId="35AD6E4F" w14:textId="5A40E3BD" w:rsidR="00CF483E" w:rsidRPr="00050741" w:rsidRDefault="00CF483E" w:rsidP="00050741">
      <w:pPr>
        <w:pStyle w:val="Caption"/>
      </w:pPr>
      <w:bookmarkStart w:id="287" w:name="_Ref19538915"/>
      <w:bookmarkStart w:id="288" w:name="_Toc31985604"/>
      <w:r w:rsidRPr="00050741">
        <w:t xml:space="preserve">Figure </w:t>
      </w:r>
      <w:r>
        <w:fldChar w:fldCharType="begin"/>
      </w:r>
      <w:r>
        <w:instrText>SEQ Figure \* ARABIC</w:instrText>
      </w:r>
      <w:r>
        <w:fldChar w:fldCharType="separate"/>
      </w:r>
      <w:r w:rsidR="007F7607">
        <w:rPr>
          <w:noProof/>
        </w:rPr>
        <w:t>40</w:t>
      </w:r>
      <w:r>
        <w:fldChar w:fldCharType="end"/>
      </w:r>
      <w:bookmarkEnd w:id="287"/>
      <w:r w:rsidRPr="00050741">
        <w:t>. Ecosystem respiration (ER) from Kirkup Park, Mulgutherie and Euabalong in the Mid Lachlan River, August 2018 - June 2019.</w:t>
      </w:r>
      <w:bookmarkEnd w:id="288"/>
    </w:p>
    <w:p w14:paraId="596D9CA5" w14:textId="77777777" w:rsidR="00CF483E" w:rsidRPr="00050741" w:rsidRDefault="00CF483E" w:rsidP="00050741">
      <w:pPr>
        <w:pStyle w:val="Caption"/>
      </w:pPr>
      <w:r w:rsidRPr="00050741">
        <w:t>Blue shaded vertical bars indicate watering actions.</w:t>
      </w:r>
    </w:p>
    <w:p w14:paraId="5D1F5EE0" w14:textId="77777777" w:rsidR="00CF483E" w:rsidRPr="003358DE" w:rsidRDefault="00CF483E" w:rsidP="00050741">
      <w:pPr>
        <w:pStyle w:val="Caption"/>
      </w:pPr>
      <w:r w:rsidRPr="00050741">
        <w:t>Note: All sites on different scales for dissolved oxygen and ER. Euabalong on a lower scale for discharge.</w:t>
      </w:r>
      <w:r w:rsidRPr="003358DE">
        <w:rPr>
          <w:rStyle w:val="CaptionChar"/>
          <w:bCs/>
          <w:i/>
        </w:rPr>
        <w:t xml:space="preserve"> </w:t>
      </w:r>
      <w:r w:rsidRPr="003358DE">
        <w:br w:type="page"/>
      </w:r>
    </w:p>
    <w:p w14:paraId="178797A9" w14:textId="34E283B8" w:rsidR="00CF483E" w:rsidRDefault="00EE02C7" w:rsidP="00CF483E">
      <w:r>
        <w:rPr>
          <w:noProof/>
          <w:lang w:eastAsia="en-AU"/>
        </w:rPr>
        <mc:AlternateContent>
          <mc:Choice Requires="wps">
            <w:drawing>
              <wp:anchor distT="0" distB="0" distL="114300" distR="114300" simplePos="0" relativeHeight="251674624" behindDoc="0" locked="0" layoutInCell="1" allowOverlap="1" wp14:anchorId="11723650" wp14:editId="5AACD2B6">
                <wp:simplePos x="0" y="0"/>
                <wp:positionH relativeFrom="column">
                  <wp:posOffset>2101851</wp:posOffset>
                </wp:positionH>
                <wp:positionV relativeFrom="paragraph">
                  <wp:posOffset>157480</wp:posOffset>
                </wp:positionV>
                <wp:extent cx="107950" cy="5638165"/>
                <wp:effectExtent l="0" t="0" r="6350" b="635"/>
                <wp:wrapNone/>
                <wp:docPr id="87" name="Rectangle 87"/>
                <wp:cNvGraphicFramePr/>
                <a:graphic xmlns:a="http://schemas.openxmlformats.org/drawingml/2006/main">
                  <a:graphicData uri="http://schemas.microsoft.com/office/word/2010/wordprocessingShape">
                    <wps:wsp>
                      <wps:cNvSpPr/>
                      <wps:spPr>
                        <a:xfrm>
                          <a:off x="0" y="0"/>
                          <a:ext cx="107950" cy="5638165"/>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F6040C" id="Rectangle 87" o:spid="_x0000_s1026" style="position:absolute;margin-left:165.5pt;margin-top:12.4pt;width:8.5pt;height:443.9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73600" behindDoc="0" locked="0" layoutInCell="1" allowOverlap="1" wp14:anchorId="75BD2755" wp14:editId="331C6563">
                <wp:simplePos x="0" y="0"/>
                <wp:positionH relativeFrom="column">
                  <wp:posOffset>1504950</wp:posOffset>
                </wp:positionH>
                <wp:positionV relativeFrom="paragraph">
                  <wp:posOffset>144780</wp:posOffset>
                </wp:positionV>
                <wp:extent cx="219075" cy="5648325"/>
                <wp:effectExtent l="0" t="0" r="9525" b="9525"/>
                <wp:wrapNone/>
                <wp:docPr id="86" name="Rectangle 86"/>
                <wp:cNvGraphicFramePr/>
                <a:graphic xmlns:a="http://schemas.openxmlformats.org/drawingml/2006/main">
                  <a:graphicData uri="http://schemas.microsoft.com/office/word/2010/wordprocessingShape">
                    <wps:wsp>
                      <wps:cNvSpPr/>
                      <wps:spPr>
                        <a:xfrm>
                          <a:off x="0" y="0"/>
                          <a:ext cx="219075" cy="5648325"/>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9FE4A" id="Rectangle 86" o:spid="_x0000_s1026" style="position:absolute;margin-left:118.5pt;margin-top:11.4pt;width:17.25pt;height:444.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" fillcolor="#b8cce4 [1300]" stroked="f" strokeweight="2pt">
                <v:fill opacity="21074f"/>
              </v:rect>
            </w:pict>
          </mc:Fallback>
        </mc:AlternateContent>
      </w:r>
      <w:r w:rsidR="00CF483E">
        <w:rPr>
          <w:noProof/>
          <w:lang w:eastAsia="en-AU"/>
        </w:rPr>
        <w:drawing>
          <wp:inline distT="0" distB="0" distL="0" distR="0" wp14:anchorId="6239E621" wp14:editId="636A5590">
            <wp:extent cx="5661660" cy="2097197"/>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662627" cy="2097555"/>
                    </a:xfrm>
                    <a:prstGeom prst="rect">
                      <a:avLst/>
                    </a:prstGeom>
                    <a:noFill/>
                    <a:ln>
                      <a:noFill/>
                    </a:ln>
                    <a:extLst>
                      <a:ext uri="{53640926-AAD7-44D8-BBD7-CCE9431645EC}">
                        <a14:shadowObscured xmlns:a14="http://schemas.microsoft.com/office/drawing/2010/main"/>
                      </a:ext>
                    </a:extLst>
                  </pic:spPr>
                </pic:pic>
              </a:graphicData>
            </a:graphic>
          </wp:inline>
        </w:drawing>
      </w:r>
    </w:p>
    <w:p w14:paraId="47D1F188" w14:textId="77777777" w:rsidR="00CF483E" w:rsidRDefault="00CF483E" w:rsidP="00CF483E">
      <w:r>
        <w:rPr>
          <w:noProof/>
          <w:lang w:eastAsia="en-AU"/>
        </w:rPr>
        <w:drawing>
          <wp:inline distT="0" distB="0" distL="0" distR="0" wp14:anchorId="111F3C9E" wp14:editId="016163E9">
            <wp:extent cx="5671185" cy="2106720"/>
            <wp:effectExtent l="0" t="0" r="5715"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5672154" cy="2107080"/>
                    </a:xfrm>
                    <a:prstGeom prst="rect">
                      <a:avLst/>
                    </a:prstGeom>
                    <a:noFill/>
                    <a:ln>
                      <a:noFill/>
                    </a:ln>
                    <a:extLst>
                      <a:ext uri="{53640926-AAD7-44D8-BBD7-CCE9431645EC}">
                        <a14:shadowObscured xmlns:a14="http://schemas.microsoft.com/office/drawing/2010/main"/>
                      </a:ext>
                    </a:extLst>
                  </pic:spPr>
                </pic:pic>
              </a:graphicData>
            </a:graphic>
          </wp:inline>
        </w:drawing>
      </w:r>
    </w:p>
    <w:p w14:paraId="5C2BBEA7" w14:textId="77777777" w:rsidR="00CF483E" w:rsidRDefault="00CF483E" w:rsidP="00CF483E">
      <w:r>
        <w:rPr>
          <w:noProof/>
          <w:lang w:eastAsia="en-AU"/>
        </w:rPr>
        <w:drawing>
          <wp:inline distT="0" distB="0" distL="0" distR="0" wp14:anchorId="21D0A68D" wp14:editId="10429905">
            <wp:extent cx="5661660" cy="2068625"/>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5662627" cy="2068978"/>
                    </a:xfrm>
                    <a:prstGeom prst="rect">
                      <a:avLst/>
                    </a:prstGeom>
                    <a:noFill/>
                    <a:ln>
                      <a:noFill/>
                    </a:ln>
                    <a:extLst>
                      <a:ext uri="{53640926-AAD7-44D8-BBD7-CCE9431645EC}">
                        <a14:shadowObscured xmlns:a14="http://schemas.microsoft.com/office/drawing/2010/main"/>
                      </a:ext>
                    </a:extLst>
                  </pic:spPr>
                </pic:pic>
              </a:graphicData>
            </a:graphic>
          </wp:inline>
        </w:drawing>
      </w:r>
    </w:p>
    <w:p w14:paraId="153DFB1D" w14:textId="73C3FAFC" w:rsidR="00CF483E" w:rsidRPr="00050741" w:rsidRDefault="00CF483E" w:rsidP="00050741">
      <w:pPr>
        <w:pStyle w:val="Caption"/>
      </w:pPr>
      <w:bookmarkStart w:id="289" w:name="_Ref19538933"/>
      <w:bookmarkStart w:id="290" w:name="_Toc31985605"/>
      <w:bookmarkStart w:id="291" w:name="_Hlk19098964"/>
      <w:r w:rsidRPr="00050741">
        <w:t xml:space="preserve">Figure </w:t>
      </w:r>
      <w:r>
        <w:fldChar w:fldCharType="begin"/>
      </w:r>
      <w:r>
        <w:instrText>SEQ Figure \* ARABIC</w:instrText>
      </w:r>
      <w:r>
        <w:fldChar w:fldCharType="separate"/>
      </w:r>
      <w:r w:rsidR="007F7607">
        <w:rPr>
          <w:noProof/>
        </w:rPr>
        <w:t>41</w:t>
      </w:r>
      <w:r>
        <w:fldChar w:fldCharType="end"/>
      </w:r>
      <w:bookmarkEnd w:id="289"/>
      <w:r w:rsidRPr="00050741">
        <w:t>. Reaeration (K) from Kirkup Park, Mulgutherie and Euabalong in the Mid Lachlan River, August 2018 - June 2019.</w:t>
      </w:r>
      <w:bookmarkEnd w:id="290"/>
    </w:p>
    <w:p w14:paraId="05D75756" w14:textId="77777777" w:rsidR="00CF483E" w:rsidRPr="00050741" w:rsidRDefault="00CF483E" w:rsidP="00050741">
      <w:pPr>
        <w:pStyle w:val="Caption"/>
      </w:pPr>
      <w:r w:rsidRPr="00050741">
        <w:t>Blue shaded vertical bars indicate watering actions.</w:t>
      </w:r>
    </w:p>
    <w:p w14:paraId="313E42E1" w14:textId="77777777" w:rsidR="00CF483E" w:rsidRPr="003358DE" w:rsidRDefault="00CF483E" w:rsidP="00050741">
      <w:pPr>
        <w:pStyle w:val="Caption"/>
      </w:pPr>
      <w:r w:rsidRPr="00050741">
        <w:t>Note: Euabalong on a lower scale for discharge.</w:t>
      </w:r>
      <w:r w:rsidRPr="003358DE">
        <w:rPr>
          <w:rStyle w:val="CaptionChar"/>
          <w:bCs/>
          <w:i/>
        </w:rPr>
        <w:t xml:space="preserve"> </w:t>
      </w:r>
      <w:bookmarkEnd w:id="291"/>
      <w:r w:rsidRPr="003358DE">
        <w:br w:type="page"/>
      </w:r>
    </w:p>
    <w:p w14:paraId="3C9873E7" w14:textId="4240BD6A" w:rsidR="00CF483E" w:rsidRDefault="00EE02C7" w:rsidP="00CF483E">
      <w:r>
        <w:rPr>
          <w:noProof/>
          <w:lang w:eastAsia="en-AU"/>
        </w:rPr>
        <mc:AlternateContent>
          <mc:Choice Requires="wps">
            <w:drawing>
              <wp:anchor distT="0" distB="0" distL="114300" distR="114300" simplePos="0" relativeHeight="251677696" behindDoc="0" locked="0" layoutInCell="1" allowOverlap="1" wp14:anchorId="30580125" wp14:editId="206F19B5">
                <wp:simplePos x="0" y="0"/>
                <wp:positionH relativeFrom="column">
                  <wp:posOffset>2171701</wp:posOffset>
                </wp:positionH>
                <wp:positionV relativeFrom="paragraph">
                  <wp:posOffset>106680</wp:posOffset>
                </wp:positionV>
                <wp:extent cx="107950" cy="5666740"/>
                <wp:effectExtent l="0" t="0" r="6350" b="0"/>
                <wp:wrapNone/>
                <wp:docPr id="118" name="Rectangle 118"/>
                <wp:cNvGraphicFramePr/>
                <a:graphic xmlns:a="http://schemas.openxmlformats.org/drawingml/2006/main">
                  <a:graphicData uri="http://schemas.microsoft.com/office/word/2010/wordprocessingShape">
                    <wps:wsp>
                      <wps:cNvSpPr/>
                      <wps:spPr>
                        <a:xfrm>
                          <a:off x="0" y="0"/>
                          <a:ext cx="107950" cy="566674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E361C0" id="Rectangle 118" o:spid="_x0000_s1026" style="position:absolute;margin-left:171pt;margin-top:8.4pt;width:8.5pt;height:446.2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76672" behindDoc="0" locked="0" layoutInCell="1" allowOverlap="1" wp14:anchorId="4AF52CA0" wp14:editId="33B3F304">
                <wp:simplePos x="0" y="0"/>
                <wp:positionH relativeFrom="column">
                  <wp:posOffset>1574800</wp:posOffset>
                </wp:positionH>
                <wp:positionV relativeFrom="paragraph">
                  <wp:posOffset>93980</wp:posOffset>
                </wp:positionV>
                <wp:extent cx="190500" cy="5676900"/>
                <wp:effectExtent l="0" t="0" r="0" b="0"/>
                <wp:wrapNone/>
                <wp:docPr id="98" name="Rectangle 98"/>
                <wp:cNvGraphicFramePr/>
                <a:graphic xmlns:a="http://schemas.openxmlformats.org/drawingml/2006/main">
                  <a:graphicData uri="http://schemas.microsoft.com/office/word/2010/wordprocessingShape">
                    <wps:wsp>
                      <wps:cNvSpPr/>
                      <wps:spPr>
                        <a:xfrm>
                          <a:off x="0" y="0"/>
                          <a:ext cx="190500" cy="567690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562DF9" id="Rectangle 98" o:spid="_x0000_s1026" style="position:absolute;margin-left:124pt;margin-top:7.4pt;width:15pt;height:44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" fillcolor="#b8cce4 [1300]" stroked="f" strokeweight="2pt">
                <v:fill opacity="21074f"/>
              </v:rect>
            </w:pict>
          </mc:Fallback>
        </mc:AlternateContent>
      </w:r>
      <w:r w:rsidR="00CF483E">
        <w:rPr>
          <w:noProof/>
          <w:lang w:eastAsia="en-AU"/>
        </w:rPr>
        <w:drawing>
          <wp:inline distT="0" distB="0" distL="0" distR="0" wp14:anchorId="05CF3823" wp14:editId="4B8C3141">
            <wp:extent cx="5671185" cy="205910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5672154" cy="2059452"/>
                    </a:xfrm>
                    <a:prstGeom prst="rect">
                      <a:avLst/>
                    </a:prstGeom>
                    <a:noFill/>
                    <a:ln>
                      <a:noFill/>
                    </a:ln>
                    <a:extLst>
                      <a:ext uri="{53640926-AAD7-44D8-BBD7-CCE9431645EC}">
                        <a14:shadowObscured xmlns:a14="http://schemas.microsoft.com/office/drawing/2010/main"/>
                      </a:ext>
                    </a:extLst>
                  </pic:spPr>
                </pic:pic>
              </a:graphicData>
            </a:graphic>
          </wp:inline>
        </w:drawing>
      </w:r>
    </w:p>
    <w:p w14:paraId="3FA3274E" w14:textId="77777777" w:rsidR="00CF483E" w:rsidRDefault="00CF483E" w:rsidP="00CF483E">
      <w:r>
        <w:rPr>
          <w:noProof/>
          <w:lang w:eastAsia="en-AU"/>
        </w:rPr>
        <w:drawing>
          <wp:inline distT="0" distB="0" distL="0" distR="0" wp14:anchorId="6C9EC1D8" wp14:editId="73F78DDA">
            <wp:extent cx="5661660" cy="2125769"/>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662627" cy="2126132"/>
                    </a:xfrm>
                    <a:prstGeom prst="rect">
                      <a:avLst/>
                    </a:prstGeom>
                    <a:noFill/>
                    <a:ln>
                      <a:noFill/>
                    </a:ln>
                    <a:extLst>
                      <a:ext uri="{53640926-AAD7-44D8-BBD7-CCE9431645EC}">
                        <a14:shadowObscured xmlns:a14="http://schemas.microsoft.com/office/drawing/2010/main"/>
                      </a:ext>
                    </a:extLst>
                  </pic:spPr>
                </pic:pic>
              </a:graphicData>
            </a:graphic>
          </wp:inline>
        </w:drawing>
      </w:r>
    </w:p>
    <w:p w14:paraId="7127B2A0" w14:textId="77777777" w:rsidR="00CF483E" w:rsidRDefault="00CF483E" w:rsidP="00CF483E">
      <w:r>
        <w:rPr>
          <w:noProof/>
        </w:rPr>
        <w:t xml:space="preserve"> </w:t>
      </w:r>
      <w:r>
        <w:rPr>
          <w:noProof/>
          <w:lang w:eastAsia="en-AU"/>
        </w:rPr>
        <w:drawing>
          <wp:inline distT="0" distB="0" distL="0" distR="0" wp14:anchorId="3045A36D" wp14:editId="7B09E36C">
            <wp:extent cx="5660480" cy="2068195"/>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662623" cy="2068978"/>
                    </a:xfrm>
                    <a:prstGeom prst="rect">
                      <a:avLst/>
                    </a:prstGeom>
                    <a:noFill/>
                    <a:ln>
                      <a:noFill/>
                    </a:ln>
                    <a:extLst>
                      <a:ext uri="{53640926-AAD7-44D8-BBD7-CCE9431645EC}">
                        <a14:shadowObscured xmlns:a14="http://schemas.microsoft.com/office/drawing/2010/main"/>
                      </a:ext>
                    </a:extLst>
                  </pic:spPr>
                </pic:pic>
              </a:graphicData>
            </a:graphic>
          </wp:inline>
        </w:drawing>
      </w:r>
    </w:p>
    <w:p w14:paraId="1AFC956B" w14:textId="7EBF5016" w:rsidR="00CF483E" w:rsidRPr="00050741" w:rsidRDefault="00CF483E" w:rsidP="00050741">
      <w:pPr>
        <w:pStyle w:val="Caption"/>
      </w:pPr>
      <w:bookmarkStart w:id="292" w:name="_Ref19539007"/>
      <w:bookmarkStart w:id="293" w:name="_Toc31985606"/>
      <w:r w:rsidRPr="00050741">
        <w:t xml:space="preserve">Figure </w:t>
      </w:r>
      <w:r>
        <w:fldChar w:fldCharType="begin"/>
      </w:r>
      <w:r>
        <w:instrText>SEQ Figure \* ARABIC</w:instrText>
      </w:r>
      <w:r>
        <w:fldChar w:fldCharType="separate"/>
      </w:r>
      <w:r w:rsidR="007F7607">
        <w:rPr>
          <w:noProof/>
        </w:rPr>
        <w:t>42</w:t>
      </w:r>
      <w:r>
        <w:fldChar w:fldCharType="end"/>
      </w:r>
      <w:bookmarkEnd w:id="292"/>
      <w:r w:rsidRPr="00050741">
        <w:t>. GPP/ ER ratios from Kirkup Park, Mulgutherie and Euabalong in the Mid Lachlan River, August 2018 - June 2019.</w:t>
      </w:r>
      <w:bookmarkEnd w:id="293"/>
    </w:p>
    <w:p w14:paraId="66FCF5EC" w14:textId="77777777" w:rsidR="00CF483E" w:rsidRPr="00050741" w:rsidRDefault="00CF483E" w:rsidP="00050741">
      <w:pPr>
        <w:pStyle w:val="Caption"/>
      </w:pPr>
      <w:r w:rsidRPr="00050741">
        <w:t>Blue shaded vertical bars indicate watering actions.</w:t>
      </w:r>
    </w:p>
    <w:p w14:paraId="11734697" w14:textId="77777777" w:rsidR="00CF483E" w:rsidRPr="00050741" w:rsidRDefault="00CF483E" w:rsidP="00050741">
      <w:pPr>
        <w:pStyle w:val="Caption"/>
        <w:rPr>
          <w:rFonts w:eastAsia="MS Mincho"/>
        </w:rPr>
      </w:pPr>
      <w:r w:rsidRPr="00050741">
        <w:t>Note: Euabalong on a lower scale for discharge.</w:t>
      </w:r>
    </w:p>
    <w:p w14:paraId="0E67B8E5" w14:textId="77777777" w:rsidR="00CF483E" w:rsidRDefault="00CF483E" w:rsidP="00CF483E">
      <w:pPr>
        <w:spacing w:before="0" w:after="160" w:line="259" w:lineRule="auto"/>
      </w:pPr>
      <w:r>
        <w:br w:type="page"/>
      </w:r>
    </w:p>
    <w:p w14:paraId="3C2CD8D9" w14:textId="77777777" w:rsidR="00CF483E" w:rsidRDefault="00CF483E" w:rsidP="00CF483E">
      <w:pPr>
        <w:pStyle w:val="Heading2"/>
        <w:rPr>
          <w:lang w:val="en-AU"/>
        </w:rPr>
      </w:pPr>
      <w:bookmarkStart w:id="294" w:name="_Toc31985476"/>
      <w:r>
        <w:t>Appendi</w:t>
      </w:r>
      <w:r>
        <w:rPr>
          <w:lang w:val="en-AU"/>
        </w:rPr>
        <w:t>x 3:</w:t>
      </w:r>
      <w:r w:rsidRPr="000F6D58">
        <w:rPr>
          <w:lang w:val="en-AU"/>
        </w:rPr>
        <w:t xml:space="preserve"> </w:t>
      </w:r>
      <w:r>
        <w:rPr>
          <w:lang w:val="en-AU"/>
        </w:rPr>
        <w:t>Stream metabolism plots for additional sites in the Lower Lachlan River 2014-19</w:t>
      </w:r>
      <w:bookmarkEnd w:id="294"/>
    </w:p>
    <w:p w14:paraId="1F87C464" w14:textId="77777777" w:rsidR="00CF483E" w:rsidRPr="001072AD" w:rsidRDefault="00CF483E" w:rsidP="00CF483E">
      <w:pPr>
        <w:rPr>
          <w:lang w:eastAsia="x-none"/>
        </w:rPr>
      </w:pPr>
    </w:p>
    <w:p w14:paraId="3685F5B6" w14:textId="77777777" w:rsidR="00CF483E" w:rsidRDefault="00CF483E" w:rsidP="00CF483E">
      <w:r w:rsidRPr="000129F4">
        <w:rPr>
          <w:noProof/>
          <w:lang w:eastAsia="en-AU"/>
        </w:rPr>
        <mc:AlternateContent>
          <mc:Choice Requires="wps">
            <w:drawing>
              <wp:anchor distT="0" distB="0" distL="114300" distR="114300" simplePos="0" relativeHeight="251686912" behindDoc="0" locked="0" layoutInCell="1" allowOverlap="1" wp14:anchorId="345723A6" wp14:editId="4566908F">
                <wp:simplePos x="0" y="0"/>
                <wp:positionH relativeFrom="column">
                  <wp:posOffset>4090988</wp:posOffset>
                </wp:positionH>
                <wp:positionV relativeFrom="paragraph">
                  <wp:posOffset>115570</wp:posOffset>
                </wp:positionV>
                <wp:extent cx="47625" cy="5530533"/>
                <wp:effectExtent l="0" t="0" r="9525" b="0"/>
                <wp:wrapNone/>
                <wp:docPr id="107" name="Rectangle 107"/>
                <wp:cNvGraphicFramePr/>
                <a:graphic xmlns:a="http://schemas.openxmlformats.org/drawingml/2006/main">
                  <a:graphicData uri="http://schemas.microsoft.com/office/word/2010/wordprocessingShape">
                    <wps:wsp>
                      <wps:cNvSpPr/>
                      <wps:spPr>
                        <a:xfrm>
                          <a:off x="0" y="0"/>
                          <a:ext cx="47625" cy="5530533"/>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6D6D7" id="Rectangle 107" o:spid="_x0000_s1026" style="position:absolute;margin-left:322.15pt;margin-top:9.1pt;width:3.75pt;height:4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" fillcolor="#b8cce4 [1300]" stroked="f" strokeweight="2pt">
                <v:fill opacity="21074f"/>
              </v:rect>
            </w:pict>
          </mc:Fallback>
        </mc:AlternateContent>
      </w:r>
      <w:r w:rsidRPr="000129F4">
        <w:rPr>
          <w:noProof/>
          <w:lang w:eastAsia="en-AU"/>
        </w:rPr>
        <mc:AlternateContent>
          <mc:Choice Requires="wps">
            <w:drawing>
              <wp:anchor distT="0" distB="0" distL="114300" distR="114300" simplePos="0" relativeHeight="251685888" behindDoc="0" locked="0" layoutInCell="1" allowOverlap="1" wp14:anchorId="19AA80E1" wp14:editId="0AC48E33">
                <wp:simplePos x="0" y="0"/>
                <wp:positionH relativeFrom="column">
                  <wp:posOffset>3505200</wp:posOffset>
                </wp:positionH>
                <wp:positionV relativeFrom="paragraph">
                  <wp:posOffset>120334</wp:posOffset>
                </wp:positionV>
                <wp:extent cx="161925" cy="5525770"/>
                <wp:effectExtent l="0" t="0" r="9525" b="0"/>
                <wp:wrapNone/>
                <wp:docPr id="175" name="Rectangle 175"/>
                <wp:cNvGraphicFramePr/>
                <a:graphic xmlns:a="http://schemas.openxmlformats.org/drawingml/2006/main">
                  <a:graphicData uri="http://schemas.microsoft.com/office/word/2010/wordprocessingShape">
                    <wps:wsp>
                      <wps:cNvSpPr/>
                      <wps:spPr>
                        <a:xfrm>
                          <a:off x="0" y="0"/>
                          <a:ext cx="161925" cy="552577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7A61C" id="Rectangle 175" o:spid="_x0000_s1026" style="position:absolute;margin-left:276pt;margin-top:9.5pt;width:12.75pt;height:43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82816" behindDoc="0" locked="0" layoutInCell="1" allowOverlap="1" wp14:anchorId="659735A2" wp14:editId="3190029C">
                <wp:simplePos x="0" y="0"/>
                <wp:positionH relativeFrom="column">
                  <wp:posOffset>4433570</wp:posOffset>
                </wp:positionH>
                <wp:positionV relativeFrom="paragraph">
                  <wp:posOffset>139065</wp:posOffset>
                </wp:positionV>
                <wp:extent cx="45720" cy="5499735"/>
                <wp:effectExtent l="0" t="0" r="0" b="5715"/>
                <wp:wrapNone/>
                <wp:docPr id="176" name="Rectangle 176"/>
                <wp:cNvGraphicFramePr/>
                <a:graphic xmlns:a="http://schemas.openxmlformats.org/drawingml/2006/main">
                  <a:graphicData uri="http://schemas.microsoft.com/office/word/2010/wordprocessingShape">
                    <wps:wsp>
                      <wps:cNvSpPr/>
                      <wps:spPr>
                        <a:xfrm flipH="1">
                          <a:off x="0" y="0"/>
                          <a:ext cx="45720" cy="5499735"/>
                        </a:xfrm>
                        <a:prstGeom prst="rect">
                          <a:avLst/>
                        </a:prstGeom>
                        <a:solidFill>
                          <a:srgbClr val="4F81BD">
                            <a:lumMod val="60000"/>
                            <a:lumOff val="40000"/>
                            <a:alpha val="32000"/>
                          </a:srgbClr>
                        </a:solidFill>
                        <a:ln w="25400" cap="flat" cmpd="sng" algn="ctr">
                          <a:noFill/>
                          <a:prstDash val="solid"/>
                        </a:ln>
                        <a:effectLst/>
                      </wps:spPr>
                      <wps:txbx>
                        <w:txbxContent>
                          <w:p w14:paraId="1FDB8C7F"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9735A2" id="Rectangle 176" o:spid="_x0000_s1084" style="position:absolute;margin-left:349.1pt;margin-top:10.95pt;width:3.6pt;height:433.05pt;flip:x;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" fillcolor="#95b3d7" stroked="f" strokeweight="2pt">
                <v:fill opacity="21074f"/>
                <v:textbox>
                  <w:txbxContent>
                    <w:p w14:paraId="1FDB8C7F"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679744" behindDoc="0" locked="0" layoutInCell="1" allowOverlap="1" wp14:anchorId="6FC6E0B9" wp14:editId="7CC0EA78">
                <wp:simplePos x="0" y="0"/>
                <wp:positionH relativeFrom="column">
                  <wp:posOffset>1562100</wp:posOffset>
                </wp:positionH>
                <wp:positionV relativeFrom="paragraph">
                  <wp:posOffset>129859</wp:posOffset>
                </wp:positionV>
                <wp:extent cx="381000" cy="5511800"/>
                <wp:effectExtent l="0" t="0" r="0" b="0"/>
                <wp:wrapNone/>
                <wp:docPr id="177" name="Rectangle 177"/>
                <wp:cNvGraphicFramePr/>
                <a:graphic xmlns:a="http://schemas.openxmlformats.org/drawingml/2006/main">
                  <a:graphicData uri="http://schemas.microsoft.com/office/word/2010/wordprocessingShape">
                    <wps:wsp>
                      <wps:cNvSpPr/>
                      <wps:spPr>
                        <a:xfrm>
                          <a:off x="0" y="0"/>
                          <a:ext cx="381000" cy="551180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2E1ADF" id="Rectangle 177" o:spid="_x0000_s1026" style="position:absolute;margin-left:123pt;margin-top:10.25pt;width:30pt;height:43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80768" behindDoc="0" locked="0" layoutInCell="1" allowOverlap="1" wp14:anchorId="388DBDCB" wp14:editId="0FEFE898">
                <wp:simplePos x="0" y="0"/>
                <wp:positionH relativeFrom="column">
                  <wp:posOffset>2814638</wp:posOffset>
                </wp:positionH>
                <wp:positionV relativeFrom="paragraph">
                  <wp:posOffset>129859</wp:posOffset>
                </wp:positionV>
                <wp:extent cx="224155" cy="5511800"/>
                <wp:effectExtent l="0" t="0" r="4445" b="0"/>
                <wp:wrapNone/>
                <wp:docPr id="178" name="Rectangle 178"/>
                <wp:cNvGraphicFramePr/>
                <a:graphic xmlns:a="http://schemas.openxmlformats.org/drawingml/2006/main">
                  <a:graphicData uri="http://schemas.microsoft.com/office/word/2010/wordprocessingShape">
                    <wps:wsp>
                      <wps:cNvSpPr/>
                      <wps:spPr>
                        <a:xfrm>
                          <a:off x="0" y="0"/>
                          <a:ext cx="224155" cy="5511800"/>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0B3C1A" id="Rectangle 178" o:spid="_x0000_s1026" style="position:absolute;margin-left:221.65pt;margin-top:10.25pt;width:17.65pt;height:43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78720" behindDoc="0" locked="0" layoutInCell="1" allowOverlap="1" wp14:anchorId="7220025D" wp14:editId="01BAD162">
                <wp:simplePos x="0" y="0"/>
                <wp:positionH relativeFrom="column">
                  <wp:posOffset>757238</wp:posOffset>
                </wp:positionH>
                <wp:positionV relativeFrom="paragraph">
                  <wp:posOffset>129858</wp:posOffset>
                </wp:positionV>
                <wp:extent cx="43575" cy="5510637"/>
                <wp:effectExtent l="0" t="0" r="0" b="0"/>
                <wp:wrapNone/>
                <wp:docPr id="179" name="Rectangle 179"/>
                <wp:cNvGraphicFramePr/>
                <a:graphic xmlns:a="http://schemas.openxmlformats.org/drawingml/2006/main">
                  <a:graphicData uri="http://schemas.microsoft.com/office/word/2010/wordprocessingShape">
                    <wps:wsp>
                      <wps:cNvSpPr/>
                      <wps:spPr>
                        <a:xfrm>
                          <a:off x="0" y="0"/>
                          <a:ext cx="43575" cy="5510637"/>
                        </a:xfrm>
                        <a:prstGeom prst="rect">
                          <a:avLst/>
                        </a:prstGeom>
                        <a:solidFill>
                          <a:schemeClr val="accent1">
                            <a:lumMod val="40000"/>
                            <a:lumOff val="60000"/>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6440A" id="Rectangle 179" o:spid="_x0000_s1026" style="position:absolute;margin-left:59.65pt;margin-top:10.25pt;width:3.45pt;height:433.9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" fillcolor="#b8cce4 [1300]" stroked="f" strokeweight="2pt">
                <v:fill opacity="21074f"/>
              </v:rect>
            </w:pict>
          </mc:Fallback>
        </mc:AlternateContent>
      </w:r>
      <w:r>
        <w:rPr>
          <w:noProof/>
          <w:lang w:eastAsia="en-AU"/>
        </w:rPr>
        <mc:AlternateContent>
          <mc:Choice Requires="wps">
            <w:drawing>
              <wp:anchor distT="0" distB="0" distL="114300" distR="114300" simplePos="0" relativeHeight="251681792" behindDoc="0" locked="0" layoutInCell="1" allowOverlap="1" wp14:anchorId="2C8D120B" wp14:editId="76FF5EFC">
                <wp:simplePos x="0" y="0"/>
                <wp:positionH relativeFrom="column">
                  <wp:posOffset>5069456</wp:posOffset>
                </wp:positionH>
                <wp:positionV relativeFrom="paragraph">
                  <wp:posOffset>142059</wp:posOffset>
                </wp:positionV>
                <wp:extent cx="46104" cy="5493748"/>
                <wp:effectExtent l="0" t="0" r="0" b="0"/>
                <wp:wrapNone/>
                <wp:docPr id="180" name="Rectangle 180"/>
                <wp:cNvGraphicFramePr/>
                <a:graphic xmlns:a="http://schemas.openxmlformats.org/drawingml/2006/main">
                  <a:graphicData uri="http://schemas.microsoft.com/office/word/2010/wordprocessingShape">
                    <wps:wsp>
                      <wps:cNvSpPr/>
                      <wps:spPr>
                        <a:xfrm>
                          <a:off x="0" y="0"/>
                          <a:ext cx="46104" cy="5493748"/>
                        </a:xfrm>
                        <a:prstGeom prst="rect">
                          <a:avLst/>
                        </a:prstGeom>
                        <a:solidFill>
                          <a:srgbClr val="4F81BD">
                            <a:lumMod val="60000"/>
                            <a:lumOff val="40000"/>
                            <a:alpha val="32000"/>
                          </a:srgbClr>
                        </a:solidFill>
                        <a:ln w="25400" cap="flat" cmpd="sng" algn="ctr">
                          <a:noFill/>
                          <a:prstDash val="solid"/>
                        </a:ln>
                        <a:effectLst/>
                      </wps:spPr>
                      <wps:txbx>
                        <w:txbxContent>
                          <w:p w14:paraId="3A552642"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8D120B" id="Rectangle 180" o:spid="_x0000_s1085" style="position:absolute;margin-left:399.15pt;margin-top:11.2pt;width:3.65pt;height:432.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" fillcolor="#95b3d7" stroked="f" strokeweight="2pt">
                <v:fill opacity="21074f"/>
                <v:textbox>
                  <w:txbxContent>
                    <w:p w14:paraId="3A552642"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683840" behindDoc="0" locked="0" layoutInCell="1" allowOverlap="1" wp14:anchorId="2269EA2C" wp14:editId="3DEBE734">
                <wp:simplePos x="0" y="0"/>
                <wp:positionH relativeFrom="column">
                  <wp:posOffset>4515677</wp:posOffset>
                </wp:positionH>
                <wp:positionV relativeFrom="paragraph">
                  <wp:posOffset>137992</wp:posOffset>
                </wp:positionV>
                <wp:extent cx="14186" cy="5500069"/>
                <wp:effectExtent l="0" t="0" r="24130" b="5715"/>
                <wp:wrapNone/>
                <wp:docPr id="181" name="Rectangle 181"/>
                <wp:cNvGraphicFramePr/>
                <a:graphic xmlns:a="http://schemas.openxmlformats.org/drawingml/2006/main">
                  <a:graphicData uri="http://schemas.microsoft.com/office/word/2010/wordprocessingShape">
                    <wps:wsp>
                      <wps:cNvSpPr/>
                      <wps:spPr>
                        <a:xfrm>
                          <a:off x="0" y="0"/>
                          <a:ext cx="14186" cy="5500069"/>
                        </a:xfrm>
                        <a:prstGeom prst="rect">
                          <a:avLst/>
                        </a:prstGeom>
                        <a:solidFill>
                          <a:srgbClr val="4F81BD">
                            <a:lumMod val="60000"/>
                            <a:lumOff val="40000"/>
                            <a:alpha val="32000"/>
                          </a:srgbClr>
                        </a:solidFill>
                        <a:ln w="25400" cap="flat" cmpd="sng" algn="ctr">
                          <a:noFill/>
                          <a:prstDash val="solid"/>
                        </a:ln>
                        <a:effectLst/>
                      </wps:spPr>
                      <wps:txbx>
                        <w:txbxContent>
                          <w:p w14:paraId="55576EC1" w14:textId="77777777" w:rsidR="007F7607" w:rsidRDefault="007F7607" w:rsidP="00CF483E"/>
                          <w:p w14:paraId="1640BF41"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9EA2C" id="Rectangle 181" o:spid="_x0000_s1086" style="position:absolute;margin-left:355.55pt;margin-top:10.85pt;width:1.1pt;height:433.1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" fillcolor="#95b3d7" stroked="f" strokeweight="2pt">
                <v:fill opacity="21074f"/>
                <v:textbox>
                  <w:txbxContent>
                    <w:p w14:paraId="55576EC1" w14:textId="77777777" w:rsidR="007F7607" w:rsidRDefault="007F7607" w:rsidP="00CF483E"/>
                    <w:p w14:paraId="1640BF41" w14:textId="77777777" w:rsidR="007F7607" w:rsidRDefault="007F7607" w:rsidP="00CF483E"/>
                  </w:txbxContent>
                </v:textbox>
              </v:rect>
            </w:pict>
          </mc:Fallback>
        </mc:AlternateContent>
      </w:r>
      <w:r>
        <w:rPr>
          <w:noProof/>
          <w:lang w:eastAsia="en-AU"/>
        </w:rPr>
        <mc:AlternateContent>
          <mc:Choice Requires="wps">
            <w:drawing>
              <wp:anchor distT="0" distB="0" distL="114300" distR="114300" simplePos="0" relativeHeight="251684864" behindDoc="0" locked="0" layoutInCell="1" allowOverlap="1" wp14:anchorId="1B52D7DC" wp14:editId="1E1197D3">
                <wp:simplePos x="0" y="0"/>
                <wp:positionH relativeFrom="column">
                  <wp:posOffset>4542912</wp:posOffset>
                </wp:positionH>
                <wp:positionV relativeFrom="paragraph">
                  <wp:posOffset>137992</wp:posOffset>
                </wp:positionV>
                <wp:extent cx="53196" cy="5506841"/>
                <wp:effectExtent l="0" t="0" r="4445" b="0"/>
                <wp:wrapNone/>
                <wp:docPr id="182" name="Rectangle 182"/>
                <wp:cNvGraphicFramePr/>
                <a:graphic xmlns:a="http://schemas.openxmlformats.org/drawingml/2006/main">
                  <a:graphicData uri="http://schemas.microsoft.com/office/word/2010/wordprocessingShape">
                    <wps:wsp>
                      <wps:cNvSpPr/>
                      <wps:spPr>
                        <a:xfrm>
                          <a:off x="0" y="0"/>
                          <a:ext cx="53196" cy="5506841"/>
                        </a:xfrm>
                        <a:prstGeom prst="rect">
                          <a:avLst/>
                        </a:prstGeom>
                        <a:solidFill>
                          <a:srgbClr val="4F81BD">
                            <a:lumMod val="60000"/>
                            <a:lumOff val="40000"/>
                            <a:alpha val="32000"/>
                          </a:srgbClr>
                        </a:solidFill>
                        <a:ln w="25400" cap="flat" cmpd="sng" algn="ctr">
                          <a:noFill/>
                          <a:prstDash val="solid"/>
                        </a:ln>
                        <a:effectLst/>
                      </wps:spPr>
                      <wps:txbx>
                        <w:txbxContent>
                          <w:p w14:paraId="0C9176A5" w14:textId="77777777" w:rsidR="007F7607" w:rsidRDefault="007F7607" w:rsidP="00CF483E"/>
                          <w:p w14:paraId="4381504A"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2D7DC" id="Rectangle 182" o:spid="_x0000_s1087" style="position:absolute;margin-left:357.7pt;margin-top:10.85pt;width:4.2pt;height:433.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" fillcolor="#95b3d7" stroked="f" strokeweight="2pt">
                <v:fill opacity="21074f"/>
                <v:textbox>
                  <w:txbxContent>
                    <w:p w14:paraId="0C9176A5" w14:textId="77777777" w:rsidR="007F7607" w:rsidRDefault="007F7607" w:rsidP="00CF483E"/>
                    <w:p w14:paraId="4381504A" w14:textId="77777777" w:rsidR="007F7607" w:rsidRDefault="007F7607" w:rsidP="00CF483E"/>
                  </w:txbxContent>
                </v:textbox>
              </v:rect>
            </w:pict>
          </mc:Fallback>
        </mc:AlternateContent>
      </w:r>
      <w:r>
        <w:rPr>
          <w:noProof/>
          <w:lang w:eastAsia="en-AU"/>
        </w:rPr>
        <w:drawing>
          <wp:inline distT="0" distB="0" distL="0" distR="0" wp14:anchorId="4B42018A" wp14:editId="23FA3CA4">
            <wp:extent cx="5777505" cy="2052638"/>
            <wp:effectExtent l="0" t="0" r="0" b="508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804561" cy="2062250"/>
                    </a:xfrm>
                    <a:prstGeom prst="rect">
                      <a:avLst/>
                    </a:prstGeom>
                    <a:noFill/>
                    <a:ln>
                      <a:noFill/>
                    </a:ln>
                    <a:extLst>
                      <a:ext uri="{53640926-AAD7-44D8-BBD7-CCE9431645EC}">
                        <a14:shadowObscured xmlns:a14="http://schemas.microsoft.com/office/drawing/2010/main"/>
                      </a:ext>
                    </a:extLst>
                  </pic:spPr>
                </pic:pic>
              </a:graphicData>
            </a:graphic>
          </wp:inline>
        </w:drawing>
      </w:r>
    </w:p>
    <w:p w14:paraId="4C302899" w14:textId="77777777" w:rsidR="00CF483E" w:rsidRDefault="00CF483E" w:rsidP="00CF483E">
      <w:r>
        <w:rPr>
          <w:noProof/>
          <w:lang w:eastAsia="en-AU"/>
        </w:rPr>
        <w:drawing>
          <wp:inline distT="0" distB="0" distL="0" distR="0" wp14:anchorId="0380B909" wp14:editId="51F521E4">
            <wp:extent cx="5694996" cy="2033588"/>
            <wp:effectExtent l="0" t="0" r="127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702827" cy="2036384"/>
                    </a:xfrm>
                    <a:prstGeom prst="rect">
                      <a:avLst/>
                    </a:prstGeom>
                    <a:noFill/>
                    <a:ln>
                      <a:noFill/>
                    </a:ln>
                    <a:extLst>
                      <a:ext uri="{53640926-AAD7-44D8-BBD7-CCE9431645EC}">
                        <a14:shadowObscured xmlns:a14="http://schemas.microsoft.com/office/drawing/2010/main"/>
                      </a:ext>
                    </a:extLst>
                  </pic:spPr>
                </pic:pic>
              </a:graphicData>
            </a:graphic>
          </wp:inline>
        </w:drawing>
      </w:r>
    </w:p>
    <w:p w14:paraId="6E925B7B" w14:textId="77777777" w:rsidR="00CF483E" w:rsidRDefault="00CF483E" w:rsidP="00CF483E">
      <w:r>
        <w:rPr>
          <w:noProof/>
          <w:lang w:eastAsia="en-AU"/>
        </w:rPr>
        <w:drawing>
          <wp:inline distT="0" distB="0" distL="0" distR="0" wp14:anchorId="53A6BA16" wp14:editId="4421F827">
            <wp:extent cx="5693031" cy="2038350"/>
            <wp:effectExtent l="0" t="0" r="317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700020" cy="2040852"/>
                    </a:xfrm>
                    <a:prstGeom prst="rect">
                      <a:avLst/>
                    </a:prstGeom>
                    <a:noFill/>
                    <a:ln>
                      <a:noFill/>
                    </a:ln>
                    <a:extLst>
                      <a:ext uri="{53640926-AAD7-44D8-BBD7-CCE9431645EC}">
                        <a14:shadowObscured xmlns:a14="http://schemas.microsoft.com/office/drawing/2010/main"/>
                      </a:ext>
                    </a:extLst>
                  </pic:spPr>
                </pic:pic>
              </a:graphicData>
            </a:graphic>
          </wp:inline>
        </w:drawing>
      </w:r>
    </w:p>
    <w:p w14:paraId="7FCC7F15" w14:textId="2F025506" w:rsidR="00CF483E" w:rsidRPr="00050741" w:rsidRDefault="00CF483E" w:rsidP="00050741">
      <w:pPr>
        <w:pStyle w:val="Caption"/>
      </w:pPr>
      <w:bookmarkStart w:id="295" w:name="_Ref19612259"/>
      <w:bookmarkStart w:id="296" w:name="_Ref19612251"/>
      <w:bookmarkStart w:id="297" w:name="_Toc31985607"/>
      <w:r w:rsidRPr="00050741">
        <w:t xml:space="preserve">Figure </w:t>
      </w:r>
      <w:r>
        <w:fldChar w:fldCharType="begin"/>
      </w:r>
      <w:r>
        <w:instrText>SEQ Figure \* ARABIC</w:instrText>
      </w:r>
      <w:r>
        <w:fldChar w:fldCharType="separate"/>
      </w:r>
      <w:r w:rsidR="007F7607">
        <w:rPr>
          <w:noProof/>
        </w:rPr>
        <w:t>43</w:t>
      </w:r>
      <w:r>
        <w:fldChar w:fldCharType="end"/>
      </w:r>
      <w:bookmarkEnd w:id="295"/>
      <w:r w:rsidRPr="00050741">
        <w:t>. Gross primary production (GPP) from Wallanthery, Cowl Cowl and Whealbah in the Lower Lachlan, August 2014 - June 2019.</w:t>
      </w:r>
      <w:bookmarkEnd w:id="296"/>
      <w:bookmarkEnd w:id="297"/>
    </w:p>
    <w:p w14:paraId="63343D24" w14:textId="77777777" w:rsidR="00CF483E" w:rsidRPr="00050741" w:rsidRDefault="00CF483E" w:rsidP="00050741">
      <w:pPr>
        <w:pStyle w:val="Caption"/>
      </w:pPr>
      <w:r w:rsidRPr="00050741">
        <w:t>Blue shaded vertical bars indicate watering actions.</w:t>
      </w:r>
    </w:p>
    <w:p w14:paraId="661A794C" w14:textId="77777777" w:rsidR="00CF483E" w:rsidRPr="00EB1416" w:rsidRDefault="00CF483E" w:rsidP="00050741">
      <w:pPr>
        <w:pStyle w:val="Caption"/>
        <w:rPr>
          <w:rStyle w:val="CaptionChar"/>
          <w:bCs/>
          <w:i/>
        </w:rPr>
      </w:pPr>
      <w:r w:rsidRPr="00050741">
        <w:t>Note: Wallanthery on a higher scale for dissolved oxygen and GPP. Wallanthery on a higher scale for discharge.</w:t>
      </w:r>
      <w:r>
        <w:rPr>
          <w:rStyle w:val="CaptionChar"/>
          <w:bCs/>
          <w:i/>
        </w:rPr>
        <w:br w:type="page"/>
      </w:r>
    </w:p>
    <w:p w14:paraId="20AC560B" w14:textId="77777777" w:rsidR="00CF483E" w:rsidRDefault="00CF483E" w:rsidP="00CF483E">
      <w:pPr>
        <w:rPr>
          <w:noProof/>
          <w:lang w:eastAsia="x-none"/>
        </w:rPr>
      </w:pPr>
      <w:r>
        <w:rPr>
          <w:noProof/>
          <w:lang w:eastAsia="en-AU"/>
        </w:rPr>
        <mc:AlternateContent>
          <mc:Choice Requires="wpg">
            <w:drawing>
              <wp:anchor distT="0" distB="0" distL="114300" distR="114300" simplePos="0" relativeHeight="251687936" behindDoc="0" locked="0" layoutInCell="1" allowOverlap="1" wp14:anchorId="60A57958" wp14:editId="6639BF37">
                <wp:simplePos x="0" y="0"/>
                <wp:positionH relativeFrom="column">
                  <wp:posOffset>738188</wp:posOffset>
                </wp:positionH>
                <wp:positionV relativeFrom="paragraph">
                  <wp:posOffset>104775</wp:posOffset>
                </wp:positionV>
                <wp:extent cx="4358322" cy="5407089"/>
                <wp:effectExtent l="76200" t="0" r="61595" b="3175"/>
                <wp:wrapNone/>
                <wp:docPr id="183" name="Group 183"/>
                <wp:cNvGraphicFramePr/>
                <a:graphic xmlns:a="http://schemas.openxmlformats.org/drawingml/2006/main">
                  <a:graphicData uri="http://schemas.microsoft.com/office/word/2010/wordprocessingGroup">
                    <wpg:wgp>
                      <wpg:cNvGrpSpPr/>
                      <wpg:grpSpPr>
                        <a:xfrm>
                          <a:off x="0" y="0"/>
                          <a:ext cx="4358322" cy="5407089"/>
                          <a:chOff x="0" y="0"/>
                          <a:chExt cx="4358322" cy="5407089"/>
                        </a:xfrm>
                        <a:solidFill>
                          <a:schemeClr val="accent1">
                            <a:lumMod val="40000"/>
                            <a:lumOff val="60000"/>
                            <a:alpha val="32000"/>
                          </a:schemeClr>
                        </a:solidFill>
                      </wpg:grpSpPr>
                      <wpg:grpSp>
                        <wpg:cNvPr id="184" name="Group 184"/>
                        <wpg:cNvGrpSpPr/>
                        <wpg:grpSpPr>
                          <a:xfrm>
                            <a:off x="0" y="4763"/>
                            <a:ext cx="4358322" cy="5376545"/>
                            <a:chOff x="0" y="0"/>
                            <a:chExt cx="4572747" cy="6457950"/>
                          </a:xfrm>
                          <a:grpFill/>
                        </wpg:grpSpPr>
                        <wps:wsp>
                          <wps:cNvPr id="185" name="Rectangle 185"/>
                          <wps:cNvSpPr/>
                          <wps:spPr>
                            <a:xfrm>
                              <a:off x="0" y="0"/>
                              <a:ext cx="45719" cy="645287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ectangle 186"/>
                          <wps:cNvSpPr/>
                          <wps:spPr>
                            <a:xfrm>
                              <a:off x="842963" y="9525"/>
                              <a:ext cx="400050" cy="644366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187"/>
                          <wps:cNvSpPr/>
                          <wps:spPr>
                            <a:xfrm>
                              <a:off x="2157413" y="14287"/>
                              <a:ext cx="235585" cy="644366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ectangle 188"/>
                          <wps:cNvSpPr/>
                          <wps:spPr>
                            <a:xfrm>
                              <a:off x="4524375" y="14287"/>
                              <a:ext cx="48372" cy="6433093"/>
                            </a:xfrm>
                            <a:prstGeom prst="rect">
                              <a:avLst/>
                            </a:prstGeom>
                            <a:grpFill/>
                            <a:ln w="25400" cap="flat" cmpd="sng" algn="ctr">
                              <a:noFill/>
                              <a:prstDash val="solid"/>
                            </a:ln>
                            <a:effectLst/>
                          </wps:spPr>
                          <wps:txbx>
                            <w:txbxContent>
                              <w:p w14:paraId="26BCA5C8"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ectangle 189"/>
                          <wps:cNvSpPr/>
                          <wps:spPr>
                            <a:xfrm flipH="1">
                              <a:off x="3857625" y="9525"/>
                              <a:ext cx="48372" cy="6440495"/>
                            </a:xfrm>
                            <a:prstGeom prst="rect">
                              <a:avLst/>
                            </a:prstGeom>
                            <a:grpFill/>
                            <a:ln w="25400" cap="flat" cmpd="sng" algn="ctr">
                              <a:noFill/>
                              <a:prstDash val="solid"/>
                            </a:ln>
                            <a:effectLst/>
                          </wps:spPr>
                          <wps:txbx>
                            <w:txbxContent>
                              <w:p w14:paraId="1BF19D0A"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ectangle 190"/>
                          <wps:cNvSpPr/>
                          <wps:spPr>
                            <a:xfrm>
                              <a:off x="3943350" y="9525"/>
                              <a:ext cx="14884" cy="6440495"/>
                            </a:xfrm>
                            <a:prstGeom prst="rect">
                              <a:avLst/>
                            </a:prstGeom>
                            <a:grpFill/>
                            <a:ln w="25400" cap="flat" cmpd="sng" algn="ctr">
                              <a:noFill/>
                              <a:prstDash val="solid"/>
                            </a:ln>
                            <a:effectLst/>
                          </wps:spPr>
                          <wps:txbx>
                            <w:txbxContent>
                              <w:p w14:paraId="03961FBD" w14:textId="77777777" w:rsidR="007F7607" w:rsidRDefault="007F7607" w:rsidP="00CF483E"/>
                              <w:p w14:paraId="314C4A30"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ectangle 289"/>
                          <wps:cNvSpPr/>
                          <wps:spPr>
                            <a:xfrm>
                              <a:off x="3971925" y="9525"/>
                              <a:ext cx="55813" cy="6448425"/>
                            </a:xfrm>
                            <a:prstGeom prst="rect">
                              <a:avLst/>
                            </a:prstGeom>
                            <a:grpFill/>
                            <a:ln w="25400" cap="flat" cmpd="sng" algn="ctr">
                              <a:noFill/>
                              <a:prstDash val="solid"/>
                            </a:ln>
                            <a:effectLst/>
                          </wps:spPr>
                          <wps:txbx>
                            <w:txbxContent>
                              <w:p w14:paraId="24AF9AD3" w14:textId="77777777" w:rsidR="007F7607" w:rsidRDefault="007F7607" w:rsidP="00CF483E"/>
                              <w:p w14:paraId="7FD3641E"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0" name="Rectangle 290"/>
                        <wps:cNvSpPr/>
                        <wps:spPr>
                          <a:xfrm>
                            <a:off x="2747962" y="4763"/>
                            <a:ext cx="161925" cy="53911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3333750" y="0"/>
                            <a:ext cx="57150" cy="5407089"/>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A57958" id="Group 183" o:spid="_x0000_s1088" style="position:absolute;margin-left:58.15pt;margin-top:8.25pt;width:343.15pt;height:425.75pt;z-index:251687936" coordsize="43583,5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">
                <v:group id="Group 184" o:spid="_x0000_s1089" style="position:absolute;top:47;width:43583;height:53766" coordsize="45727,6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rect id="Rectangle 185" o:spid="_x0000_s1090" style="position:absolute;width:457;height:6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YcEA&#10;AADcAAAADwAAAGRycy9kb3ducmV2LnhtbERPTYvCMBC9C/6HMMLeNHVRkWqUIruyHrUL4m1sxrba&#10;TEqTrfXfG0HY2zze5yzXnalES40rLSsYjyIQxJnVJecKftPv4RyE88gaK8uk4EEO1qt+b4mxtnfe&#10;U3vwuQgh7GJUUHhfx1K6rCCDbmRr4sBdbGPQB9jkUjd4D+Gmkp9RNJMGSw4NBda0KSi7Hf6MAndu&#10;d+mjTo7Xk8vOyRebdLLbKvUx6JIFCE+d/xe/3T86zJ9P4fVMu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6hWHBAAAA3AAAAA8AAAAAAAAAAAAAAAAAmAIAAGRycy9kb3du&#10;cmV2LnhtbFBLBQYAAAAABAAEAPUAAACGAwAAAAA=&#10;" filled="f" stroked="f" strokeweight="2pt"/>
                  <v:rect id="Rectangle 186" o:spid="_x0000_s1091" style="position:absolute;left:8429;top:95;width:4001;height:64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bFsIA&#10;AADcAAAADwAAAGRycy9kb3ducmV2LnhtbERPTWvCQBC9F/wPywje6sZSJMSsEoot9WhSKN4m2TGJ&#10;zc6G7DbGf+8Khd7m8T4n3U2mEyMNrrWsYLWMQBBXVrdcK/gq3p9jEM4ja+wsk4IbOdhtZ08pJtpe&#10;+Uhj7msRQtglqKDxvk+kdFVDBt3S9sSBO9vBoA9wqKUe8BrCTSdfomgtDbYcGhrs6a2h6if/NQpc&#10;OR6KW599X06uKrM9m+L18KHUYj5lGxCeJv8v/nN/6jA/XsPjmXCB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KBsWwgAAANwAAAAPAAAAAAAAAAAAAAAAAJgCAABkcnMvZG93&#10;bnJldi54bWxQSwUGAAAAAAQABAD1AAAAhwMAAAAA&#10;" filled="f" stroked="f" strokeweight="2pt"/>
                  <v:rect id="Rectangle 187" o:spid="_x0000_s1092" style="position:absolute;left:21574;top:142;width:2355;height:6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jcEA&#10;AADcAAAADwAAAGRycy9kb3ducmV2LnhtbERPTYvCMBC9C/6HMMLeNHURlWqUIruyHrUL4m1sxrba&#10;TEqTrfXfG0HY2zze5yzXnalES40rLSsYjyIQxJnVJecKftPv4RyE88gaK8uk4EEO1qt+b4mxtnfe&#10;U3vwuQgh7GJUUHhfx1K6rCCDbmRr4sBdbGPQB9jkUjd4D+Gmkp9RNJUGSw4NBda0KSi7Hf6MAndu&#10;d+mjTo7Xk8vOyRebdLLbKvUx6JIFCE+d/xe/3T86zJ/P4PVMu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kvo3BAAAA3AAAAA8AAAAAAAAAAAAAAAAAmAIAAGRycy9kb3du&#10;cmV2LnhtbFBLBQYAAAAABAAEAPUAAACGAwAAAAA=&#10;" filled="f" stroked="f" strokeweight="2pt"/>
                  <v:rect id="Rectangle 188" o:spid="_x0000_s1093" style="position:absolute;left:45243;top:142;width:484;height:6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q/8QA&#10;AADcAAAADwAAAGRycy9kb3ducmV2LnhtbESPQWvCQBCF7wX/wzJCb3VjkSLRVYJY0WNNoXgbs2MS&#10;zc6G7Brjv+8cCr3N8N68981yPbhG9dSF2rOB6SQBRVx4W3Np4Dv/fJuDChHZYuOZDDwpwHo1elli&#10;av2Dv6g/xlJJCIcUDVQxtqnWoajIYZj4lli0i+8cRlm7UtsOHxLuGv2eJB/aYc3SUGFLm4qK2/Hu&#10;DIRzf8ifbfZzPYXinG3Z5bPDzpjX8ZAtQEUa4r/573pvBX8utPKMTK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7Kv/EAAAA3AAAAA8AAAAAAAAAAAAAAAAAmAIAAGRycy9k&#10;b3ducmV2LnhtbFBLBQYAAAAABAAEAPUAAACJAwAAAAA=&#10;" filled="f" stroked="f" strokeweight="2pt">
                    <v:textbox>
                      <w:txbxContent>
                        <w:p w14:paraId="26BCA5C8" w14:textId="77777777" w:rsidR="007F7607" w:rsidRDefault="007F7607" w:rsidP="00CF483E"/>
                      </w:txbxContent>
                    </v:textbox>
                  </v:rect>
                  <v:rect id="Rectangle 189" o:spid="_x0000_s1094" style="position:absolute;left:38576;top:95;width:483;height:6440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YMMA&#10;AADcAAAADwAAAGRycy9kb3ducmV2LnhtbERP32vCMBB+H/g/hBv4NtP5IK4zyhQEZVKYG3s+m7Mp&#10;ay4lSW23v34RBN/u4/t5i9VgG3EhH2rHCp4nGQji0umaKwVfn9unOYgQkTU2jknBLwVYLUcPC8y1&#10;6/mDLsdYiRTCIUcFJsY2lzKUhiyGiWuJE3d23mJM0FdSe+xTuG3kNMtm0mLNqcFgSxtD5c+xswr2&#10;XSiKddFv5Pv34fTX7YLx64NS48fh7RVEpCHexTf3Tqf58xe4PpMu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fYMMAAADcAAAADwAAAAAAAAAAAAAAAACYAgAAZHJzL2Rv&#10;d25yZXYueG1sUEsFBgAAAAAEAAQA9QAAAIgDAAAAAA==&#10;" filled="f" stroked="f" strokeweight="2pt">
                    <v:textbox>
                      <w:txbxContent>
                        <w:p w14:paraId="1BF19D0A" w14:textId="77777777" w:rsidR="007F7607" w:rsidRDefault="007F7607" w:rsidP="00CF483E"/>
                      </w:txbxContent>
                    </v:textbox>
                  </v:rect>
                  <v:rect id="Rectangle 190" o:spid="_x0000_s1095" style="position:absolute;left:39433;top:95;width:149;height:64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wJMQA&#10;AADcAAAADwAAAGRycy9kb3ducmV2LnhtbESPQWvCQBCF70L/wzKF3nRTKaVGVwnFlnrUCOJtzI5J&#10;NDsbstsY/33nIPQ2w3vz3jeL1eAa1VMXas8GXicJKOLC25pLA/v8a/wBKkRki41nMnCnAKvl02iB&#10;qfU33lK/i6WSEA4pGqhibFOtQ1GRwzDxLbFoZ985jLJ2pbYd3iTcNXqaJO/aYc3SUGFLnxUV192v&#10;MxBO/Sa/t9nhcgzFKVuzy98238a8PA/ZHFSkIf6bH9c/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UsCTEAAAA3AAAAA8AAAAAAAAAAAAAAAAAmAIAAGRycy9k&#10;b3ducmV2LnhtbFBLBQYAAAAABAAEAPUAAACJAwAAAAA=&#10;" filled="f" stroked="f" strokeweight="2pt">
                    <v:textbox>
                      <w:txbxContent>
                        <w:p w14:paraId="03961FBD" w14:textId="77777777" w:rsidR="007F7607" w:rsidRDefault="007F7607" w:rsidP="00CF483E"/>
                        <w:p w14:paraId="314C4A30" w14:textId="77777777" w:rsidR="007F7607" w:rsidRDefault="007F7607" w:rsidP="00CF483E"/>
                      </w:txbxContent>
                    </v:textbox>
                  </v:rect>
                  <v:rect id="Rectangle 289" o:spid="_x0000_s1096" style="position:absolute;left:39719;top:95;width:558;height:6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GMUA&#10;AADcAAAADwAAAGRycy9kb3ducmV2LnhtbESPT2vCQBTE74V+h+UJvdWNUiRGVwmlFXOsEUpvz+wz&#10;SZt9G7Jr/nz7bqHgcZiZ3zDb/Wga0VPnassKFvMIBHFhdc2lgnP+/hyDcB5ZY2OZFEzkYL97fNhi&#10;ou3AH9SffCkChF2CCirv20RKV1Rk0M1tSxy8q+0M+iC7UuoOhwA3jVxG0UoarDksVNjSa0XFz+lm&#10;FLhLn+VTm35+f7nikr6xyV+yg1JPszHdgPA0+nv4v33UCpbxGv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ku4YxQAAANwAAAAPAAAAAAAAAAAAAAAAAJgCAABkcnMv&#10;ZG93bnJldi54bWxQSwUGAAAAAAQABAD1AAAAigMAAAAA&#10;" filled="f" stroked="f" strokeweight="2pt">
                    <v:textbox>
                      <w:txbxContent>
                        <w:p w14:paraId="24AF9AD3" w14:textId="77777777" w:rsidR="007F7607" w:rsidRDefault="007F7607" w:rsidP="00CF483E"/>
                        <w:p w14:paraId="7FD3641E" w14:textId="77777777" w:rsidR="007F7607" w:rsidRDefault="007F7607" w:rsidP="00CF483E"/>
                      </w:txbxContent>
                    </v:textbox>
                  </v:rect>
                </v:group>
                <v:rect id="Rectangle 290" o:spid="_x0000_s1097" style="position:absolute;left:27479;top:47;width:1619;height:53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RWMAA&#10;AADcAAAADwAAAGRycy9kb3ducmV2LnhtbERPTYvCMBC9L/gfwgjetqkiol2jFFHR41pB9jY2s23X&#10;ZlKaWOu/N4cFj4/3vVz3phYdta6yrGAcxSCIc6srLhScs93nHITzyBpry6TgSQ7Wq8HHEhNtH/xN&#10;3ckXIoSwS1BB6X2TSOnykgy6yDbEgfu1rUEfYFtI3eIjhJtaTuJ4Jg1WHBpKbGhTUn473Y0Cd+2O&#10;2bNJL38/Lr+mWzbZ9LhXajTs0y8Qnnr/Fv+7D1rBZBHmhzPhCM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HRWMAAAADcAAAADwAAAAAAAAAAAAAAAACYAgAAZHJzL2Rvd25y&#10;ZXYueG1sUEsFBgAAAAAEAAQA9QAAAIUDAAAAAA==&#10;" filled="f" stroked="f" strokeweight="2pt"/>
                <v:rect id="Rectangle 291" o:spid="_x0000_s1098" style="position:absolute;left:33337;width:572;height:54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10w8UA&#10;AADcAAAADwAAAGRycy9kb3ducmV2LnhtbESPT2vCQBTE7wW/w/KE3urGUEobXSWILc2xpiDentln&#10;Es2+Ddlt/nz7bqHgcZiZ3zDr7Wga0VPnassKlosIBHFhdc2lgu/8/ekVhPPIGhvLpGAiB9vN7GGN&#10;ibYDf1F/8KUIEHYJKqi8bxMpXVGRQbewLXHwLrYz6IPsSqk7HALcNDKOohdpsOawUGFLu4qK2+HH&#10;KHDnPsunNj1eT644p3s2+XP2odTjfExXIDyN/h7+b39qBfHbEv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XTDxQAAANwAAAAPAAAAAAAAAAAAAAAAAJgCAABkcnMv&#10;ZG93bnJldi54bWxQSwUGAAAAAAQABAD1AAAAigMAAAAA&#10;" filled="f" stroked="f" strokeweight="2pt"/>
              </v:group>
            </w:pict>
          </mc:Fallback>
        </mc:AlternateContent>
      </w:r>
      <w:r>
        <w:rPr>
          <w:noProof/>
          <w:lang w:eastAsia="en-AU"/>
        </w:rPr>
        <w:drawing>
          <wp:inline distT="0" distB="0" distL="0" distR="0" wp14:anchorId="249418BC" wp14:editId="50699305">
            <wp:extent cx="5661660" cy="201148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5662627" cy="2011824"/>
                    </a:xfrm>
                    <a:prstGeom prst="rect">
                      <a:avLst/>
                    </a:prstGeom>
                    <a:noFill/>
                    <a:ln>
                      <a:noFill/>
                    </a:ln>
                    <a:extLst>
                      <a:ext uri="{53640926-AAD7-44D8-BBD7-CCE9431645EC}">
                        <a14:shadowObscured xmlns:a14="http://schemas.microsoft.com/office/drawing/2010/main"/>
                      </a:ext>
                    </a:extLst>
                  </pic:spPr>
                </pic:pic>
              </a:graphicData>
            </a:graphic>
          </wp:inline>
        </w:drawing>
      </w:r>
    </w:p>
    <w:p w14:paraId="0E6D9A06" w14:textId="77777777" w:rsidR="00CF483E" w:rsidRDefault="00CF483E" w:rsidP="00CF483E">
      <w:pPr>
        <w:rPr>
          <w:noProof/>
          <w:lang w:eastAsia="x-none"/>
        </w:rPr>
      </w:pPr>
      <w:r>
        <w:rPr>
          <w:noProof/>
          <w:lang w:eastAsia="en-AU"/>
        </w:rPr>
        <w:drawing>
          <wp:inline distT="0" distB="0" distL="0" distR="0" wp14:anchorId="0346F423" wp14:editId="7D3A122F">
            <wp:extent cx="5634038" cy="1917890"/>
            <wp:effectExtent l="0" t="0" r="508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643304" cy="1921044"/>
                    </a:xfrm>
                    <a:prstGeom prst="rect">
                      <a:avLst/>
                    </a:prstGeom>
                    <a:noFill/>
                    <a:ln>
                      <a:noFill/>
                    </a:ln>
                    <a:extLst>
                      <a:ext uri="{53640926-AAD7-44D8-BBD7-CCE9431645EC}">
                        <a14:shadowObscured xmlns:a14="http://schemas.microsoft.com/office/drawing/2010/main"/>
                      </a:ext>
                    </a:extLst>
                  </pic:spPr>
                </pic:pic>
              </a:graphicData>
            </a:graphic>
          </wp:inline>
        </w:drawing>
      </w:r>
    </w:p>
    <w:p w14:paraId="1DBA8A3C" w14:textId="77777777" w:rsidR="00CF483E" w:rsidRDefault="00CF483E" w:rsidP="00CF483E">
      <w:pPr>
        <w:rPr>
          <w:noProof/>
          <w:lang w:eastAsia="x-none"/>
        </w:rPr>
      </w:pPr>
      <w:r>
        <w:rPr>
          <w:noProof/>
          <w:lang w:eastAsia="en-AU"/>
        </w:rPr>
        <w:drawing>
          <wp:inline distT="0" distB="0" distL="0" distR="0" wp14:anchorId="199E3BA7" wp14:editId="37D8A071">
            <wp:extent cx="5667756" cy="194786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716103" cy="1964479"/>
                    </a:xfrm>
                    <a:prstGeom prst="rect">
                      <a:avLst/>
                    </a:prstGeom>
                    <a:noFill/>
                    <a:ln>
                      <a:noFill/>
                    </a:ln>
                    <a:extLst>
                      <a:ext uri="{53640926-AAD7-44D8-BBD7-CCE9431645EC}">
                        <a14:shadowObscured xmlns:a14="http://schemas.microsoft.com/office/drawing/2010/main"/>
                      </a:ext>
                    </a:extLst>
                  </pic:spPr>
                </pic:pic>
              </a:graphicData>
            </a:graphic>
          </wp:inline>
        </w:drawing>
      </w:r>
    </w:p>
    <w:p w14:paraId="1855E02A" w14:textId="0A4805F9" w:rsidR="00CF483E" w:rsidRPr="00385C4A" w:rsidRDefault="00CF483E" w:rsidP="00CF483E">
      <w:pPr>
        <w:pStyle w:val="Caption"/>
      </w:pPr>
      <w:bookmarkStart w:id="298" w:name="_Ref19612260"/>
      <w:bookmarkStart w:id="299" w:name="_Toc31985608"/>
      <w:r w:rsidRPr="00385C4A">
        <w:t xml:space="preserve">Figure </w:t>
      </w:r>
      <w:r>
        <w:fldChar w:fldCharType="begin"/>
      </w:r>
      <w:r>
        <w:instrText>SEQ Figure \* ARABIC</w:instrText>
      </w:r>
      <w:r>
        <w:fldChar w:fldCharType="separate"/>
      </w:r>
      <w:r w:rsidR="007F7607">
        <w:rPr>
          <w:noProof/>
        </w:rPr>
        <w:t>44</w:t>
      </w:r>
      <w:r>
        <w:fldChar w:fldCharType="end"/>
      </w:r>
      <w:bookmarkEnd w:id="298"/>
      <w:r w:rsidRPr="00385C4A">
        <w:t>. Ecosystem respiration (ER) from Wallanthery, Cowl Cowl and Whealbah in the Lower Lachlan, August 2014 - June 2019.</w:t>
      </w:r>
      <w:bookmarkEnd w:id="299"/>
    </w:p>
    <w:p w14:paraId="31855FDC" w14:textId="77777777" w:rsidR="00CF483E" w:rsidRPr="00385C4A" w:rsidRDefault="00CF483E" w:rsidP="00CF483E">
      <w:pPr>
        <w:pStyle w:val="Caption"/>
      </w:pPr>
      <w:r w:rsidRPr="00385C4A">
        <w:t>Blue shaded vertical bars indicate watering actions.</w:t>
      </w:r>
    </w:p>
    <w:p w14:paraId="64BB4207" w14:textId="77777777" w:rsidR="00CF483E" w:rsidRPr="00385C4A" w:rsidRDefault="00CF483E" w:rsidP="00CF483E">
      <w:pPr>
        <w:pStyle w:val="Caption"/>
      </w:pPr>
      <w:r w:rsidRPr="00385C4A">
        <w:t>Note: All sites on a different scale for dissolved oxygen and ER. Wallanthery on a higher scale for discharge.</w:t>
      </w:r>
      <w:r w:rsidRPr="00385C4A">
        <w:br w:type="page"/>
      </w:r>
    </w:p>
    <w:p w14:paraId="7EE0EED7" w14:textId="77777777" w:rsidR="00CF483E" w:rsidRDefault="00CF483E" w:rsidP="00CF483E">
      <w:pPr>
        <w:rPr>
          <w:lang w:eastAsia="x-none"/>
        </w:rPr>
      </w:pPr>
      <w:r>
        <w:rPr>
          <w:noProof/>
          <w:lang w:eastAsia="en-AU"/>
        </w:rPr>
        <mc:AlternateContent>
          <mc:Choice Requires="wpg">
            <w:drawing>
              <wp:anchor distT="0" distB="0" distL="114300" distR="114300" simplePos="0" relativeHeight="251688960" behindDoc="0" locked="0" layoutInCell="1" allowOverlap="1" wp14:anchorId="072B0B3A" wp14:editId="0C8FE333">
                <wp:simplePos x="0" y="0"/>
                <wp:positionH relativeFrom="column">
                  <wp:posOffset>762000</wp:posOffset>
                </wp:positionH>
                <wp:positionV relativeFrom="paragraph">
                  <wp:posOffset>104775</wp:posOffset>
                </wp:positionV>
                <wp:extent cx="4324350" cy="4810016"/>
                <wp:effectExtent l="76200" t="0" r="76200" b="0"/>
                <wp:wrapNone/>
                <wp:docPr id="292" name="Group 292"/>
                <wp:cNvGraphicFramePr/>
                <a:graphic xmlns:a="http://schemas.openxmlformats.org/drawingml/2006/main">
                  <a:graphicData uri="http://schemas.microsoft.com/office/word/2010/wordprocessingGroup">
                    <wpg:wgp>
                      <wpg:cNvGrpSpPr/>
                      <wpg:grpSpPr>
                        <a:xfrm>
                          <a:off x="0" y="0"/>
                          <a:ext cx="4324350" cy="4810016"/>
                          <a:chOff x="0" y="0"/>
                          <a:chExt cx="4324350" cy="4810016"/>
                        </a:xfrm>
                        <a:solidFill>
                          <a:schemeClr val="accent1">
                            <a:lumMod val="40000"/>
                            <a:lumOff val="60000"/>
                            <a:alpha val="32000"/>
                          </a:schemeClr>
                        </a:solidFill>
                      </wpg:grpSpPr>
                      <wpg:grpSp>
                        <wpg:cNvPr id="293" name="Group 293"/>
                        <wpg:cNvGrpSpPr/>
                        <wpg:grpSpPr>
                          <a:xfrm>
                            <a:off x="0" y="0"/>
                            <a:ext cx="4324350" cy="4800600"/>
                            <a:chOff x="0" y="0"/>
                            <a:chExt cx="4572747" cy="6457950"/>
                          </a:xfrm>
                          <a:grpFill/>
                        </wpg:grpSpPr>
                        <wps:wsp>
                          <wps:cNvPr id="294" name="Rectangle 294"/>
                          <wps:cNvSpPr/>
                          <wps:spPr>
                            <a:xfrm>
                              <a:off x="0" y="0"/>
                              <a:ext cx="45719" cy="645287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tangle 295"/>
                          <wps:cNvSpPr/>
                          <wps:spPr>
                            <a:xfrm>
                              <a:off x="842963" y="9525"/>
                              <a:ext cx="400050" cy="644366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ctangle 296"/>
                          <wps:cNvSpPr/>
                          <wps:spPr>
                            <a:xfrm>
                              <a:off x="2157413" y="14287"/>
                              <a:ext cx="235585" cy="644366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4524375" y="14287"/>
                              <a:ext cx="48372" cy="6433093"/>
                            </a:xfrm>
                            <a:prstGeom prst="rect">
                              <a:avLst/>
                            </a:prstGeom>
                            <a:grpFill/>
                            <a:ln w="25400" cap="flat" cmpd="sng" algn="ctr">
                              <a:noFill/>
                              <a:prstDash val="solid"/>
                            </a:ln>
                            <a:effectLst/>
                          </wps:spPr>
                          <wps:txbx>
                            <w:txbxContent>
                              <w:p w14:paraId="1513072D"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le 298"/>
                          <wps:cNvSpPr/>
                          <wps:spPr>
                            <a:xfrm flipH="1">
                              <a:off x="3857625" y="9525"/>
                              <a:ext cx="48372" cy="6440495"/>
                            </a:xfrm>
                            <a:prstGeom prst="rect">
                              <a:avLst/>
                            </a:prstGeom>
                            <a:grpFill/>
                            <a:ln w="25400" cap="flat" cmpd="sng" algn="ctr">
                              <a:noFill/>
                              <a:prstDash val="solid"/>
                            </a:ln>
                            <a:effectLst/>
                          </wps:spPr>
                          <wps:txbx>
                            <w:txbxContent>
                              <w:p w14:paraId="2568B8F7"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tangle 299"/>
                          <wps:cNvSpPr/>
                          <wps:spPr>
                            <a:xfrm>
                              <a:off x="3943350" y="9525"/>
                              <a:ext cx="14884" cy="6440495"/>
                            </a:xfrm>
                            <a:prstGeom prst="rect">
                              <a:avLst/>
                            </a:prstGeom>
                            <a:grpFill/>
                            <a:ln w="25400" cap="flat" cmpd="sng" algn="ctr">
                              <a:noFill/>
                              <a:prstDash val="solid"/>
                            </a:ln>
                            <a:effectLst/>
                          </wps:spPr>
                          <wps:txbx>
                            <w:txbxContent>
                              <w:p w14:paraId="557E28FE" w14:textId="77777777" w:rsidR="007F7607" w:rsidRDefault="007F7607" w:rsidP="00CF483E"/>
                              <w:p w14:paraId="63F77B8D"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tangle 300"/>
                          <wps:cNvSpPr/>
                          <wps:spPr>
                            <a:xfrm>
                              <a:off x="3971925" y="9525"/>
                              <a:ext cx="55813" cy="6448425"/>
                            </a:xfrm>
                            <a:prstGeom prst="rect">
                              <a:avLst/>
                            </a:prstGeom>
                            <a:grpFill/>
                            <a:ln w="25400" cap="flat" cmpd="sng" algn="ctr">
                              <a:noFill/>
                              <a:prstDash val="solid"/>
                            </a:ln>
                            <a:effectLst/>
                          </wps:spPr>
                          <wps:txbx>
                            <w:txbxContent>
                              <w:p w14:paraId="7DA7ACDD" w14:textId="77777777" w:rsidR="007F7607" w:rsidRDefault="007F7607" w:rsidP="00CF483E"/>
                              <w:p w14:paraId="249F97B8"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1" name="Rectangle 301"/>
                        <wps:cNvSpPr/>
                        <wps:spPr>
                          <a:xfrm>
                            <a:off x="2671763" y="4763"/>
                            <a:ext cx="161925" cy="4795837"/>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Rectangle 302"/>
                        <wps:cNvSpPr/>
                        <wps:spPr>
                          <a:xfrm>
                            <a:off x="3257550" y="0"/>
                            <a:ext cx="57150" cy="4810016"/>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2B0B3A" id="Group 292" o:spid="_x0000_s1099" style="position:absolute;margin-left:60pt;margin-top:8.25pt;width:340.5pt;height:378.75pt;z-index:251688960" coordsize="43243,4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">
                <v:group id="Group 293" o:spid="_x0000_s1100" style="position:absolute;width:43243;height:48006" coordsize="45727,6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rect id="Rectangle 294" o:spid="_x0000_s1101" style="position:absolute;width:457;height:6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XW8UA&#10;AADcAAAADwAAAGRycy9kb3ducmV2LnhtbESPQWvCQBSE70L/w/IKvZlNRcRGVwmlleZYUyi9vWSf&#10;Sdrs25BdY/Lv3YLgcZiZb5jtfjStGKh3jWUFz1EMgri0uuFKwVf+Pl+DcB5ZY2uZFEzkYL97mG0x&#10;0fbCnzQcfSUChF2CCmrvu0RKV9Zk0EW2Iw7eyfYGfZB9JXWPlwA3rVzE8UoabDgs1NjRa03l3/Fs&#10;FLhiyPKpS79/f1xZpG9s8mV2UOrpcUw3IDyN/h6+tT+0gsXLEv7PhCMgd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tdbxQAAANwAAAAPAAAAAAAAAAAAAAAAAJgCAABkcnMv&#10;ZG93bnJldi54bWxQSwUGAAAAAAQABAD1AAAAigMAAAAA&#10;" filled="f" stroked="f" strokeweight="2pt"/>
                  <v:rect id="Rectangle 295" o:spid="_x0000_s1102" style="position:absolute;left:8429;top:95;width:4001;height:64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MUA&#10;AADcAAAADwAAAGRycy9kb3ducmV2LnhtbESPQWvCQBSE74X+h+UVvDUbpZU2uglBrOixplC8PbOv&#10;SWr2bciuMf77bkHwOMzMN8wyG00rBupdY1nBNIpBEJdWN1wp+Co+nt9AOI+ssbVMCq7kIEsfH5aY&#10;aHvhTxr2vhIBwi5BBbX3XSKlK2sy6CLbEQfvx/YGfZB9JXWPlwA3rZzF8VwabDgs1NjRqqbytD8b&#10;Be447Iprl3//Hlx5zNdsipfdRqnJ05gvQHga/T18a2+1gtn7K/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nLAxQAAANwAAAAPAAAAAAAAAAAAAAAAAJgCAABkcnMv&#10;ZG93bnJldi54bWxQSwUGAAAAAAQABAD1AAAAigMAAAAA&#10;" filled="f" stroked="f" strokeweight="2pt"/>
                  <v:rect id="Rectangle 296" o:spid="_x0000_s1103" style="position:absolute;left:21574;top:142;width:2355;height:6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st8MA&#10;AADcAAAADwAAAGRycy9kb3ducmV2LnhtbESPQYvCMBSE74L/ITxhb5oqi6zVKEVU1uNaQbw9m2db&#10;bV5KE2v995uFBY/DzHzDLFadqURLjSstKxiPIhDEmdUl5wqO6Xb4BcJ5ZI2VZVLwIgerZb+3wFjb&#10;J/9Qe/C5CBB2MSoovK9jKV1WkEE3sjVx8K62MeiDbHKpG3wGuKnkJIqm0mDJYaHAmtYFZffDwyhw&#10;l3afvurkdDu77JJs2KSf+51SH4MumYPw1Pl3+L/9rRVMZl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Tst8MAAADcAAAADwAAAAAAAAAAAAAAAACYAgAAZHJzL2Rv&#10;d25yZXYueG1sUEsFBgAAAAAEAAQA9QAAAIgDAAAAAA==&#10;" filled="f" stroked="f" strokeweight="2pt"/>
                  <v:rect id="Rectangle 297" o:spid="_x0000_s1104" style="position:absolute;left:45243;top:142;width:484;height:6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JLMUA&#10;AADcAAAADwAAAGRycy9kb3ducmV2LnhtbESPQWvCQBSE74X+h+UVvDUbpdQ2uglBrOixplC8PbOv&#10;SWr2bciuMf77bkHwOMzMN8wyG00rBupdY1nBNIpBEJdWN1wp+Co+nt9AOI+ssbVMCq7kIEsfH5aY&#10;aHvhTxr2vhIBwi5BBbX3XSKlK2sy6CLbEQfvx/YGfZB9JXWPlwA3rZzF8as02HBYqLGjVU3laX82&#10;Ctxx2BXXLv/+PbjymK/ZFC+7jVKTpzFfgPA0+nv41t5qBbP3Of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EksxQAAANwAAAAPAAAAAAAAAAAAAAAAAJgCAABkcnMv&#10;ZG93bnJldi54bWxQSwUGAAAAAAQABAD1AAAAigMAAAAA&#10;" filled="f" stroked="f" strokeweight="2pt">
                    <v:textbox>
                      <w:txbxContent>
                        <w:p w14:paraId="1513072D" w14:textId="77777777" w:rsidR="007F7607" w:rsidRDefault="007F7607" w:rsidP="00CF483E"/>
                      </w:txbxContent>
                    </v:textbox>
                  </v:rect>
                  <v:rect id="Rectangle 298" o:spid="_x0000_s1105" style="position:absolute;left:38576;top:95;width:483;height:6440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QNWsIA&#10;AADcAAAADwAAAGRycy9kb3ducmV2LnhtbERPz2vCMBS+D/wfwhO8zVQPw1WjTEFwKIW54fmteWvK&#10;mpeSpLbbX28OgseP7/dqM9hGXMmH2rGC2TQDQVw6XXOl4Otz/7wAESKyxsYxKfijAJv16GmFuXY9&#10;f9D1HCuRQjjkqMDE2OZShtKQxTB1LXHifpy3GBP0ldQe+xRuGznPshdpsebUYLClnaHy99xZBe9d&#10;KIpt0e/k8XL6/u8OwfjtSanJeHhbgog0xIf47j5oBfPXtDadSUd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A1awgAAANwAAAAPAAAAAAAAAAAAAAAAAJgCAABkcnMvZG93&#10;bnJldi54bWxQSwUGAAAAAAQABAD1AAAAhwMAAAAA&#10;" filled="f" stroked="f" strokeweight="2pt">
                    <v:textbox>
                      <w:txbxContent>
                        <w:p w14:paraId="2568B8F7" w14:textId="77777777" w:rsidR="007F7607" w:rsidRDefault="007F7607" w:rsidP="00CF483E"/>
                      </w:txbxContent>
                    </v:textbox>
                  </v:rect>
                  <v:rect id="Rectangle 299" o:spid="_x0000_s1106" style="position:absolute;left:39433;top:95;width:149;height:64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4xcUA&#10;AADcAAAADwAAAGRycy9kb3ducmV2LnhtbESPT2vCQBTE70K/w/IKvemmoYimrhJKW5qjplB6e2af&#10;SWz2bchu8+fbu4LgcZiZ3zCb3Wga0VPnassKnhcRCOLC6ppLBd/5x3wFwnlkjY1lUjCRg932YbbB&#10;RNuB99QffCkChF2CCirv20RKV1Rk0C1sSxy8k+0M+iC7UuoOhwA3jYyjaCkN1hwWKmzpraLi7/Bv&#10;FLhjn+VTm/6cf11xTN/Z5C/Zp1JPj2P6CsLT6O/hW/tLK4jXa7ieCUdAb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3jFxQAAANwAAAAPAAAAAAAAAAAAAAAAAJgCAABkcnMv&#10;ZG93bnJldi54bWxQSwUGAAAAAAQABAD1AAAAigMAAAAA&#10;" filled="f" stroked="f" strokeweight="2pt">
                    <v:textbox>
                      <w:txbxContent>
                        <w:p w14:paraId="557E28FE" w14:textId="77777777" w:rsidR="007F7607" w:rsidRDefault="007F7607" w:rsidP="00CF483E"/>
                        <w:p w14:paraId="63F77B8D" w14:textId="77777777" w:rsidR="007F7607" w:rsidRDefault="007F7607" w:rsidP="00CF483E"/>
                      </w:txbxContent>
                    </v:textbox>
                  </v:rect>
                  <v:rect id="Rectangle 300" o:spid="_x0000_s1107" style="position:absolute;left:39719;top:95;width:558;height:6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pLQsIA&#10;AADcAAAADwAAAGRycy9kb3ducmV2LnhtbERPTWuDQBC9F/oflinkVte2IRTjJkhpSzxWCyG30Z2o&#10;iTsr7taYf589FHJ8vO90O5teTDS6zrKClygGQVxb3XGj4Lf8en4H4Tyyxt4yKbiSg+3m8SHFRNsL&#10;/9BU+EaEEHYJKmi9HxIpXd2SQRfZgThwRzsa9AGOjdQjXkK46eVrHK+kwY5DQ4sDfbRUn4s/o8BV&#10;U15eh2x/Ori6yj7ZlMv8W6nF05ytQXia/V38795pBW9xmB/OhCM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mktCwgAAANwAAAAPAAAAAAAAAAAAAAAAAJgCAABkcnMvZG93&#10;bnJldi54bWxQSwUGAAAAAAQABAD1AAAAhwMAAAAA&#10;" filled="f" stroked="f" strokeweight="2pt">
                    <v:textbox>
                      <w:txbxContent>
                        <w:p w14:paraId="7DA7ACDD" w14:textId="77777777" w:rsidR="007F7607" w:rsidRDefault="007F7607" w:rsidP="00CF483E"/>
                        <w:p w14:paraId="249F97B8" w14:textId="77777777" w:rsidR="007F7607" w:rsidRDefault="007F7607" w:rsidP="00CF483E"/>
                      </w:txbxContent>
                    </v:textbox>
                  </v:rect>
                </v:group>
                <v:rect id="Rectangle 301" o:spid="_x0000_s1108" style="position:absolute;left:26717;top:47;width:1619;height:47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bu2cMA&#10;AADcAAAADwAAAGRycy9kb3ducmV2LnhtbESPQYvCMBSE74L/ITzBm6auItI1SpFV9KhdkL09m7dt&#10;1+alNLHWf28EYY/DzHzDLNedqURLjSstK5iMIxDEmdUl5wq+0+1oAcJ5ZI2VZVLwIAfrVb+3xFjb&#10;Ox+pPflcBAi7GBUU3texlC4ryKAb25o4eL+2MeiDbHKpG7wHuKnkRxTNpcGSw0KBNW0Kyq6nm1Hg&#10;Lu0hfdTJ+e/HZZfki006O+yUGg665BOEp87/h9/tvVYwjSbwOhOO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bu2cMAAADcAAAADwAAAAAAAAAAAAAAAACYAgAAZHJzL2Rv&#10;d25yZXYueG1sUEsFBgAAAAAEAAQA9QAAAIgDAAAAAA==&#10;" filled="f" stroked="f" strokeweight="2pt"/>
                <v:rect id="Rectangle 302" o:spid="_x0000_s1109" style="position:absolute;left:32575;width:572;height:48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RwrsUA&#10;AADcAAAADwAAAGRycy9kb3ducmV2LnhtbESPQWvCQBSE70L/w/IK3sxGK1JSVwliizk2KZTeXrKv&#10;SWr2bchuY/z3bkHocZiZb5jtfjKdGGlwrWUFyygGQVxZ3XKt4KN4XTyDcB5ZY2eZFFzJwX73MNti&#10;ou2F32nMfS0ChF2CChrv+0RKVzVk0EW2Jw7etx0M+iCHWuoBLwFuOrmK44002HJYaLCnQ0PVOf81&#10;Clw5ZsW1Tz9/vlxVpkc2xTp7U2r+OKUvIDxN/j98b5+0gqd4BX9nwhG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HCuxQAAANwAAAAPAAAAAAAAAAAAAAAAAJgCAABkcnMv&#10;ZG93bnJldi54bWxQSwUGAAAAAAQABAD1AAAAigMAAAAA&#10;" filled="f" stroked="f" strokeweight="2pt"/>
              </v:group>
            </w:pict>
          </mc:Fallback>
        </mc:AlternateContent>
      </w:r>
      <w:r>
        <w:rPr>
          <w:noProof/>
          <w:lang w:eastAsia="x-none"/>
        </w:rPr>
        <w:t xml:space="preserve"> </w:t>
      </w:r>
      <w:r>
        <w:rPr>
          <w:noProof/>
          <w:lang w:eastAsia="en-AU"/>
        </w:rPr>
        <w:drawing>
          <wp:inline distT="0" distB="0" distL="0" distR="0" wp14:anchorId="3B846537" wp14:editId="71DCCBAE">
            <wp:extent cx="5667706" cy="1781810"/>
            <wp:effectExtent l="0" t="0" r="952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695519" cy="1790554"/>
                    </a:xfrm>
                    <a:prstGeom prst="rect">
                      <a:avLst/>
                    </a:prstGeom>
                    <a:noFill/>
                    <a:ln>
                      <a:noFill/>
                    </a:ln>
                    <a:extLst>
                      <a:ext uri="{53640926-AAD7-44D8-BBD7-CCE9431645EC}">
                        <a14:shadowObscured xmlns:a14="http://schemas.microsoft.com/office/drawing/2010/main"/>
                      </a:ext>
                    </a:extLst>
                  </pic:spPr>
                </pic:pic>
              </a:graphicData>
            </a:graphic>
          </wp:inline>
        </w:drawing>
      </w:r>
    </w:p>
    <w:p w14:paraId="1637A851" w14:textId="77777777" w:rsidR="00CF483E" w:rsidRDefault="00CF483E" w:rsidP="00CF483E">
      <w:pPr>
        <w:rPr>
          <w:lang w:eastAsia="x-none"/>
        </w:rPr>
      </w:pPr>
      <w:r>
        <w:rPr>
          <w:noProof/>
          <w:lang w:eastAsia="x-none"/>
        </w:rPr>
        <w:t xml:space="preserve"> </w:t>
      </w:r>
      <w:r>
        <w:rPr>
          <w:noProof/>
          <w:lang w:eastAsia="en-AU"/>
        </w:rPr>
        <w:drawing>
          <wp:inline distT="0" distB="0" distL="0" distR="0" wp14:anchorId="643A7AB2" wp14:editId="3E7EBC4F">
            <wp:extent cx="5676900" cy="1778153"/>
            <wp:effectExtent l="0" t="0" r="0"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679828" cy="1779070"/>
                    </a:xfrm>
                    <a:prstGeom prst="rect">
                      <a:avLst/>
                    </a:prstGeom>
                    <a:noFill/>
                    <a:ln>
                      <a:noFill/>
                    </a:ln>
                    <a:extLst>
                      <a:ext uri="{53640926-AAD7-44D8-BBD7-CCE9431645EC}">
                        <a14:shadowObscured xmlns:a14="http://schemas.microsoft.com/office/drawing/2010/main"/>
                      </a:ext>
                    </a:extLst>
                  </pic:spPr>
                </pic:pic>
              </a:graphicData>
            </a:graphic>
          </wp:inline>
        </w:drawing>
      </w:r>
    </w:p>
    <w:p w14:paraId="7040E8CA" w14:textId="77777777" w:rsidR="00CF483E" w:rsidRDefault="00CF483E" w:rsidP="00CF483E">
      <w:pPr>
        <w:rPr>
          <w:lang w:eastAsia="x-none"/>
        </w:rPr>
      </w:pPr>
      <w:r>
        <w:rPr>
          <w:noProof/>
          <w:lang w:eastAsia="en-AU"/>
        </w:rPr>
        <w:drawing>
          <wp:inline distT="0" distB="0" distL="0" distR="0" wp14:anchorId="3F1B87D5" wp14:editId="1F0B0455">
            <wp:extent cx="5619750" cy="1820035"/>
            <wp:effectExtent l="0" t="0" r="0" b="889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630323" cy="1823459"/>
                    </a:xfrm>
                    <a:prstGeom prst="rect">
                      <a:avLst/>
                    </a:prstGeom>
                    <a:noFill/>
                    <a:ln>
                      <a:noFill/>
                    </a:ln>
                    <a:extLst>
                      <a:ext uri="{53640926-AAD7-44D8-BBD7-CCE9431645EC}">
                        <a14:shadowObscured xmlns:a14="http://schemas.microsoft.com/office/drawing/2010/main"/>
                      </a:ext>
                    </a:extLst>
                  </pic:spPr>
                </pic:pic>
              </a:graphicData>
            </a:graphic>
          </wp:inline>
        </w:drawing>
      </w:r>
    </w:p>
    <w:p w14:paraId="052F8486" w14:textId="4C3D9860" w:rsidR="00CF483E" w:rsidRDefault="00CF483E" w:rsidP="00CF483E">
      <w:pPr>
        <w:pStyle w:val="Caption"/>
        <w:rPr>
          <w:rStyle w:val="CaptionChar"/>
          <w:bCs/>
          <w:i/>
        </w:rPr>
      </w:pPr>
      <w:bookmarkStart w:id="300" w:name="_Toc31985609"/>
      <w:r w:rsidRPr="003358DE">
        <w:rPr>
          <w:rStyle w:val="CaptionChar"/>
          <w:bCs/>
          <w:i/>
        </w:rPr>
        <w:t xml:space="preserve">Figure </w:t>
      </w:r>
      <w:r w:rsidRPr="003358DE">
        <w:rPr>
          <w:rStyle w:val="CaptionChar"/>
          <w:bCs/>
          <w:i/>
        </w:rPr>
        <w:fldChar w:fldCharType="begin"/>
      </w:r>
      <w:r w:rsidRPr="003358DE">
        <w:rPr>
          <w:rStyle w:val="CaptionChar"/>
          <w:bCs/>
          <w:i/>
        </w:rPr>
        <w:instrText xml:space="preserve"> SEQ Figure \* ARABIC </w:instrText>
      </w:r>
      <w:r w:rsidRPr="003358DE">
        <w:rPr>
          <w:rStyle w:val="CaptionChar"/>
          <w:bCs/>
          <w:i/>
        </w:rPr>
        <w:fldChar w:fldCharType="separate"/>
      </w:r>
      <w:r w:rsidR="007F7607">
        <w:rPr>
          <w:rStyle w:val="CaptionChar"/>
          <w:bCs/>
          <w:i/>
          <w:noProof/>
        </w:rPr>
        <w:t>45</w:t>
      </w:r>
      <w:r w:rsidRPr="003358DE">
        <w:rPr>
          <w:rStyle w:val="CaptionChar"/>
          <w:bCs/>
          <w:i/>
        </w:rPr>
        <w:fldChar w:fldCharType="end"/>
      </w:r>
      <w:r w:rsidRPr="003358DE">
        <w:rPr>
          <w:rStyle w:val="CaptionChar"/>
          <w:bCs/>
          <w:i/>
        </w:rPr>
        <w:t xml:space="preserve">. </w:t>
      </w:r>
      <w:r>
        <w:rPr>
          <w:rStyle w:val="CaptionChar"/>
          <w:bCs/>
          <w:i/>
        </w:rPr>
        <w:t>Reaeration</w:t>
      </w:r>
      <w:r w:rsidRPr="003358DE">
        <w:rPr>
          <w:rStyle w:val="CaptionChar"/>
          <w:bCs/>
          <w:i/>
        </w:rPr>
        <w:t xml:space="preserve"> (</w:t>
      </w:r>
      <w:r>
        <w:rPr>
          <w:rStyle w:val="CaptionChar"/>
          <w:bCs/>
          <w:i/>
        </w:rPr>
        <w:t>K</w:t>
      </w:r>
      <w:r w:rsidRPr="003358DE">
        <w:rPr>
          <w:rStyle w:val="CaptionChar"/>
          <w:bCs/>
          <w:i/>
        </w:rPr>
        <w:t xml:space="preserve">) from </w:t>
      </w:r>
      <w:r>
        <w:rPr>
          <w:rStyle w:val="CaptionChar"/>
          <w:bCs/>
          <w:i/>
        </w:rPr>
        <w:t>Wallanthery, Cowl Cowl and Whealbah</w:t>
      </w:r>
      <w:r w:rsidRPr="003358DE">
        <w:rPr>
          <w:rStyle w:val="CaptionChar"/>
          <w:bCs/>
          <w:i/>
        </w:rPr>
        <w:t xml:space="preserve"> in the Lower Lachlan, </w:t>
      </w:r>
      <w:r>
        <w:rPr>
          <w:rStyle w:val="CaptionChar"/>
          <w:bCs/>
          <w:i/>
        </w:rPr>
        <w:t>August 2014</w:t>
      </w:r>
      <w:r w:rsidRPr="003358DE">
        <w:rPr>
          <w:rStyle w:val="CaptionChar"/>
          <w:bCs/>
          <w:i/>
        </w:rPr>
        <w:t xml:space="preserve"> - June 2019.</w:t>
      </w:r>
      <w:bookmarkEnd w:id="300"/>
    </w:p>
    <w:p w14:paraId="0AFBB4F7" w14:textId="77777777" w:rsidR="00CF483E" w:rsidRDefault="00CF483E" w:rsidP="00CF483E">
      <w:pPr>
        <w:pStyle w:val="Caption"/>
        <w:rPr>
          <w:rStyle w:val="CaptionChar"/>
          <w:bCs/>
          <w:i/>
        </w:rPr>
      </w:pPr>
      <w:r w:rsidRPr="003358DE">
        <w:rPr>
          <w:rStyle w:val="CaptionChar"/>
          <w:bCs/>
          <w:i/>
        </w:rPr>
        <w:t>Blue shaded vertical bars indicate watering actions.</w:t>
      </w:r>
    </w:p>
    <w:p w14:paraId="755A289E" w14:textId="77777777" w:rsidR="00CF483E" w:rsidRPr="00093683" w:rsidRDefault="00CF483E" w:rsidP="00CF483E">
      <w:pPr>
        <w:pStyle w:val="Caption"/>
        <w:rPr>
          <w:rStyle w:val="CaptionChar"/>
          <w:bCs/>
          <w:i/>
        </w:rPr>
      </w:pPr>
      <w:r>
        <w:rPr>
          <w:rStyle w:val="CaptionChar"/>
          <w:bCs/>
          <w:i/>
        </w:rPr>
        <w:t>Note: Whealbah on a lower scale for dissolved oxygen and reaeration.</w:t>
      </w:r>
      <w:r w:rsidRPr="001072AD">
        <w:rPr>
          <w:rStyle w:val="CaptionChar"/>
          <w:bCs/>
          <w:i/>
        </w:rPr>
        <w:t xml:space="preserve"> </w:t>
      </w:r>
      <w:r>
        <w:rPr>
          <w:rStyle w:val="CaptionChar"/>
          <w:bCs/>
          <w:i/>
        </w:rPr>
        <w:t>Wallanthery on a higher scale for discharge.</w:t>
      </w:r>
      <w:r>
        <w:rPr>
          <w:rStyle w:val="CaptionChar"/>
          <w:bCs/>
          <w:i/>
        </w:rPr>
        <w:br w:type="page"/>
      </w:r>
    </w:p>
    <w:p w14:paraId="1ED51AC7" w14:textId="77777777" w:rsidR="00CF483E" w:rsidRDefault="00CF483E" w:rsidP="00CF483E">
      <w:r>
        <w:rPr>
          <w:noProof/>
          <w:lang w:eastAsia="en-AU"/>
        </w:rPr>
        <mc:AlternateContent>
          <mc:Choice Requires="wpg">
            <w:drawing>
              <wp:anchor distT="0" distB="0" distL="114300" distR="114300" simplePos="0" relativeHeight="251712512" behindDoc="0" locked="0" layoutInCell="1" allowOverlap="1" wp14:anchorId="3546C3E4" wp14:editId="218B5388">
                <wp:simplePos x="0" y="0"/>
                <wp:positionH relativeFrom="margin">
                  <wp:align>center</wp:align>
                </wp:positionH>
                <wp:positionV relativeFrom="paragraph">
                  <wp:posOffset>104775</wp:posOffset>
                </wp:positionV>
                <wp:extent cx="4324350" cy="5276850"/>
                <wp:effectExtent l="76200" t="0" r="76200" b="0"/>
                <wp:wrapNone/>
                <wp:docPr id="303" name="Group 303"/>
                <wp:cNvGraphicFramePr/>
                <a:graphic xmlns:a="http://schemas.openxmlformats.org/drawingml/2006/main">
                  <a:graphicData uri="http://schemas.microsoft.com/office/word/2010/wordprocessingGroup">
                    <wpg:wgp>
                      <wpg:cNvGrpSpPr/>
                      <wpg:grpSpPr>
                        <a:xfrm>
                          <a:off x="0" y="0"/>
                          <a:ext cx="4324350" cy="5276850"/>
                          <a:chOff x="0" y="0"/>
                          <a:chExt cx="4324350" cy="4810016"/>
                        </a:xfrm>
                        <a:solidFill>
                          <a:schemeClr val="accent1">
                            <a:lumMod val="40000"/>
                            <a:lumOff val="60000"/>
                            <a:alpha val="32000"/>
                          </a:schemeClr>
                        </a:solidFill>
                      </wpg:grpSpPr>
                      <wpg:grpSp>
                        <wpg:cNvPr id="304" name="Group 304"/>
                        <wpg:cNvGrpSpPr/>
                        <wpg:grpSpPr>
                          <a:xfrm>
                            <a:off x="0" y="0"/>
                            <a:ext cx="4324350" cy="4800600"/>
                            <a:chOff x="0" y="0"/>
                            <a:chExt cx="4572747" cy="6457950"/>
                          </a:xfrm>
                          <a:grpFill/>
                        </wpg:grpSpPr>
                        <wps:wsp>
                          <wps:cNvPr id="305" name="Rectangle 305"/>
                          <wps:cNvSpPr/>
                          <wps:spPr>
                            <a:xfrm>
                              <a:off x="0" y="0"/>
                              <a:ext cx="45719" cy="645287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Rectangle 306"/>
                          <wps:cNvSpPr/>
                          <wps:spPr>
                            <a:xfrm>
                              <a:off x="842963" y="9525"/>
                              <a:ext cx="400050" cy="644366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Rectangle 307"/>
                          <wps:cNvSpPr/>
                          <wps:spPr>
                            <a:xfrm>
                              <a:off x="2157413" y="14287"/>
                              <a:ext cx="235585" cy="644366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Rectangle 308"/>
                          <wps:cNvSpPr/>
                          <wps:spPr>
                            <a:xfrm>
                              <a:off x="4524375" y="14287"/>
                              <a:ext cx="48372" cy="6433093"/>
                            </a:xfrm>
                            <a:prstGeom prst="rect">
                              <a:avLst/>
                            </a:prstGeom>
                            <a:grpFill/>
                            <a:ln w="25400" cap="flat" cmpd="sng" algn="ctr">
                              <a:noFill/>
                              <a:prstDash val="solid"/>
                            </a:ln>
                            <a:effectLst/>
                          </wps:spPr>
                          <wps:txbx>
                            <w:txbxContent>
                              <w:p w14:paraId="304E93CE"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flipH="1">
                              <a:off x="3857625" y="9525"/>
                              <a:ext cx="48372" cy="6440495"/>
                            </a:xfrm>
                            <a:prstGeom prst="rect">
                              <a:avLst/>
                            </a:prstGeom>
                            <a:grpFill/>
                            <a:ln w="25400" cap="flat" cmpd="sng" algn="ctr">
                              <a:noFill/>
                              <a:prstDash val="solid"/>
                            </a:ln>
                            <a:effectLst/>
                          </wps:spPr>
                          <wps:txbx>
                            <w:txbxContent>
                              <w:p w14:paraId="15433981"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Rectangle 310"/>
                          <wps:cNvSpPr/>
                          <wps:spPr>
                            <a:xfrm>
                              <a:off x="3943350" y="9525"/>
                              <a:ext cx="14884" cy="6440495"/>
                            </a:xfrm>
                            <a:prstGeom prst="rect">
                              <a:avLst/>
                            </a:prstGeom>
                            <a:grpFill/>
                            <a:ln w="25400" cap="flat" cmpd="sng" algn="ctr">
                              <a:noFill/>
                              <a:prstDash val="solid"/>
                            </a:ln>
                            <a:effectLst/>
                          </wps:spPr>
                          <wps:txbx>
                            <w:txbxContent>
                              <w:p w14:paraId="12AC6E8E" w14:textId="77777777" w:rsidR="007F7607" w:rsidRDefault="007F7607" w:rsidP="00CF483E"/>
                              <w:p w14:paraId="7C19EECF"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311"/>
                          <wps:cNvSpPr/>
                          <wps:spPr>
                            <a:xfrm>
                              <a:off x="3971925" y="9525"/>
                              <a:ext cx="55813" cy="6448425"/>
                            </a:xfrm>
                            <a:prstGeom prst="rect">
                              <a:avLst/>
                            </a:prstGeom>
                            <a:grpFill/>
                            <a:ln w="25400" cap="flat" cmpd="sng" algn="ctr">
                              <a:noFill/>
                              <a:prstDash val="solid"/>
                            </a:ln>
                            <a:effectLst/>
                          </wps:spPr>
                          <wps:txbx>
                            <w:txbxContent>
                              <w:p w14:paraId="2BDB39B8" w14:textId="77777777" w:rsidR="007F7607" w:rsidRDefault="007F7607" w:rsidP="00CF483E"/>
                              <w:p w14:paraId="14420AD5" w14:textId="77777777" w:rsidR="007F7607" w:rsidRDefault="007F7607" w:rsidP="00CF48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2" name="Rectangle 312"/>
                        <wps:cNvSpPr/>
                        <wps:spPr>
                          <a:xfrm>
                            <a:off x="2671763" y="4763"/>
                            <a:ext cx="161925" cy="4795837"/>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Rectangle 313"/>
                        <wps:cNvSpPr/>
                        <wps:spPr>
                          <a:xfrm>
                            <a:off x="3257550" y="0"/>
                            <a:ext cx="57150" cy="4810016"/>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46C3E4" id="Group 303" o:spid="_x0000_s1110" style="position:absolute;margin-left:0;margin-top:8.25pt;width:340.5pt;height:415.5pt;z-index:251712512;mso-position-horizontal:center;mso-position-horizontal-relative:margin;mso-height-relative:margin" coordsize="43243,4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">
                <v:group id="Group 304" o:spid="_x0000_s1111" style="position:absolute;width:43243;height:48006" coordsize="45727,64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Rectangle 305" o:spid="_x0000_s1112" style="position:absolute;width:457;height:6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o2sQA&#10;AADcAAAADwAAAGRycy9kb3ducmV2LnhtbESPQWvCQBSE74L/YXlCb2ZjbUWiqwSppR5rBPH2zD6T&#10;aPZtyG5j/PfdQsHjMDPfMMt1b2rRUesqywomUQyCOLe64kLBIduO5yCcR9ZYWyYFD3KwXg0HS0y0&#10;vfM3dXtfiABhl6CC0vsmkdLlJRl0kW2Ig3exrUEfZFtI3eI9wE0tX+N4Jg1WHBZKbGhTUn7b/xgF&#10;7tztskeTHq8nl5/TDzbZ2+5TqZdRny5AeOr9M/zf/tIKpvE7/J0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6NrEAAAA3AAAAA8AAAAAAAAAAAAAAAAAmAIAAGRycy9k&#10;b3ducmV2LnhtbFBLBQYAAAAABAAEAPUAAACJAwAAAAA=&#10;" filled="f" stroked="f" strokeweight="2pt"/>
                  <v:rect id="Rectangle 306" o:spid="_x0000_s1113" style="position:absolute;left:8429;top:95;width:4001;height:64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92rcMA&#10;AADcAAAADwAAAGRycy9kb3ducmV2LnhtbESPT4vCMBTE74LfITzBm6b+QaRrlCIqelwryN6ezdu2&#10;a/NSmljrt98sLHgcZuY3zGrTmUq01LjSsoLJOAJBnFldcq7gku5HSxDOI2usLJOCFznYrPu9Fcba&#10;PvmT2rPPRYCwi1FB4X0dS+myggy6sa2Jg/dtG4M+yCaXusFngJtKTqNoIQ2WHBYKrGlbUHY/P4wC&#10;d2tP6atOrj9fLrslOzbp/HRQajjokg8Qnjr/Dv+3j1rBLFrA35lw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92rcMAAADcAAAADwAAAAAAAAAAAAAAAACYAgAAZHJzL2Rv&#10;d25yZXYueG1sUEsFBgAAAAAEAAQA9QAAAIgDAAAAAA==&#10;" filled="f" stroked="f" strokeweight="2pt"/>
                  <v:rect id="Rectangle 307" o:spid="_x0000_s1114" style="position:absolute;left:21574;top:142;width:2355;height:64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NsQA&#10;AADcAAAADwAAAGRycy9kb3ducmV2LnhtbESPQWvCQBSE74L/YXlCb2ZjLVWiqwSppR5rBPH2zD6T&#10;aPZtyG5j/PfdQsHjMDPfMMt1b2rRUesqywomUQyCOLe64kLBIduO5yCcR9ZYWyYFD3KwXg0HS0y0&#10;vfM3dXtfiABhl6CC0vsmkdLlJRl0kW2Ig3exrUEfZFtI3eI9wE0tX+P4XRqsOCyU2NCmpPy2/zEK&#10;3LnbZY8mPV5PLj+nH2yyt92nUi+jPl2A8NT7Z/i//aUVTOMZ/J0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0zbEAAAA3AAAAA8AAAAAAAAAAAAAAAAAmAIAAGRycy9k&#10;b3ducmV2LnhtbFBLBQYAAAAABAAEAPUAAACJAwAAAAA=&#10;" filled="f" stroked="f" strokeweight="2pt"/>
                  <v:rect id="Rectangle 308" o:spid="_x0000_s1115" style="position:absolute;left:45243;top:142;width:484;height:64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HRMIA&#10;AADcAAAADwAAAGRycy9kb3ducmV2LnhtbERPTWuDQBC9F/oflinkVte2IRTjJkhpSzxWCyG30Z2o&#10;iTsr7taYf589FHJ8vO90O5teTDS6zrKClygGQVxb3XGj4Lf8en4H4Tyyxt4yKbiSg+3m8SHFRNsL&#10;/9BU+EaEEHYJKmi9HxIpXd2SQRfZgThwRzsa9AGOjdQjXkK46eVrHK+kwY5DQ4sDfbRUn4s/o8BV&#10;U15eh2x/Ori6yj7ZlMv8W6nF05ytQXia/V38795pBW9xWBvOhCM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7EdEwgAAANwAAAAPAAAAAAAAAAAAAAAAAJgCAABkcnMvZG93&#10;bnJldi54bWxQSwUGAAAAAAQABAD1AAAAhwMAAAAA&#10;" filled="f" stroked="f" strokeweight="2pt">
                    <v:textbox>
                      <w:txbxContent>
                        <w:p w14:paraId="304E93CE" w14:textId="77777777" w:rsidR="007F7607" w:rsidRDefault="007F7607" w:rsidP="00CF483E"/>
                      </w:txbxContent>
                    </v:textbox>
                  </v:rect>
                  <v:rect id="Rectangle 309" o:spid="_x0000_s1116" style="position:absolute;left:38576;top:95;width:483;height:6440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y28UA&#10;AADcAAAADwAAAGRycy9kb3ducmV2LnhtbESPUWvCMBSF34X9h3AHe5vpNhhbNcoUBsqkoBOfr821&#10;KTY3JUlt3a9fBgMfD+ec73Cm88E24kI+1I4VPI0zEMSl0zVXCvbfn49vIEJE1tg4JgVXCjCf3Y2m&#10;mGvX85Yuu1iJBOGQowITY5tLGUpDFsPYtcTJOzlvMSbpK6k99gluG/mcZa/SYs1pwWBLS0PleddZ&#10;BesuFMWi6Jfy67A5/nSrYPxio9TD/fAxARFpiLfwf3ulFbxk7/B3Jh0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LbxQAAANwAAAAPAAAAAAAAAAAAAAAAAJgCAABkcnMv&#10;ZG93bnJldi54bWxQSwUGAAAAAAQABAD1AAAAigMAAAAA&#10;" filled="f" stroked="f" strokeweight="2pt">
                    <v:textbox>
                      <w:txbxContent>
                        <w:p w14:paraId="15433981" w14:textId="77777777" w:rsidR="007F7607" w:rsidRDefault="007F7607" w:rsidP="00CF483E"/>
                      </w:txbxContent>
                    </v:textbox>
                  </v:rect>
                  <v:rect id="Rectangle 310" o:spid="_x0000_s1117" style="position:absolute;left:39433;top:95;width:149;height:64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dn8AA&#10;AADcAAAADwAAAGRycy9kb3ducmV2LnhtbERPTYvCMBC9L/gfwgh726auIlKNUmRX1qNWEG9jM7bV&#10;ZlKabK3/3hwEj4/3vVj1phYdta6yrGAUxSCIc6srLhQcst+vGQjnkTXWlknBgxysloOPBSba3nlH&#10;3d4XIoSwS1BB6X2TSOnykgy6yDbEgbvY1qAPsC2kbvEewk0tv+N4Kg1WHBpKbGhdUn7b/xsF7txt&#10;s0eTHq8nl5/THzbZZLtR6nPYp3MQnnr/Fr/cf1rBeBTmhzPh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Pdn8AAAADcAAAADwAAAAAAAAAAAAAAAACYAgAAZHJzL2Rvd25y&#10;ZXYueG1sUEsFBgAAAAAEAAQA9QAAAIUDAAAAAA==&#10;" filled="f" stroked="f" strokeweight="2pt">
                    <v:textbox>
                      <w:txbxContent>
                        <w:p w14:paraId="12AC6E8E" w14:textId="77777777" w:rsidR="007F7607" w:rsidRDefault="007F7607" w:rsidP="00CF483E"/>
                        <w:p w14:paraId="7C19EECF" w14:textId="77777777" w:rsidR="007F7607" w:rsidRDefault="007F7607" w:rsidP="00CF483E"/>
                      </w:txbxContent>
                    </v:textbox>
                  </v:rect>
                  <v:rect id="Rectangle 311" o:spid="_x0000_s1118" style="position:absolute;left:39719;top:95;width:558;height:6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4BMUA&#10;AADcAAAADwAAAGRycy9kb3ducmV2LnhtbESPQWvCQBSE7wX/w/KE3ppN2iIS3YQgbanHmoJ4e2af&#10;STT7NmS3Mf77bkHocZiZb5h1PplOjDS41rKCJIpBEFdWt1wr+C7fn5YgnEfW2FkmBTdykGezhzWm&#10;2l75i8adr0WAsEtRQeN9n0rpqoYMusj2xME72cGgD3KopR7wGuCmk89xvJAGWw4LDfa0aai67H6M&#10;Ancct+WtL/bng6uOxRub8nX7odTjfCpWIDxN/j98b39qBS9JAn9nw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3gExQAAANwAAAAPAAAAAAAAAAAAAAAAAJgCAABkcnMv&#10;ZG93bnJldi54bWxQSwUGAAAAAAQABAD1AAAAigMAAAAA&#10;" filled="f" stroked="f" strokeweight="2pt">
                    <v:textbox>
                      <w:txbxContent>
                        <w:p w14:paraId="2BDB39B8" w14:textId="77777777" w:rsidR="007F7607" w:rsidRDefault="007F7607" w:rsidP="00CF483E"/>
                        <w:p w14:paraId="14420AD5" w14:textId="77777777" w:rsidR="007F7607" w:rsidRDefault="007F7607" w:rsidP="00CF483E"/>
                      </w:txbxContent>
                    </v:textbox>
                  </v:rect>
                </v:group>
                <v:rect id="Rectangle 312" o:spid="_x0000_s1119" style="position:absolute;left:26717;top:47;width:1619;height:47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3mc8UA&#10;AADcAAAADwAAAGRycy9kb3ducmV2LnhtbESPT2vCQBTE7wW/w/KE3urGtJQSXSWILc2xpiDentln&#10;Es2+Ddlt/nz7bqHgcZiZ3zDr7Wga0VPnassKlosIBHFhdc2lgu/8/ekNhPPIGhvLpGAiB9vN7GGN&#10;ibYDf1F/8KUIEHYJKqi8bxMpXVGRQbewLXHwLrYz6IPsSqk7HALcNDKOoldpsOawUGFLu4qK2+HH&#10;KHDnPsunNj1eT644p3s2+Uv2odTjfExXIDyN/h7+b39qBc/LGP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eZzxQAAANwAAAAPAAAAAAAAAAAAAAAAAJgCAABkcnMv&#10;ZG93bnJldi54bWxQSwUGAAAAAAQABAD1AAAAigMAAAAA&#10;" filled="f" stroked="f" strokeweight="2pt"/>
                <v:rect id="Rectangle 313" o:spid="_x0000_s1120" style="position:absolute;left:32575;width:572;height:48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D6MUA&#10;AADcAAAADwAAAGRycy9kb3ducmV2LnhtbESPT2vCQBTE7wW/w/KE3urGRopEVwliS3OsEUpvz+wz&#10;SZt9G7Lb/Pn2bqHgcZiZ3zDb/Wga0VPnassKlosIBHFhdc2lgnP++rQG4TyyxsYyKZjIwX43e9hi&#10;ou3AH9SffCkChF2CCirv20RKV1Rk0C1sSxy8q+0M+iC7UuoOhwA3jXyOohdpsOawUGFLh4qKn9Ov&#10;UeAufZZPbfr5/eWKS3pkk6+yN6Ue52O6AeFp9Pfwf/tdK4iX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UPoxQAAANwAAAAPAAAAAAAAAAAAAAAAAJgCAABkcnMv&#10;ZG93bnJldi54bWxQSwUGAAAAAAQABAD1AAAAigMAAAAA&#10;" filled="f" stroked="f" strokeweight="2pt"/>
                <w10:wrap anchorx="margin"/>
              </v:group>
            </w:pict>
          </mc:Fallback>
        </mc:AlternateContent>
      </w:r>
      <w:r>
        <w:rPr>
          <w:noProof/>
          <w:lang w:eastAsia="en-AU"/>
        </w:rPr>
        <w:drawing>
          <wp:inline distT="0" distB="0" distL="0" distR="0" wp14:anchorId="0436ADDC" wp14:editId="3B77BBDB">
            <wp:extent cx="5671185" cy="1811475"/>
            <wp:effectExtent l="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672154" cy="181178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0D05956" wp14:editId="7B6E8F61">
            <wp:extent cx="5661660" cy="2011480"/>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5662627" cy="2011824"/>
                    </a:xfrm>
                    <a:prstGeom prst="rect">
                      <a:avLst/>
                    </a:prstGeom>
                    <a:noFill/>
                    <a:ln>
                      <a:noFill/>
                    </a:ln>
                    <a:extLst>
                      <a:ext uri="{53640926-AAD7-44D8-BBD7-CCE9431645EC}">
                        <a14:shadowObscured xmlns:a14="http://schemas.microsoft.com/office/drawing/2010/main"/>
                      </a:ext>
                    </a:extLst>
                  </pic:spPr>
                </pic:pic>
              </a:graphicData>
            </a:graphic>
          </wp:inline>
        </w:drawing>
      </w:r>
    </w:p>
    <w:p w14:paraId="707114FD" w14:textId="77777777" w:rsidR="00CF483E" w:rsidRDefault="00CF483E" w:rsidP="00CF483E">
      <w:r>
        <w:rPr>
          <w:noProof/>
          <w:lang w:eastAsia="en-AU"/>
        </w:rPr>
        <w:drawing>
          <wp:inline distT="0" distB="0" distL="0" distR="0" wp14:anchorId="1AD7D0F8" wp14:editId="5B7F7FBC">
            <wp:extent cx="5671185" cy="2087672"/>
            <wp:effectExtent l="0" t="0" r="5715"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672154" cy="2088029"/>
                    </a:xfrm>
                    <a:prstGeom prst="rect">
                      <a:avLst/>
                    </a:prstGeom>
                    <a:noFill/>
                    <a:ln>
                      <a:noFill/>
                    </a:ln>
                    <a:extLst>
                      <a:ext uri="{53640926-AAD7-44D8-BBD7-CCE9431645EC}">
                        <a14:shadowObscured xmlns:a14="http://schemas.microsoft.com/office/drawing/2010/main"/>
                      </a:ext>
                    </a:extLst>
                  </pic:spPr>
                </pic:pic>
              </a:graphicData>
            </a:graphic>
          </wp:inline>
        </w:drawing>
      </w:r>
    </w:p>
    <w:p w14:paraId="3D3F1FCD" w14:textId="68E553ED" w:rsidR="00CF483E" w:rsidRPr="00507E37" w:rsidRDefault="00CF483E" w:rsidP="00507E37">
      <w:pPr>
        <w:pStyle w:val="Caption"/>
      </w:pPr>
      <w:bookmarkStart w:id="301" w:name="_Ref19614906"/>
      <w:bookmarkStart w:id="302" w:name="_Toc31985610"/>
      <w:r w:rsidRPr="00507E37">
        <w:t xml:space="preserve">Figure </w:t>
      </w:r>
      <w:r>
        <w:fldChar w:fldCharType="begin"/>
      </w:r>
      <w:r>
        <w:instrText>SEQ Figure \* ARABIC</w:instrText>
      </w:r>
      <w:r>
        <w:fldChar w:fldCharType="separate"/>
      </w:r>
      <w:r w:rsidR="007F7607">
        <w:rPr>
          <w:noProof/>
        </w:rPr>
        <w:t>46</w:t>
      </w:r>
      <w:r>
        <w:fldChar w:fldCharType="end"/>
      </w:r>
      <w:bookmarkEnd w:id="301"/>
      <w:r w:rsidRPr="00507E37">
        <w:t>. GPP/ ER ratio from Wallanthery, Cowl Cowl and Whealbah in the Lower Lachlan, August 2014 - June 2019.</w:t>
      </w:r>
      <w:bookmarkEnd w:id="302"/>
    </w:p>
    <w:p w14:paraId="39B3D8E9" w14:textId="77777777" w:rsidR="00CF483E" w:rsidRPr="00507E37" w:rsidRDefault="00CF483E" w:rsidP="00507E37">
      <w:pPr>
        <w:pStyle w:val="Caption"/>
      </w:pPr>
      <w:r w:rsidRPr="00507E37">
        <w:t>Blue shaded vertical bars indicate watering actions.</w:t>
      </w:r>
    </w:p>
    <w:p w14:paraId="43952987" w14:textId="2A849229" w:rsidR="00CF483E" w:rsidRPr="00507E37" w:rsidRDefault="00CF483E" w:rsidP="00507E37">
      <w:pPr>
        <w:pStyle w:val="Caption"/>
      </w:pPr>
      <w:r w:rsidRPr="00507E37">
        <w:t>Note: Cowl Cowl on a higher scale for dissolved oxygen and the GPP/ ER ratio. Not shown are 3 outlier for Wallanthery and 2</w:t>
      </w:r>
      <w:r w:rsidR="0046151C" w:rsidRPr="00507E37">
        <w:t>0</w:t>
      </w:r>
      <w:r w:rsidRPr="00507E37">
        <w:t xml:space="preserve"> outlier for Cowl Cowl for the GPP/ ER ratio above </w:t>
      </w:r>
      <w:r w:rsidR="0046151C" w:rsidRPr="00507E37">
        <w:t>3</w:t>
      </w:r>
      <w:r w:rsidRPr="00507E37">
        <w:t>0. Wallanthery on a higher scale for discharge.</w:t>
      </w:r>
    </w:p>
    <w:p w14:paraId="2B595BDF" w14:textId="3B7BC654" w:rsidR="0046151C" w:rsidRDefault="0046151C">
      <w:pPr>
        <w:spacing w:before="0" w:after="0"/>
        <w:rPr>
          <w:lang w:val="en-GB"/>
        </w:rPr>
      </w:pPr>
      <w:r>
        <w:rPr>
          <w:lang w:val="en-GB"/>
        </w:rPr>
        <w:br w:type="page"/>
      </w:r>
    </w:p>
    <w:p w14:paraId="59910196" w14:textId="451C9D91" w:rsidR="00696E7D" w:rsidRDefault="00696E7D" w:rsidP="007E117A">
      <w:pPr>
        <w:pStyle w:val="Heading1"/>
      </w:pPr>
      <w:bookmarkStart w:id="303" w:name="_Ref428441481"/>
      <w:bookmarkStart w:id="304" w:name="_Ref428447999"/>
      <w:bookmarkStart w:id="305" w:name="_Toc440827283"/>
      <w:bookmarkStart w:id="306" w:name="_Toc31985477"/>
      <w:bookmarkStart w:id="307" w:name="_Ref428531668"/>
      <w:r w:rsidRPr="00696E7D">
        <w:t>Fish community</w:t>
      </w:r>
      <w:bookmarkEnd w:id="303"/>
      <w:bookmarkEnd w:id="304"/>
      <w:bookmarkEnd w:id="305"/>
      <w:bookmarkEnd w:id="306"/>
    </w:p>
    <w:p w14:paraId="49FFEEA8" w14:textId="77777777" w:rsidR="00CE2EDC" w:rsidRPr="003F5729" w:rsidRDefault="00CE2EDC" w:rsidP="00CE2EDC">
      <w:pPr>
        <w:pStyle w:val="Heading2"/>
      </w:pPr>
      <w:bookmarkStart w:id="308" w:name="_Toc440827284"/>
      <w:bookmarkStart w:id="309" w:name="_Toc31985478"/>
      <w:r w:rsidRPr="003F5729">
        <w:t>Introduction</w:t>
      </w:r>
      <w:bookmarkEnd w:id="308"/>
      <w:bookmarkEnd w:id="309"/>
    </w:p>
    <w:p w14:paraId="7A7376CC" w14:textId="15E10073" w:rsidR="00CE2EDC" w:rsidRDefault="00CE2EDC" w:rsidP="00CE2EDC">
      <w:r w:rsidRPr="009C7AB9">
        <w:t>Fish are an integral component of aquatic ecosystems and have been used as an indicator of aquatic ecosystem health in several large river health monitoring pr</w:t>
      </w:r>
      <w:r>
        <w:t xml:space="preserve">ograms in south-east Australia </w:t>
      </w:r>
      <w:r>
        <w:fldChar w:fldCharType="begin">
          <w:fldData xml:space="preserve">PEVuZE5vdGU+PENpdGU+PEF1dGhvcj5EYXZpZXM8L0F1dGhvcj48WWVhcj4yMDEwPC9ZZWFyPjxS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</w:fldData>
        </w:fldChar>
      </w:r>
      <w:r w:rsidR="00740557">
        <w:instrText xml:space="preserve"> ADDIN EN.CITE </w:instrText>
      </w:r>
      <w:r w:rsidR="00740557">
        <w:fldChar w:fldCharType="begin">
          <w:fldData xml:space="preserve">PEVuZE5vdGU+PENpdGU+PEF1dGhvcj5EYXZpZXM8L0F1dGhvcj48WWVhcj4yMDEwPC9ZZWFyPjxS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</w:fldData>
        </w:fldChar>
      </w:r>
      <w:r w:rsidR="00740557">
        <w:instrText xml:space="preserve"> ADDIN EN.CITE.DATA </w:instrText>
      </w:r>
      <w:r w:rsidR="00740557">
        <w:fldChar w:fldCharType="end"/>
      </w:r>
      <w:r>
        <w:fldChar w:fldCharType="separate"/>
      </w:r>
      <w:r w:rsidR="007163E8">
        <w:rPr>
          <w:noProof/>
        </w:rPr>
        <w:t>(Davies et al. 2010, Muschal et al. 2010, Turak and Linke 2011)</w:t>
      </w:r>
      <w:r>
        <w:fldChar w:fldCharType="end"/>
      </w:r>
      <w:r w:rsidRPr="009C7AB9">
        <w:t xml:space="preserve">. The advantages of </w:t>
      </w:r>
      <w:r>
        <w:t>using</w:t>
      </w:r>
      <w:r w:rsidRPr="009C7AB9">
        <w:t xml:space="preserve"> fish as indicators of aquatic ecosystem condition include; i) </w:t>
      </w:r>
      <w:r>
        <w:t>f</w:t>
      </w:r>
      <w:r w:rsidRPr="009C7AB9">
        <w:t xml:space="preserve">ish are relatively long-lived and mobile, </w:t>
      </w:r>
      <w:r>
        <w:t xml:space="preserve">so </w:t>
      </w:r>
      <w:r w:rsidRPr="009C7AB9">
        <w:t xml:space="preserve">reflect both short and longer-term and local to catchment scale processes, ii) </w:t>
      </w:r>
      <w:r>
        <w:t>t</w:t>
      </w:r>
      <w:r w:rsidRPr="009C7AB9">
        <w:t>hey occupy higher trophic levels within aquatic ecosystems and</w:t>
      </w:r>
      <w:r>
        <w:t>,</w:t>
      </w:r>
      <w:r w:rsidRPr="009C7AB9">
        <w:t xml:space="preserve"> in turn, </w:t>
      </w:r>
      <w:r>
        <w:t>directly</w:t>
      </w:r>
      <w:r w:rsidRPr="009C7AB9">
        <w:t xml:space="preserve"> impact lower trophic level organisms, iii) </w:t>
      </w:r>
      <w:r>
        <w:t>t</w:t>
      </w:r>
      <w:r w:rsidRPr="009C7AB9">
        <w:t xml:space="preserve">hey are relatively easily and rapidly collected and can be sampled non-destructively, iv) </w:t>
      </w:r>
      <w:r>
        <w:t>t</w:t>
      </w:r>
      <w:r w:rsidRPr="009C7AB9">
        <w:t xml:space="preserve">hey are typically present in most waterbodies, and v) </w:t>
      </w:r>
      <w:r>
        <w:t>b</w:t>
      </w:r>
      <w:r w:rsidRPr="009C7AB9">
        <w:t>iological integrity of fish assemblages can be assessed easily and interpretation of indicators is relatively intuitive</w:t>
      </w:r>
      <w:r>
        <w:t xml:space="preserve"> </w:t>
      </w:r>
      <w:r>
        <w:fldChar w:fldCharType="begin"/>
      </w:r>
      <w:r w:rsidR="00747352">
        <w:instrText xml:space="preserve"> ADDIN EN.CITE &lt;EndNote&gt;&lt;Cite&gt;&lt;Author&gt;Harris&lt;/Author&gt;&lt;Year&gt;1995&lt;/Year&gt;&lt;RecNum&gt;127&lt;/RecNum&gt;&lt;DisplayText&gt;(Harris 1995)&lt;/DisplayText&gt;&lt;record&gt;&lt;rec-number&gt;127&lt;/rec-number&gt;&lt;foreign-keys&gt;&lt;key app="EN" db-id="0a0zttz0gewd9befav559p5osxw5sftwfpdv" timestamp="1472615156"&gt;127&lt;/key&gt;&lt;/foreign-keys&gt;&lt;ref-type name="Journal Article"&gt;17&lt;/ref-type&gt;&lt;contributors&gt;&lt;authors&gt;&lt;author&gt;Harris, J.H.&lt;/author&gt;&lt;/authors&gt;&lt;/contributors&gt;&lt;titles&gt;&lt;title&gt;The use of fish in ecological assessments&lt;/title&gt;&lt;secondary-title&gt;Australian Journal of Ecology&lt;/secondary-title&gt;&lt;/titles&gt;&lt;periodical&gt;&lt;full-title&gt;Australian Journal of Ecology&lt;/full-title&gt;&lt;/periodical&gt;&lt;pages&gt;65-80&lt;/pages&gt;&lt;volume&gt;20&lt;/volume&gt;&lt;number&gt;1&lt;/number&gt;&lt;dates&gt;&lt;year&gt;1995&lt;/year&gt;&lt;/dates&gt;&lt;urls&gt;&lt;/urls&gt;&lt;/record&gt;&lt;/Cite&gt;&lt;/EndNote&gt;</w:instrText>
      </w:r>
      <w:r>
        <w:fldChar w:fldCharType="separate"/>
      </w:r>
      <w:r>
        <w:rPr>
          <w:noProof/>
        </w:rPr>
        <w:t>(Harris 1995)</w:t>
      </w:r>
      <w:r>
        <w:fldChar w:fldCharType="end"/>
      </w:r>
      <w:r w:rsidRPr="009C7AB9">
        <w:t xml:space="preserve">. Further, as fish have a high public profile, with significant recreational, economic and social values, they foster substantial public interest </w:t>
      </w:r>
      <w:r w:rsidR="00235753">
        <w:fldChar w:fldCharType="begin"/>
      </w:r>
      <w:r w:rsidR="00235753">
        <w:instrText xml:space="preserve"> ADDIN EN.CITE &lt;EndNote&gt;&lt;Cite&gt;&lt;Author&gt;MDBC&lt;/Author&gt;&lt;Year&gt;2004&lt;/Year&gt;&lt;RecNum&gt;251&lt;/RecNum&gt;&lt;DisplayText&gt;(MDBC 2004)&lt;/DisplayText&gt;&lt;record&gt;&lt;rec-number&gt;251&lt;/rec-number&gt;&lt;foreign-keys&gt;&lt;key app="EN" db-id="0a0zttz0gewd9befav559p5osxw5sftwfpdv" timestamp="1543191207"&gt;251&lt;/key&gt;&lt;/foreign-keys&gt;&lt;ref-type name="Report"&gt;27&lt;/ref-type&gt;&lt;contributors&gt;&lt;authors&gt;&lt;author&gt;MDBC&lt;/author&gt;&lt;/authors&gt;&lt;/contributors&gt;&lt;titles&gt;&lt;title&gt;Native Fish Strategy for the Murray-Darling Basin 2003-2013&lt;/title&gt;&lt;/titles&gt;&lt;dates&gt;&lt;year&gt;2004&lt;/year&gt;&lt;pub-dates&gt;&lt;date&gt;2004b&lt;/date&gt;&lt;/pub-dates&gt;&lt;/dates&gt;&lt;pub-location&gt;Canberra&lt;/pub-location&gt;&lt;publisher&gt;Murray-Darling Basin Commission&lt;/publisher&gt;&lt;label&gt;2720&lt;/label&gt;&lt;urls&gt;&lt;/urls&gt;&lt;/record&gt;&lt;/Cite&gt;&lt;/EndNote&gt;</w:instrText>
      </w:r>
      <w:r w:rsidR="00235753">
        <w:fldChar w:fldCharType="separate"/>
      </w:r>
      <w:r w:rsidR="00235753">
        <w:rPr>
          <w:noProof/>
        </w:rPr>
        <w:t>(MDBC 2004)</w:t>
      </w:r>
      <w:r w:rsidR="00235753">
        <w:fldChar w:fldCharType="end"/>
      </w:r>
      <w:r w:rsidR="00235753">
        <w:t>.</w:t>
      </w:r>
    </w:p>
    <w:p w14:paraId="3AA17329" w14:textId="030563B1" w:rsidR="00CE2EDC" w:rsidRDefault="00CE2EDC" w:rsidP="00CE2EDC">
      <w:r w:rsidRPr="009C7AB9">
        <w:t>Historically, 14 species of native fish</w:t>
      </w:r>
      <w:r>
        <w:t xml:space="preserve"> </w:t>
      </w:r>
      <w:r w:rsidR="005927F4">
        <w:t>(</w:t>
      </w:r>
      <w:r w:rsidR="005927F4">
        <w:fldChar w:fldCharType="begin"/>
      </w:r>
      <w:r w:rsidR="005927F4">
        <w:instrText xml:space="preserve"> REF _Ref17975777 \h </w:instrText>
      </w:r>
      <w:r w:rsidR="005927F4">
        <w:fldChar w:fldCharType="separate"/>
      </w:r>
      <w:r w:rsidR="007F7607" w:rsidRPr="003C1511">
        <w:t xml:space="preserve">Table </w:t>
      </w:r>
      <w:r w:rsidR="007F7607">
        <w:rPr>
          <w:noProof/>
        </w:rPr>
        <w:t>17</w:t>
      </w:r>
      <w:r w:rsidR="005927F4">
        <w:fldChar w:fldCharType="end"/>
      </w:r>
      <w:r w:rsidR="005927F4">
        <w:t xml:space="preserve">, </w:t>
      </w:r>
      <w:r w:rsidR="00507E37">
        <w:t>p.</w:t>
      </w:r>
      <w:r w:rsidR="005927F4">
        <w:t xml:space="preserve"> </w:t>
      </w:r>
      <w:r w:rsidR="005927F4">
        <w:fldChar w:fldCharType="begin"/>
      </w:r>
      <w:r w:rsidR="005927F4">
        <w:instrText xml:space="preserve"> PAGEREF _Ref22822225 \h </w:instrText>
      </w:r>
      <w:r w:rsidR="005927F4">
        <w:fldChar w:fldCharType="separate"/>
      </w:r>
      <w:r w:rsidR="007F7607">
        <w:rPr>
          <w:noProof/>
        </w:rPr>
        <w:t>113</w:t>
      </w:r>
      <w:r w:rsidR="005927F4">
        <w:fldChar w:fldCharType="end"/>
      </w:r>
      <w:r w:rsidR="005927F4">
        <w:t xml:space="preserve">) </w:t>
      </w:r>
      <w:r>
        <w:t>are believed to have occurred in the mid- and L</w:t>
      </w:r>
      <w:r w:rsidRPr="009C7AB9">
        <w:t xml:space="preserve">ower Lachlan </w:t>
      </w:r>
      <w:r>
        <w:t xml:space="preserve">river system (Dean Gilligan, NSW DPI, </w:t>
      </w:r>
      <w:r>
        <w:rPr>
          <w:i/>
        </w:rPr>
        <w:t>u</w:t>
      </w:r>
      <w:r w:rsidRPr="00066FCF">
        <w:rPr>
          <w:i/>
        </w:rPr>
        <w:t>npublished data</w:t>
      </w:r>
      <w:r>
        <w:t>)</w:t>
      </w:r>
      <w:r w:rsidRPr="009C7AB9">
        <w:t xml:space="preserve">. Recent monitoring indicates that 10 of these species are still present, </w:t>
      </w:r>
      <w:r>
        <w:t>leaving</w:t>
      </w:r>
      <w:r w:rsidRPr="009C7AB9">
        <w:t xml:space="preserve"> four species </w:t>
      </w:r>
      <w:r>
        <w:t xml:space="preserve">either </w:t>
      </w:r>
      <w:r w:rsidRPr="009C7AB9">
        <w:t>locally extinct o</w:t>
      </w:r>
      <w:r w:rsidR="005927F4">
        <w:t>r</w:t>
      </w:r>
      <w:r w:rsidRPr="009C7AB9">
        <w:t xml:space="preserve"> </w:t>
      </w:r>
      <w:r>
        <w:t>extremely</w:t>
      </w:r>
      <w:r w:rsidRPr="009C7AB9">
        <w:t xml:space="preserve"> rare</w:t>
      </w:r>
      <w:r>
        <w:t xml:space="preserve"> (NSW DPI, </w:t>
      </w:r>
      <w:r>
        <w:rPr>
          <w:i/>
        </w:rPr>
        <w:t>u</w:t>
      </w:r>
      <w:r w:rsidRPr="00066FCF">
        <w:rPr>
          <w:i/>
        </w:rPr>
        <w:t>npublished data</w:t>
      </w:r>
      <w:r>
        <w:t>). These four species are t</w:t>
      </w:r>
      <w:r w:rsidRPr="009C7AB9">
        <w:t>he flat-headed galaxias (</w:t>
      </w:r>
      <w:r w:rsidRPr="009C7AB9">
        <w:rPr>
          <w:i/>
        </w:rPr>
        <w:t>Galaxias rostratus</w:t>
      </w:r>
      <w:r w:rsidRPr="009C7AB9">
        <w:t>), southern pygmy perch (</w:t>
      </w:r>
      <w:r w:rsidRPr="009C7AB9">
        <w:rPr>
          <w:i/>
        </w:rPr>
        <w:t>Nannoperca australis</w:t>
      </w:r>
      <w:r w:rsidRPr="009C7AB9">
        <w:t>)</w:t>
      </w:r>
      <w:r>
        <w:t>,</w:t>
      </w:r>
      <w:r w:rsidRPr="009C7AB9">
        <w:t xml:space="preserve"> southern purple spotted gudgeon (</w:t>
      </w:r>
      <w:r w:rsidRPr="009C7AB9">
        <w:rPr>
          <w:i/>
        </w:rPr>
        <w:t>Mogurnda adspersa</w:t>
      </w:r>
      <w:r w:rsidRPr="009C7AB9">
        <w:t>) and the Murray-Darling rainbowfish (</w:t>
      </w:r>
      <w:r w:rsidRPr="009C7AB9">
        <w:rPr>
          <w:i/>
        </w:rPr>
        <w:t>Melanotaenia fluviatilis</w:t>
      </w:r>
      <w:r w:rsidRPr="009C7AB9">
        <w:t>). Of the 10 extant species, olive perchlet (</w:t>
      </w:r>
      <w:r w:rsidRPr="009C7AB9">
        <w:rPr>
          <w:i/>
        </w:rPr>
        <w:t>Ambassis agas</w:t>
      </w:r>
      <w:r>
        <w:rPr>
          <w:i/>
        </w:rPr>
        <w:t>s</w:t>
      </w:r>
      <w:r w:rsidRPr="009C7AB9">
        <w:rPr>
          <w:i/>
        </w:rPr>
        <w:t>izii</w:t>
      </w:r>
      <w:r w:rsidRPr="009C7AB9">
        <w:t>), silver perch (</w:t>
      </w:r>
      <w:r w:rsidRPr="009C7AB9">
        <w:rPr>
          <w:i/>
        </w:rPr>
        <w:t>Bidyanus bidyanus</w:t>
      </w:r>
      <w:r w:rsidRPr="009C7AB9">
        <w:t>) and freshwater catfish (</w:t>
      </w:r>
      <w:r w:rsidRPr="009C7AB9">
        <w:rPr>
          <w:i/>
        </w:rPr>
        <w:t>Tandanus tandanus</w:t>
      </w:r>
      <w:r w:rsidRPr="009C7AB9">
        <w:t>) are at very low abundance and/or have a very restricted distribution</w:t>
      </w:r>
      <w:r>
        <w:t>. O</w:t>
      </w:r>
      <w:r w:rsidRPr="009C7AB9">
        <w:t xml:space="preserve">nly </w:t>
      </w:r>
      <w:r>
        <w:t>two</w:t>
      </w:r>
      <w:r w:rsidRPr="009C7AB9">
        <w:t xml:space="preserve"> species; carp-gudgeon (</w:t>
      </w:r>
      <w:r w:rsidRPr="009C7AB9">
        <w:rPr>
          <w:i/>
        </w:rPr>
        <w:t>Hy</w:t>
      </w:r>
      <w:r>
        <w:rPr>
          <w:i/>
        </w:rPr>
        <w:t>p</w:t>
      </w:r>
      <w:r w:rsidRPr="009C7AB9">
        <w:rPr>
          <w:i/>
        </w:rPr>
        <w:t>seleotris</w:t>
      </w:r>
      <w:r w:rsidRPr="009C7AB9">
        <w:t xml:space="preserve"> spp</w:t>
      </w:r>
      <w:r>
        <w:t>.</w:t>
      </w:r>
      <w:r w:rsidRPr="009C7AB9">
        <w:t>) and bony herring (</w:t>
      </w:r>
      <w:r w:rsidRPr="009C7AB9">
        <w:rPr>
          <w:i/>
        </w:rPr>
        <w:t>Nematalosa erebi</w:t>
      </w:r>
      <w:r w:rsidRPr="009C7AB9">
        <w:t xml:space="preserve">) could be considered widespread and abundant. </w:t>
      </w:r>
    </w:p>
    <w:p w14:paraId="5ECBB9E5" w14:textId="640685DD" w:rsidR="00CE2EDC" w:rsidRDefault="00CE2EDC" w:rsidP="00CE2EDC">
      <w:r w:rsidRPr="009C7AB9">
        <w:t>Flow plays an important role in the life-cycle of native fishes from larval through to adult life stages. Water may inundate habitat needed for reproduction, triggering a spawning response</w:t>
      </w:r>
      <w:r>
        <w:t>;</w:t>
      </w:r>
      <w:r w:rsidRPr="009C7AB9">
        <w:t xml:space="preserve"> create a boost in primary production that improves recruitment success</w:t>
      </w:r>
      <w:r>
        <w:t>;</w:t>
      </w:r>
      <w:r w:rsidRPr="009C7AB9">
        <w:t xml:space="preserve"> improve habitat condition through maintaining natural geomorphic processes</w:t>
      </w:r>
      <w:r>
        <w:t>;</w:t>
      </w:r>
      <w:r w:rsidRPr="009C7AB9">
        <w:t xml:space="preserve"> or stimulate in-stream migration</w:t>
      </w:r>
      <w:r>
        <w:t xml:space="preserve">. </w:t>
      </w:r>
      <w:r w:rsidRPr="009C7AB9">
        <w:t>River channel depend</w:t>
      </w:r>
      <w:r>
        <w:t>e</w:t>
      </w:r>
      <w:r w:rsidRPr="009C7AB9">
        <w:t>nt species require flow triggers to initiate spawning (</w:t>
      </w:r>
      <w:r>
        <w:t xml:space="preserve">e.g. </w:t>
      </w:r>
      <w:r w:rsidRPr="009C7AB9">
        <w:t xml:space="preserve">golden perch </w:t>
      </w:r>
      <w:r w:rsidRPr="00793715">
        <w:rPr>
          <w:i/>
        </w:rPr>
        <w:t>Macquaria ambigua</w:t>
      </w:r>
      <w:r>
        <w:t xml:space="preserve"> </w:t>
      </w:r>
      <w:r w:rsidRPr="009C7AB9">
        <w:t xml:space="preserve">and silver perch), </w:t>
      </w:r>
      <w:r>
        <w:t>and</w:t>
      </w:r>
      <w:r w:rsidRPr="009C7AB9">
        <w:t xml:space="preserve"> recruitment success may be heavily dependent o</w:t>
      </w:r>
      <w:r>
        <w:t>n</w:t>
      </w:r>
      <w:r w:rsidRPr="009C7AB9">
        <w:t xml:space="preserve"> nutrient inputs to the river channel following </w:t>
      </w:r>
      <w:r>
        <w:t>overbank flows</w:t>
      </w:r>
      <w:r w:rsidRPr="009C7AB9">
        <w:t xml:space="preserve">. The seasonality of these flow triggers is critically important. Further, sediment transport and scouring during high flow events is essential </w:t>
      </w:r>
      <w:r>
        <w:t>for the</w:t>
      </w:r>
      <w:r w:rsidRPr="009C7AB9">
        <w:t xml:space="preserve"> maintenance of deep pools and the input of large wood habitat. </w:t>
      </w:r>
      <w:r>
        <w:t>F</w:t>
      </w:r>
      <w:r w:rsidRPr="002D5FA8">
        <w:t>lushes of fresh water</w:t>
      </w:r>
      <w:r>
        <w:t xml:space="preserve"> (f</w:t>
      </w:r>
      <w:r w:rsidRPr="009C7AB9">
        <w:t>reshes</w:t>
      </w:r>
      <w:r>
        <w:t>)</w:t>
      </w:r>
      <w:r w:rsidRPr="009C7AB9">
        <w:t xml:space="preserve"> also provide movement triggers and facilitate longitudinal connectivity within the system.</w:t>
      </w:r>
      <w:r>
        <w:t xml:space="preserve"> </w:t>
      </w:r>
      <w:r w:rsidRPr="009C7AB9">
        <w:t xml:space="preserve">Persistence of </w:t>
      </w:r>
      <w:r>
        <w:t xml:space="preserve">native </w:t>
      </w:r>
      <w:r w:rsidRPr="009C7AB9">
        <w:t>species is dependent on the provision of natural spawning triggers</w:t>
      </w:r>
      <w:r>
        <w:t>,</w:t>
      </w:r>
      <w:r w:rsidRPr="009C7AB9">
        <w:t xml:space="preserve"> and subsequent boosts in primary production</w:t>
      </w:r>
      <w:r>
        <w:t>,</w:t>
      </w:r>
      <w:r w:rsidRPr="009C7AB9">
        <w:t xml:space="preserve"> </w:t>
      </w:r>
      <w:r>
        <w:t>which</w:t>
      </w:r>
      <w:r w:rsidRPr="009C7AB9">
        <w:t xml:space="preserve"> facilitate successful recruitment.</w:t>
      </w:r>
      <w:r>
        <w:t xml:space="preserve"> </w:t>
      </w:r>
      <w:r w:rsidRPr="009C7AB9">
        <w:t>For all fish species, access to high quality refugia during drought is critically important for ecosystem resilience as</w:t>
      </w:r>
      <w:r>
        <w:t>,</w:t>
      </w:r>
      <w:r w:rsidRPr="009C7AB9">
        <w:t xml:space="preserve"> unlike many </w:t>
      </w:r>
      <w:r>
        <w:t>other taxa,</w:t>
      </w:r>
      <w:r w:rsidRPr="009C7AB9">
        <w:t xml:space="preserve"> fish have no mechanisms to cope with loss of water for even very brief periods of time.</w:t>
      </w:r>
    </w:p>
    <w:p w14:paraId="48A76367" w14:textId="77777777" w:rsidR="00CE2EDC" w:rsidRDefault="00CE2EDC" w:rsidP="00CE2EDC">
      <w:r>
        <w:t>In 2014-15 the CEWH instigated a Long Term Intervention Monitoring (LTIM) Project across the L</w:t>
      </w:r>
      <w:r w:rsidRPr="001F69AD">
        <w:t xml:space="preserve">ower Lachlan </w:t>
      </w:r>
      <w:r>
        <w:t>r</w:t>
      </w:r>
      <w:r w:rsidRPr="001F69AD">
        <w:t xml:space="preserve">iver </w:t>
      </w:r>
      <w:r>
        <w:t>system to quantify changes in ecosystem health in response to Commonwealth environmental water delivery. This included monitoring the fish community. In 2019, monitoring the fish community at a second reach (the mid-Lachlan River) was added for a single year.</w:t>
      </w:r>
    </w:p>
    <w:p w14:paraId="589D3EC2" w14:textId="76C2927C" w:rsidR="00CE2EDC" w:rsidRDefault="00CE2EDC" w:rsidP="00CE2EDC">
      <w:r>
        <w:t>A number of Commonwealth environmental watering actions relevant to riverine native fish communities were delivered in 2018-19, including flows to support the movement of native fish (Action 1), flows to inundate preferred nesting habitat for species including Murray cod and freshwater catfish as well as to promote instream productivity and larval dispersal opportunities (Action 2), and flows to support native fish movement and survival in autumn-winter 2019 (Action 4)</w:t>
      </w:r>
      <w:r w:rsidR="004E7E93">
        <w:t xml:space="preserve"> </w:t>
      </w:r>
      <w:r w:rsidR="004E7E93">
        <w:fldChar w:fldCharType="begin"/>
      </w:r>
      <w:r w:rsidR="00333CDB">
        <w:instrText xml:space="preserve"> ADDIN EN.CITE &lt;EndNote&gt;&lt;Cite&gt;&lt;Author&gt;Dyer&lt;/Author&gt;&lt;Year&gt;2018&lt;/Year&gt;&lt;RecNum&gt;254&lt;/RecNum&gt;&lt;DisplayText&gt;(Dyer et al. 2018)&lt;/DisplayText&gt;&lt;record&gt;&lt;rec-number&gt;254&lt;/rec-number&gt;&lt;foreign-keys&gt;&lt;key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4E7E93">
        <w:fldChar w:fldCharType="separate"/>
      </w:r>
      <w:r w:rsidR="00333CDB">
        <w:rPr>
          <w:noProof/>
        </w:rPr>
        <w:t>(Dyer et al. 2018)</w:t>
      </w:r>
      <w:r w:rsidR="004E7E93">
        <w:fldChar w:fldCharType="end"/>
      </w:r>
      <w:r w:rsidR="004E7E93">
        <w:t xml:space="preserve">. </w:t>
      </w:r>
      <w:r w:rsidRPr="00425FEB">
        <w:rPr>
          <w:lang w:val="en-GB"/>
        </w:rPr>
        <w:t>To assess the contribution</w:t>
      </w:r>
      <w:r>
        <w:rPr>
          <w:lang w:val="en-GB"/>
        </w:rPr>
        <w:t>s</w:t>
      </w:r>
      <w:r w:rsidRPr="00425FEB">
        <w:rPr>
          <w:lang w:val="en-GB"/>
        </w:rPr>
        <w:t xml:space="preserve"> of Commonwealth environmental water to the fish community, the relevant short term and long</w:t>
      </w:r>
      <w:r w:rsidR="003D1FEA">
        <w:rPr>
          <w:lang w:val="en-GB"/>
        </w:rPr>
        <w:t>-</w:t>
      </w:r>
      <w:r w:rsidRPr="00425FEB">
        <w:rPr>
          <w:lang w:val="en-GB"/>
        </w:rPr>
        <w:t>term questions to be evaluated are:</w:t>
      </w:r>
      <w:r>
        <w:rPr>
          <w:lang w:val="en-GB"/>
        </w:rPr>
        <w:t xml:space="preserve"> </w:t>
      </w:r>
      <w:r>
        <w:t xml:space="preserve"> </w:t>
      </w:r>
    </w:p>
    <w:p w14:paraId="237D783D" w14:textId="77777777" w:rsidR="00CE2EDC" w:rsidRPr="00B338E3" w:rsidRDefault="00CE2EDC" w:rsidP="00057D80">
      <w:pPr>
        <w:pStyle w:val="Heading3"/>
      </w:pPr>
      <w:bookmarkStart w:id="310" w:name="_Toc31985479"/>
      <w:r w:rsidRPr="00B338E3">
        <w:t>Short-term (one-year) questions:</w:t>
      </w:r>
      <w:bookmarkEnd w:id="310"/>
      <w:r w:rsidRPr="00B338E3">
        <w:t xml:space="preserve"> </w:t>
      </w:r>
    </w:p>
    <w:p w14:paraId="1F7A74E2" w14:textId="77777777" w:rsidR="00CE2EDC" w:rsidRDefault="00CE2EDC" w:rsidP="00D437E3">
      <w:pPr>
        <w:pStyle w:val="ListParagraph"/>
        <w:numPr>
          <w:ilvl w:val="0"/>
          <w:numId w:val="39"/>
        </w:numPr>
        <w:tabs>
          <w:tab w:val="num" w:pos="1080"/>
        </w:tabs>
        <w:spacing w:after="20" w:line="23" w:lineRule="atLeast"/>
      </w:pPr>
      <w:r>
        <w:t>What did Commonwealth environmental water contribute to native fish community resilience?</w:t>
      </w:r>
    </w:p>
    <w:p w14:paraId="37E2C8D6" w14:textId="77777777" w:rsidR="00CE2EDC" w:rsidRDefault="00CE2EDC" w:rsidP="00D437E3">
      <w:pPr>
        <w:pStyle w:val="ListParagraph"/>
        <w:numPr>
          <w:ilvl w:val="0"/>
          <w:numId w:val="39"/>
        </w:numPr>
        <w:tabs>
          <w:tab w:val="num" w:pos="1080"/>
        </w:tabs>
        <w:spacing w:after="20" w:line="23" w:lineRule="atLeast"/>
      </w:pPr>
      <w:r>
        <w:t xml:space="preserve">What did Commonwealth environmental water contribute to native fish survival? </w:t>
      </w:r>
    </w:p>
    <w:p w14:paraId="123F7F34" w14:textId="77777777" w:rsidR="00CE2EDC" w:rsidRDefault="00CE2EDC" w:rsidP="00CE2EDC">
      <w:pPr>
        <w:spacing w:after="20" w:line="23" w:lineRule="atLeast"/>
      </w:pPr>
    </w:p>
    <w:p w14:paraId="28FFAFFB" w14:textId="77777777" w:rsidR="00CE2EDC" w:rsidRPr="00B338E3" w:rsidRDefault="00CE2EDC" w:rsidP="00057D80">
      <w:pPr>
        <w:pStyle w:val="Heading3"/>
      </w:pPr>
      <w:bookmarkStart w:id="311" w:name="_Toc31985480"/>
      <w:r w:rsidRPr="00B338E3">
        <w:t>Long-term (five-year) questions:</w:t>
      </w:r>
      <w:bookmarkEnd w:id="311"/>
      <w:r w:rsidRPr="00B338E3">
        <w:t xml:space="preserve"> </w:t>
      </w:r>
    </w:p>
    <w:p w14:paraId="740EEB99" w14:textId="77777777" w:rsidR="00CE2EDC" w:rsidRDefault="00CE2EDC" w:rsidP="00D437E3">
      <w:pPr>
        <w:pStyle w:val="ListParagraph"/>
        <w:numPr>
          <w:ilvl w:val="0"/>
          <w:numId w:val="39"/>
        </w:numPr>
        <w:tabs>
          <w:tab w:val="num" w:pos="1080"/>
        </w:tabs>
        <w:spacing w:after="20" w:line="23" w:lineRule="atLeast"/>
      </w:pPr>
      <w:r>
        <w:t xml:space="preserve">What did Commonwealth environmental water contribute to native fish populations? </w:t>
      </w:r>
    </w:p>
    <w:p w14:paraId="7B714E5B" w14:textId="77777777" w:rsidR="00CE2EDC" w:rsidRDefault="00CE2EDC" w:rsidP="00D437E3">
      <w:pPr>
        <w:pStyle w:val="ListParagraph"/>
        <w:numPr>
          <w:ilvl w:val="0"/>
          <w:numId w:val="39"/>
        </w:numPr>
        <w:tabs>
          <w:tab w:val="num" w:pos="1080"/>
        </w:tabs>
        <w:spacing w:after="20" w:line="23" w:lineRule="atLeast"/>
      </w:pPr>
      <w:r>
        <w:t xml:space="preserve">What did Commonwealth environmental water contribute to native fish diversity? </w:t>
      </w:r>
    </w:p>
    <w:p w14:paraId="44D7E9FA" w14:textId="77777777" w:rsidR="00CE2EDC" w:rsidRDefault="00CE2EDC" w:rsidP="00CE2EDC">
      <w:pPr>
        <w:spacing w:after="20" w:line="23" w:lineRule="atLeast"/>
      </w:pPr>
    </w:p>
    <w:p w14:paraId="345EC774" w14:textId="0360017D" w:rsidR="00F32976" w:rsidRDefault="00CE2EDC" w:rsidP="00CE2EDC">
      <w:pPr>
        <w:rPr>
          <w:rFonts w:eastAsia="Cambria"/>
        </w:rPr>
      </w:pPr>
      <w:r w:rsidRPr="005D179D">
        <w:rPr>
          <w:rFonts w:eastAsia="Cambria"/>
        </w:rPr>
        <w:t>In 201</w:t>
      </w:r>
      <w:r>
        <w:rPr>
          <w:rFonts w:eastAsia="Cambria"/>
        </w:rPr>
        <w:t>8</w:t>
      </w:r>
      <w:r w:rsidRPr="005D179D">
        <w:rPr>
          <w:rFonts w:eastAsia="Cambria"/>
        </w:rPr>
        <w:t>-1</w:t>
      </w:r>
      <w:r>
        <w:rPr>
          <w:rFonts w:eastAsia="Cambria"/>
        </w:rPr>
        <w:t>9</w:t>
      </w:r>
      <w:r w:rsidRPr="005D179D">
        <w:rPr>
          <w:rFonts w:eastAsia="Cambria"/>
        </w:rPr>
        <w:t>, the aim of this component of the Lachlan LTIM Project was to assess changes in the fish community</w:t>
      </w:r>
      <w:r>
        <w:rPr>
          <w:rFonts w:eastAsia="Cambria"/>
        </w:rPr>
        <w:t>,</w:t>
      </w:r>
      <w:r w:rsidRPr="005D179D">
        <w:rPr>
          <w:rFonts w:eastAsia="Cambria"/>
        </w:rPr>
        <w:t xml:space="preserve"> in terms of abundance, biomass and community health</w:t>
      </w:r>
      <w:r>
        <w:rPr>
          <w:rFonts w:eastAsia="Cambria"/>
        </w:rPr>
        <w:t>,</w:t>
      </w:r>
      <w:r w:rsidRPr="005D179D">
        <w:rPr>
          <w:rFonts w:eastAsia="Cambria"/>
        </w:rPr>
        <w:t xml:space="preserve"> in the Lower Lachlan river system Selected Area</w:t>
      </w:r>
      <w:r>
        <w:rPr>
          <w:rFonts w:eastAsia="Cambria"/>
        </w:rPr>
        <w:t xml:space="preserve"> in relation to the general hydrological regime</w:t>
      </w:r>
      <w:r w:rsidRPr="005D179D">
        <w:rPr>
          <w:rFonts w:eastAsia="Cambria"/>
        </w:rPr>
        <w:t xml:space="preserve">, and </w:t>
      </w:r>
      <w:r>
        <w:rPr>
          <w:rFonts w:eastAsia="Cambria"/>
        </w:rPr>
        <w:t>thereby</w:t>
      </w:r>
      <w:r w:rsidRPr="005D179D">
        <w:rPr>
          <w:rFonts w:eastAsia="Cambria"/>
        </w:rPr>
        <w:t xml:space="preserve"> provide a basis for determining </w:t>
      </w:r>
      <w:r>
        <w:rPr>
          <w:rFonts w:eastAsia="Cambria"/>
        </w:rPr>
        <w:t xml:space="preserve">potential </w:t>
      </w:r>
      <w:r w:rsidRPr="005D179D">
        <w:rPr>
          <w:rFonts w:eastAsia="Cambria"/>
        </w:rPr>
        <w:t xml:space="preserve">changes in relation to </w:t>
      </w:r>
      <w:r>
        <w:rPr>
          <w:rFonts w:eastAsia="Cambria"/>
        </w:rPr>
        <w:t xml:space="preserve">current and future use of </w:t>
      </w:r>
      <w:r w:rsidRPr="005D179D">
        <w:rPr>
          <w:rFonts w:eastAsia="Cambria"/>
        </w:rPr>
        <w:t>environmental water.</w:t>
      </w:r>
      <w:r>
        <w:rPr>
          <w:rFonts w:eastAsia="Cambria"/>
        </w:rPr>
        <w:t xml:space="preserve"> The aim of the fish community monitoring in the mid-Lachlan River was to develop a baseline condition of the fish community assemblage, and to </w:t>
      </w:r>
      <w:r w:rsidR="00F32976">
        <w:rPr>
          <w:rFonts w:eastAsia="Cambria"/>
        </w:rPr>
        <w:t>evaluate the effectiveness of 2018 – 2019 watering actions released in the reach which had the following objectives relating to native fish:</w:t>
      </w:r>
      <w:r w:rsidRPr="005D179D">
        <w:rPr>
          <w:rFonts w:eastAsia="Cambria"/>
        </w:rPr>
        <w:t xml:space="preserve"> </w:t>
      </w:r>
    </w:p>
    <w:p w14:paraId="60A7FD0D" w14:textId="77777777" w:rsidR="00F32976" w:rsidRPr="00F32976" w:rsidRDefault="00F32976" w:rsidP="00D437E3">
      <w:pPr>
        <w:pStyle w:val="ListParagraph"/>
        <w:numPr>
          <w:ilvl w:val="0"/>
          <w:numId w:val="28"/>
        </w:numPr>
        <w:spacing w:after="200" w:line="276" w:lineRule="auto"/>
        <w:rPr>
          <w:rFonts w:asciiTheme="minorHAnsi" w:eastAsia="Cambria" w:hAnsiTheme="minorHAnsi" w:cstheme="minorBidi"/>
        </w:rPr>
      </w:pPr>
      <w:r w:rsidRPr="00F32976">
        <w:rPr>
          <w:rFonts w:asciiTheme="minorHAnsi" w:eastAsia="Cambria" w:hAnsiTheme="minorHAnsi" w:cstheme="minorBidi"/>
        </w:rPr>
        <w:t>To support the movement of native fish prior to the spawning season and support the ability of native fish to achieve good pre-spawning condition.</w:t>
      </w:r>
    </w:p>
    <w:p w14:paraId="27A3BBDC" w14:textId="77777777" w:rsidR="00F32976" w:rsidRPr="00F32976" w:rsidRDefault="00F32976" w:rsidP="00D437E3">
      <w:pPr>
        <w:pStyle w:val="ListParagraph"/>
        <w:numPr>
          <w:ilvl w:val="0"/>
          <w:numId w:val="28"/>
        </w:numPr>
        <w:spacing w:after="200" w:line="276" w:lineRule="auto"/>
        <w:rPr>
          <w:rFonts w:asciiTheme="minorHAnsi" w:eastAsia="Cambria" w:hAnsiTheme="minorHAnsi" w:cstheme="minorBidi"/>
        </w:rPr>
      </w:pPr>
      <w:r w:rsidRPr="00F32976">
        <w:rPr>
          <w:rFonts w:asciiTheme="minorHAnsi" w:eastAsia="Cambria" w:hAnsiTheme="minorHAnsi" w:cstheme="minorBidi"/>
        </w:rPr>
        <w:t>To be of short duration to prevent early nesting at higher river level.</w:t>
      </w:r>
    </w:p>
    <w:p w14:paraId="4F6AB320" w14:textId="77777777" w:rsidR="00F32976" w:rsidRPr="00F32976" w:rsidRDefault="00F32976" w:rsidP="00D437E3">
      <w:pPr>
        <w:pStyle w:val="ListParagraph"/>
        <w:numPr>
          <w:ilvl w:val="0"/>
          <w:numId w:val="28"/>
        </w:numPr>
        <w:spacing w:after="200" w:line="276" w:lineRule="auto"/>
        <w:rPr>
          <w:rFonts w:eastAsia="Cambria"/>
        </w:rPr>
      </w:pPr>
      <w:r w:rsidRPr="00F32976">
        <w:rPr>
          <w:rFonts w:eastAsia="Cambria"/>
        </w:rPr>
        <w:t>To support spawning success of native fish that may have spawned early, such as Australian smelt.</w:t>
      </w:r>
    </w:p>
    <w:p w14:paraId="4B66A20C" w14:textId="58F171EB" w:rsidR="00F32976" w:rsidRPr="003947B1" w:rsidRDefault="00F32976" w:rsidP="00D437E3">
      <w:pPr>
        <w:pStyle w:val="ListParagraph"/>
        <w:numPr>
          <w:ilvl w:val="0"/>
          <w:numId w:val="28"/>
        </w:numPr>
        <w:spacing w:after="200" w:line="276" w:lineRule="auto"/>
        <w:rPr>
          <w:rFonts w:asciiTheme="minorHAnsi" w:eastAsia="Cambria" w:hAnsiTheme="minorHAnsi" w:cstheme="minorBidi"/>
        </w:rPr>
      </w:pPr>
      <w:r w:rsidRPr="00F32976">
        <w:rPr>
          <w:rFonts w:asciiTheme="minorHAnsi" w:eastAsia="Cambria" w:hAnsiTheme="minorHAnsi" w:cstheme="minorBidi"/>
        </w:rPr>
        <w:t xml:space="preserve">To inundate areas of the river channel containing large woody habitat (snags) which is the preferred spawning habitat for nesting native fish such as Murray cod, River </w:t>
      </w:r>
      <w:r w:rsidRPr="003947B1">
        <w:rPr>
          <w:rFonts w:asciiTheme="minorHAnsi" w:eastAsia="Cambria" w:hAnsiTheme="minorHAnsi" w:cstheme="minorBidi"/>
        </w:rPr>
        <w:t xml:space="preserve">blackfish and </w:t>
      </w:r>
      <w:r w:rsidR="00B04728">
        <w:rPr>
          <w:rFonts w:asciiTheme="minorHAnsi" w:eastAsia="Cambria" w:hAnsiTheme="minorHAnsi" w:cstheme="minorBidi"/>
        </w:rPr>
        <w:t>freshwater catfish</w:t>
      </w:r>
      <w:r w:rsidRPr="003947B1">
        <w:rPr>
          <w:rFonts w:asciiTheme="minorHAnsi" w:eastAsia="Cambria" w:hAnsiTheme="minorHAnsi" w:cstheme="minorBidi"/>
        </w:rPr>
        <w:t>.</w:t>
      </w:r>
    </w:p>
    <w:p w14:paraId="3B6394E1" w14:textId="5B501887" w:rsidR="00F32976" w:rsidRPr="00F32976" w:rsidRDefault="00F32976" w:rsidP="00D437E3">
      <w:pPr>
        <w:pStyle w:val="ListParagraph"/>
        <w:numPr>
          <w:ilvl w:val="0"/>
          <w:numId w:val="28"/>
        </w:numPr>
        <w:spacing w:after="200" w:line="276" w:lineRule="auto"/>
        <w:rPr>
          <w:rFonts w:asciiTheme="minorHAnsi" w:eastAsia="Cambria" w:hAnsiTheme="minorHAnsi" w:cstheme="minorBidi"/>
        </w:rPr>
      </w:pPr>
      <w:r w:rsidRPr="003947B1">
        <w:rPr>
          <w:rFonts w:asciiTheme="minorHAnsi" w:eastAsia="Cambria" w:hAnsiTheme="minorHAnsi" w:cstheme="minorBidi"/>
        </w:rPr>
        <w:t xml:space="preserve">Avoid rapid drops in water level </w:t>
      </w:r>
      <w:r w:rsidR="003947B1" w:rsidRPr="003947B1">
        <w:rPr>
          <w:rFonts w:asciiTheme="minorHAnsi" w:eastAsia="Cambria" w:hAnsiTheme="minorHAnsi" w:cstheme="minorBidi"/>
        </w:rPr>
        <w:t xml:space="preserve">(because of variation in irrigation demands) </w:t>
      </w:r>
      <w:r w:rsidRPr="003947B1">
        <w:rPr>
          <w:rFonts w:asciiTheme="minorHAnsi" w:eastAsia="Cambria" w:hAnsiTheme="minorHAnsi" w:cstheme="minorBidi"/>
        </w:rPr>
        <w:t>from late September to</w:t>
      </w:r>
      <w:r w:rsidRPr="00F32976">
        <w:rPr>
          <w:rFonts w:asciiTheme="minorHAnsi" w:eastAsia="Cambria" w:hAnsiTheme="minorHAnsi" w:cstheme="minorBidi"/>
        </w:rPr>
        <w:t xml:space="preserve"> early December to prevent nest abandonment by native fish.</w:t>
      </w:r>
    </w:p>
    <w:p w14:paraId="76535281" w14:textId="02F31096" w:rsidR="00F32976" w:rsidRPr="00F32976" w:rsidRDefault="00F32976" w:rsidP="00D437E3">
      <w:pPr>
        <w:pStyle w:val="ListParagraph"/>
        <w:numPr>
          <w:ilvl w:val="0"/>
          <w:numId w:val="28"/>
        </w:numPr>
        <w:spacing w:after="200" w:line="276" w:lineRule="auto"/>
        <w:rPr>
          <w:rFonts w:asciiTheme="minorHAnsi" w:eastAsia="Cambria" w:hAnsiTheme="minorHAnsi" w:cstheme="minorBidi"/>
        </w:rPr>
      </w:pPr>
      <w:r w:rsidRPr="00F32976">
        <w:rPr>
          <w:rFonts w:asciiTheme="minorHAnsi" w:eastAsia="Cambria" w:hAnsiTheme="minorHAnsi" w:cstheme="minorBidi"/>
        </w:rPr>
        <w:t xml:space="preserve">Promote the dispersal of larval/juvenile Murray cod, River blackfish and </w:t>
      </w:r>
      <w:r w:rsidR="00B04728">
        <w:rPr>
          <w:rFonts w:asciiTheme="minorHAnsi" w:eastAsia="Cambria" w:hAnsiTheme="minorHAnsi" w:cstheme="minorBidi"/>
        </w:rPr>
        <w:t>freshwater catfish</w:t>
      </w:r>
      <w:r w:rsidRPr="00F32976">
        <w:rPr>
          <w:rFonts w:asciiTheme="minorHAnsi" w:eastAsia="Cambria" w:hAnsiTheme="minorHAnsi" w:cstheme="minorBidi"/>
        </w:rPr>
        <w:t xml:space="preserve"> with a short rise in flows at the end of November as fish leave their nest site within days-weeks post-hatching. It may also provide an additional productivity boost and hence replenish food sources for larvae as they begin to feed on their own.</w:t>
      </w:r>
    </w:p>
    <w:p w14:paraId="759105BD" w14:textId="77777777" w:rsidR="00F32976" w:rsidRPr="00F32976" w:rsidRDefault="00F32976" w:rsidP="00D437E3">
      <w:pPr>
        <w:pStyle w:val="ListParagraph"/>
        <w:numPr>
          <w:ilvl w:val="0"/>
          <w:numId w:val="28"/>
        </w:numPr>
        <w:spacing w:after="200" w:line="276" w:lineRule="auto"/>
        <w:rPr>
          <w:rFonts w:eastAsia="Cambria"/>
        </w:rPr>
      </w:pPr>
      <w:r w:rsidRPr="00F32976">
        <w:rPr>
          <w:rFonts w:eastAsia="Cambria"/>
        </w:rPr>
        <w:t>Recede flows towards the end of this period to extend duration of downstream dispersal by larval and juvenile fish and extend upstream movement opportunities for adolescents and adult fish.</w:t>
      </w:r>
    </w:p>
    <w:p w14:paraId="2A37EB79" w14:textId="795D308E" w:rsidR="00CE2EDC" w:rsidRPr="00B84CFF" w:rsidRDefault="00CE2EDC" w:rsidP="00CE2EDC">
      <w:pPr>
        <w:rPr>
          <w:rFonts w:eastAsia="Cambria"/>
        </w:rPr>
      </w:pPr>
      <w:r w:rsidRPr="005D179D">
        <w:rPr>
          <w:rFonts w:eastAsia="Cambria"/>
        </w:rPr>
        <w:t xml:space="preserve">The current study reports on the </w:t>
      </w:r>
      <w:r>
        <w:rPr>
          <w:rFonts w:eastAsia="Cambria"/>
        </w:rPr>
        <w:t>fifth</w:t>
      </w:r>
      <w:r w:rsidRPr="005D179D">
        <w:rPr>
          <w:rFonts w:eastAsia="Cambria"/>
        </w:rPr>
        <w:t xml:space="preserve"> year of the five-year Long Term Intervention Monitoring Project</w:t>
      </w:r>
      <w:r>
        <w:rPr>
          <w:rFonts w:eastAsia="Cambria"/>
        </w:rPr>
        <w:t xml:space="preserve"> in the lower Lachlan River and the first and only year of monitoring thus far in the mid-Lachlan River</w:t>
      </w:r>
      <w:r w:rsidRPr="005D179D">
        <w:rPr>
          <w:rFonts w:eastAsia="Cambria"/>
        </w:rPr>
        <w:t>.</w:t>
      </w:r>
      <w:r w:rsidRPr="00B84CFF">
        <w:rPr>
          <w:rFonts w:eastAsia="Cambria"/>
        </w:rPr>
        <w:t xml:space="preserve"> </w:t>
      </w:r>
    </w:p>
    <w:p w14:paraId="3E5137A8" w14:textId="77777777" w:rsidR="00CE2EDC" w:rsidRPr="003F5729" w:rsidRDefault="00CE2EDC" w:rsidP="00720A6F">
      <w:pPr>
        <w:pStyle w:val="Heading2"/>
      </w:pPr>
      <w:bookmarkStart w:id="312" w:name="_Toc440827285"/>
      <w:bookmarkStart w:id="313" w:name="_Toc31985481"/>
      <w:r w:rsidRPr="003F5729">
        <w:t>Methods</w:t>
      </w:r>
      <w:bookmarkEnd w:id="312"/>
      <w:bookmarkEnd w:id="313"/>
    </w:p>
    <w:p w14:paraId="4CD0F26F" w14:textId="5BA8B8F8" w:rsidR="00CE2EDC" w:rsidRDefault="00CE2EDC" w:rsidP="00CE2EDC">
      <w:r>
        <w:t>Fish community data was collected from 20 in-channel sites, 10 each from the L</w:t>
      </w:r>
      <w:r w:rsidRPr="001F69AD">
        <w:t xml:space="preserve">ower Lachlan </w:t>
      </w:r>
      <w:r>
        <w:t>r</w:t>
      </w:r>
      <w:r w:rsidRPr="001F69AD">
        <w:t xml:space="preserve">iver </w:t>
      </w:r>
      <w:r>
        <w:t xml:space="preserve">system </w:t>
      </w:r>
      <w:r w:rsidRPr="00341FE1">
        <w:t>Selected Area, from Wallanthery to Hillston</w:t>
      </w:r>
      <w:r>
        <w:t xml:space="preserve"> and from the mid-Lachlan River reach from Forbes to Lake Brewster</w:t>
      </w:r>
      <w:r w:rsidR="004E7E93">
        <w:t xml:space="preserve"> (</w:t>
      </w:r>
      <w:r w:rsidR="004E7E93" w:rsidRPr="00EA3B2B">
        <w:t xml:space="preserve">see </w:t>
      </w:r>
      <w:r w:rsidR="004E7E93" w:rsidRPr="00EA3B2B">
        <w:fldChar w:fldCharType="begin"/>
      </w:r>
      <w:r w:rsidR="004E7E93" w:rsidRPr="00EA3B2B">
        <w:instrText xml:space="preserve"> REF _Ref460238461 \h </w:instrText>
      </w:r>
      <w:r w:rsidR="004E7E93">
        <w:instrText xml:space="preserve"> \* MERGEFORMAT </w:instrText>
      </w:r>
      <w:r w:rsidR="004E7E93" w:rsidRPr="00EA3B2B">
        <w:fldChar w:fldCharType="separate"/>
      </w:r>
      <w:r w:rsidR="007F7607" w:rsidRPr="007F7607">
        <w:rPr>
          <w:color w:val="000000" w:themeColor="text1"/>
        </w:rPr>
        <w:t xml:space="preserve">Figure </w:t>
      </w:r>
      <w:r w:rsidR="007F7607" w:rsidRPr="007F7607">
        <w:rPr>
          <w:noProof/>
          <w:color w:val="000000" w:themeColor="text1"/>
        </w:rPr>
        <w:t>18</w:t>
      </w:r>
      <w:r w:rsidR="004E7E93" w:rsidRPr="00EA3B2B">
        <w:fldChar w:fldCharType="end"/>
      </w:r>
      <w:r w:rsidR="004E7E93" w:rsidRPr="00EA3B2B">
        <w:t xml:space="preserve"> and </w:t>
      </w:r>
      <w:r w:rsidR="004E7E93" w:rsidRPr="00EA3B2B">
        <w:fldChar w:fldCharType="begin"/>
      </w:r>
      <w:r w:rsidR="004E7E93" w:rsidRPr="00EA3B2B">
        <w:instrText xml:space="preserve"> REF _Ref17283970 \h </w:instrText>
      </w:r>
      <w:r w:rsidR="004E7E93">
        <w:instrText xml:space="preserve"> \* MERGEFORMAT </w:instrText>
      </w:r>
      <w:r w:rsidR="004E7E93" w:rsidRPr="00EA3B2B">
        <w:fldChar w:fldCharType="separate"/>
      </w:r>
      <w:r w:rsidR="007F7607" w:rsidRPr="001C4537">
        <w:rPr>
          <w:color w:val="000000" w:themeColor="text1"/>
        </w:rPr>
        <w:t xml:space="preserve">Figure </w:t>
      </w:r>
      <w:r w:rsidR="007F7607">
        <w:rPr>
          <w:noProof/>
          <w:color w:val="000000" w:themeColor="text1"/>
        </w:rPr>
        <w:t>19</w:t>
      </w:r>
      <w:r w:rsidR="004E7E93" w:rsidRPr="00EA3B2B">
        <w:fldChar w:fldCharType="end"/>
      </w:r>
      <w:r w:rsidR="004E7E93" w:rsidRPr="00EA3B2B">
        <w:t xml:space="preserve">, </w:t>
      </w:r>
      <w:r w:rsidR="00507E37">
        <w:t>p.</w:t>
      </w:r>
      <w:r w:rsidR="004E7E93" w:rsidRPr="00EA3B2B">
        <w:t xml:space="preserve"> </w:t>
      </w:r>
      <w:r w:rsidR="004E7E93" w:rsidRPr="00EA3B2B">
        <w:fldChar w:fldCharType="begin"/>
      </w:r>
      <w:r w:rsidR="004E7E93" w:rsidRPr="00EA3B2B">
        <w:instrText xml:space="preserve"> PAGEREF _Ref18500746 \h </w:instrText>
      </w:r>
      <w:r w:rsidR="004E7E93" w:rsidRPr="00EA3B2B">
        <w:fldChar w:fldCharType="separate"/>
      </w:r>
      <w:r w:rsidR="007F7607">
        <w:rPr>
          <w:noProof/>
        </w:rPr>
        <w:t>51</w:t>
      </w:r>
      <w:r w:rsidR="004E7E93" w:rsidRPr="00EA3B2B">
        <w:fldChar w:fldCharType="end"/>
      </w:r>
      <w:r w:rsidR="004E7E93">
        <w:rPr>
          <w:lang w:val="en-GB" w:eastAsia="x-none"/>
        </w:rPr>
        <w:t xml:space="preserve">). </w:t>
      </w:r>
      <w:r w:rsidRPr="00341FE1">
        <w:t>All sites were randomly selected for this study, or had previously been randomly selected as part of another study (i.e. SRA; Davies et al. 2008, 2012). Sampling was undertaken in March</w:t>
      </w:r>
      <w:r>
        <w:t>-April</w:t>
      </w:r>
      <w:r w:rsidRPr="00341FE1">
        <w:t xml:space="preserve"> 201</w:t>
      </w:r>
      <w:r>
        <w:t>9</w:t>
      </w:r>
      <w:r w:rsidRPr="00341FE1">
        <w:t>, and each site was sampled once using a suite of passive and active gears including boat-electrofishing (</w:t>
      </w:r>
      <w:r w:rsidRPr="00341FE1">
        <w:rPr>
          <w:i/>
        </w:rPr>
        <w:t>n</w:t>
      </w:r>
      <w:r w:rsidRPr="00341FE1">
        <w:t>=32 operations, each consisting of 90 seconds ‘on-time’), unbaited bait traps (n=10) and small fyke nets (n=10) (Hale et al. 2014). Additionally, large fyke nets were used at each site to target freshwater catfish (n=4). Decapods were also surveyed and these were sampled using baited opera house traps (n=5).</w:t>
      </w:r>
    </w:p>
    <w:p w14:paraId="06F17454" w14:textId="5ED21FA9" w:rsidR="00CE2EDC" w:rsidRDefault="00CE2EDC" w:rsidP="00CE2EDC">
      <w:r w:rsidRPr="002F5A9A">
        <w:t xml:space="preserve">All </w:t>
      </w:r>
      <w:r>
        <w:t xml:space="preserve">captures (fish and other non-target taxa) </w:t>
      </w:r>
      <w:r w:rsidRPr="002F5A9A">
        <w:t>were identified to species level and released onsite</w:t>
      </w:r>
      <w:r>
        <w:t xml:space="preserve">, with the exception of the periodic species bony herring which were retained for annual ageing (n=100) </w:t>
      </w:r>
      <w:r>
        <w:fldChar w:fldCharType="begin"/>
      </w:r>
      <w:r w:rsidR="00235753">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Centre&lt;/title&gt;&lt;/titles&gt;&lt;pages&gt;175&lt;/pages&gt;&lt;edition&gt;29.2/2014&lt;/edition&gt;&lt;dates&gt;&lt;year&gt;2014&lt;/year&gt;&lt;pub-dates&gt;&lt;date&gt;January&lt;/date&gt;&lt;/pub-dates&gt;&lt;/dates&gt;&lt;publisher&gt;MDFRC Publication 29.2/2014&lt;/publisher&gt;&lt;urls&gt;&lt;/urls&gt;&lt;/record&gt;&lt;/Cite&gt;&lt;/EndNote&gt;</w:instrText>
      </w:r>
      <w:r>
        <w:fldChar w:fldCharType="separate"/>
      </w:r>
      <w:r w:rsidR="00235753">
        <w:rPr>
          <w:noProof/>
        </w:rPr>
        <w:t>(Hale et al. 2014)</w:t>
      </w:r>
      <w:r>
        <w:fldChar w:fldCharType="end"/>
      </w:r>
      <w:r w:rsidRPr="002F5A9A">
        <w:t>.</w:t>
      </w:r>
      <w:r>
        <w:t xml:space="preserve"> Individuals were </w:t>
      </w:r>
      <w:r w:rsidRPr="002F5A9A">
        <w:t>measured to the nearest mm</w:t>
      </w:r>
      <w:r>
        <w:t xml:space="preserve"> and weighed to the nearest gram. Where large catches of particular species occurred, a</w:t>
      </w:r>
      <w:r w:rsidRPr="002F5A9A">
        <w:t xml:space="preserve"> sub-sample of individuals w</w:t>
      </w:r>
      <w:r>
        <w:t>as</w:t>
      </w:r>
      <w:r w:rsidRPr="002F5A9A">
        <w:t xml:space="preserve"> measured and examined for each gear type. The sub-sampling procedure consisted of firstly measuring all individuals in each operation until at least 50 individuals had been measured in total. The remainder of individuals in that operation were also measured</w:t>
      </w:r>
      <w:r>
        <w:t>,</w:t>
      </w:r>
      <w:r w:rsidRPr="002F5A9A">
        <w:t xml:space="preserve"> </w:t>
      </w:r>
      <w:r>
        <w:t>although</w:t>
      </w:r>
      <w:r w:rsidRPr="002F5A9A">
        <w:t xml:space="preserve"> any individuals of that species from subsequent operations of that gear type were only counted. Fish that escaped capture but could be positively identified were also counted and recorded as “observed”.</w:t>
      </w:r>
      <w:r>
        <w:t xml:space="preserve"> </w:t>
      </w:r>
    </w:p>
    <w:p w14:paraId="7808727C" w14:textId="0171AAD4" w:rsidR="00CE2EDC" w:rsidRPr="00341FE1" w:rsidRDefault="00CE2EDC" w:rsidP="00CE2EDC">
      <w:r>
        <w:t xml:space="preserve">Total catch was pooled for all sites and methods, with the exception of calculation of SRA metrics where the first 12 electrofishing shots and bait trap data were used </w:t>
      </w:r>
      <w:r>
        <w:fldChar w:fldCharType="begin"/>
      </w:r>
      <w:r w:rsidR="007163E8">
        <w:instrText xml:space="preserve"> ADDIN EN.CITE &lt;EndNote&gt;&lt;Cite&gt;&lt;Author&gt;Davies&lt;/Author&gt;&lt;Year&gt;2010&lt;/Year&gt;&lt;RecNum&gt;63&lt;/RecNum&gt;&lt;DisplayText&gt;(Davies et al. 2010)&lt;/DisplayText&gt;&lt;record&gt;&lt;rec-number&gt;63&lt;/rec-number&gt;&lt;foreign-keys&gt;&lt;key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fldChar w:fldCharType="separate"/>
      </w:r>
      <w:r w:rsidR="007163E8">
        <w:rPr>
          <w:noProof/>
        </w:rPr>
        <w:t>(Davies et al. 2010)</w:t>
      </w:r>
      <w:r>
        <w:fldChar w:fldCharType="end"/>
      </w:r>
      <w:r>
        <w:t xml:space="preserve">. </w:t>
      </w:r>
      <w:r w:rsidRPr="0064253A">
        <w:t xml:space="preserve">To </w:t>
      </w:r>
      <w:r>
        <w:t>determine</w:t>
      </w:r>
      <w:r w:rsidRPr="0064253A">
        <w:t xml:space="preserve"> differences </w:t>
      </w:r>
      <w:r>
        <w:t xml:space="preserve">between years in the lower Lachlan River selected area (2015, 2016, 2017, 2018 and 2019) </w:t>
      </w:r>
      <w:r w:rsidRPr="0064253A">
        <w:t>abundance and biomass data were analysed separately using one-way fixed factor Permutational Multivariate Analysis of Variance (PERMANOVA; Anderson et al., 2008)</w:t>
      </w:r>
      <w:r>
        <w:t>. This analysis was done using</w:t>
      </w:r>
      <w:r w:rsidRPr="003F6AC7">
        <w:t xml:space="preserve"> the vegan package</w:t>
      </w:r>
      <w:r w:rsidR="00144162">
        <w:t xml:space="preserve"> </w:t>
      </w:r>
      <w:r w:rsidR="00144162">
        <w:fldChar w:fldCharType="begin"/>
      </w:r>
      <w:r w:rsidR="00144162">
        <w:instrText xml:space="preserve"> ADDIN EN.CITE &lt;EndNote&gt;&lt;Cite&gt;&lt;Author&gt;Oksanen&lt;/Author&gt;&lt;Year&gt;2019&lt;/Year&gt;&lt;RecNum&gt;364&lt;/RecNum&gt;&lt;DisplayText&gt;(Oksanen et al. 2019)&lt;/DisplayText&gt;&lt;record&gt;&lt;rec-number&gt;364&lt;/rec-number&gt;&lt;foreign-keys&gt;&lt;key app="EN" db-id="0a0zttz0gewd9befav559p5osxw5sftwfpdv" timestamp="1567044007"&gt;364&lt;/key&gt;&lt;/foreign-keys&gt;&lt;ref-type name="Journal Article"&gt;17&lt;/ref-type&gt;&lt;contributors&gt;&lt;authors&gt;&lt;author&gt;Oksanen, J.&lt;/author&gt;&lt;author&gt;Guillaume Blanchet, F.&lt;/author&gt;&lt;author&gt;Friendly, M.&lt;/author&gt;&lt;author&gt;Kindt, R.&lt;/author&gt;&lt;author&gt;Legendre, P.&lt;/author&gt;&lt;author&gt;McGlinn, D.&lt;/author&gt;&lt;author&gt;Peter, R.&lt;/author&gt;&lt;author&gt;Minchin, P.&lt;/author&gt;&lt;author&gt;O&amp;apos;Hara, R.B.&lt;/author&gt;&lt;author&gt;Simpson, G.L.&lt;/author&gt;&lt;author&gt;Solymos, P.&lt;/author&gt;&lt;author&gt;Henry, M.&lt;/author&gt;&lt;author&gt;Stevens, H.&lt;/author&gt;&lt;author&gt;Szoecs E.&lt;/author&gt;&lt;author&gt;Wagner, H.&lt;/author&gt;&lt;/authors&gt;&lt;/contributors&gt;&lt;titles&gt;&lt;title&gt;vegan: Community Ecology Package. Rpackage version 2.5-5. https://CRAN.R-project.org/package=vegan&lt;/title&gt;&lt;/titles&gt;&lt;dates&gt;&lt;year&gt;2019&lt;/year&gt;&lt;/dates&gt;&lt;urls&gt;&lt;/urls&gt;&lt;/record&gt;&lt;/Cite&gt;&lt;/EndNote&gt;</w:instrText>
      </w:r>
      <w:r w:rsidR="00144162">
        <w:fldChar w:fldCharType="separate"/>
      </w:r>
      <w:r w:rsidR="00144162">
        <w:rPr>
          <w:noProof/>
        </w:rPr>
        <w:t>(Oksanen et al. 2019)</w:t>
      </w:r>
      <w:r w:rsidR="00144162">
        <w:fldChar w:fldCharType="end"/>
      </w:r>
      <w:r w:rsidRPr="003F6AC7">
        <w:t xml:space="preserve"> in R (R version 3.6.1, R Development Core Team 2019</w:t>
      </w:r>
      <w:r>
        <w:t>)</w:t>
      </w:r>
      <w:r w:rsidRPr="0064253A">
        <w:t xml:space="preserve">. Raw data were initially fourth root transformed and the results used to produce a similarity matrix using the Bray-Curtis resemblance measure. All tests were considered significant at </w:t>
      </w:r>
      <w:r w:rsidRPr="007C65A8">
        <w:rPr>
          <w:i/>
        </w:rPr>
        <w:t>P</w:t>
      </w:r>
      <w:r w:rsidRPr="0064253A">
        <w:t xml:space="preserve"> &lt; 0.05. </w:t>
      </w:r>
      <w:r w:rsidRPr="007C65A8">
        <w:t xml:space="preserve">Where significant differences were identified, pair-wise post-hoc contrasts were used to determine which </w:t>
      </w:r>
      <w:r>
        <w:t>years</w:t>
      </w:r>
      <w:r w:rsidRPr="007C65A8">
        <w:t xml:space="preserve"> differed. Similarity percentage (SIMPER) tests were </w:t>
      </w:r>
      <w:r w:rsidRPr="00341FE1">
        <w:t>used to identify individual species contributions to average dissimilarities between years.</w:t>
      </w:r>
    </w:p>
    <w:p w14:paraId="771CF32F" w14:textId="2D5DC522" w:rsidR="00747352" w:rsidRDefault="00CE2EDC" w:rsidP="00747352">
      <w:pPr>
        <w:rPr>
          <w:noProof/>
        </w:rPr>
      </w:pPr>
      <w:r w:rsidRPr="009E7595">
        <w:t>Sustainable Rivers Audit (SRA) fish community condition indices (Expectedness, Nativeness, Recruitment) were calculated to quantify overall condition of the fish community assemblage. Data were first portioned into recruits and non-recruits. Large-bodied and generally longer lived species (maximum age &gt;3 years) were considered recruits when length was less than that of a one year old. Small-bodied and generally short-lived species, that reach sexual maturity in less than one year, were considered recruits when length was less than average length at sexual maturity. Recruitment lengths were derived from published scientific literature or by expert opinion when literature was not available</w:t>
      </w:r>
      <w:r w:rsidR="00D31D5C">
        <w:t xml:space="preserve"> (</w:t>
      </w:r>
      <w:r w:rsidR="00D31D5C">
        <w:fldChar w:fldCharType="begin"/>
      </w:r>
      <w:r w:rsidR="00D31D5C">
        <w:instrText xml:space="preserve"> REF _Ref17974342 \h </w:instrText>
      </w:r>
      <w:r w:rsidR="00D31D5C">
        <w:fldChar w:fldCharType="separate"/>
      </w:r>
      <w:r w:rsidR="007F7607" w:rsidRPr="00D31D5C">
        <w:t xml:space="preserve">Table </w:t>
      </w:r>
      <w:r w:rsidR="007F7607">
        <w:rPr>
          <w:noProof/>
        </w:rPr>
        <w:t>10</w:t>
      </w:r>
      <w:r w:rsidR="00D31D5C">
        <w:fldChar w:fldCharType="end"/>
      </w:r>
      <w:r w:rsidR="00D31D5C">
        <w:t xml:space="preserve">). </w:t>
      </w:r>
      <w:r w:rsidRPr="009E7595">
        <w:t xml:space="preserve">Eight fish metrics were calculated using the methods described by Robinson </w:t>
      </w:r>
      <w:r w:rsidRPr="009E7595">
        <w:fldChar w:fldCharType="begin"/>
      </w:r>
      <w:r w:rsidR="00747352">
        <w:instrText xml:space="preserve"> ADDIN EN.CITE &lt;EndNote&gt;&lt;Cite ExcludeAuth="1"&gt;&lt;Author&gt;Robinson&lt;/Author&gt;&lt;Year&gt;2012&lt;/Year&gt;&lt;RecNum&gt;161&lt;/RecNum&gt;&lt;DisplayText&gt;(2012)&lt;/DisplayText&gt;&lt;record&gt;&lt;rec-number&gt;161&lt;/rec-number&gt;&lt;foreign-keys&gt;&lt;key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9E7595">
        <w:fldChar w:fldCharType="separate"/>
      </w:r>
      <w:r w:rsidRPr="009E7595">
        <w:rPr>
          <w:noProof/>
        </w:rPr>
        <w:t>(2012)</w:t>
      </w:r>
      <w:r w:rsidRPr="009E7595">
        <w:fldChar w:fldCharType="end"/>
      </w:r>
      <w:r w:rsidRPr="009E7595">
        <w:t xml:space="preserve">. These metrics were subsequently aggregated to produce three indicators (Nativeness, Expectedness and Recruitment), and to derive an overall fish community condition index. Metric and indicator aggregation used Expert Rules analysis in the Fuzzy Logic toolbox of MatLab (The Mathworks Inc. USA) </w:t>
      </w:r>
      <w:r w:rsidRPr="009E7595">
        <w:fldChar w:fldCharType="begin"/>
      </w:r>
      <w:r w:rsidR="007163E8">
        <w:instrText xml:space="preserve"> ADDIN EN.CITE &lt;EndNote&gt;&lt;Cite&gt;&lt;Author&gt;Davies&lt;/Author&gt;&lt;Year&gt;2010&lt;/Year&gt;&lt;RecNum&gt;63&lt;/RecNum&gt;&lt;DisplayText&gt;(Davies et al. 2010, Carter 2012)&lt;/DisplayText&gt;&lt;record&gt;&lt;rec-number&gt;63&lt;/rec-number&gt;&lt;foreign-keys&gt;&lt;key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Cite&gt;&lt;Author&gt;Carter&lt;/Author&gt;&lt;Year&gt;2012&lt;/Year&gt;&lt;RecNum&gt;117&lt;/RecNum&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rsidRPr="009E7595">
        <w:fldChar w:fldCharType="separate"/>
      </w:r>
      <w:r w:rsidR="007163E8">
        <w:rPr>
          <w:noProof/>
        </w:rPr>
        <w:t>(Davies et al. 2010, Carter 2012)</w:t>
      </w:r>
      <w:r w:rsidRPr="009E7595">
        <w:fldChar w:fldCharType="end"/>
      </w:r>
      <w:r w:rsidRPr="009E7595">
        <w:t>.</w:t>
      </w:r>
      <w:bookmarkStart w:id="314" w:name="_Ref427304293"/>
      <w:bookmarkStart w:id="315" w:name="_Ref427304273"/>
      <w:bookmarkStart w:id="316" w:name="_Toc440827315"/>
    </w:p>
    <w:p w14:paraId="096AF2AE" w14:textId="77777777" w:rsidR="00D31D5C" w:rsidRDefault="00D31D5C" w:rsidP="00747352">
      <w:pPr>
        <w:rPr>
          <w:noProof/>
        </w:rPr>
      </w:pPr>
    </w:p>
    <w:p w14:paraId="2CAA40E5" w14:textId="3048001E" w:rsidR="00CE2EDC" w:rsidRPr="00D31D5C" w:rsidRDefault="00CE2EDC" w:rsidP="00D31D5C">
      <w:pPr>
        <w:pStyle w:val="Caption"/>
      </w:pPr>
      <w:bookmarkStart w:id="317" w:name="_Ref17974342"/>
      <w:bookmarkStart w:id="318" w:name="_Ref17974346"/>
      <w:bookmarkStart w:id="319" w:name="_Toc31985677"/>
      <w:r w:rsidRPr="00D31D5C">
        <w:t xml:space="preserve">Table </w:t>
      </w:r>
      <w:r>
        <w:fldChar w:fldCharType="begin"/>
      </w:r>
      <w:r>
        <w:instrText>SEQ Table \* ARABIC</w:instrText>
      </w:r>
      <w:r>
        <w:fldChar w:fldCharType="separate"/>
      </w:r>
      <w:r w:rsidR="007F7607">
        <w:rPr>
          <w:noProof/>
        </w:rPr>
        <w:t>10</w:t>
      </w:r>
      <w:r>
        <w:fldChar w:fldCharType="end"/>
      </w:r>
      <w:bookmarkEnd w:id="314"/>
      <w:bookmarkEnd w:id="317"/>
      <w:r w:rsidRPr="00D31D5C">
        <w:t>. Size limits used to distinguish new recruits for each species. Values represent the length at one year of age for longer-lived species or the age at sexual maturity for species that reach maturity within one year.</w:t>
      </w:r>
      <w:bookmarkEnd w:id="315"/>
      <w:bookmarkEnd w:id="316"/>
      <w:bookmarkEnd w:id="318"/>
      <w:bookmarkEnd w:id="319"/>
      <w:r w:rsidRPr="00D31D5C">
        <w:t xml:space="preserve"> </w:t>
      </w:r>
    </w:p>
    <w:tbl>
      <w:tblPr>
        <w:tblStyle w:val="MediumGrid3-Accent3"/>
        <w:tblW w:w="0" w:type="auto"/>
        <w:tblLook w:val="06A0" w:firstRow="1" w:lastRow="0" w:firstColumn="1" w:lastColumn="0" w:noHBand="1" w:noVBand="1"/>
      </w:tblPr>
      <w:tblGrid>
        <w:gridCol w:w="2117"/>
        <w:gridCol w:w="4391"/>
      </w:tblGrid>
      <w:tr w:rsidR="00514593" w:rsidRPr="00C61D25" w14:paraId="429AE789" w14:textId="77777777" w:rsidTr="00B04728">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117" w:type="dxa"/>
            <w:tcBorders>
              <w:bottom w:val="single" w:sz="18" w:space="0" w:color="FFFFFF"/>
              <w:right w:val="single" w:sz="18" w:space="0" w:color="FFFFFF"/>
            </w:tcBorders>
          </w:tcPr>
          <w:p w14:paraId="188C1546" w14:textId="77777777" w:rsidR="00514593" w:rsidRPr="00C61D25" w:rsidRDefault="00514593" w:rsidP="00514593">
            <w:pPr>
              <w:spacing w:before="40" w:after="40"/>
              <w:rPr>
                <w:iCs/>
                <w:color w:val="FFFFFF" w:themeColor="background1"/>
                <w:sz w:val="18"/>
                <w:szCs w:val="18"/>
              </w:rPr>
            </w:pPr>
            <w:r w:rsidRPr="00C61D25">
              <w:rPr>
                <w:iCs/>
                <w:color w:val="FFFFFF" w:themeColor="background1"/>
                <w:sz w:val="18"/>
                <w:szCs w:val="18"/>
              </w:rPr>
              <w:t>SPECIES</w:t>
            </w:r>
          </w:p>
        </w:tc>
        <w:tc>
          <w:tcPr>
            <w:tcW w:w="4391" w:type="dxa"/>
            <w:tcBorders>
              <w:left w:val="single" w:sz="18" w:space="0" w:color="FFFFFF"/>
              <w:bottom w:val="single" w:sz="18" w:space="0" w:color="FFFFFF"/>
            </w:tcBorders>
          </w:tcPr>
          <w:p w14:paraId="5118E1CA" w14:textId="77777777" w:rsidR="00514593" w:rsidRPr="00C61D25" w:rsidRDefault="00514593" w:rsidP="00514593">
            <w:pPr>
              <w:spacing w:before="40" w:after="40"/>
              <w:cnfStyle w:val="100000000000" w:firstRow="1" w:lastRow="0" w:firstColumn="0" w:lastColumn="0" w:oddVBand="0" w:evenVBand="0" w:oddHBand="0" w:evenHBand="0" w:firstRowFirstColumn="0" w:firstRowLastColumn="0" w:lastRowFirstColumn="0" w:lastRowLastColumn="0"/>
              <w:rPr>
                <w:iCs/>
                <w:color w:val="FFFFFF" w:themeColor="background1"/>
                <w:sz w:val="18"/>
                <w:szCs w:val="18"/>
              </w:rPr>
            </w:pPr>
            <w:r w:rsidRPr="00C61D25">
              <w:rPr>
                <w:iCs/>
                <w:color w:val="FFFFFF" w:themeColor="background1"/>
                <w:sz w:val="18"/>
                <w:szCs w:val="18"/>
              </w:rPr>
              <w:t>ESTIMATED SIZE AT 1 YEAR OLD OR AT SEXUAL MATURITY (FORK OR TOTAL LENGTH)</w:t>
            </w:r>
          </w:p>
        </w:tc>
      </w:tr>
      <w:tr w:rsidR="00514593" w:rsidRPr="00C61D25" w14:paraId="6D11001E" w14:textId="77777777" w:rsidTr="00514593">
        <w:tc>
          <w:tcPr>
            <w:cnfStyle w:val="001000000000" w:firstRow="0" w:lastRow="0" w:firstColumn="1" w:lastColumn="0" w:oddVBand="0" w:evenVBand="0" w:oddHBand="0" w:evenHBand="0" w:firstRowFirstColumn="0" w:firstRowLastColumn="0" w:lastRowFirstColumn="0" w:lastRowLastColumn="0"/>
            <w:tcW w:w="6508" w:type="dxa"/>
            <w:gridSpan w:val="2"/>
            <w:tcBorders>
              <w:top w:val="single" w:sz="18" w:space="0" w:color="FFFFFF"/>
            </w:tcBorders>
          </w:tcPr>
          <w:p w14:paraId="4BB154DA" w14:textId="77777777" w:rsidR="00514593" w:rsidRPr="00C61D25" w:rsidRDefault="00514593" w:rsidP="00514593">
            <w:pPr>
              <w:spacing w:before="40" w:after="40"/>
              <w:jc w:val="center"/>
              <w:rPr>
                <w:b w:val="0"/>
                <w:bCs w:val="0"/>
                <w:iCs/>
                <w:sz w:val="18"/>
                <w:szCs w:val="18"/>
              </w:rPr>
            </w:pPr>
            <w:r w:rsidRPr="00C61D25">
              <w:rPr>
                <w:iCs/>
                <w:color w:val="FFFFFF" w:themeColor="background1"/>
                <w:sz w:val="18"/>
                <w:szCs w:val="18"/>
              </w:rPr>
              <w:t>Native species</w:t>
            </w:r>
          </w:p>
        </w:tc>
      </w:tr>
      <w:tr w:rsidR="00514593" w:rsidRPr="00C61D25" w14:paraId="1C860885"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403E5F55" w14:textId="77777777" w:rsidR="00514593" w:rsidRPr="00C61D25" w:rsidRDefault="00514593" w:rsidP="00514593">
            <w:pPr>
              <w:spacing w:before="40" w:after="40"/>
              <w:rPr>
                <w:iCs/>
                <w:color w:val="FFFFFF" w:themeColor="background1"/>
                <w:sz w:val="18"/>
                <w:szCs w:val="18"/>
              </w:rPr>
            </w:pPr>
            <w:r w:rsidRPr="00C61D25">
              <w:rPr>
                <w:iCs/>
                <w:color w:val="FFFFFF" w:themeColor="background1"/>
                <w:sz w:val="18"/>
                <w:szCs w:val="18"/>
              </w:rPr>
              <w:t>Australian smelt</w:t>
            </w:r>
          </w:p>
        </w:tc>
        <w:tc>
          <w:tcPr>
            <w:tcW w:w="4391" w:type="dxa"/>
            <w:tcBorders>
              <w:left w:val="single" w:sz="18" w:space="0" w:color="FFFFFF"/>
            </w:tcBorders>
          </w:tcPr>
          <w:p w14:paraId="33DC1107" w14:textId="7A6B2269"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40 mm </w:t>
            </w:r>
            <w:r w:rsidRPr="00C61D25">
              <w:rPr>
                <w:bCs/>
                <w:iCs/>
                <w:sz w:val="18"/>
                <w:szCs w:val="18"/>
              </w:rPr>
              <w:fldChar w:fldCharType="begin"/>
            </w:r>
            <w:r w:rsidR="00C95224">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Pr="00C61D25">
              <w:rPr>
                <w:bCs/>
                <w:iCs/>
                <w:noProof/>
                <w:sz w:val="18"/>
                <w:szCs w:val="18"/>
              </w:rPr>
              <w:t>(Pusey et al. 2004)</w:t>
            </w:r>
            <w:r w:rsidRPr="00C61D25">
              <w:rPr>
                <w:sz w:val="18"/>
                <w:szCs w:val="18"/>
              </w:rPr>
              <w:fldChar w:fldCharType="end"/>
            </w:r>
          </w:p>
        </w:tc>
      </w:tr>
      <w:tr w:rsidR="00514593" w:rsidRPr="00C61D25" w14:paraId="577CBF1D"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5D019B06" w14:textId="174B5145" w:rsidR="00514593" w:rsidRPr="00C61D25" w:rsidRDefault="00267747" w:rsidP="00514593">
            <w:pPr>
              <w:spacing w:before="40" w:after="40"/>
              <w:rPr>
                <w:iCs/>
                <w:color w:val="FFFFFF" w:themeColor="background1"/>
                <w:sz w:val="18"/>
                <w:szCs w:val="18"/>
              </w:rPr>
            </w:pPr>
            <w:r>
              <w:rPr>
                <w:iCs/>
                <w:color w:val="FFFFFF" w:themeColor="background1"/>
                <w:sz w:val="18"/>
                <w:szCs w:val="18"/>
              </w:rPr>
              <w:t>bony</w:t>
            </w:r>
            <w:r w:rsidR="00514593" w:rsidRPr="00C61D25">
              <w:rPr>
                <w:iCs/>
                <w:color w:val="FFFFFF" w:themeColor="background1"/>
                <w:sz w:val="18"/>
                <w:szCs w:val="18"/>
              </w:rPr>
              <w:t xml:space="preserve"> herring</w:t>
            </w:r>
          </w:p>
        </w:tc>
        <w:tc>
          <w:tcPr>
            <w:tcW w:w="4391" w:type="dxa"/>
            <w:tcBorders>
              <w:left w:val="single" w:sz="18" w:space="0" w:color="FFFFFF"/>
            </w:tcBorders>
          </w:tcPr>
          <w:p w14:paraId="21A524AD" w14:textId="7A2B268E"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67 mm</w:t>
            </w:r>
            <w:r>
              <w:rPr>
                <w:bCs/>
                <w:iCs/>
                <w:sz w:val="18"/>
                <w:szCs w:val="18"/>
              </w:rPr>
              <w:t xml:space="preserve"> </w:t>
            </w:r>
            <w:r>
              <w:rPr>
                <w:bCs/>
                <w:iCs/>
                <w:sz w:val="18"/>
                <w:szCs w:val="18"/>
              </w:rPr>
              <w:fldChar w:fldCharType="begin"/>
            </w:r>
            <w:r w:rsidR="00C95224">
              <w:rPr>
                <w:bCs/>
                <w:iCs/>
                <w:sz w:val="18"/>
                <w:szCs w:val="18"/>
              </w:rPr>
              <w:instrText xml:space="preserve"> ADDIN EN.CITE &lt;EndNote&gt;&lt;Cite&gt;&lt;Author&gt;Cadwallader&lt;/Author&gt;&lt;Year&gt;1977&lt;/Year&gt;&lt;RecNum&gt;115&lt;/RecNum&gt;&lt;DisplayText&gt;(Cadwallader 1977)&lt;/DisplayText&gt;&lt;record&gt;&lt;rec-number&gt;115&lt;/rec-number&gt;&lt;foreign-keys&gt;&lt;key app="EN" db-id="0a0zttz0gewd9befav559p5osxw5sftwfpdv" timestamp="1472612689"&gt;115&lt;/key&gt;&lt;/foreign-keys&gt;&lt;ref-type name="Book"&gt;6&lt;/ref-type&gt;&lt;contributors&gt;&lt;authors&gt;&lt;author&gt;Cadwallader, P.L.&lt;/author&gt;&lt;/authors&gt;&lt;/contributors&gt;&lt;titles&gt;&lt;title&gt;J.O. Langtry&amp;apos;s 1949-50 Murray River Investigations&lt;/title&gt;&lt;secondary-title&gt;Fisheries and Wildlife paper, Victoria&lt;/secondary-title&gt;&lt;/titles&gt;&lt;volume&gt;13&lt;/volume&gt;&lt;section&gt;70&lt;/section&gt;&lt;dates&gt;&lt;year&gt;1977&lt;/year&gt;&lt;/dates&gt;&lt;pub-location&gt;Melbourne&lt;/pub-location&gt;&lt;publisher&gt;Fisheries and Wildlife Division, Victoria&lt;/publisher&gt;&lt;isbn&gt;0724118454&lt;/isbn&gt;&lt;urls&gt;&lt;/urls&gt;&lt;/record&gt;&lt;/Cite&gt;&lt;/EndNote&gt;</w:instrText>
            </w:r>
            <w:r>
              <w:rPr>
                <w:bCs/>
                <w:iCs/>
                <w:sz w:val="18"/>
                <w:szCs w:val="18"/>
              </w:rPr>
              <w:fldChar w:fldCharType="separate"/>
            </w:r>
            <w:r>
              <w:rPr>
                <w:bCs/>
                <w:iCs/>
                <w:noProof/>
                <w:sz w:val="18"/>
                <w:szCs w:val="18"/>
              </w:rPr>
              <w:t>(Cadwallader 1977)</w:t>
            </w:r>
            <w:r>
              <w:rPr>
                <w:bCs/>
                <w:iCs/>
                <w:sz w:val="18"/>
                <w:szCs w:val="18"/>
              </w:rPr>
              <w:fldChar w:fldCharType="end"/>
            </w:r>
            <w:r w:rsidRPr="00C61D25">
              <w:rPr>
                <w:bCs/>
                <w:iCs/>
                <w:sz w:val="18"/>
                <w:szCs w:val="18"/>
              </w:rPr>
              <w:t xml:space="preserve"> </w:t>
            </w:r>
          </w:p>
        </w:tc>
      </w:tr>
      <w:tr w:rsidR="00514593" w:rsidRPr="00C61D25" w14:paraId="57D3B66B"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67BC9333" w14:textId="594BA55A" w:rsidR="00514593" w:rsidRPr="00C61D25" w:rsidRDefault="00267747" w:rsidP="00514593">
            <w:pPr>
              <w:spacing w:before="40" w:after="40"/>
              <w:rPr>
                <w:iCs/>
                <w:color w:val="FFFFFF" w:themeColor="background1"/>
                <w:sz w:val="18"/>
                <w:szCs w:val="18"/>
              </w:rPr>
            </w:pPr>
            <w:r>
              <w:rPr>
                <w:iCs/>
                <w:color w:val="FFFFFF" w:themeColor="background1"/>
                <w:sz w:val="18"/>
                <w:szCs w:val="18"/>
              </w:rPr>
              <w:t>carp</w:t>
            </w:r>
            <w:r w:rsidR="00514593" w:rsidRPr="00C61D25">
              <w:rPr>
                <w:iCs/>
                <w:color w:val="FFFFFF" w:themeColor="background1"/>
                <w:sz w:val="18"/>
                <w:szCs w:val="18"/>
              </w:rPr>
              <w:t xml:space="preserve"> gudgeon</w:t>
            </w:r>
          </w:p>
        </w:tc>
        <w:tc>
          <w:tcPr>
            <w:tcW w:w="4391" w:type="dxa"/>
            <w:tcBorders>
              <w:left w:val="single" w:sz="18" w:space="0" w:color="FFFFFF"/>
            </w:tcBorders>
          </w:tcPr>
          <w:p w14:paraId="4867F94C" w14:textId="5DDD87AB"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35 mm </w:t>
            </w:r>
            <w:r w:rsidRPr="00C61D25">
              <w:rPr>
                <w:bCs/>
                <w:iCs/>
                <w:sz w:val="18"/>
                <w:szCs w:val="18"/>
              </w:rPr>
              <w:fldChar w:fldCharType="begin"/>
            </w:r>
            <w:r w:rsidR="00C95224">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Pr="00C61D25">
              <w:rPr>
                <w:bCs/>
                <w:iCs/>
                <w:noProof/>
                <w:sz w:val="18"/>
                <w:szCs w:val="18"/>
              </w:rPr>
              <w:t>(Pusey et al. 2004)</w:t>
            </w:r>
            <w:r w:rsidRPr="00C61D25">
              <w:rPr>
                <w:sz w:val="18"/>
                <w:szCs w:val="18"/>
              </w:rPr>
              <w:fldChar w:fldCharType="end"/>
            </w:r>
          </w:p>
        </w:tc>
      </w:tr>
      <w:tr w:rsidR="00514593" w:rsidRPr="00C61D25" w14:paraId="184F2ABF"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700A1098" w14:textId="7BDA22C3" w:rsidR="00514593" w:rsidRPr="00C61D25" w:rsidRDefault="00B04728" w:rsidP="00514593">
            <w:pPr>
              <w:spacing w:before="40" w:after="40"/>
              <w:rPr>
                <w:iCs/>
                <w:color w:val="FFFFFF" w:themeColor="background1"/>
                <w:sz w:val="18"/>
                <w:szCs w:val="18"/>
              </w:rPr>
            </w:pPr>
            <w:r>
              <w:rPr>
                <w:iCs/>
                <w:color w:val="FFFFFF" w:themeColor="background1"/>
                <w:sz w:val="18"/>
                <w:szCs w:val="18"/>
              </w:rPr>
              <w:t>flatheaded</w:t>
            </w:r>
            <w:r w:rsidR="00514593" w:rsidRPr="00C61D25">
              <w:rPr>
                <w:iCs/>
                <w:color w:val="FFFFFF" w:themeColor="background1"/>
                <w:sz w:val="18"/>
                <w:szCs w:val="18"/>
              </w:rPr>
              <w:t xml:space="preserve"> gudgeon</w:t>
            </w:r>
          </w:p>
        </w:tc>
        <w:tc>
          <w:tcPr>
            <w:tcW w:w="4391" w:type="dxa"/>
            <w:tcBorders>
              <w:left w:val="single" w:sz="18" w:space="0" w:color="FFFFFF"/>
            </w:tcBorders>
          </w:tcPr>
          <w:p w14:paraId="4D2B7C5F" w14:textId="637A1CC7"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58 mm </w:t>
            </w:r>
            <w:r>
              <w:rPr>
                <w:bCs/>
                <w:iCs/>
                <w:sz w:val="18"/>
                <w:szCs w:val="18"/>
              </w:rPr>
              <w:fldChar w:fldCharType="begin"/>
            </w:r>
            <w:r w:rsidR="00C95224">
              <w:rPr>
                <w:bCs/>
                <w:iCs/>
                <w:sz w:val="18"/>
                <w:szCs w:val="18"/>
              </w:rPr>
              <w:instrText xml:space="preserve"> ADDIN EN.CITE &lt;EndNote&gt;&lt;Cite&gt;&lt;Author&gt;Pusey&lt;/Author&gt;&lt;Year&gt;2004&lt;/Year&gt;&lt;RecNum&gt;162&lt;/RecNum&gt;&lt;DisplayText&gt;(Pusey et al. 2004, Llewellyn 2007)&lt;/DisplayText&gt;&lt;record&gt;&lt;rec-number&gt;162&lt;/rec-number&gt;&lt;foreign-keys&gt;&lt;key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Cite&gt;&lt;Author&gt;Llewellyn&lt;/Author&gt;&lt;Year&gt;2007&lt;/Year&gt;&lt;RecNum&gt;171&lt;/RecNum&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rPr>
                <w:bCs/>
                <w:iCs/>
                <w:sz w:val="18"/>
                <w:szCs w:val="18"/>
              </w:rPr>
              <w:fldChar w:fldCharType="separate"/>
            </w:r>
            <w:r>
              <w:rPr>
                <w:bCs/>
                <w:iCs/>
                <w:noProof/>
                <w:sz w:val="18"/>
                <w:szCs w:val="18"/>
              </w:rPr>
              <w:t>(Pusey et al. 2004, Llewellyn 2007)</w:t>
            </w:r>
            <w:r>
              <w:rPr>
                <w:bCs/>
                <w:iCs/>
                <w:sz w:val="18"/>
                <w:szCs w:val="18"/>
              </w:rPr>
              <w:fldChar w:fldCharType="end"/>
            </w:r>
          </w:p>
        </w:tc>
      </w:tr>
      <w:tr w:rsidR="00514593" w:rsidRPr="00C61D25" w14:paraId="1C204E12"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302799E2" w14:textId="178A2956" w:rsidR="00514593" w:rsidRPr="00C61D25" w:rsidRDefault="00B04728" w:rsidP="00514593">
            <w:pPr>
              <w:spacing w:before="40" w:after="40"/>
              <w:rPr>
                <w:iCs/>
                <w:color w:val="FFFFFF" w:themeColor="background1"/>
                <w:sz w:val="18"/>
                <w:szCs w:val="18"/>
              </w:rPr>
            </w:pPr>
            <w:r>
              <w:rPr>
                <w:iCs/>
                <w:color w:val="FFFFFF" w:themeColor="background1"/>
                <w:sz w:val="18"/>
                <w:szCs w:val="18"/>
              </w:rPr>
              <w:t>freshwater catfish</w:t>
            </w:r>
          </w:p>
        </w:tc>
        <w:tc>
          <w:tcPr>
            <w:tcW w:w="4391" w:type="dxa"/>
            <w:tcBorders>
              <w:left w:val="single" w:sz="18" w:space="0" w:color="FFFFFF"/>
            </w:tcBorders>
          </w:tcPr>
          <w:p w14:paraId="7A474B4A" w14:textId="6CC90018"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83 mm </w:t>
            </w:r>
            <w:r w:rsidRPr="00C61D25">
              <w:rPr>
                <w:bCs/>
                <w:iCs/>
                <w:sz w:val="18"/>
                <w:szCs w:val="18"/>
              </w:rPr>
              <w:fldChar w:fldCharType="begin"/>
            </w:r>
            <w:r w:rsidR="00C95224">
              <w:rPr>
                <w:bCs/>
                <w:iCs/>
                <w:sz w:val="18"/>
                <w:szCs w:val="18"/>
              </w:rPr>
              <w:instrText xml:space="preserve"> ADDIN EN.CITE &lt;EndNote&gt;&lt;Cite&gt;&lt;Author&gt;Davies&lt;/Author&gt;&lt;Year&gt;1977&lt;/Year&gt;&lt;RecNum&gt;121&lt;/RecNum&gt;&lt;DisplayText&gt;(Davies 1977)&lt;/DisplayText&gt;&lt;record&gt;&lt;rec-number&gt;121&lt;/rec-number&gt;&lt;foreign-keys&gt;&lt;key app="EN" db-id="0a0zttz0gewd9befav559p5osxw5sftwfpdv" timestamp="1472613283"&gt;121&lt;/key&gt;&lt;/foreign-keys&gt;&lt;ref-type name="Journal Article"&gt;17&lt;/ref-type&gt;&lt;contributors&gt;&lt;authors&gt;&lt;author&gt;Davies, T.L.O. &lt;/author&gt;&lt;/authors&gt;&lt;/contributors&gt;&lt;titles&gt;&lt;title&gt;Age determination and growth of the freshwater catfish, Tandanus tandanus Mitchell, in the Gwydir River, Australia&lt;/title&gt;&lt;secondary-title&gt;Australian Journal for Marine and Freshwater Research&lt;/secondary-title&gt;&lt;/titles&gt;&lt;periodical&gt;&lt;full-title&gt;Australian Journal for Marine and Freshwater Research&lt;/full-title&gt;&lt;/periodical&gt;&lt;pages&gt;119-137&lt;/pages&gt;&lt;volume&gt;28&lt;/volume&gt;&lt;number&gt;2&lt;/number&gt;&lt;dates&gt;&lt;year&gt;1977&lt;/year&gt;&lt;/dates&gt;&lt;urls&gt;&lt;/urls&gt;&lt;/record&gt;&lt;/Cite&gt;&lt;/EndNote&gt;</w:instrText>
            </w:r>
            <w:r w:rsidRPr="00C61D25">
              <w:rPr>
                <w:bCs/>
                <w:iCs/>
                <w:sz w:val="18"/>
                <w:szCs w:val="18"/>
              </w:rPr>
              <w:fldChar w:fldCharType="separate"/>
            </w:r>
            <w:r w:rsidRPr="00C61D25">
              <w:rPr>
                <w:bCs/>
                <w:iCs/>
                <w:noProof/>
                <w:sz w:val="18"/>
                <w:szCs w:val="18"/>
              </w:rPr>
              <w:t>(Davies 1977)</w:t>
            </w:r>
            <w:r w:rsidRPr="00C61D25">
              <w:rPr>
                <w:sz w:val="18"/>
                <w:szCs w:val="18"/>
              </w:rPr>
              <w:fldChar w:fldCharType="end"/>
            </w:r>
          </w:p>
        </w:tc>
      </w:tr>
      <w:tr w:rsidR="00514593" w:rsidRPr="00C61D25" w14:paraId="414C9456"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1E5FC981" w14:textId="2D786019" w:rsidR="00514593" w:rsidRPr="00C61D25" w:rsidRDefault="00B04728" w:rsidP="00514593">
            <w:pPr>
              <w:spacing w:before="40" w:after="40"/>
              <w:rPr>
                <w:iCs/>
                <w:color w:val="FFFFFF" w:themeColor="background1"/>
                <w:sz w:val="18"/>
                <w:szCs w:val="18"/>
              </w:rPr>
            </w:pPr>
            <w:r>
              <w:rPr>
                <w:iCs/>
                <w:color w:val="FFFFFF" w:themeColor="background1"/>
                <w:sz w:val="18"/>
                <w:szCs w:val="18"/>
              </w:rPr>
              <w:t>golden perch</w:t>
            </w:r>
          </w:p>
        </w:tc>
        <w:tc>
          <w:tcPr>
            <w:tcW w:w="4391" w:type="dxa"/>
            <w:tcBorders>
              <w:left w:val="single" w:sz="18" w:space="0" w:color="FFFFFF"/>
            </w:tcBorders>
          </w:tcPr>
          <w:p w14:paraId="5BC21FD8" w14:textId="5EDDB7CB"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75 mm </w:t>
            </w:r>
            <w:r w:rsidRPr="00C61D25">
              <w:rPr>
                <w:bCs/>
                <w:iCs/>
                <w:sz w:val="18"/>
                <w:szCs w:val="18"/>
              </w:rPr>
              <w:fldChar w:fldCharType="begin"/>
            </w:r>
            <w:r w:rsidR="00C95224">
              <w:rPr>
                <w:bCs/>
                <w:iCs/>
                <w:sz w:val="18"/>
                <w:szCs w:val="18"/>
              </w:rPr>
              <w:instrText xml:space="preserve"> ADDIN EN.CITE &lt;EndNote&gt;&lt;Cite&gt;&lt;Author&gt;Mallen-Cooper&lt;/Author&gt;&lt;Year&gt;1996&lt;/Year&gt;&lt;RecNum&gt;163&lt;/RecNum&gt;&lt;DisplayText&gt;(Mallen-Cooper 1996)&lt;/DisplayText&gt;&lt;record&gt;&lt;rec-number&gt;163&lt;/rec-number&gt;&lt;foreign-keys&gt;&lt;key app="EN" db-id="0a0zttz0gewd9befav559p5osxw5sftwfpdv" timestamp="1477617705"&gt;163&lt;/key&gt;&lt;/foreign-keys&gt;&lt;ref-type name="Thesis"&gt;32&lt;/ref-type&gt;&lt;contributors&gt;&lt;authors&gt;&lt;author&gt;Mallen-Cooper, M.&lt;/author&gt;&lt;/authors&gt;&lt;/contributors&gt;&lt;titles&gt;&lt;title&gt;Fishways and Freshwater Fish Migration in South-Eastern Australia. PhD Thesis&lt;/title&gt;&lt;/titles&gt;&lt;volume&gt;PhD Thesis&lt;/volume&gt;&lt;dates&gt;&lt;year&gt;1996&lt;/year&gt;&lt;/dates&gt;&lt;pub-location&gt;Sydney&lt;/pub-location&gt;&lt;publisher&gt;University of Technology&lt;/publisher&gt;&lt;urls&gt;&lt;/urls&gt;&lt;/record&gt;&lt;/Cite&gt;&lt;/EndNote&gt;</w:instrText>
            </w:r>
            <w:r w:rsidRPr="00C61D25">
              <w:rPr>
                <w:bCs/>
                <w:iCs/>
                <w:sz w:val="18"/>
                <w:szCs w:val="18"/>
              </w:rPr>
              <w:fldChar w:fldCharType="separate"/>
            </w:r>
            <w:r w:rsidRPr="00C61D25">
              <w:rPr>
                <w:bCs/>
                <w:iCs/>
                <w:noProof/>
                <w:sz w:val="18"/>
                <w:szCs w:val="18"/>
              </w:rPr>
              <w:t>(Mallen-Cooper 1996)</w:t>
            </w:r>
            <w:r w:rsidRPr="00C61D25">
              <w:rPr>
                <w:sz w:val="18"/>
                <w:szCs w:val="18"/>
              </w:rPr>
              <w:fldChar w:fldCharType="end"/>
            </w:r>
          </w:p>
        </w:tc>
      </w:tr>
      <w:tr w:rsidR="00514593" w:rsidRPr="00C61D25" w14:paraId="00AEFFDF"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31E36C2D" w14:textId="77777777" w:rsidR="00514593" w:rsidRPr="00C61D25" w:rsidRDefault="00514593" w:rsidP="00514593">
            <w:pPr>
              <w:spacing w:before="40" w:after="40"/>
              <w:rPr>
                <w:iCs/>
                <w:color w:val="FFFFFF" w:themeColor="background1"/>
                <w:sz w:val="18"/>
                <w:szCs w:val="18"/>
              </w:rPr>
            </w:pPr>
            <w:r w:rsidRPr="00C61D25">
              <w:rPr>
                <w:iCs/>
                <w:color w:val="FFFFFF" w:themeColor="background1"/>
                <w:sz w:val="18"/>
                <w:szCs w:val="18"/>
              </w:rPr>
              <w:t>Murray cod</w:t>
            </w:r>
          </w:p>
        </w:tc>
        <w:tc>
          <w:tcPr>
            <w:tcW w:w="4391" w:type="dxa"/>
            <w:tcBorders>
              <w:left w:val="single" w:sz="18" w:space="0" w:color="FFFFFF"/>
            </w:tcBorders>
          </w:tcPr>
          <w:p w14:paraId="7CB9D861" w14:textId="77777777"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222 mm (Gavin Butler, Unpublished data)</w:t>
            </w:r>
          </w:p>
        </w:tc>
      </w:tr>
      <w:tr w:rsidR="00514593" w:rsidRPr="00C61D25" w14:paraId="2625D5CC"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8" w:space="0" w:color="FFFFFF"/>
              <w:right w:val="single" w:sz="18" w:space="0" w:color="FFFFFF"/>
            </w:tcBorders>
          </w:tcPr>
          <w:p w14:paraId="549AC096" w14:textId="4F7286D2" w:rsidR="00514593" w:rsidRPr="00C61D25" w:rsidRDefault="00B04728" w:rsidP="00514593">
            <w:pPr>
              <w:spacing w:before="40" w:after="40"/>
              <w:rPr>
                <w:iCs/>
                <w:color w:val="FFFFFF" w:themeColor="background1"/>
                <w:sz w:val="18"/>
                <w:szCs w:val="18"/>
              </w:rPr>
            </w:pPr>
            <w:r>
              <w:rPr>
                <w:iCs/>
                <w:color w:val="FFFFFF" w:themeColor="background1"/>
                <w:sz w:val="18"/>
                <w:szCs w:val="18"/>
              </w:rPr>
              <w:t>un-specked hardyhead</w:t>
            </w:r>
          </w:p>
        </w:tc>
        <w:tc>
          <w:tcPr>
            <w:tcW w:w="4391" w:type="dxa"/>
            <w:tcBorders>
              <w:left w:val="single" w:sz="18" w:space="0" w:color="FFFFFF"/>
              <w:bottom w:val="single" w:sz="8" w:space="0" w:color="FFFFFF"/>
            </w:tcBorders>
          </w:tcPr>
          <w:p w14:paraId="4FDB2BA2" w14:textId="3CA50FD2"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38 mm </w:t>
            </w:r>
            <w:r w:rsidRPr="00C61D25">
              <w:rPr>
                <w:bCs/>
                <w:iCs/>
                <w:sz w:val="18"/>
                <w:szCs w:val="18"/>
              </w:rPr>
              <w:fldChar w:fldCharType="begin"/>
            </w:r>
            <w:r w:rsidR="00C95224">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Pr="00C61D25">
              <w:rPr>
                <w:bCs/>
                <w:iCs/>
                <w:noProof/>
                <w:sz w:val="18"/>
                <w:szCs w:val="18"/>
              </w:rPr>
              <w:t>(Pusey et al. 2004)</w:t>
            </w:r>
            <w:r w:rsidRPr="00C61D25">
              <w:rPr>
                <w:sz w:val="18"/>
                <w:szCs w:val="18"/>
              </w:rPr>
              <w:fldChar w:fldCharType="end"/>
            </w:r>
          </w:p>
        </w:tc>
      </w:tr>
      <w:tr w:rsidR="00514593" w:rsidRPr="00C61D25" w14:paraId="3530C198" w14:textId="77777777" w:rsidTr="00B04728">
        <w:tc>
          <w:tcPr>
            <w:cnfStyle w:val="001000000000" w:firstRow="0" w:lastRow="0" w:firstColumn="1" w:lastColumn="0" w:oddVBand="0" w:evenVBand="0" w:oddHBand="0" w:evenHBand="0" w:firstRowFirstColumn="0" w:firstRowLastColumn="0" w:lastRowFirstColumn="0" w:lastRowLastColumn="0"/>
            <w:tcW w:w="6508" w:type="dxa"/>
            <w:gridSpan w:val="2"/>
            <w:tcBorders>
              <w:top w:val="single" w:sz="8" w:space="0" w:color="FFFFFF"/>
            </w:tcBorders>
          </w:tcPr>
          <w:p w14:paraId="1487B4D3" w14:textId="77777777" w:rsidR="00514593" w:rsidRPr="00C61D25" w:rsidRDefault="00514593" w:rsidP="00514593">
            <w:pPr>
              <w:spacing w:before="40" w:after="40"/>
              <w:jc w:val="center"/>
              <w:rPr>
                <w:b w:val="0"/>
                <w:bCs w:val="0"/>
                <w:iCs/>
                <w:sz w:val="18"/>
                <w:szCs w:val="18"/>
              </w:rPr>
            </w:pPr>
            <w:r w:rsidRPr="00C61D25">
              <w:rPr>
                <w:iCs/>
                <w:color w:val="FFFFFF" w:themeColor="background1"/>
                <w:sz w:val="18"/>
                <w:szCs w:val="18"/>
              </w:rPr>
              <w:t>Alien species</w:t>
            </w:r>
          </w:p>
        </w:tc>
      </w:tr>
      <w:tr w:rsidR="00514593" w:rsidRPr="00C61D25" w14:paraId="10398145"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2A7FADE0" w14:textId="15A22BBB" w:rsidR="00514593" w:rsidRPr="00C61D25" w:rsidRDefault="00B04728" w:rsidP="00514593">
            <w:pPr>
              <w:spacing w:before="40" w:after="40"/>
              <w:rPr>
                <w:iCs/>
                <w:color w:val="FFFFFF" w:themeColor="background1"/>
                <w:sz w:val="18"/>
                <w:szCs w:val="18"/>
              </w:rPr>
            </w:pPr>
            <w:r>
              <w:rPr>
                <w:iCs/>
                <w:color w:val="FFFFFF" w:themeColor="background1"/>
                <w:sz w:val="18"/>
                <w:szCs w:val="18"/>
              </w:rPr>
              <w:t>common carp</w:t>
            </w:r>
          </w:p>
        </w:tc>
        <w:tc>
          <w:tcPr>
            <w:tcW w:w="4391" w:type="dxa"/>
            <w:tcBorders>
              <w:left w:val="single" w:sz="18" w:space="0" w:color="FFFFFF"/>
            </w:tcBorders>
          </w:tcPr>
          <w:p w14:paraId="7F3E330D" w14:textId="1AE17DAA"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155 mm</w:t>
            </w:r>
            <w:r>
              <w:rPr>
                <w:bCs/>
                <w:iCs/>
                <w:sz w:val="18"/>
                <w:szCs w:val="18"/>
              </w:rPr>
              <w:t xml:space="preserve"> </w:t>
            </w:r>
            <w:r>
              <w:rPr>
                <w:bCs/>
                <w:iCs/>
                <w:sz w:val="18"/>
                <w:szCs w:val="18"/>
              </w:rPr>
              <w:fldChar w:fldCharType="begin"/>
            </w:r>
            <w:r w:rsidR="00C95224">
              <w:rPr>
                <w:bCs/>
                <w:iCs/>
                <w:sz w:val="18"/>
                <w:szCs w:val="18"/>
              </w:rPr>
              <w:instrText xml:space="preserve"> ADDIN EN.CITE &lt;EndNote&gt;&lt;Cite&gt;&lt;Author&gt;Vilizzi&lt;/Author&gt;&lt;Year&gt;1999&lt;/Year&gt;&lt;RecNum&gt;164&lt;/RecNum&gt;&lt;DisplayText&gt;(Vilizzi and Walker 1999)&lt;/DisplayText&gt;&lt;record&gt;&lt;rec-number&gt;164&lt;/rec-number&gt;&lt;foreign-keys&gt;&lt;key app="EN" db-id="0a0zttz0gewd9befav559p5osxw5sftwfpdv" timestamp="1477617784"&gt;164&lt;/key&gt;&lt;/foreign-keys&gt;&lt;ref-type name="Journal Article"&gt;17&lt;/ref-type&gt;&lt;contributors&gt;&lt;authors&gt;&lt;author&gt;Vilizzi, L.&lt;/author&gt;&lt;author&gt;Walker, K.F.&lt;/author&gt;&lt;/authors&gt;&lt;/contributors&gt;&lt;titles&gt;&lt;title&gt;Age and growth of the common carp, Cyprinus carpio, in the River Murray, Australia: validation, consistency of age interpretation, and growth models&lt;/title&gt;&lt;secondary-title&gt;Environmental Biology of Fishes&lt;/secondary-title&gt;&lt;/titles&gt;&lt;periodical&gt;&lt;full-title&gt;Environmental Biology of Fishes&lt;/full-title&gt;&lt;/periodical&gt;&lt;pages&gt;77-106&lt;/pages&gt;&lt;volume&gt;54&lt;/volume&gt;&lt;number&gt;1&lt;/number&gt;&lt;dates&gt;&lt;year&gt;1999&lt;/year&gt;&lt;/dates&gt;&lt;urls&gt;&lt;/urls&gt;&lt;/record&gt;&lt;/Cite&gt;&lt;/EndNote&gt;</w:instrText>
            </w:r>
            <w:r>
              <w:rPr>
                <w:bCs/>
                <w:iCs/>
                <w:sz w:val="18"/>
                <w:szCs w:val="18"/>
              </w:rPr>
              <w:fldChar w:fldCharType="separate"/>
            </w:r>
            <w:r>
              <w:rPr>
                <w:bCs/>
                <w:iCs/>
                <w:noProof/>
                <w:sz w:val="18"/>
                <w:szCs w:val="18"/>
              </w:rPr>
              <w:t>(Vilizzi and Walker 1999)</w:t>
            </w:r>
            <w:r>
              <w:rPr>
                <w:bCs/>
                <w:iCs/>
                <w:sz w:val="18"/>
                <w:szCs w:val="18"/>
              </w:rPr>
              <w:fldChar w:fldCharType="end"/>
            </w:r>
            <w:r w:rsidRPr="00C61D25">
              <w:rPr>
                <w:bCs/>
                <w:iCs/>
                <w:sz w:val="18"/>
                <w:szCs w:val="18"/>
              </w:rPr>
              <w:t xml:space="preserve"> </w:t>
            </w:r>
          </w:p>
        </w:tc>
      </w:tr>
      <w:tr w:rsidR="00514593" w:rsidRPr="00C61D25" w14:paraId="5A61E2FD"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0920FE2D" w14:textId="152EDDA3" w:rsidR="00514593" w:rsidRPr="00C61D25" w:rsidRDefault="00B04728" w:rsidP="00514593">
            <w:pPr>
              <w:spacing w:before="40" w:after="40"/>
              <w:rPr>
                <w:iCs/>
                <w:color w:val="FFFFFF" w:themeColor="background1"/>
                <w:sz w:val="18"/>
                <w:szCs w:val="18"/>
              </w:rPr>
            </w:pPr>
            <w:r>
              <w:rPr>
                <w:iCs/>
                <w:color w:val="FFFFFF" w:themeColor="background1"/>
                <w:sz w:val="18"/>
                <w:szCs w:val="18"/>
              </w:rPr>
              <w:t>eastern gambusia</w:t>
            </w:r>
          </w:p>
        </w:tc>
        <w:tc>
          <w:tcPr>
            <w:tcW w:w="4391" w:type="dxa"/>
            <w:tcBorders>
              <w:left w:val="single" w:sz="18" w:space="0" w:color="FFFFFF"/>
            </w:tcBorders>
          </w:tcPr>
          <w:p w14:paraId="51C3AA1C" w14:textId="0447479A"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20 mm </w:t>
            </w:r>
            <w:r w:rsidRPr="00C61D25">
              <w:rPr>
                <w:bCs/>
                <w:iCs/>
                <w:sz w:val="18"/>
                <w:szCs w:val="18"/>
              </w:rPr>
              <w:fldChar w:fldCharType="begin"/>
            </w:r>
            <w:r w:rsidR="00C95224">
              <w:rPr>
                <w:bCs/>
                <w:iCs/>
                <w:sz w:val="18"/>
                <w:szCs w:val="18"/>
              </w:rPr>
              <w:instrText xml:space="preserve"> ADDIN EN.CITE &lt;EndNote&gt;&lt;Cite&gt;&lt;Author&gt;McDowall&lt;/Author&gt;&lt;Year&gt;1996&lt;/Year&gt;&lt;RecNum&gt;165&lt;/RecNum&gt;&lt;DisplayText&gt;(McDowall 1996)&lt;/DisplayText&gt;&lt;record&gt;&lt;rec-number&gt;165&lt;/rec-number&gt;&lt;foreign-keys&gt;&lt;key app="EN" db-id="0a0zttz0gewd9befav559p5osxw5sftwfpdv" timestamp="1477617878"&gt;165&lt;/key&gt;&lt;/foreign-keys&gt;&lt;ref-type name="Book Section"&gt;5&lt;/ref-type&gt;&lt;contributors&gt;&lt;authors&gt;&lt;author&gt;McDowall, R.M.&lt;/author&gt;&lt;/authors&gt;&lt;secondary-authors&gt;&lt;author&gt;McDowall, R.M.&lt;/author&gt;&lt;/secondary-authors&gt;&lt;/contributors&gt;&lt;titles&gt;&lt;title&gt;Family Poecilidae: livebearers&lt;/title&gt;&lt;secondary-title&gt;Freshwater Fishes of South-Eastern Australia&lt;/secondary-title&gt;&lt;/titles&gt;&lt;pages&gt;116-122&lt;/pages&gt;&lt;dates&gt;&lt;year&gt;1996&lt;/year&gt;&lt;/dates&gt;&lt;pub-location&gt;Sydney&lt;/pub-location&gt;&lt;publisher&gt;Reed Books&lt;/publisher&gt;&lt;urls&gt;&lt;/urls&gt;&lt;/record&gt;&lt;/Cite&gt;&lt;/EndNote&gt;</w:instrText>
            </w:r>
            <w:r w:rsidRPr="00C61D25">
              <w:rPr>
                <w:bCs/>
                <w:iCs/>
                <w:sz w:val="18"/>
                <w:szCs w:val="18"/>
              </w:rPr>
              <w:fldChar w:fldCharType="separate"/>
            </w:r>
            <w:r w:rsidRPr="00C61D25">
              <w:rPr>
                <w:bCs/>
                <w:iCs/>
                <w:noProof/>
                <w:sz w:val="18"/>
                <w:szCs w:val="18"/>
              </w:rPr>
              <w:t>(McDowall 1996)</w:t>
            </w:r>
            <w:r w:rsidRPr="00C61D25">
              <w:rPr>
                <w:sz w:val="18"/>
                <w:szCs w:val="18"/>
              </w:rPr>
              <w:fldChar w:fldCharType="end"/>
            </w:r>
          </w:p>
        </w:tc>
      </w:tr>
      <w:tr w:rsidR="00514593" w:rsidRPr="00C61D25" w14:paraId="0EF95283"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6" w:space="0" w:color="FFFFFF"/>
              <w:right w:val="single" w:sz="18" w:space="0" w:color="FFFFFF"/>
            </w:tcBorders>
          </w:tcPr>
          <w:p w14:paraId="784DF68C" w14:textId="3AED7253" w:rsidR="00514593" w:rsidRPr="00C61D25" w:rsidRDefault="00B04728" w:rsidP="00514593">
            <w:pPr>
              <w:spacing w:before="40" w:after="40"/>
              <w:rPr>
                <w:iCs/>
                <w:color w:val="FFFFFF" w:themeColor="background1"/>
                <w:sz w:val="18"/>
                <w:szCs w:val="18"/>
              </w:rPr>
            </w:pPr>
            <w:r>
              <w:rPr>
                <w:iCs/>
                <w:color w:val="FFFFFF" w:themeColor="background1"/>
                <w:sz w:val="18"/>
                <w:szCs w:val="18"/>
              </w:rPr>
              <w:t>goldfish</w:t>
            </w:r>
          </w:p>
        </w:tc>
        <w:tc>
          <w:tcPr>
            <w:tcW w:w="4391" w:type="dxa"/>
            <w:tcBorders>
              <w:left w:val="single" w:sz="18" w:space="0" w:color="FFFFFF"/>
            </w:tcBorders>
          </w:tcPr>
          <w:p w14:paraId="61F8559D" w14:textId="6D80E502"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127 mm </w:t>
            </w:r>
            <w:r>
              <w:rPr>
                <w:bCs/>
                <w:iCs/>
                <w:sz w:val="18"/>
                <w:szCs w:val="18"/>
              </w:rPr>
              <w:fldChar w:fldCharType="begin"/>
            </w:r>
            <w:r w:rsidR="00C95224">
              <w:rPr>
                <w:bCs/>
                <w:iCs/>
                <w:sz w:val="18"/>
                <w:szCs w:val="18"/>
              </w:rPr>
              <w:instrText xml:space="preserve"> ADDIN EN.CITE &lt;EndNote&gt;&lt;Cite&gt;&lt;Author&gt;Lorenzoni&lt;/Author&gt;&lt;Year&gt;2007&lt;/Year&gt;&lt;RecNum&gt;148&lt;/RecNum&gt;&lt;DisplayText&gt;(Lorenzoni et al. 2007)&lt;/DisplayText&gt;&lt;record&gt;&lt;rec-number&gt;148&lt;/rec-number&gt;&lt;foreign-keys&gt;&lt;key app="EN" db-id="0a0zttz0gewd9befav559p5osxw5sftwfpdv" timestamp="1476145025"&gt;148&lt;/key&gt;&lt;/foreign-keys&gt;&lt;ref-type name="Book Section"&gt;5&lt;/ref-type&gt;&lt;contributors&gt;&lt;authors&gt;&lt;author&gt;Lorenzoni, M.&lt;/author&gt;&lt;author&gt;Corboli, M.&lt;/author&gt;&lt;author&gt;Ghetti, L.&lt;/author&gt;&lt;author&gt;Pedicillo, G.&lt;/author&gt;&lt;author&gt;Carosi, A.&lt;/author&gt;&lt;/authors&gt;&lt;secondary-authors&gt;&lt;author&gt;Gherardi, Francesca&lt;/author&gt;&lt;/secondary-authors&gt;&lt;/contributors&gt;&lt;titles&gt;&lt;title&gt;Growth and reproduction of the goldfish Carassius auratus: a case study from Italy&lt;/title&gt;&lt;secondary-title&gt;Biological invaders in inland waters: Profiles, distribution, and threats&lt;/secondary-title&gt;&lt;/titles&gt;&lt;pages&gt;259-273&lt;/pages&gt;&lt;dates&gt;&lt;year&gt;2007&lt;/year&gt;&lt;/dates&gt;&lt;pub-location&gt;Dordrecht&lt;/pub-location&gt;&lt;publisher&gt;Springer Netherlands&lt;/publisher&gt;&lt;isbn&gt;978-1-4020-6029-8&lt;/isbn&gt;&lt;label&gt;Lorenzoni2007&lt;/label&gt;&lt;urls&gt;&lt;related-urls&gt;&lt;url&gt;http://dx.doi.org/10.1007/978-1-4020-6029-8_13&lt;/url&gt;&lt;/related-urls&gt;&lt;/urls&gt;&lt;electronic-resource-num&gt;10.1007/978-1-4020-6029-8_13&lt;/electronic-resource-num&gt;&lt;/record&gt;&lt;/Cite&gt;&lt;/EndNote&gt;</w:instrText>
            </w:r>
            <w:r>
              <w:rPr>
                <w:bCs/>
                <w:iCs/>
                <w:sz w:val="18"/>
                <w:szCs w:val="18"/>
              </w:rPr>
              <w:fldChar w:fldCharType="separate"/>
            </w:r>
            <w:r>
              <w:rPr>
                <w:bCs/>
                <w:iCs/>
                <w:noProof/>
                <w:sz w:val="18"/>
                <w:szCs w:val="18"/>
              </w:rPr>
              <w:t>(Lorenzoni et al. 2007)</w:t>
            </w:r>
            <w:r>
              <w:rPr>
                <w:bCs/>
                <w:iCs/>
                <w:sz w:val="18"/>
                <w:szCs w:val="18"/>
              </w:rPr>
              <w:fldChar w:fldCharType="end"/>
            </w:r>
          </w:p>
        </w:tc>
      </w:tr>
      <w:tr w:rsidR="00514593" w:rsidRPr="00C61D25" w14:paraId="045011FE" w14:textId="77777777" w:rsidTr="00B04728">
        <w:tc>
          <w:tcPr>
            <w:cnfStyle w:val="001000000000" w:firstRow="0" w:lastRow="0" w:firstColumn="1" w:lastColumn="0" w:oddVBand="0" w:evenVBand="0" w:oddHBand="0" w:evenHBand="0" w:firstRowFirstColumn="0" w:firstRowLastColumn="0" w:lastRowFirstColumn="0" w:lastRowLastColumn="0"/>
            <w:tcW w:w="2117" w:type="dxa"/>
            <w:tcBorders>
              <w:top w:val="single" w:sz="6" w:space="0" w:color="FFFFFF"/>
              <w:bottom w:val="single" w:sz="8" w:space="0" w:color="FFFFFF"/>
              <w:right w:val="single" w:sz="18" w:space="0" w:color="FFFFFF"/>
            </w:tcBorders>
          </w:tcPr>
          <w:p w14:paraId="0DDF2357" w14:textId="26C87AD3" w:rsidR="00514593" w:rsidRPr="00C61D25" w:rsidRDefault="00B04728" w:rsidP="00514593">
            <w:pPr>
              <w:spacing w:before="40" w:after="40"/>
              <w:rPr>
                <w:iCs/>
                <w:color w:val="FFFFFF" w:themeColor="background1"/>
                <w:sz w:val="18"/>
                <w:szCs w:val="18"/>
              </w:rPr>
            </w:pPr>
            <w:r>
              <w:rPr>
                <w:iCs/>
                <w:color w:val="FFFFFF" w:themeColor="background1"/>
                <w:sz w:val="18"/>
                <w:szCs w:val="18"/>
              </w:rPr>
              <w:t>redfin perch</w:t>
            </w:r>
          </w:p>
        </w:tc>
        <w:tc>
          <w:tcPr>
            <w:tcW w:w="4391" w:type="dxa"/>
            <w:tcBorders>
              <w:left w:val="single" w:sz="18" w:space="0" w:color="FFFFFF"/>
            </w:tcBorders>
          </w:tcPr>
          <w:p w14:paraId="445B797A" w14:textId="324D36E4" w:rsidR="00514593" w:rsidRPr="00C61D25"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60 mm </w:t>
            </w:r>
            <w:r>
              <w:rPr>
                <w:bCs/>
                <w:iCs/>
                <w:sz w:val="18"/>
                <w:szCs w:val="18"/>
              </w:rPr>
              <w:fldChar w:fldCharType="begin"/>
            </w:r>
            <w:r w:rsidR="00C95224">
              <w:rPr>
                <w:bCs/>
                <w:iCs/>
                <w:sz w:val="18"/>
                <w:szCs w:val="18"/>
              </w:rPr>
              <w:instrText xml:space="preserve"> ADDIN EN.CITE &lt;EndNote&gt;&lt;Cite&gt;&lt;Author&gt;Heibo&lt;/Author&gt;&lt;Year&gt;2005&lt;/Year&gt;&lt;RecNum&gt;238&lt;/RecNum&gt;&lt;Prefix&gt;maximum reported by &lt;/Prefix&gt;&lt;DisplayText&gt;(maximum reported by Heibo et al. 2005)&lt;/DisplayText&gt;&lt;record&gt;&lt;rec-number&gt;238&lt;/rec-number&gt;&lt;foreign-keys&gt;&lt;key app="EN" db-id="0a0zttz0gewd9befav559p5osxw5sftwfpdv" timestamp="1542587162"&gt;238&lt;/key&gt;&lt;/foreign-keys&gt;&lt;ref-type name="Journal Article"&gt;17&lt;/ref-type&gt;&lt;contributors&gt;&lt;authors&gt;&lt;author&gt;Heibo, E.&lt;/author&gt;&lt;author&gt;Magnhagen, C.&lt;/author&gt;&lt;author&gt;Vøllestad, L. A.&lt;/author&gt;&lt;/authors&gt;&lt;/contributors&gt;&lt;auth-address&gt;Swedish University of Agricultural Sciences (SLU), Department of Aquaculture, SE-901 83 UmeÃ¥, Sweden&amp;#xD;University of Oslo, Department of Biology, Centre for Ecological and Evolutionary Synthesis, Blindern, N-0316 Oslo, Norway&lt;/auth-address&gt;&lt;titles&gt;&lt;title&gt;Latitudinal variation in life-history traits in Eurasian perch&lt;/title&gt;&lt;secondary-title&gt;Ecology&lt;/secondary-title&gt;&lt;/titles&gt;&lt;periodical&gt;&lt;full-title&gt;Ecology&lt;/full-title&gt;&lt;/periodical&gt;&lt;pages&gt;3377-3386&lt;/pages&gt;&lt;volume&gt;86&lt;/volume&gt;&lt;number&gt;12&lt;/number&gt;&lt;keywords&gt;&lt;keyword&gt;Latitudinal cline&lt;/keyword&gt;&lt;keyword&gt;Life-history variation&lt;/keyword&gt;&lt;keyword&gt;Perca fluviatilis L&lt;/keyword&gt;&lt;keyword&gt;Perch&lt;/keyword&gt;&lt;keyword&gt;Trade-offs&lt;/keyword&gt;&lt;keyword&gt;growth rate&lt;/keyword&gt;&lt;keyword&gt;latitudinal gradient&lt;/keyword&gt;&lt;keyword&gt;life history trait&lt;/keyword&gt;&lt;keyword&gt;perciform&lt;/keyword&gt;&lt;keyword&gt;trade-off&lt;/keyword&gt;&lt;keyword&gt;Perca fluviatilis&lt;/keyword&gt;&lt;/keywords&gt;&lt;dates&gt;&lt;year&gt;2005&lt;/year&gt;&lt;/dates&gt;&lt;isbn&gt;00129658 (ISSN)&lt;/isbn&gt;&lt;label&gt;&lt;style face="italic" font="default" size="10"&gt;Perca&lt;/style&gt;&lt;/label&gt;&lt;urls&gt;&lt;related-urls&gt;&lt;url&gt;http://www.scopus.com/inward/record.url?eid=2-s2.0-30644457606&amp;amp;partnerID=40&amp;amp;md5=ee6d760b9263f604dc858c3cf674f4a0&lt;/url&gt;&lt;/related-urls&gt;&lt;/urls&gt;&lt;remote-database-name&gt;Scopus&lt;/remote-database-name&gt;&lt;language&gt;Overseas&lt;/language&gt;&lt;/record&gt;&lt;/Cite&gt;&lt;/EndNote&gt;</w:instrText>
            </w:r>
            <w:r>
              <w:rPr>
                <w:bCs/>
                <w:iCs/>
                <w:sz w:val="18"/>
                <w:szCs w:val="18"/>
              </w:rPr>
              <w:fldChar w:fldCharType="separate"/>
            </w:r>
            <w:r>
              <w:rPr>
                <w:bCs/>
                <w:iCs/>
                <w:noProof/>
                <w:sz w:val="18"/>
                <w:szCs w:val="18"/>
              </w:rPr>
              <w:t>(maximum reported by Heibo et al. 2005)</w:t>
            </w:r>
            <w:r>
              <w:rPr>
                <w:bCs/>
                <w:iCs/>
                <w:sz w:val="18"/>
                <w:szCs w:val="18"/>
              </w:rPr>
              <w:fldChar w:fldCharType="end"/>
            </w:r>
          </w:p>
        </w:tc>
      </w:tr>
    </w:tbl>
    <w:p w14:paraId="7CC3789F" w14:textId="77777777" w:rsidR="00CE2EDC" w:rsidRPr="00514593" w:rsidRDefault="00CE2EDC" w:rsidP="00CE2EDC">
      <w:pPr>
        <w:rPr>
          <w:bCs/>
          <w:lang w:val="en-US"/>
        </w:rPr>
      </w:pPr>
    </w:p>
    <w:p w14:paraId="3B7A0AA5" w14:textId="77777777" w:rsidR="005927F4" w:rsidRDefault="00CE2EDC" w:rsidP="00514593">
      <w:r w:rsidRPr="00341FE1">
        <w:t>The Expectedness index is the proportion of native species that are now found within the relevant catchment and altitudinal zone, compared to a historical</w:t>
      </w:r>
      <w:r>
        <w:t xml:space="preserve"> reference condition</w:t>
      </w:r>
      <w:r w:rsidRPr="00341FE1">
        <w:t xml:space="preserve">. The index value is derived from two input metrics; the observed native species richness relative to the expected species richness at each site, and the total native species richness observed within the zone over the total number of species predicted to have existed within the zone historically </w:t>
      </w:r>
      <w:r w:rsidRPr="00341FE1">
        <w:fldChar w:fldCharType="begin"/>
      </w:r>
      <w:r w:rsidR="00747352">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w:t>
      </w:r>
    </w:p>
    <w:p w14:paraId="461FC18B" w14:textId="77777777" w:rsidR="005927F4" w:rsidRDefault="00CE2EDC" w:rsidP="00514593">
      <w:r w:rsidRPr="00341FE1">
        <w:t xml:space="preserve">The Nativeness index is the proportion of native compared to alien fishes, and is derived from three input metrics; proportion of total biomass that is native, proportion of total abundance that is native and proportion of total species richness that is native </w:t>
      </w:r>
      <w:r w:rsidRPr="00341FE1">
        <w:fldChar w:fldCharType="begin"/>
      </w:r>
      <w:r w:rsidR="00747352">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w:t>
      </w:r>
    </w:p>
    <w:p w14:paraId="2318F98E" w14:textId="77777777" w:rsidR="005927F4" w:rsidRDefault="00CE2EDC" w:rsidP="00514593">
      <w:r w:rsidRPr="00341FE1">
        <w:t>The Recruitment index represents the recent reproductive activity of the native fish community, and is derived from three input metrics; the proportion of native species showing evidence of recruitment, the average proportion of sites at which each species captured was recruiting (corrected for probability of capture based</w:t>
      </w:r>
      <w:r>
        <w:t xml:space="preserve"> on the number of sites sampled</w:t>
      </w:r>
      <w:r w:rsidRPr="00341FE1">
        <w:t xml:space="preserve">), and the average proportion of total abundance of each species that are new recruits </w:t>
      </w:r>
      <w:r w:rsidRPr="00341FE1">
        <w:fldChar w:fldCharType="begin"/>
      </w:r>
      <w:r w:rsidR="00747352">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w:t>
      </w:r>
    </w:p>
    <w:p w14:paraId="3D3A85CA" w14:textId="3CED5C1A" w:rsidR="00514593" w:rsidRDefault="00CE2EDC" w:rsidP="00514593">
      <w:r w:rsidRPr="00341FE1">
        <w:t>The three indicators</w:t>
      </w:r>
      <w:r w:rsidR="005927F4">
        <w:t xml:space="preserve"> above</w:t>
      </w:r>
      <w:r w:rsidRPr="00341FE1">
        <w:t xml:space="preserve"> are aggregated to generate a weighted overall Fish Condition Index </w:t>
      </w:r>
      <w:r w:rsidRPr="00341FE1">
        <w:fldChar w:fldCharType="begin"/>
      </w:r>
      <w:r w:rsidR="00747352">
        <w:instrText xml:space="preserve"> ADDIN EN.CITE &lt;EndNote&gt;&lt;Cite&gt;&lt;Author&gt;Carter&lt;/Author&gt;&lt;Year&gt;2012&lt;/Year&gt;&lt;RecNum&gt;117&lt;/RecNum&gt;&lt;DisplayText&gt;(Carter 2012)&lt;/DisplayText&gt;&lt;record&gt;&lt;rec-number&gt;117&lt;/rec-number&gt;&lt;foreign-keys&gt;&lt;key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rsidRPr="00341FE1">
        <w:fldChar w:fldCharType="separate"/>
      </w:r>
      <w:r>
        <w:rPr>
          <w:noProof/>
        </w:rPr>
        <w:t>(Carter 2012)</w:t>
      </w:r>
      <w:r w:rsidRPr="00341FE1">
        <w:fldChar w:fldCharType="end"/>
      </w:r>
      <w:r w:rsidRPr="00341FE1">
        <w:t>. Overall condition is then partitioned into five equal categorical bands to rate the condition of the fish community as “Good” (80–100), “Moderate” (60–79), “Poor” (40–59), “Very Poor” (20–39), or “Extremely Poor” (0–19).</w:t>
      </w:r>
    </w:p>
    <w:p w14:paraId="64DA7529" w14:textId="77777777" w:rsidR="004E7E93" w:rsidRPr="00514593" w:rsidRDefault="004E7E93" w:rsidP="00514593">
      <w:pPr>
        <w:rPr>
          <w:b/>
          <w:lang w:val="en-US"/>
        </w:rPr>
      </w:pPr>
    </w:p>
    <w:p w14:paraId="35694EF0" w14:textId="77777777" w:rsidR="00CE2EDC" w:rsidRPr="00425FEB" w:rsidRDefault="00CE2EDC" w:rsidP="00CE2EDC">
      <w:pPr>
        <w:pStyle w:val="Heading2"/>
      </w:pPr>
      <w:bookmarkStart w:id="320" w:name="_Toc440827286"/>
      <w:bookmarkStart w:id="321" w:name="_Toc31985482"/>
      <w:r w:rsidRPr="00425FEB">
        <w:t>Results</w:t>
      </w:r>
      <w:bookmarkEnd w:id="320"/>
      <w:bookmarkEnd w:id="321"/>
    </w:p>
    <w:p w14:paraId="01DBCB89" w14:textId="66A9D183" w:rsidR="00CE2EDC" w:rsidRPr="00CE2EDC" w:rsidRDefault="00CE2EDC" w:rsidP="00CE2EDC">
      <w:pPr>
        <w:pStyle w:val="Heading3"/>
      </w:pPr>
      <w:bookmarkStart w:id="322" w:name="_Toc31985483"/>
      <w:r>
        <w:rPr>
          <w:lang w:val="en-AU"/>
        </w:rPr>
        <w:t xml:space="preserve">Lower </w:t>
      </w:r>
      <w:r>
        <w:t>Lachlan River (</w:t>
      </w:r>
      <w:r>
        <w:rPr>
          <w:lang w:val="en-AU"/>
        </w:rPr>
        <w:t>Long</w:t>
      </w:r>
      <w:r>
        <w:t xml:space="preserve"> Term Intervention Monitoring)</w:t>
      </w:r>
      <w:bookmarkEnd w:id="322"/>
    </w:p>
    <w:p w14:paraId="1AD1EC31" w14:textId="71FEC002" w:rsidR="00CE2EDC" w:rsidRPr="00425FEB" w:rsidRDefault="00CE2EDC" w:rsidP="00CE2EDC">
      <w:r w:rsidRPr="00425FEB">
        <w:t xml:space="preserve">A total of </w:t>
      </w:r>
      <w:r>
        <w:t>8</w:t>
      </w:r>
      <w:r w:rsidRPr="00425FEB">
        <w:t>,</w:t>
      </w:r>
      <w:r>
        <w:t>365</w:t>
      </w:r>
      <w:r w:rsidRPr="00425FEB">
        <w:t xml:space="preserve"> fish comprising six native and </w:t>
      </w:r>
      <w:r>
        <w:t>three</w:t>
      </w:r>
      <w:r w:rsidRPr="00425FEB">
        <w:t xml:space="preserve"> alien species were captured across 10 in-channel sampling sites in 201</w:t>
      </w:r>
      <w:r>
        <w:t>9</w:t>
      </w:r>
      <w:r w:rsidRPr="00425FEB">
        <w:t xml:space="preserve"> (Table 2). In order, bony herring, carp gudgeon, eastern gambusia (</w:t>
      </w:r>
      <w:r w:rsidRPr="00425FEB">
        <w:rPr>
          <w:i/>
        </w:rPr>
        <w:t>Gambusia holbrooki</w:t>
      </w:r>
      <w:r w:rsidRPr="00425FEB">
        <w:t>), and common carp were the most abundant species</w:t>
      </w:r>
      <w:r>
        <w:t xml:space="preserve"> </w:t>
      </w:r>
      <w:r w:rsidRPr="00425FEB">
        <w:t>(</w:t>
      </w:r>
      <w:r w:rsidR="00CE3A4E">
        <w:fldChar w:fldCharType="begin"/>
      </w:r>
      <w:r w:rsidR="00CE3A4E">
        <w:instrText xml:space="preserve"> REF _Ref17974634 \h </w:instrText>
      </w:r>
      <w:r w:rsidR="00CE3A4E">
        <w:fldChar w:fldCharType="separate"/>
      </w:r>
      <w:r w:rsidR="007F7607" w:rsidRPr="00425FEB">
        <w:t xml:space="preserve">Table </w:t>
      </w:r>
      <w:r w:rsidR="007F7607">
        <w:rPr>
          <w:noProof/>
        </w:rPr>
        <w:t>11</w:t>
      </w:r>
      <w:r w:rsidR="00CE3A4E">
        <w:fldChar w:fldCharType="end"/>
      </w:r>
      <w:r w:rsidRPr="00425FEB">
        <w:t xml:space="preserve">; </w:t>
      </w:r>
      <w:r w:rsidRPr="00425FEB">
        <w:fldChar w:fldCharType="begin"/>
      </w:r>
      <w:r w:rsidRPr="00425FEB">
        <w:instrText xml:space="preserve"> REF _Ref427304146 \h  \* MERGEFORMAT </w:instrText>
      </w:r>
      <w:r w:rsidRPr="00425FEB">
        <w:fldChar w:fldCharType="separate"/>
      </w:r>
      <w:r w:rsidR="007F7607">
        <w:rPr>
          <w:b/>
          <w:bCs/>
          <w:lang w:val="en-US"/>
        </w:rPr>
        <w:t>Error! Reference source not found.</w:t>
      </w:r>
      <w:r w:rsidRPr="00425FEB">
        <w:fldChar w:fldCharType="end"/>
      </w:r>
      <w:r w:rsidRPr="00425FEB">
        <w:t>). In order, common carp, golden perch</w:t>
      </w:r>
      <w:r>
        <w:t xml:space="preserve">, </w:t>
      </w:r>
      <w:r w:rsidRPr="00425FEB">
        <w:t>Murray cod and bony herring contributed the greatest overall biomass in 201</w:t>
      </w:r>
      <w:r>
        <w:t xml:space="preserve">9 </w:t>
      </w:r>
      <w:r w:rsidRPr="00425FEB">
        <w:t>(</w:t>
      </w:r>
      <w:r w:rsidRPr="00425FEB">
        <w:fldChar w:fldCharType="begin"/>
      </w:r>
      <w:r w:rsidRPr="00425FEB">
        <w:instrText xml:space="preserve"> REF _Ref427304154 \h  \* MERGEFORMAT </w:instrText>
      </w:r>
      <w:r w:rsidRPr="00425FEB">
        <w:fldChar w:fldCharType="separate"/>
      </w:r>
      <w:r w:rsidR="007F7607" w:rsidRPr="00425FEB">
        <w:t xml:space="preserve">Figure </w:t>
      </w:r>
      <w:r w:rsidR="007F7607">
        <w:t>48</w:t>
      </w:r>
      <w:r w:rsidRPr="00425FEB">
        <w:fldChar w:fldCharType="end"/>
      </w:r>
      <w:r w:rsidRPr="00425FEB">
        <w:t>).</w:t>
      </w:r>
    </w:p>
    <w:p w14:paraId="025ED8E4" w14:textId="4EF9899C" w:rsidR="00CE2EDC" w:rsidRPr="00425FEB" w:rsidRDefault="6FE206D7" w:rsidP="00CE2EDC">
      <w:r>
        <w:t xml:space="preserve">New recruits (juveniles) were detected in two native longer-lived species; bony herring (9 of 10 sites) and Murray cod (4 of 10 sites, </w:t>
      </w:r>
      <w:r w:rsidR="00CE2EDC">
        <w:fldChar w:fldCharType="begin"/>
      </w:r>
      <w:r w:rsidR="00CE2EDC">
        <w:instrText xml:space="preserve"> REF _Ref427304146 \h  \* MERGEFORMAT </w:instrText>
      </w:r>
      <w:r w:rsidR="00CE2EDC">
        <w:fldChar w:fldCharType="separate"/>
      </w:r>
      <w:r w:rsidR="007F7607">
        <w:rPr>
          <w:b/>
          <w:bCs/>
          <w:lang w:val="en-US"/>
        </w:rPr>
        <w:t>Error! Reference source not found.</w:t>
      </w:r>
      <w:r w:rsidR="00CE2EDC">
        <w:fldChar w:fldCharType="end"/>
      </w:r>
      <w:r>
        <w:t xml:space="preserve">, </w:t>
      </w:r>
      <w:r w:rsidR="00CE2EDC">
        <w:fldChar w:fldCharType="begin"/>
      </w:r>
      <w:r w:rsidR="00CE2EDC">
        <w:instrText xml:space="preserve"> REF _Ref427304168 \h  \* MERGEFORMAT </w:instrText>
      </w:r>
      <w:r w:rsidR="00CE2EDC">
        <w:fldChar w:fldCharType="separate"/>
      </w:r>
      <w:r w:rsidR="007F7607" w:rsidRPr="00425FEB">
        <w:t xml:space="preserve">Figure </w:t>
      </w:r>
      <w:r w:rsidR="007F7607">
        <w:t>49</w:t>
      </w:r>
      <w:r w:rsidR="00CE2EDC">
        <w:fldChar w:fldCharType="end"/>
      </w:r>
      <w:r>
        <w:t xml:space="preserve">), and two native short-lived species (Australian smelt (1 of 10 sites) and carp gudgeon (10 of 10 sites, </w:t>
      </w:r>
      <w:r w:rsidR="00CE2EDC">
        <w:fldChar w:fldCharType="begin"/>
      </w:r>
      <w:r w:rsidR="00CE2EDC">
        <w:instrText xml:space="preserve"> REF _Ref427304146 \h  \* MERGEFORMAT </w:instrText>
      </w:r>
      <w:r w:rsidR="00CE2EDC">
        <w:fldChar w:fldCharType="separate"/>
      </w:r>
      <w:r w:rsidR="007F7607">
        <w:rPr>
          <w:b/>
          <w:bCs/>
          <w:lang w:val="en-US"/>
        </w:rPr>
        <w:t>Error! Reference source not found.</w:t>
      </w:r>
      <w:r w:rsidR="00CE2EDC">
        <w:fldChar w:fldCharType="end"/>
      </w:r>
      <w:r>
        <w:t xml:space="preserve">, </w:t>
      </w:r>
      <w:r w:rsidR="00CE2EDC">
        <w:fldChar w:fldCharType="begin"/>
      </w:r>
      <w:r w:rsidR="00CE2EDC">
        <w:instrText xml:space="preserve"> REF _Ref427304168 \h  \* MERGEFORMAT </w:instrText>
      </w:r>
      <w:r w:rsidR="00CE2EDC">
        <w:fldChar w:fldCharType="separate"/>
      </w:r>
      <w:r w:rsidR="007F7607" w:rsidRPr="00425FEB">
        <w:t xml:space="preserve">Figure </w:t>
      </w:r>
      <w:r w:rsidR="007F7607">
        <w:t>49</w:t>
      </w:r>
      <w:r w:rsidR="00CE2EDC">
        <w:fldChar w:fldCharType="end"/>
      </w:r>
      <w:r>
        <w:t>). No golden perch new recruits were captured (</w:t>
      </w:r>
      <w:r w:rsidR="00CE2EDC">
        <w:fldChar w:fldCharType="begin"/>
      </w:r>
      <w:r w:rsidR="00CE2EDC">
        <w:instrText xml:space="preserve"> REF _Ref427304146 \h  \* MERGEFORMAT </w:instrText>
      </w:r>
      <w:r w:rsidR="00CE2EDC">
        <w:fldChar w:fldCharType="separate"/>
      </w:r>
      <w:r w:rsidR="007F7607">
        <w:rPr>
          <w:b/>
          <w:bCs/>
          <w:lang w:val="en-US"/>
        </w:rPr>
        <w:t>Error! Reference source not found.</w:t>
      </w:r>
      <w:r w:rsidR="00CE2EDC">
        <w:fldChar w:fldCharType="end"/>
      </w:r>
      <w:r>
        <w:t xml:space="preserve">, </w:t>
      </w:r>
      <w:r w:rsidR="00CE2EDC">
        <w:fldChar w:fldCharType="begin"/>
      </w:r>
      <w:r w:rsidR="00CE2EDC">
        <w:instrText xml:space="preserve"> REF _Ref427304168 \h  \* MERGEFORMAT </w:instrText>
      </w:r>
      <w:r w:rsidR="00CE2EDC">
        <w:fldChar w:fldCharType="separate"/>
      </w:r>
      <w:r w:rsidR="007F7607" w:rsidRPr="00425FEB">
        <w:t xml:space="preserve">Figure </w:t>
      </w:r>
      <w:r w:rsidR="007F7607">
        <w:t>49</w:t>
      </w:r>
      <w:r w:rsidR="00CE2EDC">
        <w:fldChar w:fldCharType="end"/>
      </w:r>
      <w:r>
        <w:t>). New recruits of three alien species were captured (common carp (</w:t>
      </w:r>
      <w:r w:rsidRPr="6FE206D7">
        <w:rPr>
          <w:i/>
          <w:iCs/>
        </w:rPr>
        <w:t>Cyprinus carpio</w:t>
      </w:r>
      <w:r>
        <w:t>) (9 of 10 sites), goldfish (</w:t>
      </w:r>
      <w:r w:rsidRPr="6FE206D7">
        <w:rPr>
          <w:i/>
          <w:iCs/>
        </w:rPr>
        <w:t>Carassius auratus</w:t>
      </w:r>
      <w:r>
        <w:t xml:space="preserve">) (4 of 10 sites) and eastern gambusia (2 of 10 sites, </w:t>
      </w:r>
      <w:r w:rsidR="00CE2EDC">
        <w:fldChar w:fldCharType="begin"/>
      </w:r>
      <w:r w:rsidR="00CE2EDC">
        <w:instrText xml:space="preserve"> REF _Ref427304146 \h  \* MERGEFORMAT </w:instrText>
      </w:r>
      <w:r w:rsidR="00CE2EDC">
        <w:fldChar w:fldCharType="separate"/>
      </w:r>
      <w:r w:rsidR="007F7607">
        <w:rPr>
          <w:b/>
          <w:bCs/>
          <w:lang w:val="en-US"/>
        </w:rPr>
        <w:t>Error! Reference source not found.</w:t>
      </w:r>
      <w:r w:rsidR="00CE2EDC">
        <w:fldChar w:fldCharType="end"/>
      </w:r>
      <w:r>
        <w:t xml:space="preserve">, </w:t>
      </w:r>
      <w:r w:rsidR="00CE2EDC">
        <w:fldChar w:fldCharType="begin"/>
      </w:r>
      <w:r w:rsidR="00CE2EDC">
        <w:instrText xml:space="preserve"> REF _Ref427304168 \h  \* MERGEFORMAT </w:instrText>
      </w:r>
      <w:r w:rsidR="00CE2EDC">
        <w:fldChar w:fldCharType="separate"/>
      </w:r>
      <w:r w:rsidR="007F7607" w:rsidRPr="00425FEB">
        <w:t xml:space="preserve">Figure </w:t>
      </w:r>
      <w:r w:rsidR="007F7607">
        <w:t>49</w:t>
      </w:r>
      <w:r w:rsidR="00CE2EDC">
        <w:fldChar w:fldCharType="end"/>
      </w:r>
      <w:r>
        <w:t xml:space="preserve">). </w:t>
      </w:r>
    </w:p>
    <w:p w14:paraId="0BB34214" w14:textId="16162D63" w:rsidR="00CE2EDC" w:rsidRPr="00425FEB" w:rsidRDefault="00CE2EDC" w:rsidP="00CE2EDC">
      <w:r w:rsidRPr="00425FEB">
        <w:t xml:space="preserve">Sustainable Rivers Audit indices </w:t>
      </w:r>
      <w:r>
        <w:t>fell within different bands for</w:t>
      </w:r>
      <w:r w:rsidRPr="00425FEB">
        <w:t xml:space="preserve"> the target reach. Nativeness </w:t>
      </w:r>
      <w:r>
        <w:t>was classed as</w:t>
      </w:r>
      <w:r w:rsidRPr="00425FEB">
        <w:t xml:space="preserve"> “</w:t>
      </w:r>
      <w:r>
        <w:t>Good</w:t>
      </w:r>
      <w:r w:rsidRPr="00425FEB">
        <w:t xml:space="preserve">” (mean ± SE score: </w:t>
      </w:r>
      <w:r>
        <w:t>82</w:t>
      </w:r>
      <w:r w:rsidRPr="00425FEB">
        <w:t>.</w:t>
      </w:r>
      <w:r>
        <w:t>3</w:t>
      </w:r>
      <w:r w:rsidRPr="00425FEB">
        <w:t xml:space="preserve"> ± </w:t>
      </w:r>
      <w:r>
        <w:t>5.0</w:t>
      </w:r>
      <w:r w:rsidRPr="00425FEB">
        <w:t>), Expectedness was “</w:t>
      </w:r>
      <w:r>
        <w:t>Very Poor</w:t>
      </w:r>
      <w:r w:rsidRPr="00425FEB">
        <w:t>” (</w:t>
      </w:r>
      <w:r>
        <w:t>29.8</w:t>
      </w:r>
      <w:r w:rsidRPr="00425FEB">
        <w:t xml:space="preserve"> ± </w:t>
      </w:r>
      <w:r>
        <w:t>3.0</w:t>
      </w:r>
      <w:r w:rsidRPr="00425FEB">
        <w:t>) and Recruitment was “Very Poor” (</w:t>
      </w:r>
      <w:r>
        <w:t>38.0</w:t>
      </w:r>
      <w:r w:rsidRPr="00425FEB">
        <w:t xml:space="preserve">; zone metric). The Overall Condition of the fish community </w:t>
      </w:r>
      <w:r>
        <w:t>wa</w:t>
      </w:r>
      <w:r w:rsidRPr="00425FEB">
        <w:t xml:space="preserve">s </w:t>
      </w:r>
      <w:r>
        <w:t>classed as</w:t>
      </w:r>
      <w:r w:rsidRPr="00425FEB">
        <w:t xml:space="preserve"> “Very Poor” (</w:t>
      </w:r>
      <w:r>
        <w:t>27.6</w:t>
      </w:r>
      <w:r w:rsidRPr="00425FEB">
        <w:t xml:space="preserve"> ± </w:t>
      </w:r>
      <w:r>
        <w:t>2.6</w:t>
      </w:r>
      <w:r w:rsidRPr="00425FEB">
        <w:t>) (</w:t>
      </w:r>
      <w:r w:rsidR="00CE3A4E">
        <w:fldChar w:fldCharType="begin"/>
      </w:r>
      <w:r w:rsidR="00CE3A4E">
        <w:instrText xml:space="preserve"> REF _Ref530391440 \h </w:instrText>
      </w:r>
      <w:r w:rsidR="00CE3A4E">
        <w:fldChar w:fldCharType="separate"/>
      </w:r>
      <w:r w:rsidR="007F7607" w:rsidRPr="006F121C">
        <w:t xml:space="preserve">Table </w:t>
      </w:r>
      <w:r w:rsidR="007F7607">
        <w:rPr>
          <w:noProof/>
        </w:rPr>
        <w:t>12</w:t>
      </w:r>
      <w:r w:rsidR="00CE3A4E">
        <w:fldChar w:fldCharType="end"/>
      </w:r>
      <w:r w:rsidR="00CE3A4E">
        <w:t>,</w:t>
      </w:r>
      <w:r w:rsidR="00C42E08">
        <w:t xml:space="preserve"> </w:t>
      </w:r>
      <w:r w:rsidR="00C42E08">
        <w:fldChar w:fldCharType="begin"/>
      </w:r>
      <w:r w:rsidR="00C42E08">
        <w:instrText xml:space="preserve"> REF _Ref31969355 \h </w:instrText>
      </w:r>
      <w:r w:rsidR="00C42E08">
        <w:fldChar w:fldCharType="separate"/>
      </w:r>
      <w:r w:rsidR="007F7607" w:rsidRPr="00AB2933">
        <w:t xml:space="preserve">Figure </w:t>
      </w:r>
      <w:r w:rsidR="007F7607">
        <w:rPr>
          <w:bCs/>
          <w:noProof/>
        </w:rPr>
        <w:t>50</w:t>
      </w:r>
      <w:r w:rsidR="00C42E08">
        <w:fldChar w:fldCharType="end"/>
      </w:r>
      <w:r w:rsidR="00C42E08">
        <w:t xml:space="preserve"> on p. </w:t>
      </w:r>
      <w:r w:rsidR="00C42E08">
        <w:fldChar w:fldCharType="begin"/>
      </w:r>
      <w:r w:rsidR="00C42E08">
        <w:instrText xml:space="preserve"> PAGEREF _Ref31969402 \h </w:instrText>
      </w:r>
      <w:r w:rsidR="00C42E08">
        <w:fldChar w:fldCharType="separate"/>
      </w:r>
      <w:r w:rsidR="007F7607">
        <w:rPr>
          <w:noProof/>
        </w:rPr>
        <w:t>100</w:t>
      </w:r>
      <w:r w:rsidR="00C42E08">
        <w:fldChar w:fldCharType="end"/>
      </w:r>
      <w:r w:rsidR="00CE3A4E">
        <w:t xml:space="preserve"> </w:t>
      </w:r>
      <w:r w:rsidR="00CE3A4E">
        <w:fldChar w:fldCharType="begin"/>
      </w:r>
      <w:r w:rsidR="00CE3A4E">
        <w:instrText xml:space="preserve"> REF _Ref22823813 \h </w:instrText>
      </w:r>
      <w:r w:rsidR="00CE3A4E">
        <w:fldChar w:fldCharType="separate"/>
      </w:r>
      <w:r w:rsidR="007F7607">
        <w:t xml:space="preserve">Figure </w:t>
      </w:r>
      <w:r w:rsidR="007F7607">
        <w:rPr>
          <w:noProof/>
        </w:rPr>
        <w:t>53</w:t>
      </w:r>
      <w:r w:rsidR="00CE3A4E">
        <w:fldChar w:fldCharType="end"/>
      </w:r>
      <w:r w:rsidR="00CE3A4E">
        <w:t xml:space="preserve"> on </w:t>
      </w:r>
      <w:r w:rsidR="00507E37">
        <w:t>p.</w:t>
      </w:r>
      <w:r w:rsidR="00CE3A4E">
        <w:t xml:space="preserve"> </w:t>
      </w:r>
      <w:r w:rsidR="00CE3A4E">
        <w:fldChar w:fldCharType="begin"/>
      </w:r>
      <w:r w:rsidR="00CE3A4E">
        <w:instrText xml:space="preserve"> PAGEREF _Ref22823826 \h </w:instrText>
      </w:r>
      <w:r w:rsidR="00CE3A4E">
        <w:fldChar w:fldCharType="separate"/>
      </w:r>
      <w:r w:rsidR="007F7607">
        <w:rPr>
          <w:noProof/>
        </w:rPr>
        <w:t>105</w:t>
      </w:r>
      <w:r w:rsidR="00CE3A4E">
        <w:fldChar w:fldCharType="end"/>
      </w:r>
      <w:r w:rsidRPr="00425FEB">
        <w:t>)</w:t>
      </w:r>
      <w:r>
        <w:t>.</w:t>
      </w:r>
    </w:p>
    <w:p w14:paraId="76FAA2ED" w14:textId="03604151" w:rsidR="00CE2EDC" w:rsidRPr="00425FEB" w:rsidRDefault="00CE2EDC" w:rsidP="00CE2EDC">
      <w:r w:rsidRPr="00425FEB">
        <w:t>There were significant differences in the abundance (</w:t>
      </w:r>
      <w:r w:rsidRPr="00425FEB">
        <w:rPr>
          <w:i/>
        </w:rPr>
        <w:t>Pseudo-F</w:t>
      </w:r>
      <w:r>
        <w:rPr>
          <w:i/>
          <w:vertAlign w:val="subscript"/>
        </w:rPr>
        <w:t>4</w:t>
      </w:r>
      <w:r w:rsidRPr="00425FEB">
        <w:rPr>
          <w:i/>
          <w:vertAlign w:val="subscript"/>
        </w:rPr>
        <w:t xml:space="preserve">, </w:t>
      </w:r>
      <w:r>
        <w:rPr>
          <w:i/>
          <w:vertAlign w:val="subscript"/>
        </w:rPr>
        <w:t>45</w:t>
      </w:r>
      <w:r w:rsidRPr="00425FEB">
        <w:t xml:space="preserve"> = </w:t>
      </w:r>
      <w:r>
        <w:t>11</w:t>
      </w:r>
      <w:r w:rsidRPr="00425FEB">
        <w:t>.</w:t>
      </w:r>
      <w:r>
        <w:t>353</w:t>
      </w:r>
      <w:r w:rsidRPr="00425FEB">
        <w:t xml:space="preserve">, </w:t>
      </w:r>
      <w:r w:rsidRPr="00425FEB">
        <w:rPr>
          <w:i/>
        </w:rPr>
        <w:t>P</w:t>
      </w:r>
      <w:r>
        <w:rPr>
          <w:i/>
        </w:rPr>
        <w:t xml:space="preserve"> </w:t>
      </w:r>
      <w:r w:rsidRPr="00425FEB">
        <w:t>&lt;</w:t>
      </w:r>
      <w:r>
        <w:t xml:space="preserve"> </w:t>
      </w:r>
      <w:r w:rsidRPr="00425FEB">
        <w:t>0.001) of the fish community among years. Pair-wise comparisons indicated that the differences in abundance were between all combinations of years except between 2015 and 2016 (t=1.316, P=0.1</w:t>
      </w:r>
      <w:r>
        <w:t>37</w:t>
      </w:r>
      <w:r w:rsidRPr="00425FEB">
        <w:t xml:space="preserve">). These differences were </w:t>
      </w:r>
      <w:r>
        <w:t xml:space="preserve">primarily </w:t>
      </w:r>
      <w:r w:rsidRPr="00425FEB">
        <w:t xml:space="preserve">driven by </w:t>
      </w:r>
      <w:r>
        <w:t xml:space="preserve">a </w:t>
      </w:r>
      <w:r w:rsidRPr="00425FEB">
        <w:t xml:space="preserve">higher abundance of </w:t>
      </w:r>
      <w:r>
        <w:t xml:space="preserve">alien </w:t>
      </w:r>
      <w:r w:rsidRPr="00425FEB">
        <w:t>common carp in 2017</w:t>
      </w:r>
      <w:r>
        <w:t xml:space="preserve">, </w:t>
      </w:r>
      <w:r w:rsidRPr="00425FEB">
        <w:t>native carp gudgeon</w:t>
      </w:r>
      <w:r>
        <w:t xml:space="preserve"> and Australian smelt</w:t>
      </w:r>
      <w:r w:rsidRPr="00425FEB">
        <w:t xml:space="preserve"> in 2018</w:t>
      </w:r>
      <w:r>
        <w:t>, and carp gudgeon in 2019</w:t>
      </w:r>
      <w:r w:rsidRPr="00425FEB">
        <w:t xml:space="preserve"> (</w:t>
      </w:r>
      <w:r w:rsidR="00CE3A4E">
        <w:fldChar w:fldCharType="begin"/>
      </w:r>
      <w:r w:rsidR="00CE3A4E">
        <w:instrText xml:space="preserve"> REF _Ref530391382 \h </w:instrText>
      </w:r>
      <w:r w:rsidR="00CE3A4E">
        <w:fldChar w:fldCharType="separate"/>
      </w:r>
      <w:r w:rsidR="007F7607" w:rsidRPr="00D81C0B">
        <w:t xml:space="preserve">Table </w:t>
      </w:r>
      <w:r w:rsidR="007F7607">
        <w:rPr>
          <w:noProof/>
        </w:rPr>
        <w:t>13</w:t>
      </w:r>
      <w:r w:rsidR="00CE3A4E">
        <w:fldChar w:fldCharType="end"/>
      </w:r>
      <w:r w:rsidRPr="00425FEB">
        <w:t>).</w:t>
      </w:r>
    </w:p>
    <w:p w14:paraId="08494EA2" w14:textId="756AA65E" w:rsidR="00CE2EDC" w:rsidRDefault="00CE2EDC" w:rsidP="00CE2EDC">
      <w:r w:rsidRPr="00425FEB">
        <w:t>Similarly, differences in biomass occurred among years (</w:t>
      </w:r>
      <w:r w:rsidRPr="00425FEB">
        <w:rPr>
          <w:i/>
        </w:rPr>
        <w:t>Pseudo-F</w:t>
      </w:r>
      <w:r>
        <w:rPr>
          <w:i/>
          <w:vertAlign w:val="subscript"/>
        </w:rPr>
        <w:t>4</w:t>
      </w:r>
      <w:r w:rsidRPr="00425FEB">
        <w:rPr>
          <w:vertAlign w:val="subscript"/>
        </w:rPr>
        <w:t xml:space="preserve">, </w:t>
      </w:r>
      <w:r>
        <w:rPr>
          <w:vertAlign w:val="subscript"/>
        </w:rPr>
        <w:t>45</w:t>
      </w:r>
      <w:r w:rsidRPr="00425FEB">
        <w:t xml:space="preserve"> = 5.</w:t>
      </w:r>
      <w:r>
        <w:t>503</w:t>
      </w:r>
      <w:r w:rsidRPr="00425FEB">
        <w:t xml:space="preserve">, </w:t>
      </w:r>
      <w:r w:rsidRPr="00425FEB">
        <w:rPr>
          <w:i/>
        </w:rPr>
        <w:t xml:space="preserve">P </w:t>
      </w:r>
      <w:r w:rsidRPr="00425FEB">
        <w:t>&lt;</w:t>
      </w:r>
      <w:r>
        <w:t xml:space="preserve"> </w:t>
      </w:r>
      <w:r w:rsidRPr="00425FEB">
        <w:t xml:space="preserve">0.001), with these differences between all combinations of years except between </w:t>
      </w:r>
      <w:r>
        <w:t xml:space="preserve">2016 compared to </w:t>
      </w:r>
      <w:r w:rsidRPr="00425FEB">
        <w:t>2015</w:t>
      </w:r>
      <w:r>
        <w:t xml:space="preserve"> </w:t>
      </w:r>
      <w:r w:rsidRPr="00425FEB">
        <w:t>(t</w:t>
      </w:r>
      <w:r>
        <w:t xml:space="preserve"> </w:t>
      </w:r>
      <w:r w:rsidRPr="00425FEB">
        <w:t>=</w:t>
      </w:r>
      <w:r>
        <w:t xml:space="preserve"> </w:t>
      </w:r>
      <w:r w:rsidRPr="00425FEB">
        <w:t>1.237, P</w:t>
      </w:r>
      <w:r>
        <w:t xml:space="preserve"> </w:t>
      </w:r>
      <w:r w:rsidRPr="00425FEB">
        <w:t>=</w:t>
      </w:r>
      <w:r>
        <w:t xml:space="preserve"> </w:t>
      </w:r>
      <w:r w:rsidRPr="00425FEB">
        <w:t>0.20</w:t>
      </w:r>
      <w:r>
        <w:t>4</w:t>
      </w:r>
      <w:r w:rsidRPr="00425FEB">
        <w:t>) and 201</w:t>
      </w:r>
      <w:r>
        <w:t xml:space="preserve">9 </w:t>
      </w:r>
      <w:r w:rsidRPr="00425FEB">
        <w:t>(t</w:t>
      </w:r>
      <w:r>
        <w:t xml:space="preserve"> </w:t>
      </w:r>
      <w:r w:rsidRPr="00425FEB">
        <w:t>=</w:t>
      </w:r>
      <w:r>
        <w:t xml:space="preserve"> 1.4396</w:t>
      </w:r>
      <w:r w:rsidRPr="00425FEB">
        <w:t>, P</w:t>
      </w:r>
      <w:r>
        <w:t xml:space="preserve"> </w:t>
      </w:r>
      <w:r w:rsidRPr="00425FEB">
        <w:t>=</w:t>
      </w:r>
      <w:r>
        <w:t xml:space="preserve"> 0.0761</w:t>
      </w:r>
      <w:r w:rsidRPr="00425FEB">
        <w:t xml:space="preserve">). Differences in biomass were driven by </w:t>
      </w:r>
      <w:r>
        <w:t>a higher biomass of native Murray cod in 2015 and 2016, alien common carp in 2017, and native bony herring and Murray cod</w:t>
      </w:r>
      <w:r w:rsidRPr="00425FEB">
        <w:t xml:space="preserve"> in 2018</w:t>
      </w:r>
      <w:r w:rsidR="00953C9E">
        <w:t xml:space="preserve"> (</w:t>
      </w:r>
      <w:r w:rsidR="00C42E08">
        <w:fldChar w:fldCharType="begin"/>
      </w:r>
      <w:r w:rsidR="00C42E08">
        <w:instrText xml:space="preserve"> REF _Ref31969855 \h </w:instrText>
      </w:r>
      <w:r w:rsidR="00C42E08">
        <w:fldChar w:fldCharType="separate"/>
      </w:r>
      <w:r w:rsidR="007F7607" w:rsidRPr="00D81C0B">
        <w:t xml:space="preserve">Table </w:t>
      </w:r>
      <w:r w:rsidR="007F7607">
        <w:rPr>
          <w:noProof/>
        </w:rPr>
        <w:t>14</w:t>
      </w:r>
      <w:r w:rsidR="00C42E08">
        <w:fldChar w:fldCharType="end"/>
      </w:r>
      <w:r w:rsidR="00953C9E">
        <w:t>).</w:t>
      </w:r>
    </w:p>
    <w:p w14:paraId="7F5A60CF" w14:textId="77777777" w:rsidR="00CE2EDC" w:rsidRDefault="00CE2EDC" w:rsidP="00CE2EDC">
      <w:pPr>
        <w:rPr>
          <w:bCs/>
          <w:i/>
          <w:color w:val="4F81BD" w:themeColor="accent1"/>
          <w:sz w:val="18"/>
          <w:szCs w:val="18"/>
        </w:rPr>
      </w:pPr>
      <w:r>
        <w:br w:type="page"/>
      </w:r>
    </w:p>
    <w:p w14:paraId="4940DBBC" w14:textId="44BB0063" w:rsidR="00CE2EDC" w:rsidRDefault="00CE2EDC" w:rsidP="00CE2EDC">
      <w:pPr>
        <w:pStyle w:val="Caption"/>
      </w:pPr>
      <w:bookmarkStart w:id="323" w:name="_Ref17974634"/>
      <w:bookmarkStart w:id="324" w:name="_Ref17974638"/>
      <w:bookmarkStart w:id="325" w:name="_Toc31985678"/>
      <w:r w:rsidRPr="00425FEB">
        <w:t xml:space="preserve">Table </w:t>
      </w:r>
      <w:r>
        <w:rPr>
          <w:noProof/>
        </w:rPr>
        <w:fldChar w:fldCharType="begin"/>
      </w:r>
      <w:r>
        <w:rPr>
          <w:noProof/>
        </w:rPr>
        <w:instrText xml:space="preserve"> SEQ Table \* ARABIC </w:instrText>
      </w:r>
      <w:r>
        <w:rPr>
          <w:noProof/>
        </w:rPr>
        <w:fldChar w:fldCharType="separate"/>
      </w:r>
      <w:r w:rsidR="007F7607">
        <w:rPr>
          <w:noProof/>
        </w:rPr>
        <w:t>11</w:t>
      </w:r>
      <w:r>
        <w:rPr>
          <w:noProof/>
        </w:rPr>
        <w:fldChar w:fldCharType="end"/>
      </w:r>
      <w:bookmarkEnd w:id="323"/>
      <w:r w:rsidRPr="00425FEB">
        <w:t>. Total (non-standardised) catch from the Lower Lachlan river system target reach. Sampling was undertaken in autumn 201</w:t>
      </w:r>
      <w:r>
        <w:t>9</w:t>
      </w:r>
      <w:r w:rsidRPr="00425FEB">
        <w:t xml:space="preserve"> using a combination of five sampling gear types.</w:t>
      </w:r>
      <w:bookmarkEnd w:id="324"/>
      <w:bookmarkEnd w:id="325"/>
    </w:p>
    <w:tbl>
      <w:tblPr>
        <w:tblStyle w:val="MediumGrid3-Accent3"/>
        <w:tblW w:w="0" w:type="auto"/>
        <w:tblLayout w:type="fixed"/>
        <w:tblLook w:val="06A0" w:firstRow="1" w:lastRow="0" w:firstColumn="1" w:lastColumn="0" w:noHBand="1" w:noVBand="1"/>
      </w:tblPr>
      <w:tblGrid>
        <w:gridCol w:w="2093"/>
        <w:gridCol w:w="1132"/>
        <w:gridCol w:w="1132"/>
        <w:gridCol w:w="1132"/>
        <w:gridCol w:w="1132"/>
        <w:gridCol w:w="1132"/>
        <w:gridCol w:w="1133"/>
      </w:tblGrid>
      <w:tr w:rsidR="00514593" w:rsidRPr="001D041C" w14:paraId="2D9059D9" w14:textId="77777777" w:rsidTr="00514593">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093" w:type="dxa"/>
            <w:tcBorders>
              <w:bottom w:val="single" w:sz="8" w:space="0" w:color="FFFFFF"/>
            </w:tcBorders>
          </w:tcPr>
          <w:p w14:paraId="5583070A" w14:textId="77777777" w:rsidR="00514593" w:rsidRPr="001D041C" w:rsidRDefault="00514593" w:rsidP="00514593">
            <w:pPr>
              <w:spacing w:before="40" w:afterLines="40" w:after="96"/>
              <w:rPr>
                <w:rFonts w:asciiTheme="minorHAnsi" w:hAnsiTheme="minorHAnsi"/>
                <w:sz w:val="18"/>
                <w:szCs w:val="18"/>
              </w:rPr>
            </w:pPr>
          </w:p>
        </w:tc>
        <w:tc>
          <w:tcPr>
            <w:tcW w:w="6793" w:type="dxa"/>
            <w:gridSpan w:val="6"/>
            <w:tcBorders>
              <w:bottom w:val="single" w:sz="8" w:space="0" w:color="FFFFFF"/>
            </w:tcBorders>
          </w:tcPr>
          <w:p w14:paraId="1EB1FF00" w14:textId="77777777" w:rsidR="00514593" w:rsidRPr="001D041C" w:rsidRDefault="00514593" w:rsidP="00514593">
            <w:pPr>
              <w:spacing w:before="40" w:afterLines="40" w:after="96"/>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SAMPLING METHOD</w:t>
            </w:r>
          </w:p>
        </w:tc>
      </w:tr>
      <w:tr w:rsidR="00514593" w:rsidRPr="006F121C" w14:paraId="0427536D" w14:textId="77777777" w:rsidTr="00514593">
        <w:trPr>
          <w:trHeight w:val="69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shd w:val="clear" w:color="auto" w:fill="9BBB59" w:themeFill="accent3"/>
          </w:tcPr>
          <w:p w14:paraId="15D3B22D" w14:textId="77777777" w:rsidR="00514593" w:rsidRPr="006F121C" w:rsidRDefault="00514593" w:rsidP="00514593">
            <w:pPr>
              <w:spacing w:before="40" w:afterLines="40" w:after="96"/>
              <w:jc w:val="center"/>
              <w:rPr>
                <w:rFonts w:asciiTheme="minorHAnsi" w:hAnsiTheme="minorHAnsi"/>
                <w:color w:val="FFFFFF" w:themeColor="background1"/>
                <w:sz w:val="18"/>
                <w:szCs w:val="18"/>
              </w:rPr>
            </w:pPr>
            <w:r w:rsidRPr="006F121C">
              <w:rPr>
                <w:rFonts w:asciiTheme="minorHAnsi" w:hAnsiTheme="minorHAnsi"/>
                <w:color w:val="FFFFFF" w:themeColor="background1"/>
                <w:sz w:val="18"/>
                <w:szCs w:val="18"/>
              </w:rPr>
              <w:t>COMMON NAME</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756721BD"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BOAT ELECTRO-FISHING</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1086551C"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SMALL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0C7BD9FC"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LARGE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06663E9D"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BAIT TRAP</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1B7CCB01"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OPERA HOUSE TRAP</w:t>
            </w:r>
          </w:p>
        </w:tc>
        <w:tc>
          <w:tcPr>
            <w:tcW w:w="1133" w:type="dxa"/>
            <w:tcBorders>
              <w:top w:val="single" w:sz="8" w:space="0" w:color="FFFFFF"/>
              <w:left w:val="single" w:sz="8" w:space="0" w:color="FFFFFF"/>
              <w:bottom w:val="single" w:sz="8" w:space="0" w:color="FFFFFF"/>
            </w:tcBorders>
            <w:shd w:val="clear" w:color="auto" w:fill="9BBB59" w:themeFill="accent3"/>
          </w:tcPr>
          <w:p w14:paraId="1D84A129" w14:textId="77777777" w:rsidR="00514593" w:rsidRPr="006F121C" w:rsidRDefault="00514593" w:rsidP="00514593">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TOTAL</w:t>
            </w:r>
          </w:p>
        </w:tc>
      </w:tr>
      <w:tr w:rsidR="00514593" w:rsidRPr="001D041C" w14:paraId="7C77F64E" w14:textId="77777777" w:rsidTr="00514593">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73B8328B" w14:textId="77777777" w:rsidR="00514593" w:rsidRPr="001D041C" w:rsidRDefault="00514593" w:rsidP="00514593">
            <w:pPr>
              <w:spacing w:before="40" w:afterLines="40" w:after="96"/>
              <w:jc w:val="center"/>
              <w:rPr>
                <w:rFonts w:asciiTheme="minorHAnsi" w:hAnsiTheme="minorHAnsi"/>
                <w:bCs w:val="0"/>
                <w:sz w:val="18"/>
                <w:szCs w:val="18"/>
              </w:rPr>
            </w:pPr>
            <w:r w:rsidRPr="001D041C">
              <w:rPr>
                <w:rFonts w:asciiTheme="minorHAnsi" w:hAnsiTheme="minorHAnsi"/>
                <w:sz w:val="18"/>
                <w:szCs w:val="18"/>
              </w:rPr>
              <w:t xml:space="preserve">Fish </w:t>
            </w:r>
            <w:r>
              <w:rPr>
                <w:rFonts w:asciiTheme="minorHAnsi" w:hAnsiTheme="minorHAnsi"/>
                <w:sz w:val="18"/>
                <w:szCs w:val="18"/>
              </w:rPr>
              <w:t>(</w:t>
            </w:r>
            <w:r w:rsidRPr="001D041C">
              <w:rPr>
                <w:rFonts w:asciiTheme="minorHAnsi" w:hAnsiTheme="minorHAnsi"/>
                <w:sz w:val="18"/>
                <w:szCs w:val="18"/>
              </w:rPr>
              <w:t>Native species</w:t>
            </w:r>
            <w:r>
              <w:rPr>
                <w:rFonts w:asciiTheme="minorHAnsi" w:hAnsiTheme="minorHAnsi"/>
                <w:sz w:val="18"/>
                <w:szCs w:val="18"/>
              </w:rPr>
              <w:t>)</w:t>
            </w:r>
          </w:p>
        </w:tc>
      </w:tr>
      <w:tr w:rsidR="00514593" w:rsidRPr="001D041C" w14:paraId="58658D75"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2130F943" w14:textId="77777777" w:rsidR="00514593" w:rsidRPr="001D041C" w:rsidRDefault="00514593" w:rsidP="00514593">
            <w:pPr>
              <w:spacing w:before="40" w:afterLines="40" w:after="96"/>
              <w:rPr>
                <w:rFonts w:asciiTheme="minorHAnsi" w:hAnsiTheme="minorHAnsi"/>
                <w:sz w:val="18"/>
                <w:szCs w:val="18"/>
              </w:rPr>
            </w:pPr>
            <w:r w:rsidRPr="001D041C">
              <w:rPr>
                <w:rFonts w:asciiTheme="minorHAnsi" w:hAnsiTheme="minorHAnsi"/>
                <w:sz w:val="18"/>
                <w:szCs w:val="18"/>
              </w:rPr>
              <w:t>Australian smelt</w:t>
            </w:r>
          </w:p>
        </w:tc>
        <w:tc>
          <w:tcPr>
            <w:tcW w:w="1132" w:type="dxa"/>
            <w:tcBorders>
              <w:left w:val="single" w:sz="18" w:space="0" w:color="FFFFFF"/>
            </w:tcBorders>
          </w:tcPr>
          <w:p w14:paraId="6ED73A9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6</w:t>
            </w:r>
          </w:p>
        </w:tc>
        <w:tc>
          <w:tcPr>
            <w:tcW w:w="1132" w:type="dxa"/>
          </w:tcPr>
          <w:p w14:paraId="51F0402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8D9C4C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55DD68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BFB347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0F194B2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6</w:t>
            </w:r>
          </w:p>
        </w:tc>
      </w:tr>
      <w:tr w:rsidR="00514593" w:rsidRPr="001D041C" w14:paraId="6E44508C"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4AF09D5E" w14:textId="3621D0AC" w:rsidR="00514593" w:rsidRPr="001D041C" w:rsidRDefault="00267747" w:rsidP="00514593">
            <w:pPr>
              <w:spacing w:before="40" w:afterLines="40" w:after="96"/>
              <w:rPr>
                <w:rFonts w:asciiTheme="minorHAnsi" w:hAnsiTheme="minorHAnsi"/>
                <w:sz w:val="18"/>
                <w:szCs w:val="18"/>
              </w:rPr>
            </w:pPr>
            <w:r>
              <w:rPr>
                <w:rFonts w:asciiTheme="minorHAnsi" w:hAnsiTheme="minorHAnsi"/>
                <w:sz w:val="18"/>
                <w:szCs w:val="18"/>
              </w:rPr>
              <w:t>bony</w:t>
            </w:r>
            <w:r w:rsidR="00514593" w:rsidRPr="001D041C">
              <w:rPr>
                <w:rFonts w:asciiTheme="minorHAnsi" w:hAnsiTheme="minorHAnsi"/>
                <w:sz w:val="18"/>
                <w:szCs w:val="18"/>
              </w:rPr>
              <w:t xml:space="preserve"> herring</w:t>
            </w:r>
          </w:p>
        </w:tc>
        <w:tc>
          <w:tcPr>
            <w:tcW w:w="1132" w:type="dxa"/>
            <w:tcBorders>
              <w:left w:val="single" w:sz="18" w:space="0" w:color="FFFFFF"/>
            </w:tcBorders>
          </w:tcPr>
          <w:p w14:paraId="0BD1ED27"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2410</w:t>
            </w:r>
          </w:p>
        </w:tc>
        <w:tc>
          <w:tcPr>
            <w:tcW w:w="1132" w:type="dxa"/>
          </w:tcPr>
          <w:p w14:paraId="0F83A80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14</w:t>
            </w:r>
          </w:p>
        </w:tc>
        <w:tc>
          <w:tcPr>
            <w:tcW w:w="1132" w:type="dxa"/>
          </w:tcPr>
          <w:p w14:paraId="48D179C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14</w:t>
            </w:r>
          </w:p>
        </w:tc>
        <w:tc>
          <w:tcPr>
            <w:tcW w:w="1132" w:type="dxa"/>
          </w:tcPr>
          <w:p w14:paraId="273A408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0C973F4"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4B71F80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2438</w:t>
            </w:r>
          </w:p>
        </w:tc>
      </w:tr>
      <w:tr w:rsidR="00514593" w:rsidRPr="001D041C" w14:paraId="59B3FE7C"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4DD2FEC6" w14:textId="6DDFB69A" w:rsidR="00514593" w:rsidRPr="001D041C" w:rsidRDefault="00267747" w:rsidP="00514593">
            <w:pPr>
              <w:spacing w:before="40" w:afterLines="40" w:after="96"/>
              <w:rPr>
                <w:rFonts w:asciiTheme="minorHAnsi" w:hAnsiTheme="minorHAnsi"/>
                <w:sz w:val="18"/>
                <w:szCs w:val="18"/>
              </w:rPr>
            </w:pPr>
            <w:r>
              <w:rPr>
                <w:rFonts w:asciiTheme="minorHAnsi" w:hAnsiTheme="minorHAnsi"/>
                <w:sz w:val="18"/>
                <w:szCs w:val="18"/>
              </w:rPr>
              <w:t>carp</w:t>
            </w:r>
            <w:r w:rsidR="00514593" w:rsidRPr="001D041C">
              <w:rPr>
                <w:rFonts w:asciiTheme="minorHAnsi" w:hAnsiTheme="minorHAnsi"/>
                <w:sz w:val="18"/>
                <w:szCs w:val="18"/>
              </w:rPr>
              <w:t xml:space="preserve"> gudgeon complex</w:t>
            </w:r>
          </w:p>
        </w:tc>
        <w:tc>
          <w:tcPr>
            <w:tcW w:w="1132" w:type="dxa"/>
            <w:tcBorders>
              <w:left w:val="single" w:sz="18" w:space="0" w:color="FFFFFF"/>
            </w:tcBorders>
          </w:tcPr>
          <w:p w14:paraId="3284CBC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4</w:t>
            </w:r>
          </w:p>
        </w:tc>
        <w:tc>
          <w:tcPr>
            <w:tcW w:w="1132" w:type="dxa"/>
          </w:tcPr>
          <w:p w14:paraId="2B8A163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364</w:t>
            </w:r>
          </w:p>
        </w:tc>
        <w:tc>
          <w:tcPr>
            <w:tcW w:w="1132" w:type="dxa"/>
          </w:tcPr>
          <w:p w14:paraId="6B83FB8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1561E7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7</w:t>
            </w:r>
          </w:p>
        </w:tc>
        <w:tc>
          <w:tcPr>
            <w:tcW w:w="1132" w:type="dxa"/>
          </w:tcPr>
          <w:p w14:paraId="1FDAED8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w:t>
            </w:r>
          </w:p>
        </w:tc>
        <w:tc>
          <w:tcPr>
            <w:tcW w:w="1133" w:type="dxa"/>
          </w:tcPr>
          <w:p w14:paraId="2CD7466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376</w:t>
            </w:r>
          </w:p>
        </w:tc>
      </w:tr>
      <w:tr w:rsidR="00514593" w:rsidRPr="001D041C" w14:paraId="42349E02"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6936AF90" w14:textId="0EE407F9"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flatheaded</w:t>
            </w:r>
            <w:r w:rsidR="00514593" w:rsidRPr="001D041C">
              <w:rPr>
                <w:rFonts w:asciiTheme="minorHAnsi" w:hAnsiTheme="minorHAnsi"/>
                <w:sz w:val="18"/>
                <w:szCs w:val="18"/>
              </w:rPr>
              <w:t xml:space="preserve"> gudgeon</w:t>
            </w:r>
          </w:p>
        </w:tc>
        <w:tc>
          <w:tcPr>
            <w:tcW w:w="1132" w:type="dxa"/>
            <w:tcBorders>
              <w:left w:val="single" w:sz="18" w:space="0" w:color="FFFFFF"/>
            </w:tcBorders>
          </w:tcPr>
          <w:p w14:paraId="71FA235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429CBD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5</w:t>
            </w:r>
          </w:p>
        </w:tc>
        <w:tc>
          <w:tcPr>
            <w:tcW w:w="1132" w:type="dxa"/>
          </w:tcPr>
          <w:p w14:paraId="727EDDC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80F559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F5264B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6EF379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5</w:t>
            </w:r>
          </w:p>
        </w:tc>
      </w:tr>
      <w:tr w:rsidR="00514593" w:rsidRPr="001D041C" w14:paraId="37237558"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79E79C1" w14:textId="544B9E6F"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freshwater catfish</w:t>
            </w:r>
          </w:p>
        </w:tc>
        <w:tc>
          <w:tcPr>
            <w:tcW w:w="1132" w:type="dxa"/>
            <w:tcBorders>
              <w:left w:val="single" w:sz="18" w:space="0" w:color="FFFFFF"/>
            </w:tcBorders>
          </w:tcPr>
          <w:p w14:paraId="15B1E8D0"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53D253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5CA7F6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486A85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CF54A00"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1924E2F4"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0</w:t>
            </w:r>
          </w:p>
        </w:tc>
      </w:tr>
      <w:tr w:rsidR="00514593" w:rsidRPr="001D041C" w14:paraId="4D9E8A9E"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66598E7A" w14:textId="17DD5669"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golden perch</w:t>
            </w:r>
          </w:p>
        </w:tc>
        <w:tc>
          <w:tcPr>
            <w:tcW w:w="1132" w:type="dxa"/>
            <w:tcBorders>
              <w:left w:val="single" w:sz="18" w:space="0" w:color="FFFFFF"/>
            </w:tcBorders>
          </w:tcPr>
          <w:p w14:paraId="14BBD28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106</w:t>
            </w:r>
          </w:p>
        </w:tc>
        <w:tc>
          <w:tcPr>
            <w:tcW w:w="1132" w:type="dxa"/>
          </w:tcPr>
          <w:p w14:paraId="0488A10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897039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5</w:t>
            </w:r>
          </w:p>
        </w:tc>
        <w:tc>
          <w:tcPr>
            <w:tcW w:w="1132" w:type="dxa"/>
          </w:tcPr>
          <w:p w14:paraId="247123C7"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376490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0BDD8E0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111</w:t>
            </w:r>
          </w:p>
        </w:tc>
      </w:tr>
      <w:tr w:rsidR="00514593" w:rsidRPr="001D041C" w14:paraId="28AE3BA5"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5638B4B3" w14:textId="77777777" w:rsidR="00514593" w:rsidRPr="001D041C" w:rsidRDefault="00514593" w:rsidP="00514593">
            <w:pPr>
              <w:spacing w:before="40" w:afterLines="40" w:after="96"/>
              <w:rPr>
                <w:rFonts w:asciiTheme="minorHAnsi" w:hAnsiTheme="minorHAnsi"/>
                <w:sz w:val="18"/>
                <w:szCs w:val="18"/>
              </w:rPr>
            </w:pPr>
            <w:r w:rsidRPr="001D041C">
              <w:rPr>
                <w:rFonts w:asciiTheme="minorHAnsi" w:hAnsiTheme="minorHAnsi"/>
                <w:sz w:val="18"/>
                <w:szCs w:val="18"/>
              </w:rPr>
              <w:t>Murray cod</w:t>
            </w:r>
          </w:p>
        </w:tc>
        <w:tc>
          <w:tcPr>
            <w:tcW w:w="1132" w:type="dxa"/>
            <w:tcBorders>
              <w:left w:val="single" w:sz="18" w:space="0" w:color="FFFFFF"/>
            </w:tcBorders>
          </w:tcPr>
          <w:p w14:paraId="5879270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40</w:t>
            </w:r>
          </w:p>
        </w:tc>
        <w:tc>
          <w:tcPr>
            <w:tcW w:w="1132" w:type="dxa"/>
          </w:tcPr>
          <w:p w14:paraId="3ADBC00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B6320D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4EEBBF4"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5AD6B2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38F4F6D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40</w:t>
            </w:r>
          </w:p>
        </w:tc>
      </w:tr>
      <w:tr w:rsidR="00514593" w:rsidRPr="001D041C" w14:paraId="7E0ACCBB"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3F3302DB" w14:textId="792A8163"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un-specked hardyhead</w:t>
            </w:r>
          </w:p>
        </w:tc>
        <w:tc>
          <w:tcPr>
            <w:tcW w:w="1132" w:type="dxa"/>
            <w:tcBorders>
              <w:left w:val="single" w:sz="18" w:space="0" w:color="FFFFFF"/>
              <w:bottom w:val="single" w:sz="8" w:space="0" w:color="FFFFFF"/>
            </w:tcBorders>
          </w:tcPr>
          <w:p w14:paraId="2301643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076DCDC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1A7CD9B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42B8E35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49F6AB1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170D8DE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0</w:t>
            </w:r>
          </w:p>
        </w:tc>
      </w:tr>
      <w:tr w:rsidR="00514593" w:rsidRPr="001D041C" w14:paraId="34213CCF" w14:textId="77777777" w:rsidTr="00514593">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7F5D2A00" w14:textId="77777777" w:rsidR="00514593" w:rsidRPr="001D041C" w:rsidRDefault="00514593" w:rsidP="00514593">
            <w:pPr>
              <w:spacing w:before="40" w:afterLines="40" w:after="96"/>
              <w:jc w:val="center"/>
              <w:rPr>
                <w:rFonts w:asciiTheme="minorHAnsi" w:hAnsiTheme="minorHAnsi"/>
                <w:bCs w:val="0"/>
                <w:sz w:val="18"/>
                <w:szCs w:val="18"/>
              </w:rPr>
            </w:pPr>
            <w:r>
              <w:rPr>
                <w:rFonts w:asciiTheme="minorHAnsi" w:hAnsiTheme="minorHAnsi"/>
                <w:sz w:val="18"/>
                <w:szCs w:val="18"/>
              </w:rPr>
              <w:t>Fish (</w:t>
            </w:r>
            <w:r w:rsidRPr="001D041C">
              <w:rPr>
                <w:rFonts w:asciiTheme="minorHAnsi" w:hAnsiTheme="minorHAnsi"/>
                <w:sz w:val="18"/>
                <w:szCs w:val="18"/>
              </w:rPr>
              <w:t>Alien species</w:t>
            </w:r>
            <w:r>
              <w:rPr>
                <w:rFonts w:asciiTheme="minorHAnsi" w:hAnsiTheme="minorHAnsi"/>
                <w:sz w:val="18"/>
                <w:szCs w:val="18"/>
              </w:rPr>
              <w:t>)</w:t>
            </w:r>
          </w:p>
        </w:tc>
      </w:tr>
      <w:tr w:rsidR="00514593" w:rsidRPr="001D041C" w14:paraId="06E74250"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A269FF2" w14:textId="4F0ECA36"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common carp</w:t>
            </w:r>
          </w:p>
        </w:tc>
        <w:tc>
          <w:tcPr>
            <w:tcW w:w="1132" w:type="dxa"/>
            <w:tcBorders>
              <w:left w:val="single" w:sz="18" w:space="0" w:color="FFFFFF"/>
            </w:tcBorders>
          </w:tcPr>
          <w:p w14:paraId="36D3037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184</w:t>
            </w:r>
          </w:p>
        </w:tc>
        <w:tc>
          <w:tcPr>
            <w:tcW w:w="1132" w:type="dxa"/>
          </w:tcPr>
          <w:p w14:paraId="5838020E"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7B3C48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9</w:t>
            </w:r>
          </w:p>
        </w:tc>
        <w:tc>
          <w:tcPr>
            <w:tcW w:w="1132" w:type="dxa"/>
          </w:tcPr>
          <w:p w14:paraId="4687490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F099797"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3E0953F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193</w:t>
            </w:r>
          </w:p>
        </w:tc>
      </w:tr>
      <w:tr w:rsidR="00514593" w:rsidRPr="001D041C" w14:paraId="295BC0A3"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0E7BC25" w14:textId="197DAFC9"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eastern gambusia</w:t>
            </w:r>
          </w:p>
        </w:tc>
        <w:tc>
          <w:tcPr>
            <w:tcW w:w="1132" w:type="dxa"/>
            <w:tcBorders>
              <w:left w:val="single" w:sz="18" w:space="0" w:color="FFFFFF"/>
            </w:tcBorders>
          </w:tcPr>
          <w:p w14:paraId="0529C36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11</w:t>
            </w:r>
          </w:p>
        </w:tc>
        <w:tc>
          <w:tcPr>
            <w:tcW w:w="1132" w:type="dxa"/>
          </w:tcPr>
          <w:p w14:paraId="2E3A899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192</w:t>
            </w:r>
          </w:p>
        </w:tc>
        <w:tc>
          <w:tcPr>
            <w:tcW w:w="1132" w:type="dxa"/>
          </w:tcPr>
          <w:p w14:paraId="16BDDFD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D402CF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209E9F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01620B6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203</w:t>
            </w:r>
          </w:p>
        </w:tc>
      </w:tr>
      <w:tr w:rsidR="00514593" w:rsidRPr="001D041C" w14:paraId="28932FC4"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3FFA07BB" w14:textId="54C25E15"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goldfish</w:t>
            </w:r>
          </w:p>
        </w:tc>
        <w:tc>
          <w:tcPr>
            <w:tcW w:w="1132" w:type="dxa"/>
            <w:tcBorders>
              <w:left w:val="single" w:sz="18" w:space="0" w:color="FFFFFF"/>
            </w:tcBorders>
          </w:tcPr>
          <w:p w14:paraId="7607601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17</w:t>
            </w:r>
          </w:p>
        </w:tc>
        <w:tc>
          <w:tcPr>
            <w:tcW w:w="1132" w:type="dxa"/>
          </w:tcPr>
          <w:p w14:paraId="13FE621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1050F0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5A1D514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1C33E2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A34043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17</w:t>
            </w:r>
          </w:p>
        </w:tc>
      </w:tr>
      <w:tr w:rsidR="00514593" w:rsidRPr="001D041C" w14:paraId="38B8C4ED"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319C2DFF" w14:textId="0DB6CACA"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redfin perch</w:t>
            </w:r>
          </w:p>
        </w:tc>
        <w:tc>
          <w:tcPr>
            <w:tcW w:w="1132" w:type="dxa"/>
            <w:tcBorders>
              <w:left w:val="single" w:sz="18" w:space="0" w:color="FFFFFF"/>
              <w:bottom w:val="single" w:sz="8" w:space="0" w:color="FFFFFF"/>
            </w:tcBorders>
          </w:tcPr>
          <w:p w14:paraId="4F9D6787"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6499825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702AAE8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307575B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2531A1DB"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7C1B271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0</w:t>
            </w:r>
          </w:p>
        </w:tc>
      </w:tr>
      <w:tr w:rsidR="00514593" w:rsidRPr="001D041C" w14:paraId="56484204" w14:textId="77777777" w:rsidTr="00514593">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23678AE5" w14:textId="77777777" w:rsidR="00514593" w:rsidRPr="001D041C" w:rsidRDefault="00514593" w:rsidP="00514593">
            <w:pPr>
              <w:spacing w:before="40" w:afterLines="40" w:after="96"/>
              <w:jc w:val="center"/>
              <w:rPr>
                <w:rFonts w:asciiTheme="minorHAnsi" w:hAnsiTheme="minorHAnsi"/>
                <w:bCs w:val="0"/>
                <w:sz w:val="18"/>
                <w:szCs w:val="18"/>
              </w:rPr>
            </w:pPr>
            <w:r w:rsidRPr="001D041C">
              <w:rPr>
                <w:rFonts w:asciiTheme="minorHAnsi" w:hAnsiTheme="minorHAnsi"/>
                <w:sz w:val="18"/>
                <w:szCs w:val="18"/>
              </w:rPr>
              <w:t>Turtles</w:t>
            </w:r>
          </w:p>
        </w:tc>
      </w:tr>
      <w:tr w:rsidR="00514593" w:rsidRPr="001D041C" w14:paraId="74F2022C"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2D197097" w14:textId="34FD5092"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l</w:t>
            </w:r>
            <w:r w:rsidR="00514593" w:rsidRPr="001D041C">
              <w:rPr>
                <w:rFonts w:asciiTheme="minorHAnsi" w:hAnsiTheme="minorHAnsi"/>
                <w:sz w:val="18"/>
                <w:szCs w:val="18"/>
              </w:rPr>
              <w:t>ong-necked turtle</w:t>
            </w:r>
          </w:p>
        </w:tc>
        <w:tc>
          <w:tcPr>
            <w:tcW w:w="1132" w:type="dxa"/>
            <w:tcBorders>
              <w:left w:val="single" w:sz="18" w:space="0" w:color="FFFFFF"/>
            </w:tcBorders>
          </w:tcPr>
          <w:p w14:paraId="4401223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A8AEEF2"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EFDBEF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2</w:t>
            </w:r>
          </w:p>
        </w:tc>
        <w:tc>
          <w:tcPr>
            <w:tcW w:w="1132" w:type="dxa"/>
          </w:tcPr>
          <w:p w14:paraId="2794BA2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FB6B75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6FA3AB5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2</w:t>
            </w:r>
          </w:p>
        </w:tc>
      </w:tr>
      <w:tr w:rsidR="00514593" w:rsidRPr="001D041C" w14:paraId="37CFF04A"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034A47B3" w14:textId="0C11E21D" w:rsidR="00514593" w:rsidRPr="001D041C" w:rsidRDefault="00514593" w:rsidP="00514593">
            <w:pPr>
              <w:spacing w:before="40" w:afterLines="40" w:after="96"/>
              <w:rPr>
                <w:rFonts w:asciiTheme="minorHAnsi" w:hAnsiTheme="minorHAnsi"/>
                <w:sz w:val="18"/>
                <w:szCs w:val="18"/>
              </w:rPr>
            </w:pPr>
            <w:r w:rsidRPr="001D041C">
              <w:rPr>
                <w:rFonts w:asciiTheme="minorHAnsi" w:hAnsiTheme="minorHAnsi"/>
                <w:sz w:val="18"/>
                <w:szCs w:val="18"/>
              </w:rPr>
              <w:t xml:space="preserve">Murray </w:t>
            </w:r>
            <w:r w:rsidR="006307CC">
              <w:rPr>
                <w:rFonts w:asciiTheme="minorHAnsi" w:hAnsiTheme="minorHAnsi"/>
                <w:sz w:val="18"/>
                <w:szCs w:val="18"/>
              </w:rPr>
              <w:t>R</w:t>
            </w:r>
            <w:r w:rsidRPr="001D041C">
              <w:rPr>
                <w:rFonts w:asciiTheme="minorHAnsi" w:hAnsiTheme="minorHAnsi"/>
                <w:sz w:val="18"/>
                <w:szCs w:val="18"/>
              </w:rPr>
              <w:t>iver turtle</w:t>
            </w:r>
          </w:p>
        </w:tc>
        <w:tc>
          <w:tcPr>
            <w:tcW w:w="1132" w:type="dxa"/>
            <w:tcBorders>
              <w:left w:val="single" w:sz="18" w:space="0" w:color="FFFFFF"/>
              <w:bottom w:val="single" w:sz="8" w:space="0" w:color="FFFFFF"/>
            </w:tcBorders>
          </w:tcPr>
          <w:p w14:paraId="53AD5F4A"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3D2D7BBE"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14F0FB0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7BDBB8B9"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374A885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415D6A9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0</w:t>
            </w:r>
          </w:p>
        </w:tc>
      </w:tr>
      <w:tr w:rsidR="00514593" w:rsidRPr="001D041C" w14:paraId="62E9192D" w14:textId="77777777" w:rsidTr="00514593">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3F4205E6" w14:textId="77777777" w:rsidR="00514593" w:rsidRPr="001D041C" w:rsidRDefault="00514593" w:rsidP="00514593">
            <w:pPr>
              <w:spacing w:before="40" w:afterLines="40" w:after="96"/>
              <w:jc w:val="center"/>
              <w:rPr>
                <w:rFonts w:asciiTheme="minorHAnsi" w:hAnsiTheme="minorHAnsi"/>
                <w:bCs w:val="0"/>
                <w:sz w:val="18"/>
                <w:szCs w:val="18"/>
              </w:rPr>
            </w:pPr>
            <w:r w:rsidRPr="001D041C">
              <w:rPr>
                <w:rFonts w:asciiTheme="minorHAnsi" w:hAnsiTheme="minorHAnsi"/>
                <w:sz w:val="18"/>
                <w:szCs w:val="18"/>
              </w:rPr>
              <w:t>Decapods</w:t>
            </w:r>
          </w:p>
        </w:tc>
      </w:tr>
      <w:tr w:rsidR="00514593" w:rsidRPr="001D041C" w14:paraId="416F9EDA"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2377BE46" w14:textId="6D4D8C0E"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f</w:t>
            </w:r>
            <w:r w:rsidR="00514593" w:rsidRPr="001D041C">
              <w:rPr>
                <w:rFonts w:asciiTheme="minorHAnsi" w:hAnsiTheme="minorHAnsi"/>
                <w:sz w:val="18"/>
                <w:szCs w:val="18"/>
              </w:rPr>
              <w:t>reshwater prawn</w:t>
            </w:r>
          </w:p>
        </w:tc>
        <w:tc>
          <w:tcPr>
            <w:tcW w:w="1132" w:type="dxa"/>
            <w:tcBorders>
              <w:left w:val="single" w:sz="18" w:space="0" w:color="FFFFFF"/>
            </w:tcBorders>
          </w:tcPr>
          <w:p w14:paraId="43CB3EA0"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72E46A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4463</w:t>
            </w:r>
          </w:p>
        </w:tc>
        <w:tc>
          <w:tcPr>
            <w:tcW w:w="1132" w:type="dxa"/>
          </w:tcPr>
          <w:p w14:paraId="75588BC4"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83</w:t>
            </w:r>
          </w:p>
        </w:tc>
        <w:tc>
          <w:tcPr>
            <w:tcW w:w="1132" w:type="dxa"/>
          </w:tcPr>
          <w:p w14:paraId="60F6D304"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205</w:t>
            </w:r>
          </w:p>
        </w:tc>
        <w:tc>
          <w:tcPr>
            <w:tcW w:w="1132" w:type="dxa"/>
          </w:tcPr>
          <w:p w14:paraId="780A212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131</w:t>
            </w:r>
          </w:p>
        </w:tc>
        <w:tc>
          <w:tcPr>
            <w:tcW w:w="1133" w:type="dxa"/>
          </w:tcPr>
          <w:p w14:paraId="37A7F50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4882</w:t>
            </w:r>
          </w:p>
        </w:tc>
      </w:tr>
      <w:tr w:rsidR="00514593" w:rsidRPr="001D041C" w14:paraId="78DF0F67"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22DE975" w14:textId="30D148ED"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f</w:t>
            </w:r>
            <w:r w:rsidR="00514593" w:rsidRPr="001D041C">
              <w:rPr>
                <w:rFonts w:asciiTheme="minorHAnsi" w:hAnsiTheme="minorHAnsi"/>
                <w:sz w:val="18"/>
                <w:szCs w:val="18"/>
              </w:rPr>
              <w:t>reshwater shrimp</w:t>
            </w:r>
          </w:p>
        </w:tc>
        <w:tc>
          <w:tcPr>
            <w:tcW w:w="1132" w:type="dxa"/>
            <w:tcBorders>
              <w:left w:val="single" w:sz="18" w:space="0" w:color="FFFFFF"/>
            </w:tcBorders>
          </w:tcPr>
          <w:p w14:paraId="66622CA8"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5F580C4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57</w:t>
            </w:r>
          </w:p>
        </w:tc>
        <w:tc>
          <w:tcPr>
            <w:tcW w:w="1132" w:type="dxa"/>
          </w:tcPr>
          <w:p w14:paraId="4FDD2663"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2168F2F"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67FFB8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13</w:t>
            </w:r>
          </w:p>
        </w:tc>
        <w:tc>
          <w:tcPr>
            <w:tcW w:w="1133" w:type="dxa"/>
          </w:tcPr>
          <w:p w14:paraId="56E0606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70</w:t>
            </w:r>
          </w:p>
        </w:tc>
      </w:tr>
      <w:tr w:rsidR="00514593" w:rsidRPr="001D041C" w14:paraId="390876D6" w14:textId="77777777" w:rsidTr="00514593">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205EE745" w14:textId="38FE6EDE" w:rsidR="00514593" w:rsidRPr="001D041C" w:rsidRDefault="00B04728" w:rsidP="00514593">
            <w:pPr>
              <w:spacing w:before="40" w:afterLines="40" w:after="96"/>
              <w:rPr>
                <w:rFonts w:asciiTheme="minorHAnsi" w:hAnsiTheme="minorHAnsi"/>
                <w:sz w:val="18"/>
                <w:szCs w:val="18"/>
              </w:rPr>
            </w:pPr>
            <w:r>
              <w:rPr>
                <w:rFonts w:asciiTheme="minorHAnsi" w:hAnsiTheme="minorHAnsi"/>
                <w:sz w:val="18"/>
                <w:szCs w:val="18"/>
              </w:rPr>
              <w:t>f</w:t>
            </w:r>
            <w:r w:rsidR="00514593" w:rsidRPr="001D041C">
              <w:rPr>
                <w:rFonts w:asciiTheme="minorHAnsi" w:hAnsiTheme="minorHAnsi"/>
                <w:sz w:val="18"/>
                <w:szCs w:val="18"/>
              </w:rPr>
              <w:t>reshwater yabby</w:t>
            </w:r>
          </w:p>
        </w:tc>
        <w:tc>
          <w:tcPr>
            <w:tcW w:w="1132" w:type="dxa"/>
            <w:tcBorders>
              <w:left w:val="single" w:sz="18" w:space="0" w:color="FFFFFF"/>
            </w:tcBorders>
          </w:tcPr>
          <w:p w14:paraId="73DAF77D"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25563CE"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17</w:t>
            </w:r>
          </w:p>
        </w:tc>
        <w:tc>
          <w:tcPr>
            <w:tcW w:w="1132" w:type="dxa"/>
          </w:tcPr>
          <w:p w14:paraId="10E2B72C"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1</w:t>
            </w:r>
          </w:p>
        </w:tc>
        <w:tc>
          <w:tcPr>
            <w:tcW w:w="1132" w:type="dxa"/>
          </w:tcPr>
          <w:p w14:paraId="6499C496"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2</w:t>
            </w:r>
          </w:p>
        </w:tc>
        <w:tc>
          <w:tcPr>
            <w:tcW w:w="1132" w:type="dxa"/>
          </w:tcPr>
          <w:p w14:paraId="7A1791C5"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sz w:val="18"/>
              </w:rPr>
              <w:t>2</w:t>
            </w:r>
          </w:p>
        </w:tc>
        <w:tc>
          <w:tcPr>
            <w:tcW w:w="1133" w:type="dxa"/>
          </w:tcPr>
          <w:p w14:paraId="75402641" w14:textId="77777777" w:rsidR="00514593" w:rsidRPr="001D041C" w:rsidRDefault="00514593" w:rsidP="00514593">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b/>
                <w:sz w:val="18"/>
              </w:rPr>
              <w:t>22</w:t>
            </w:r>
          </w:p>
        </w:tc>
      </w:tr>
    </w:tbl>
    <w:p w14:paraId="40D961DD" w14:textId="77777777" w:rsidR="00514593" w:rsidRPr="00D81C0B" w:rsidRDefault="00514593" w:rsidP="00514593">
      <w:pPr>
        <w:spacing w:beforeLines="40" w:before="96" w:after="40"/>
      </w:pPr>
    </w:p>
    <w:p w14:paraId="6E8C3E0A" w14:textId="784BC83C" w:rsidR="00514593" w:rsidRPr="006F121C" w:rsidRDefault="00514593" w:rsidP="00514593">
      <w:pPr>
        <w:pStyle w:val="Caption"/>
      </w:pPr>
      <w:bookmarkStart w:id="326" w:name="_Ref530391440"/>
      <w:bookmarkStart w:id="327" w:name="_Toc4574920"/>
      <w:bookmarkStart w:id="328" w:name="_Toc31985679"/>
      <w:r w:rsidRPr="006F121C">
        <w:t xml:space="preserve">Table </w:t>
      </w:r>
      <w:r>
        <w:rPr>
          <w:noProof/>
        </w:rPr>
        <w:fldChar w:fldCharType="begin"/>
      </w:r>
      <w:r>
        <w:rPr>
          <w:noProof/>
        </w:rPr>
        <w:instrText xml:space="preserve"> SEQ Table \* ARABIC </w:instrText>
      </w:r>
      <w:r>
        <w:rPr>
          <w:noProof/>
        </w:rPr>
        <w:fldChar w:fldCharType="separate"/>
      </w:r>
      <w:r w:rsidR="007F7607">
        <w:rPr>
          <w:noProof/>
        </w:rPr>
        <w:t>12</w:t>
      </w:r>
      <w:r>
        <w:rPr>
          <w:noProof/>
        </w:rPr>
        <w:fldChar w:fldCharType="end"/>
      </w:r>
      <w:bookmarkEnd w:id="326"/>
      <w:r w:rsidRPr="006F121C">
        <w:t xml:space="preserve">. Summary of SRA fish indices over the </w:t>
      </w:r>
      <w:r w:rsidR="006E3BB7">
        <w:t>five</w:t>
      </w:r>
      <w:r>
        <w:t xml:space="preserve"> </w:t>
      </w:r>
      <w:r w:rsidRPr="006F121C">
        <w:t xml:space="preserve">LTIM sampling years in the </w:t>
      </w:r>
      <w:r w:rsidR="00EE2A70">
        <w:t xml:space="preserve">Lower </w:t>
      </w:r>
      <w:r w:rsidRPr="006F121C">
        <w:t xml:space="preserve">Lachlan </w:t>
      </w:r>
      <w:r w:rsidR="00EE2A70">
        <w:t>R</w:t>
      </w:r>
      <w:r w:rsidRPr="006F121C">
        <w:t>iver.</w:t>
      </w:r>
      <w:bookmarkEnd w:id="327"/>
      <w:bookmarkEnd w:id="328"/>
      <w:r w:rsidRPr="006F121C">
        <w:t xml:space="preserve"> </w:t>
      </w:r>
    </w:p>
    <w:tbl>
      <w:tblPr>
        <w:tblStyle w:val="MediumGrid3-Accent3"/>
        <w:tblW w:w="7245" w:type="dxa"/>
        <w:tblLook w:val="04A0" w:firstRow="1" w:lastRow="0" w:firstColumn="1" w:lastColumn="0" w:noHBand="0" w:noVBand="1"/>
      </w:tblPr>
      <w:tblGrid>
        <w:gridCol w:w="772"/>
        <w:gridCol w:w="1298"/>
        <w:gridCol w:w="1520"/>
        <w:gridCol w:w="1788"/>
        <w:gridCol w:w="1867"/>
      </w:tblGrid>
      <w:tr w:rsidR="00514593" w:rsidRPr="004D7E00" w14:paraId="3994621F" w14:textId="77777777" w:rsidTr="005145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1534EEE9" w14:textId="77777777" w:rsidR="00514593" w:rsidRPr="004D7E00" w:rsidRDefault="00514593" w:rsidP="00514593">
            <w:pPr>
              <w:spacing w:before="40" w:after="40"/>
              <w:rPr>
                <w:iCs/>
                <w:caps/>
                <w:color w:val="FFFFFF" w:themeColor="background1"/>
                <w:sz w:val="18"/>
                <w:szCs w:val="18"/>
              </w:rPr>
            </w:pPr>
            <w:bookmarkStart w:id="329" w:name="_Hlk23970696"/>
          </w:p>
        </w:tc>
        <w:tc>
          <w:tcPr>
            <w:tcW w:w="1298" w:type="dxa"/>
            <w:tcBorders>
              <w:bottom w:val="single" w:sz="8" w:space="0" w:color="FFFFFF"/>
            </w:tcBorders>
          </w:tcPr>
          <w:p w14:paraId="2ABE1C10" w14:textId="77777777" w:rsidR="00514593" w:rsidRPr="004D7E00" w:rsidRDefault="00514593" w:rsidP="00514593">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Nativeness</w:t>
            </w:r>
          </w:p>
        </w:tc>
        <w:tc>
          <w:tcPr>
            <w:tcW w:w="1520" w:type="dxa"/>
            <w:tcBorders>
              <w:bottom w:val="single" w:sz="8" w:space="0" w:color="FFFFFF"/>
            </w:tcBorders>
          </w:tcPr>
          <w:p w14:paraId="5A476D39" w14:textId="77777777" w:rsidR="00514593" w:rsidRPr="004D7E00" w:rsidRDefault="00514593" w:rsidP="00514593">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Expectedness</w:t>
            </w:r>
          </w:p>
        </w:tc>
        <w:tc>
          <w:tcPr>
            <w:tcW w:w="1788" w:type="dxa"/>
            <w:tcBorders>
              <w:bottom w:val="single" w:sz="8" w:space="0" w:color="FFFFFF"/>
            </w:tcBorders>
          </w:tcPr>
          <w:p w14:paraId="013614A1" w14:textId="77777777" w:rsidR="00514593" w:rsidRPr="004D7E00" w:rsidRDefault="00514593" w:rsidP="00514593">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Recruitment</w:t>
            </w:r>
          </w:p>
        </w:tc>
        <w:tc>
          <w:tcPr>
            <w:tcW w:w="1867" w:type="dxa"/>
            <w:tcBorders>
              <w:bottom w:val="single" w:sz="8" w:space="0" w:color="FFFFFF"/>
            </w:tcBorders>
          </w:tcPr>
          <w:p w14:paraId="12C20DB4" w14:textId="77777777" w:rsidR="00514593" w:rsidRPr="004D7E00" w:rsidRDefault="00514593" w:rsidP="00514593">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Overall Condition</w:t>
            </w:r>
          </w:p>
        </w:tc>
      </w:tr>
      <w:tr w:rsidR="00514593" w:rsidRPr="00EB339B" w14:paraId="0E5E85A9" w14:textId="77777777" w:rsidTr="00514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0C85194B" w14:textId="77777777" w:rsidR="00514593" w:rsidRPr="00EB339B" w:rsidRDefault="00514593" w:rsidP="00514593">
            <w:pPr>
              <w:spacing w:before="40" w:after="40"/>
              <w:rPr>
                <w:iCs/>
                <w:color w:val="FFFFFF" w:themeColor="background1"/>
                <w:sz w:val="18"/>
                <w:szCs w:val="18"/>
              </w:rPr>
            </w:pPr>
            <w:r w:rsidRPr="00EB339B">
              <w:rPr>
                <w:iCs/>
                <w:color w:val="FFFFFF" w:themeColor="background1"/>
                <w:sz w:val="18"/>
                <w:szCs w:val="18"/>
              </w:rPr>
              <w:t>2015</w:t>
            </w:r>
          </w:p>
        </w:tc>
        <w:tc>
          <w:tcPr>
            <w:tcW w:w="1298" w:type="dxa"/>
            <w:shd w:val="clear" w:color="auto" w:fill="D6E3BC" w:themeFill="accent3" w:themeFillTint="66"/>
          </w:tcPr>
          <w:p w14:paraId="6927FBC1"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Good</w:t>
            </w:r>
          </w:p>
        </w:tc>
        <w:tc>
          <w:tcPr>
            <w:tcW w:w="1520" w:type="dxa"/>
            <w:shd w:val="clear" w:color="auto" w:fill="D6E3BC" w:themeFill="accent3" w:themeFillTint="66"/>
          </w:tcPr>
          <w:p w14:paraId="3DF20D14"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788" w:type="dxa"/>
            <w:shd w:val="clear" w:color="auto" w:fill="D6E3BC" w:themeFill="accent3" w:themeFillTint="66"/>
          </w:tcPr>
          <w:p w14:paraId="09EC9CAC"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Extremely poor</w:t>
            </w:r>
          </w:p>
        </w:tc>
        <w:tc>
          <w:tcPr>
            <w:tcW w:w="1867" w:type="dxa"/>
            <w:shd w:val="clear" w:color="auto" w:fill="D6E3BC" w:themeFill="accent3" w:themeFillTint="66"/>
          </w:tcPr>
          <w:p w14:paraId="5543353F"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r w:rsidR="00514593" w:rsidRPr="00EB339B" w14:paraId="42A700E6" w14:textId="77777777" w:rsidTr="00514593">
        <w:tc>
          <w:tcPr>
            <w:cnfStyle w:val="001000000000" w:firstRow="0" w:lastRow="0" w:firstColumn="1" w:lastColumn="0" w:oddVBand="0" w:evenVBand="0" w:oddHBand="0" w:evenHBand="0" w:firstRowFirstColumn="0" w:firstRowLastColumn="0" w:lastRowFirstColumn="0" w:lastRowLastColumn="0"/>
            <w:tcW w:w="772" w:type="dxa"/>
          </w:tcPr>
          <w:p w14:paraId="5B3A5AB7" w14:textId="77777777" w:rsidR="00514593" w:rsidRPr="00EB339B" w:rsidRDefault="00514593" w:rsidP="00514593">
            <w:pPr>
              <w:spacing w:before="40" w:after="40"/>
              <w:rPr>
                <w:iCs/>
                <w:color w:val="FFFFFF" w:themeColor="background1"/>
                <w:sz w:val="18"/>
                <w:szCs w:val="18"/>
              </w:rPr>
            </w:pPr>
            <w:r w:rsidRPr="00EB339B">
              <w:rPr>
                <w:iCs/>
                <w:color w:val="FFFFFF" w:themeColor="background1"/>
                <w:sz w:val="18"/>
                <w:szCs w:val="18"/>
              </w:rPr>
              <w:t>2016</w:t>
            </w:r>
          </w:p>
        </w:tc>
        <w:tc>
          <w:tcPr>
            <w:tcW w:w="1298" w:type="dxa"/>
            <w:tcBorders>
              <w:bottom w:val="single" w:sz="8" w:space="0" w:color="FFFFFF"/>
            </w:tcBorders>
          </w:tcPr>
          <w:p w14:paraId="68B712C4" w14:textId="77777777"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Good</w:t>
            </w:r>
          </w:p>
        </w:tc>
        <w:tc>
          <w:tcPr>
            <w:tcW w:w="1520" w:type="dxa"/>
            <w:tcBorders>
              <w:bottom w:val="single" w:sz="8" w:space="0" w:color="FFFFFF"/>
            </w:tcBorders>
          </w:tcPr>
          <w:p w14:paraId="5257E5CF" w14:textId="77777777"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Poor</w:t>
            </w:r>
          </w:p>
        </w:tc>
        <w:tc>
          <w:tcPr>
            <w:tcW w:w="1788" w:type="dxa"/>
            <w:tcBorders>
              <w:bottom w:val="single" w:sz="8" w:space="0" w:color="FFFFFF"/>
            </w:tcBorders>
          </w:tcPr>
          <w:p w14:paraId="111812AA" w14:textId="77777777"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867" w:type="dxa"/>
            <w:tcBorders>
              <w:bottom w:val="single" w:sz="8" w:space="0" w:color="FFFFFF"/>
            </w:tcBorders>
          </w:tcPr>
          <w:p w14:paraId="6390BCC7" w14:textId="77777777"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r w:rsidR="00514593" w:rsidRPr="00EB339B" w14:paraId="19E2B5A4" w14:textId="77777777" w:rsidTr="00514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1BDA52E5" w14:textId="77777777" w:rsidR="00514593" w:rsidRPr="00EB339B" w:rsidRDefault="00514593" w:rsidP="00514593">
            <w:pPr>
              <w:spacing w:before="40" w:after="40"/>
              <w:rPr>
                <w:iCs/>
                <w:color w:val="FFFFFF" w:themeColor="background1"/>
                <w:sz w:val="18"/>
                <w:szCs w:val="18"/>
              </w:rPr>
            </w:pPr>
            <w:r w:rsidRPr="00EB339B">
              <w:rPr>
                <w:iCs/>
                <w:color w:val="FFFFFF" w:themeColor="background1"/>
                <w:sz w:val="18"/>
                <w:szCs w:val="18"/>
              </w:rPr>
              <w:t>2017</w:t>
            </w:r>
          </w:p>
        </w:tc>
        <w:tc>
          <w:tcPr>
            <w:tcW w:w="1298" w:type="dxa"/>
            <w:shd w:val="clear" w:color="auto" w:fill="D6E3BC" w:themeFill="accent3" w:themeFillTint="66"/>
          </w:tcPr>
          <w:p w14:paraId="21AADEC7"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Very poor </w:t>
            </w:r>
          </w:p>
        </w:tc>
        <w:tc>
          <w:tcPr>
            <w:tcW w:w="1520" w:type="dxa"/>
            <w:shd w:val="clear" w:color="auto" w:fill="D6E3BC" w:themeFill="accent3" w:themeFillTint="66"/>
          </w:tcPr>
          <w:p w14:paraId="33314BFD"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Poor </w:t>
            </w:r>
          </w:p>
        </w:tc>
        <w:tc>
          <w:tcPr>
            <w:tcW w:w="1788" w:type="dxa"/>
            <w:shd w:val="clear" w:color="auto" w:fill="D6E3BC" w:themeFill="accent3" w:themeFillTint="66"/>
          </w:tcPr>
          <w:p w14:paraId="053CFEA2"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Poor </w:t>
            </w:r>
          </w:p>
        </w:tc>
        <w:tc>
          <w:tcPr>
            <w:tcW w:w="1867" w:type="dxa"/>
            <w:shd w:val="clear" w:color="auto" w:fill="D6E3BC" w:themeFill="accent3" w:themeFillTint="66"/>
          </w:tcPr>
          <w:p w14:paraId="1001388A" w14:textId="77777777"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Very poor </w:t>
            </w:r>
          </w:p>
        </w:tc>
      </w:tr>
      <w:tr w:rsidR="00514593" w:rsidRPr="00EB339B" w14:paraId="17676BE7" w14:textId="77777777" w:rsidTr="00514593">
        <w:tc>
          <w:tcPr>
            <w:cnfStyle w:val="001000000000" w:firstRow="0" w:lastRow="0" w:firstColumn="1" w:lastColumn="0" w:oddVBand="0" w:evenVBand="0" w:oddHBand="0" w:evenHBand="0" w:firstRowFirstColumn="0" w:firstRowLastColumn="0" w:lastRowFirstColumn="0" w:lastRowLastColumn="0"/>
            <w:tcW w:w="772" w:type="dxa"/>
          </w:tcPr>
          <w:p w14:paraId="5FA5A5DA" w14:textId="438B78FE" w:rsidR="00514593" w:rsidRPr="00EB339B" w:rsidRDefault="00514593" w:rsidP="00514593">
            <w:pPr>
              <w:spacing w:before="40" w:after="40"/>
              <w:rPr>
                <w:iCs/>
                <w:color w:val="FFFFFF" w:themeColor="background1"/>
                <w:sz w:val="18"/>
                <w:szCs w:val="18"/>
              </w:rPr>
            </w:pPr>
            <w:r w:rsidRPr="00EB339B">
              <w:rPr>
                <w:iCs/>
                <w:color w:val="FFFFFF" w:themeColor="background1"/>
                <w:sz w:val="18"/>
                <w:szCs w:val="18"/>
              </w:rPr>
              <w:t>2018</w:t>
            </w:r>
          </w:p>
        </w:tc>
        <w:tc>
          <w:tcPr>
            <w:tcW w:w="1298" w:type="dxa"/>
            <w:shd w:val="clear" w:color="auto" w:fill="D6E3BC" w:themeFill="accent3" w:themeFillTint="66"/>
          </w:tcPr>
          <w:p w14:paraId="70D8780E" w14:textId="58AD7CB7"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Moderate</w:t>
            </w:r>
          </w:p>
        </w:tc>
        <w:tc>
          <w:tcPr>
            <w:tcW w:w="1520" w:type="dxa"/>
            <w:shd w:val="clear" w:color="auto" w:fill="D6E3BC" w:themeFill="accent3" w:themeFillTint="66"/>
          </w:tcPr>
          <w:p w14:paraId="3B82A573" w14:textId="12966D86"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Poor</w:t>
            </w:r>
          </w:p>
        </w:tc>
        <w:tc>
          <w:tcPr>
            <w:tcW w:w="1788" w:type="dxa"/>
            <w:shd w:val="clear" w:color="auto" w:fill="D6E3BC" w:themeFill="accent3" w:themeFillTint="66"/>
          </w:tcPr>
          <w:p w14:paraId="1E120A11" w14:textId="2FF45684"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867" w:type="dxa"/>
            <w:shd w:val="clear" w:color="auto" w:fill="D6E3BC" w:themeFill="accent3" w:themeFillTint="66"/>
          </w:tcPr>
          <w:p w14:paraId="3518E71F" w14:textId="4BA7DF91" w:rsidR="00514593" w:rsidRPr="00F17664" w:rsidRDefault="00514593" w:rsidP="00514593">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r w:rsidR="00514593" w:rsidRPr="00EB339B" w14:paraId="2C86204C" w14:textId="77777777" w:rsidTr="00514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295F0E33" w14:textId="426A4153" w:rsidR="00514593" w:rsidRPr="00EB339B" w:rsidRDefault="00514593" w:rsidP="00514593">
            <w:pPr>
              <w:spacing w:before="40" w:after="40"/>
              <w:rPr>
                <w:iCs/>
                <w:color w:val="FFFFFF" w:themeColor="background1"/>
                <w:sz w:val="18"/>
                <w:szCs w:val="18"/>
              </w:rPr>
            </w:pPr>
            <w:r>
              <w:rPr>
                <w:iCs/>
                <w:color w:val="FFFFFF" w:themeColor="background1"/>
                <w:sz w:val="18"/>
                <w:szCs w:val="18"/>
              </w:rPr>
              <w:t>2019</w:t>
            </w:r>
          </w:p>
        </w:tc>
        <w:tc>
          <w:tcPr>
            <w:tcW w:w="1298" w:type="dxa"/>
          </w:tcPr>
          <w:p w14:paraId="3EB08827" w14:textId="74F2EB4B"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Good</w:t>
            </w:r>
          </w:p>
        </w:tc>
        <w:tc>
          <w:tcPr>
            <w:tcW w:w="1520" w:type="dxa"/>
          </w:tcPr>
          <w:p w14:paraId="156420E7" w14:textId="747B31AC"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 xml:space="preserve">Very </w:t>
            </w:r>
            <w:r w:rsidRPr="00F17664">
              <w:rPr>
                <w:rFonts w:asciiTheme="minorHAnsi" w:hAnsiTheme="minorHAnsi"/>
                <w:bCs/>
                <w:iCs/>
                <w:sz w:val="18"/>
                <w:szCs w:val="18"/>
              </w:rPr>
              <w:t>Poor</w:t>
            </w:r>
          </w:p>
        </w:tc>
        <w:tc>
          <w:tcPr>
            <w:tcW w:w="1788" w:type="dxa"/>
          </w:tcPr>
          <w:p w14:paraId="3D4F0480" w14:textId="06FDC9F3"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867" w:type="dxa"/>
          </w:tcPr>
          <w:p w14:paraId="1B6C8063" w14:textId="51392D2B" w:rsidR="00514593" w:rsidRPr="00F17664" w:rsidRDefault="00514593" w:rsidP="00514593">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bookmarkEnd w:id="329"/>
    </w:tbl>
    <w:p w14:paraId="65CBC116" w14:textId="609DC505" w:rsidR="00CE2EDC" w:rsidRDefault="00CE2EDC" w:rsidP="00CE2EDC">
      <w:pPr>
        <w:rPr>
          <w:i/>
        </w:rPr>
      </w:pPr>
      <w:r>
        <w:rPr>
          <w:i/>
        </w:rPr>
        <w:br w:type="page"/>
      </w:r>
    </w:p>
    <w:p w14:paraId="09FE58F0" w14:textId="23D8312C" w:rsidR="00953C9E" w:rsidRDefault="00953C9E" w:rsidP="00953C9E">
      <w:pPr>
        <w:pStyle w:val="Caption"/>
      </w:pPr>
      <w:bookmarkStart w:id="330" w:name="_Ref530391382"/>
      <w:bookmarkStart w:id="331" w:name="_Toc4574921"/>
      <w:bookmarkStart w:id="332" w:name="_Toc31985680"/>
      <w:r w:rsidRPr="00D81C0B">
        <w:t xml:space="preserve">Table </w:t>
      </w:r>
      <w:r>
        <w:rPr>
          <w:noProof/>
        </w:rPr>
        <w:fldChar w:fldCharType="begin"/>
      </w:r>
      <w:r>
        <w:rPr>
          <w:noProof/>
        </w:rPr>
        <w:instrText xml:space="preserve"> SEQ Table \* ARABIC </w:instrText>
      </w:r>
      <w:r>
        <w:rPr>
          <w:noProof/>
        </w:rPr>
        <w:fldChar w:fldCharType="separate"/>
      </w:r>
      <w:r w:rsidR="007F7607">
        <w:rPr>
          <w:noProof/>
        </w:rPr>
        <w:t>13</w:t>
      </w:r>
      <w:r>
        <w:rPr>
          <w:noProof/>
        </w:rPr>
        <w:fldChar w:fldCharType="end"/>
      </w:r>
      <w:bookmarkEnd w:id="330"/>
      <w:r w:rsidRPr="00D81C0B">
        <w:t xml:space="preserve">. Contributions of fish species </w:t>
      </w:r>
      <w:r w:rsidR="00C42E08">
        <w:t>abundance</w:t>
      </w:r>
      <w:r w:rsidRPr="00D81C0B">
        <w:t xml:space="preserve"> to variability among years in the </w:t>
      </w:r>
      <w:r w:rsidR="00EE2A70">
        <w:t xml:space="preserve">Lower </w:t>
      </w:r>
      <w:r w:rsidRPr="00D81C0B">
        <w:t>Lachlan River, determined thro</w:t>
      </w:r>
      <w:r>
        <w:t>ugh SIMPER analysis.</w:t>
      </w:r>
      <w:bookmarkEnd w:id="331"/>
      <w:bookmarkEnd w:id="332"/>
      <w:r>
        <w:t xml:space="preserve"> </w:t>
      </w:r>
    </w:p>
    <w:p w14:paraId="7DA6B6BE" w14:textId="4DCA1421" w:rsidR="00C42E08" w:rsidRDefault="00953C9E" w:rsidP="00953C9E">
      <w:pPr>
        <w:pStyle w:val="Caption"/>
      </w:pPr>
      <w:r w:rsidRPr="00D81C0B">
        <w:t>Note that only</w:t>
      </w:r>
      <w:r>
        <w:t xml:space="preserve"> the top</w:t>
      </w:r>
      <w:r w:rsidRPr="00D81C0B">
        <w:t xml:space="preserve"> </w:t>
      </w:r>
      <w:r>
        <w:t xml:space="preserve">3 </w:t>
      </w:r>
      <w:r w:rsidRPr="00D81C0B">
        <w:t>species contributing (dissimilarity) to changes in community composition are included. Comparisons between 2015 and 2016 are not included as there were no significant differences in abundance</w:t>
      </w:r>
      <w:r w:rsidR="00C42E08">
        <w:t>.</w:t>
      </w:r>
    </w:p>
    <w:p w14:paraId="6EF66D1B" w14:textId="4104EAC0" w:rsidR="00C42E08" w:rsidRDefault="00C42E08">
      <w:pPr>
        <w:spacing w:before="0" w:after="0"/>
      </w:pPr>
    </w:p>
    <w:tbl>
      <w:tblPr>
        <w:tblStyle w:val="MediumGrid3-Accent3"/>
        <w:tblW w:w="7958" w:type="dxa"/>
        <w:tblLook w:val="04A0" w:firstRow="1" w:lastRow="0" w:firstColumn="1" w:lastColumn="0" w:noHBand="0" w:noVBand="1"/>
      </w:tblPr>
      <w:tblGrid>
        <w:gridCol w:w="1193"/>
        <w:gridCol w:w="1750"/>
        <w:gridCol w:w="1701"/>
        <w:gridCol w:w="1858"/>
        <w:gridCol w:w="728"/>
        <w:gridCol w:w="728"/>
      </w:tblGrid>
      <w:tr w:rsidR="00C42E08" w:rsidRPr="00F17664" w14:paraId="627FCCE0" w14:textId="77777777" w:rsidTr="00E12D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93" w:type="dxa"/>
            <w:tcBorders>
              <w:bottom w:val="single" w:sz="18" w:space="0" w:color="FFFFFF"/>
            </w:tcBorders>
          </w:tcPr>
          <w:p w14:paraId="3A23E123" w14:textId="77777777" w:rsidR="00C42E08" w:rsidRPr="00F17664" w:rsidRDefault="00C42E08" w:rsidP="00C42E08">
            <w:pPr>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Indicator</w:t>
            </w:r>
          </w:p>
        </w:tc>
        <w:tc>
          <w:tcPr>
            <w:tcW w:w="1750" w:type="dxa"/>
            <w:tcBorders>
              <w:bottom w:val="single" w:sz="18" w:space="0" w:color="FFFFFF"/>
            </w:tcBorders>
          </w:tcPr>
          <w:p w14:paraId="0D80C5F9"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comparison</w:t>
            </w:r>
          </w:p>
        </w:tc>
        <w:tc>
          <w:tcPr>
            <w:tcW w:w="1701" w:type="dxa"/>
            <w:tcBorders>
              <w:bottom w:val="single" w:sz="18" w:space="0" w:color="FFFFFF"/>
            </w:tcBorders>
          </w:tcPr>
          <w:p w14:paraId="20379529"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Species</w:t>
            </w:r>
          </w:p>
        </w:tc>
        <w:tc>
          <w:tcPr>
            <w:tcW w:w="1858" w:type="dxa"/>
            <w:tcBorders>
              <w:bottom w:val="single" w:sz="18" w:space="0" w:color="FFFFFF"/>
            </w:tcBorders>
          </w:tcPr>
          <w:p w14:paraId="0F62061D"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Contribution to difference (%)</w:t>
            </w:r>
          </w:p>
        </w:tc>
        <w:tc>
          <w:tcPr>
            <w:tcW w:w="1456" w:type="dxa"/>
            <w:gridSpan w:val="2"/>
            <w:tcBorders>
              <w:bottom w:val="single" w:sz="18" w:space="0" w:color="FFFFFF"/>
            </w:tcBorders>
          </w:tcPr>
          <w:p w14:paraId="3E912D33"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with greater value</w:t>
            </w:r>
          </w:p>
        </w:tc>
      </w:tr>
      <w:tr w:rsidR="00C42E08" w:rsidRPr="00D81C0B" w14:paraId="125048E3"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restart"/>
            <w:tcBorders>
              <w:top w:val="single" w:sz="18" w:space="0" w:color="FFFFFF"/>
            </w:tcBorders>
            <w:textDirection w:val="btLr"/>
            <w:vAlign w:val="center"/>
          </w:tcPr>
          <w:p w14:paraId="5BE394ED" w14:textId="77777777" w:rsidR="00C42E08" w:rsidRPr="007D767A" w:rsidRDefault="00C42E08" w:rsidP="00E12DBE">
            <w:pPr>
              <w:spacing w:before="10" w:after="10"/>
              <w:ind w:left="113" w:right="113"/>
              <w:jc w:val="center"/>
              <w:rPr>
                <w:rFonts w:asciiTheme="minorHAnsi" w:hAnsiTheme="minorHAnsi"/>
                <w:iCs/>
                <w:caps/>
                <w:color w:val="FFFFFF" w:themeColor="background1"/>
                <w:sz w:val="20"/>
                <w:szCs w:val="20"/>
              </w:rPr>
            </w:pPr>
            <w:r w:rsidRPr="007D767A">
              <w:rPr>
                <w:rFonts w:asciiTheme="minorHAnsi" w:hAnsiTheme="minorHAnsi"/>
                <w:iCs/>
                <w:caps/>
                <w:color w:val="FFFFFF" w:themeColor="background1"/>
                <w:sz w:val="20"/>
                <w:szCs w:val="20"/>
              </w:rPr>
              <w:t>Abundance</w:t>
            </w:r>
          </w:p>
        </w:tc>
        <w:tc>
          <w:tcPr>
            <w:tcW w:w="1750" w:type="dxa"/>
            <w:vMerge w:val="restart"/>
            <w:tcBorders>
              <w:top w:val="single" w:sz="18" w:space="0" w:color="FFFFFF"/>
            </w:tcBorders>
            <w:shd w:val="clear" w:color="auto" w:fill="EAF1DD" w:themeFill="accent3" w:themeFillTint="33"/>
            <w:vAlign w:val="center"/>
          </w:tcPr>
          <w:p w14:paraId="44D522F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2015-2017</w:t>
            </w:r>
          </w:p>
        </w:tc>
        <w:tc>
          <w:tcPr>
            <w:tcW w:w="1701" w:type="dxa"/>
            <w:tcBorders>
              <w:top w:val="single" w:sz="18" w:space="0" w:color="FFFFFF"/>
            </w:tcBorders>
            <w:shd w:val="clear" w:color="auto" w:fill="EAF1DD" w:themeFill="accent3" w:themeFillTint="33"/>
          </w:tcPr>
          <w:p w14:paraId="3FAC040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tcBorders>
              <w:top w:val="single" w:sz="18" w:space="0" w:color="FFFFFF"/>
            </w:tcBorders>
            <w:shd w:val="clear" w:color="auto" w:fill="EAF1DD" w:themeFill="accent3" w:themeFillTint="33"/>
          </w:tcPr>
          <w:p w14:paraId="45242CC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tcBorders>
              <w:top w:val="single" w:sz="18" w:space="0" w:color="FFFFFF"/>
            </w:tcBorders>
            <w:shd w:val="clear" w:color="auto" w:fill="EAF1DD" w:themeFill="accent3" w:themeFillTint="33"/>
          </w:tcPr>
          <w:p w14:paraId="17D6C82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tcBorders>
              <w:top w:val="single" w:sz="18" w:space="0" w:color="FFFFFF"/>
            </w:tcBorders>
            <w:shd w:val="clear" w:color="auto" w:fill="EAF1DD" w:themeFill="accent3" w:themeFillTint="33"/>
          </w:tcPr>
          <w:p w14:paraId="25C85AC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7A56AC46"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2D08DAD9"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47C07B04"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3E3C2D8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eastern gambusia</w:t>
            </w:r>
          </w:p>
        </w:tc>
        <w:tc>
          <w:tcPr>
            <w:tcW w:w="1858" w:type="dxa"/>
            <w:tcBorders>
              <w:top w:val="single" w:sz="8" w:space="0" w:color="FFFFFF"/>
              <w:bottom w:val="single" w:sz="8" w:space="0" w:color="FFFFFF"/>
            </w:tcBorders>
            <w:shd w:val="clear" w:color="auto" w:fill="EAF1DD" w:themeFill="accent3" w:themeFillTint="33"/>
          </w:tcPr>
          <w:p w14:paraId="25AB958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tcBorders>
              <w:top w:val="single" w:sz="8" w:space="0" w:color="FFFFFF"/>
              <w:bottom w:val="single" w:sz="8" w:space="0" w:color="FFFFFF"/>
            </w:tcBorders>
            <w:shd w:val="clear" w:color="auto" w:fill="EAF1DD" w:themeFill="accent3" w:themeFillTint="33"/>
          </w:tcPr>
          <w:p w14:paraId="4293E45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3EAC7D7B"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568BCEC8"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6A1BFC67"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4EAEE8B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2723750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164D434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shd w:val="clear" w:color="auto" w:fill="EAF1DD" w:themeFill="accent3" w:themeFillTint="33"/>
          </w:tcPr>
          <w:p w14:paraId="2D1A6A9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EAF1DD" w:themeFill="accent3" w:themeFillTint="33"/>
          </w:tcPr>
          <w:p w14:paraId="6978B38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1D072313"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4C88A3D9"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8" w:space="0" w:color="FFFFFF"/>
            </w:tcBorders>
            <w:shd w:val="clear" w:color="auto" w:fill="D6E3BC" w:themeFill="accent3" w:themeFillTint="66"/>
            <w:vAlign w:val="center"/>
          </w:tcPr>
          <w:p w14:paraId="3102A9D4"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2015-2018</w:t>
            </w:r>
          </w:p>
        </w:tc>
        <w:tc>
          <w:tcPr>
            <w:tcW w:w="1701" w:type="dxa"/>
            <w:tcBorders>
              <w:top w:val="single" w:sz="8" w:space="0" w:color="FFFFFF"/>
              <w:bottom w:val="single" w:sz="8" w:space="0" w:color="FFFFFF"/>
            </w:tcBorders>
            <w:shd w:val="clear" w:color="auto" w:fill="D6E3BC" w:themeFill="accent3" w:themeFillTint="66"/>
          </w:tcPr>
          <w:p w14:paraId="4E39F65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D6E3BC" w:themeFill="accent3" w:themeFillTint="66"/>
          </w:tcPr>
          <w:p w14:paraId="20AD518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tcBorders>
              <w:top w:val="single" w:sz="8" w:space="0" w:color="FFFFFF"/>
              <w:bottom w:val="single" w:sz="8" w:space="0" w:color="FFFFFF"/>
            </w:tcBorders>
            <w:shd w:val="clear" w:color="auto" w:fill="D6E3BC" w:themeFill="accent3" w:themeFillTint="66"/>
          </w:tcPr>
          <w:p w14:paraId="341CCE81"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502B0261"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2064C5F9"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35D94F98"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D6E3BC" w:themeFill="accent3" w:themeFillTint="66"/>
            <w:vAlign w:val="center"/>
          </w:tcPr>
          <w:p w14:paraId="6CCF3CD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655D7D3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Australian smelt</w:t>
            </w:r>
          </w:p>
        </w:tc>
        <w:tc>
          <w:tcPr>
            <w:tcW w:w="1858" w:type="dxa"/>
            <w:shd w:val="clear" w:color="auto" w:fill="D6E3BC" w:themeFill="accent3" w:themeFillTint="66"/>
          </w:tcPr>
          <w:p w14:paraId="4E99658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shd w:val="clear" w:color="auto" w:fill="D6E3BC" w:themeFill="accent3" w:themeFillTint="66"/>
          </w:tcPr>
          <w:p w14:paraId="6DD9790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4B052B8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779DACA8"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550B9DB3"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39ADB75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586054B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8" w:space="0" w:color="FFFFFF"/>
            </w:tcBorders>
            <w:shd w:val="clear" w:color="auto" w:fill="D6E3BC" w:themeFill="accent3" w:themeFillTint="66"/>
          </w:tcPr>
          <w:p w14:paraId="029F83F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tcBorders>
              <w:top w:val="single" w:sz="8" w:space="0" w:color="FFFFFF"/>
              <w:bottom w:val="single" w:sz="8" w:space="0" w:color="FFFFFF"/>
            </w:tcBorders>
            <w:shd w:val="clear" w:color="auto" w:fill="D6E3BC" w:themeFill="accent3" w:themeFillTint="66"/>
          </w:tcPr>
          <w:p w14:paraId="3C977CF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1AA2EE5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65F4E073"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6F5A64F"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shd w:val="clear" w:color="auto" w:fill="EAF1DD" w:themeFill="accent3" w:themeFillTint="33"/>
            <w:vAlign w:val="center"/>
          </w:tcPr>
          <w:p w14:paraId="48FA1983"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2016-2017</w:t>
            </w:r>
          </w:p>
        </w:tc>
        <w:tc>
          <w:tcPr>
            <w:tcW w:w="1701" w:type="dxa"/>
            <w:shd w:val="clear" w:color="auto" w:fill="EAF1DD" w:themeFill="accent3" w:themeFillTint="33"/>
          </w:tcPr>
          <w:p w14:paraId="3DB19753"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610711B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29</w:t>
            </w:r>
          </w:p>
        </w:tc>
        <w:tc>
          <w:tcPr>
            <w:tcW w:w="728" w:type="dxa"/>
            <w:shd w:val="clear" w:color="auto" w:fill="EAF1DD" w:themeFill="accent3" w:themeFillTint="33"/>
          </w:tcPr>
          <w:p w14:paraId="6740372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2591D06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25930DCF"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7E537E3B"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641E9132"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03B51D6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EAF1DD" w:themeFill="accent3" w:themeFillTint="33"/>
          </w:tcPr>
          <w:p w14:paraId="5636DEE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tcBorders>
              <w:top w:val="single" w:sz="8" w:space="0" w:color="FFFFFF"/>
              <w:bottom w:val="single" w:sz="8" w:space="0" w:color="FFFFFF"/>
            </w:tcBorders>
            <w:shd w:val="clear" w:color="auto" w:fill="EAF1DD" w:themeFill="accent3" w:themeFillTint="33"/>
          </w:tcPr>
          <w:p w14:paraId="1211100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33A03EB9"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4A8C9CED"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1585866F"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3E8307B2"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43CB1A6B"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61C1642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shd w:val="clear" w:color="auto" w:fill="EAF1DD" w:themeFill="accent3" w:themeFillTint="33"/>
          </w:tcPr>
          <w:p w14:paraId="532BC12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509DA34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69BC4A9E"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0F6CFF4D"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8" w:space="0" w:color="FFFFFF"/>
            </w:tcBorders>
            <w:shd w:val="clear" w:color="auto" w:fill="D6E3BC" w:themeFill="accent3" w:themeFillTint="66"/>
            <w:vAlign w:val="center"/>
          </w:tcPr>
          <w:p w14:paraId="638AE039"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2016-2018</w:t>
            </w:r>
          </w:p>
        </w:tc>
        <w:tc>
          <w:tcPr>
            <w:tcW w:w="1701" w:type="dxa"/>
            <w:tcBorders>
              <w:top w:val="single" w:sz="8" w:space="0" w:color="FFFFFF"/>
              <w:bottom w:val="single" w:sz="8" w:space="0" w:color="FFFFFF"/>
            </w:tcBorders>
            <w:shd w:val="clear" w:color="auto" w:fill="D6E3BC" w:themeFill="accent3" w:themeFillTint="66"/>
          </w:tcPr>
          <w:p w14:paraId="61C8CDD6"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D6E3BC" w:themeFill="accent3" w:themeFillTint="66"/>
          </w:tcPr>
          <w:p w14:paraId="6F8D707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26</w:t>
            </w:r>
          </w:p>
        </w:tc>
        <w:tc>
          <w:tcPr>
            <w:tcW w:w="728" w:type="dxa"/>
            <w:tcBorders>
              <w:top w:val="single" w:sz="8" w:space="0" w:color="FFFFFF"/>
              <w:bottom w:val="single" w:sz="8" w:space="0" w:color="FFFFFF"/>
            </w:tcBorders>
            <w:shd w:val="clear" w:color="auto" w:fill="D6E3BC" w:themeFill="accent3" w:themeFillTint="66"/>
          </w:tcPr>
          <w:p w14:paraId="2021853D"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41014B8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0E15D777"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7878CE6"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shd w:val="clear" w:color="auto" w:fill="D6E3BC" w:themeFill="accent3" w:themeFillTint="66"/>
            <w:vAlign w:val="center"/>
          </w:tcPr>
          <w:p w14:paraId="26355D4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68481ADF"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Australian smelt</w:t>
            </w:r>
          </w:p>
        </w:tc>
        <w:tc>
          <w:tcPr>
            <w:tcW w:w="1858" w:type="dxa"/>
            <w:shd w:val="clear" w:color="auto" w:fill="D6E3BC" w:themeFill="accent3" w:themeFillTint="66"/>
          </w:tcPr>
          <w:p w14:paraId="313BD20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18</w:t>
            </w:r>
          </w:p>
        </w:tc>
        <w:tc>
          <w:tcPr>
            <w:tcW w:w="728" w:type="dxa"/>
            <w:shd w:val="clear" w:color="auto" w:fill="D6E3BC" w:themeFill="accent3" w:themeFillTint="66"/>
          </w:tcPr>
          <w:p w14:paraId="5EF60BE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2034365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409244D9"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76F7AF9E"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171933D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3CE77BA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8" w:space="0" w:color="FFFFFF"/>
            </w:tcBorders>
            <w:shd w:val="clear" w:color="auto" w:fill="D6E3BC" w:themeFill="accent3" w:themeFillTint="66"/>
          </w:tcPr>
          <w:p w14:paraId="1780864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tcBorders>
              <w:top w:val="single" w:sz="8" w:space="0" w:color="FFFFFF"/>
              <w:bottom w:val="single" w:sz="8" w:space="0" w:color="FFFFFF"/>
            </w:tcBorders>
            <w:shd w:val="clear" w:color="auto" w:fill="D6E3BC" w:themeFill="accent3" w:themeFillTint="66"/>
          </w:tcPr>
          <w:p w14:paraId="38AAF607"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11AD4DE7"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6623E045"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46681FEF"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shd w:val="clear" w:color="auto" w:fill="EAF1DD" w:themeFill="accent3" w:themeFillTint="33"/>
            <w:vAlign w:val="center"/>
          </w:tcPr>
          <w:p w14:paraId="239DEB4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2017-2018</w:t>
            </w:r>
          </w:p>
        </w:tc>
        <w:tc>
          <w:tcPr>
            <w:tcW w:w="1701" w:type="dxa"/>
            <w:shd w:val="clear" w:color="auto" w:fill="EAF1DD" w:themeFill="accent3" w:themeFillTint="33"/>
          </w:tcPr>
          <w:p w14:paraId="7C57689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40536CD9"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23</w:t>
            </w:r>
          </w:p>
        </w:tc>
        <w:tc>
          <w:tcPr>
            <w:tcW w:w="728" w:type="dxa"/>
            <w:shd w:val="clear" w:color="auto" w:fill="EAF1DD" w:themeFill="accent3" w:themeFillTint="33"/>
          </w:tcPr>
          <w:p w14:paraId="5B83A98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2017</w:t>
            </w:r>
          </w:p>
        </w:tc>
        <w:tc>
          <w:tcPr>
            <w:tcW w:w="728" w:type="dxa"/>
            <w:shd w:val="clear" w:color="auto" w:fill="EAF1DD" w:themeFill="accent3" w:themeFillTint="33"/>
          </w:tcPr>
          <w:p w14:paraId="650AB08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2F9B20CB"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095FA91C"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bottom w:val="single" w:sz="18" w:space="0" w:color="FFFFFF"/>
            </w:tcBorders>
            <w:shd w:val="clear" w:color="auto" w:fill="EAF1DD" w:themeFill="accent3" w:themeFillTint="33"/>
            <w:vAlign w:val="center"/>
          </w:tcPr>
          <w:p w14:paraId="35E75C2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18" w:space="0" w:color="FFFFFF"/>
            </w:tcBorders>
            <w:shd w:val="clear" w:color="auto" w:fill="EAF1DD" w:themeFill="accent3" w:themeFillTint="33"/>
          </w:tcPr>
          <w:p w14:paraId="07C835B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18" w:space="0" w:color="FFFFFF"/>
            </w:tcBorders>
            <w:shd w:val="clear" w:color="auto" w:fill="EAF1DD" w:themeFill="accent3" w:themeFillTint="33"/>
          </w:tcPr>
          <w:p w14:paraId="26C181A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tcBorders>
              <w:top w:val="single" w:sz="8" w:space="0" w:color="FFFFFF"/>
              <w:bottom w:val="single" w:sz="18" w:space="0" w:color="FFFFFF"/>
            </w:tcBorders>
            <w:shd w:val="clear" w:color="auto" w:fill="EAF1DD" w:themeFill="accent3" w:themeFillTint="33"/>
          </w:tcPr>
          <w:p w14:paraId="6896B04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18" w:space="0" w:color="FFFFFF"/>
            </w:tcBorders>
            <w:shd w:val="clear" w:color="auto" w:fill="EAF1DD" w:themeFill="accent3" w:themeFillTint="33"/>
          </w:tcPr>
          <w:p w14:paraId="77F5E69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2018</w:t>
            </w:r>
          </w:p>
        </w:tc>
      </w:tr>
      <w:tr w:rsidR="00C42E08" w:rsidRPr="00D81C0B" w14:paraId="5629E3BD"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6D45D699"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18" w:space="0" w:color="FFFFFF"/>
              <w:bottom w:val="single" w:sz="6" w:space="0" w:color="FFFFFF"/>
              <w:right w:val="single" w:sz="6" w:space="0" w:color="FFFFFF"/>
            </w:tcBorders>
            <w:shd w:val="clear" w:color="auto" w:fill="D6E3BC" w:themeFill="accent3" w:themeFillTint="66"/>
            <w:vAlign w:val="center"/>
          </w:tcPr>
          <w:p w14:paraId="2B46970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2015-2019</w:t>
            </w:r>
          </w:p>
        </w:tc>
        <w:tc>
          <w:tcPr>
            <w:tcW w:w="1701" w:type="dxa"/>
            <w:tcBorders>
              <w:top w:val="single" w:sz="18" w:space="0" w:color="FFFFFF"/>
              <w:left w:val="single" w:sz="6" w:space="0" w:color="FFFFFF"/>
              <w:bottom w:val="single" w:sz="6" w:space="0" w:color="FFFFFF"/>
              <w:right w:val="single" w:sz="6" w:space="0" w:color="FFFFFF"/>
            </w:tcBorders>
            <w:shd w:val="clear" w:color="auto" w:fill="D6E3BC" w:themeFill="accent3" w:themeFillTint="66"/>
            <w:vAlign w:val="bottom"/>
          </w:tcPr>
          <w:p w14:paraId="4E1CD3A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carp gudgeon</w:t>
            </w:r>
          </w:p>
        </w:tc>
        <w:tc>
          <w:tcPr>
            <w:tcW w:w="1858" w:type="dxa"/>
            <w:tcBorders>
              <w:top w:val="single" w:sz="18" w:space="0" w:color="FFFFFF"/>
              <w:left w:val="single" w:sz="6" w:space="0" w:color="FFFFFF"/>
              <w:bottom w:val="single" w:sz="6" w:space="0" w:color="FFFFFF"/>
              <w:right w:val="single" w:sz="6" w:space="0" w:color="FFFFFF"/>
            </w:tcBorders>
            <w:shd w:val="clear" w:color="auto" w:fill="D6E3BC" w:themeFill="accent3" w:themeFillTint="66"/>
            <w:vAlign w:val="bottom"/>
          </w:tcPr>
          <w:p w14:paraId="42F0FEB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18</w:t>
            </w:r>
          </w:p>
        </w:tc>
        <w:tc>
          <w:tcPr>
            <w:tcW w:w="728" w:type="dxa"/>
            <w:tcBorders>
              <w:top w:val="single" w:sz="18" w:space="0" w:color="FFFFFF"/>
              <w:left w:val="single" w:sz="6" w:space="0" w:color="FFFFFF"/>
              <w:bottom w:val="single" w:sz="6" w:space="0" w:color="FFFFFF"/>
              <w:right w:val="single" w:sz="6" w:space="0" w:color="FFFFFF"/>
            </w:tcBorders>
            <w:shd w:val="clear" w:color="auto" w:fill="D6E3BC" w:themeFill="accent3" w:themeFillTint="66"/>
            <w:vAlign w:val="bottom"/>
          </w:tcPr>
          <w:p w14:paraId="3268AA2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tcBorders>
              <w:top w:val="single" w:sz="18" w:space="0" w:color="FFFFFF"/>
              <w:left w:val="single" w:sz="6" w:space="0" w:color="FFFFFF"/>
              <w:bottom w:val="single" w:sz="6" w:space="0" w:color="FFFFFF"/>
            </w:tcBorders>
            <w:shd w:val="clear" w:color="auto" w:fill="D6E3BC" w:themeFill="accent3" w:themeFillTint="66"/>
            <w:vAlign w:val="bottom"/>
          </w:tcPr>
          <w:p w14:paraId="745403F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2019</w:t>
            </w:r>
          </w:p>
        </w:tc>
      </w:tr>
      <w:tr w:rsidR="00C42E08" w:rsidRPr="00D81C0B" w14:paraId="204E2E16"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2012B9FB"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bottom w:val="single" w:sz="6" w:space="0" w:color="FFFFFF"/>
            </w:tcBorders>
            <w:shd w:val="clear" w:color="auto" w:fill="D6E3BC" w:themeFill="accent3" w:themeFillTint="66"/>
            <w:vAlign w:val="center"/>
          </w:tcPr>
          <w:p w14:paraId="09759061"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bottom w:val="single" w:sz="6" w:space="0" w:color="FFFFFF"/>
            </w:tcBorders>
            <w:shd w:val="clear" w:color="auto" w:fill="D6E3BC" w:themeFill="accent3" w:themeFillTint="66"/>
            <w:vAlign w:val="bottom"/>
          </w:tcPr>
          <w:p w14:paraId="7E308392"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06640C">
              <w:rPr>
                <w:color w:val="000000"/>
                <w:sz w:val="18"/>
                <w:szCs w:val="18"/>
              </w:rPr>
              <w:t>Murray cod</w:t>
            </w:r>
          </w:p>
        </w:tc>
        <w:tc>
          <w:tcPr>
            <w:tcW w:w="1858" w:type="dxa"/>
            <w:tcBorders>
              <w:top w:val="single" w:sz="6" w:space="0" w:color="FFFFFF"/>
              <w:bottom w:val="single" w:sz="6" w:space="0" w:color="FFFFFF"/>
            </w:tcBorders>
            <w:shd w:val="clear" w:color="auto" w:fill="D6E3BC" w:themeFill="accent3" w:themeFillTint="66"/>
            <w:vAlign w:val="bottom"/>
          </w:tcPr>
          <w:p w14:paraId="263469E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06640C">
              <w:rPr>
                <w:color w:val="000000"/>
                <w:sz w:val="18"/>
                <w:szCs w:val="18"/>
              </w:rPr>
              <w:t>13</w:t>
            </w:r>
          </w:p>
        </w:tc>
        <w:tc>
          <w:tcPr>
            <w:tcW w:w="728" w:type="dxa"/>
            <w:tcBorders>
              <w:top w:val="single" w:sz="6" w:space="0" w:color="FFFFFF"/>
              <w:bottom w:val="single" w:sz="6" w:space="0" w:color="FFFFFF"/>
            </w:tcBorders>
            <w:shd w:val="clear" w:color="auto" w:fill="D6E3BC" w:themeFill="accent3" w:themeFillTint="66"/>
            <w:vAlign w:val="bottom"/>
          </w:tcPr>
          <w:p w14:paraId="43D0ACE6"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6" w:space="0" w:color="FFFFFF"/>
              <w:bottom w:val="single" w:sz="6" w:space="0" w:color="FFFFFF"/>
            </w:tcBorders>
            <w:shd w:val="clear" w:color="auto" w:fill="D6E3BC" w:themeFill="accent3" w:themeFillTint="66"/>
            <w:vAlign w:val="bottom"/>
          </w:tcPr>
          <w:p w14:paraId="3785BA7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06640C">
              <w:rPr>
                <w:color w:val="000000"/>
                <w:sz w:val="18"/>
                <w:szCs w:val="18"/>
              </w:rPr>
              <w:t>2015</w:t>
            </w:r>
          </w:p>
        </w:tc>
      </w:tr>
      <w:tr w:rsidR="00C42E08" w:rsidRPr="00D81C0B" w14:paraId="546CE576"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724ABBD6"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bottom w:val="single" w:sz="6" w:space="0" w:color="FFFFFF"/>
              <w:right w:val="single" w:sz="6" w:space="0" w:color="FFFFFF"/>
            </w:tcBorders>
            <w:shd w:val="clear" w:color="auto" w:fill="D6E3BC" w:themeFill="accent3" w:themeFillTint="66"/>
            <w:vAlign w:val="center"/>
          </w:tcPr>
          <w:p w14:paraId="3814E34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145FC8E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goldfish</w:t>
            </w:r>
          </w:p>
        </w:tc>
        <w:tc>
          <w:tcPr>
            <w:tcW w:w="185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39AA080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12</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4B03A9E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tcBorders>
              <w:top w:val="single" w:sz="6" w:space="0" w:color="FFFFFF"/>
              <w:left w:val="single" w:sz="6" w:space="0" w:color="FFFFFF"/>
              <w:bottom w:val="single" w:sz="6" w:space="0" w:color="FFFFFF"/>
            </w:tcBorders>
            <w:shd w:val="clear" w:color="auto" w:fill="D6E3BC" w:themeFill="accent3" w:themeFillTint="66"/>
            <w:vAlign w:val="bottom"/>
          </w:tcPr>
          <w:p w14:paraId="669A9C59"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color w:val="000000"/>
                <w:sz w:val="18"/>
                <w:szCs w:val="18"/>
              </w:rPr>
              <w:t>2019</w:t>
            </w:r>
          </w:p>
        </w:tc>
      </w:tr>
      <w:tr w:rsidR="00C42E08" w:rsidRPr="00D81C0B" w14:paraId="63086AD9"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70ABC59E"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6" w:space="0" w:color="FFFFFF"/>
              <w:bottom w:val="single" w:sz="6" w:space="0" w:color="FFFFFF"/>
            </w:tcBorders>
            <w:shd w:val="clear" w:color="auto" w:fill="EAF1DD" w:themeFill="accent3" w:themeFillTint="33"/>
            <w:vAlign w:val="center"/>
          </w:tcPr>
          <w:p w14:paraId="08C931D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2016-2019</w:t>
            </w:r>
          </w:p>
        </w:tc>
        <w:tc>
          <w:tcPr>
            <w:tcW w:w="1701" w:type="dxa"/>
            <w:tcBorders>
              <w:top w:val="single" w:sz="6" w:space="0" w:color="FFFFFF"/>
              <w:bottom w:val="single" w:sz="6" w:space="0" w:color="FFFFFF"/>
            </w:tcBorders>
            <w:shd w:val="clear" w:color="auto" w:fill="EAF1DD" w:themeFill="accent3" w:themeFillTint="33"/>
            <w:vAlign w:val="bottom"/>
          </w:tcPr>
          <w:p w14:paraId="298AC1AE"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carp gudgeon</w:t>
            </w:r>
          </w:p>
        </w:tc>
        <w:tc>
          <w:tcPr>
            <w:tcW w:w="1858" w:type="dxa"/>
            <w:tcBorders>
              <w:top w:val="single" w:sz="6" w:space="0" w:color="FFFFFF"/>
              <w:bottom w:val="single" w:sz="6" w:space="0" w:color="FFFFFF"/>
            </w:tcBorders>
            <w:shd w:val="clear" w:color="auto" w:fill="EAF1DD" w:themeFill="accent3" w:themeFillTint="33"/>
            <w:vAlign w:val="bottom"/>
          </w:tcPr>
          <w:p w14:paraId="4B34F43F"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18</w:t>
            </w:r>
          </w:p>
        </w:tc>
        <w:tc>
          <w:tcPr>
            <w:tcW w:w="728" w:type="dxa"/>
            <w:tcBorders>
              <w:top w:val="single" w:sz="6" w:space="0" w:color="FFFFFF"/>
              <w:bottom w:val="single" w:sz="6" w:space="0" w:color="FFFFFF"/>
            </w:tcBorders>
            <w:shd w:val="clear" w:color="auto" w:fill="EAF1DD" w:themeFill="accent3" w:themeFillTint="33"/>
            <w:vAlign w:val="bottom"/>
          </w:tcPr>
          <w:p w14:paraId="498AEC07"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728" w:type="dxa"/>
            <w:tcBorders>
              <w:top w:val="single" w:sz="6" w:space="0" w:color="FFFFFF"/>
              <w:bottom w:val="single" w:sz="6" w:space="0" w:color="FFFFFF"/>
            </w:tcBorders>
            <w:shd w:val="clear" w:color="auto" w:fill="EAF1DD" w:themeFill="accent3" w:themeFillTint="33"/>
            <w:vAlign w:val="bottom"/>
          </w:tcPr>
          <w:p w14:paraId="718DABE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06640C">
              <w:rPr>
                <w:color w:val="000000"/>
                <w:sz w:val="18"/>
                <w:szCs w:val="18"/>
              </w:rPr>
              <w:t>2019</w:t>
            </w:r>
          </w:p>
        </w:tc>
      </w:tr>
      <w:tr w:rsidR="00C42E08" w:rsidRPr="00D81C0B" w14:paraId="3C5D5489"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54F7EE02"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bottom w:val="single" w:sz="6" w:space="0" w:color="FFFFFF"/>
              <w:right w:val="single" w:sz="6" w:space="0" w:color="FFFFFF"/>
            </w:tcBorders>
            <w:shd w:val="clear" w:color="auto" w:fill="EAF1DD" w:themeFill="accent3" w:themeFillTint="33"/>
            <w:vAlign w:val="center"/>
          </w:tcPr>
          <w:p w14:paraId="4672A123"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369C9076"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bony herring</w:t>
            </w:r>
          </w:p>
        </w:tc>
        <w:tc>
          <w:tcPr>
            <w:tcW w:w="185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2F5EC30E"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13</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616DAECD"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2016</w:t>
            </w:r>
          </w:p>
        </w:tc>
        <w:tc>
          <w:tcPr>
            <w:tcW w:w="728" w:type="dxa"/>
            <w:tcBorders>
              <w:top w:val="single" w:sz="6" w:space="0" w:color="FFFFFF"/>
              <w:left w:val="single" w:sz="6" w:space="0" w:color="FFFFFF"/>
              <w:bottom w:val="single" w:sz="6" w:space="0" w:color="FFFFFF"/>
            </w:tcBorders>
            <w:shd w:val="clear" w:color="auto" w:fill="EAF1DD" w:themeFill="accent3" w:themeFillTint="33"/>
            <w:vAlign w:val="bottom"/>
          </w:tcPr>
          <w:p w14:paraId="47D7C99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1FBE814E"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vAlign w:val="center"/>
          </w:tcPr>
          <w:p w14:paraId="6380EBD3"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bottom w:val="single" w:sz="6" w:space="0" w:color="FFFFFF"/>
            </w:tcBorders>
            <w:shd w:val="clear" w:color="auto" w:fill="EAF1DD" w:themeFill="accent3" w:themeFillTint="33"/>
            <w:vAlign w:val="center"/>
          </w:tcPr>
          <w:p w14:paraId="63E3F89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bottom w:val="single" w:sz="6" w:space="0" w:color="FFFFFF"/>
            </w:tcBorders>
            <w:shd w:val="clear" w:color="auto" w:fill="EAF1DD" w:themeFill="accent3" w:themeFillTint="33"/>
            <w:vAlign w:val="bottom"/>
          </w:tcPr>
          <w:p w14:paraId="3BC55549"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eastern gambusia</w:t>
            </w:r>
          </w:p>
        </w:tc>
        <w:tc>
          <w:tcPr>
            <w:tcW w:w="1858" w:type="dxa"/>
            <w:tcBorders>
              <w:top w:val="single" w:sz="6" w:space="0" w:color="FFFFFF"/>
              <w:bottom w:val="single" w:sz="6" w:space="0" w:color="FFFFFF"/>
            </w:tcBorders>
            <w:shd w:val="clear" w:color="auto" w:fill="EAF1DD" w:themeFill="accent3" w:themeFillTint="33"/>
            <w:vAlign w:val="bottom"/>
          </w:tcPr>
          <w:p w14:paraId="1C65987B"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13</w:t>
            </w:r>
          </w:p>
        </w:tc>
        <w:tc>
          <w:tcPr>
            <w:tcW w:w="728" w:type="dxa"/>
            <w:tcBorders>
              <w:top w:val="single" w:sz="6" w:space="0" w:color="FFFFFF"/>
              <w:bottom w:val="single" w:sz="6" w:space="0" w:color="FFFFFF"/>
            </w:tcBorders>
            <w:shd w:val="clear" w:color="auto" w:fill="EAF1DD" w:themeFill="accent3" w:themeFillTint="33"/>
            <w:vAlign w:val="bottom"/>
          </w:tcPr>
          <w:p w14:paraId="00975AB0"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2016</w:t>
            </w:r>
          </w:p>
        </w:tc>
        <w:tc>
          <w:tcPr>
            <w:tcW w:w="728" w:type="dxa"/>
            <w:tcBorders>
              <w:top w:val="single" w:sz="6" w:space="0" w:color="FFFFFF"/>
              <w:bottom w:val="single" w:sz="6" w:space="0" w:color="FFFFFF"/>
            </w:tcBorders>
            <w:shd w:val="clear" w:color="auto" w:fill="EAF1DD" w:themeFill="accent3" w:themeFillTint="33"/>
            <w:vAlign w:val="bottom"/>
          </w:tcPr>
          <w:p w14:paraId="497EC7A9"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7F7A21A7"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6A734348"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6" w:space="0" w:color="FFFFFF"/>
              <w:left w:val="single" w:sz="18" w:space="0" w:color="FFFFFF"/>
              <w:bottom w:val="single" w:sz="6" w:space="0" w:color="FFFFFF"/>
              <w:right w:val="single" w:sz="6" w:space="0" w:color="FFFFFF"/>
            </w:tcBorders>
            <w:shd w:val="clear" w:color="auto" w:fill="D6E3BC" w:themeFill="accent3" w:themeFillTint="66"/>
            <w:vAlign w:val="center"/>
          </w:tcPr>
          <w:p w14:paraId="62E918F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2017-2019</w:t>
            </w:r>
          </w:p>
        </w:tc>
        <w:tc>
          <w:tcPr>
            <w:tcW w:w="1701"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236FA695"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common carp</w:t>
            </w:r>
          </w:p>
        </w:tc>
        <w:tc>
          <w:tcPr>
            <w:tcW w:w="185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0D56565B"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32</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443BABB0"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2017</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4036557B"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2804AF45"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0B69F8EF"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left w:val="single" w:sz="18" w:space="0" w:color="FFFFFF"/>
              <w:bottom w:val="single" w:sz="6" w:space="0" w:color="FFFFFF"/>
              <w:right w:val="single" w:sz="6" w:space="0" w:color="FFFFFF"/>
            </w:tcBorders>
            <w:shd w:val="clear" w:color="auto" w:fill="D6E3BC" w:themeFill="accent3" w:themeFillTint="66"/>
            <w:vAlign w:val="center"/>
          </w:tcPr>
          <w:p w14:paraId="7B7FA6A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6B28B5CC"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eastern gambusia</w:t>
            </w:r>
          </w:p>
        </w:tc>
        <w:tc>
          <w:tcPr>
            <w:tcW w:w="185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13D3333F"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14</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2861AD2A"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2017</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463CDD5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57E86492"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56C4C148"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left w:val="single" w:sz="18" w:space="0" w:color="FFFFFF"/>
              <w:bottom w:val="single" w:sz="6" w:space="0" w:color="FFFFFF"/>
              <w:right w:val="single" w:sz="6" w:space="0" w:color="FFFFFF"/>
            </w:tcBorders>
            <w:shd w:val="clear" w:color="auto" w:fill="D6E3BC" w:themeFill="accent3" w:themeFillTint="66"/>
            <w:vAlign w:val="center"/>
          </w:tcPr>
          <w:p w14:paraId="5537D17B"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596C2BDB"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goldfish</w:t>
            </w:r>
          </w:p>
        </w:tc>
        <w:tc>
          <w:tcPr>
            <w:tcW w:w="185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25DB5809"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11</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6ACD2530"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2017</w:t>
            </w:r>
          </w:p>
        </w:tc>
        <w:tc>
          <w:tcPr>
            <w:tcW w:w="728" w:type="dxa"/>
            <w:tcBorders>
              <w:top w:val="single" w:sz="6" w:space="0" w:color="FFFFFF"/>
              <w:left w:val="single" w:sz="6" w:space="0" w:color="FFFFFF"/>
              <w:bottom w:val="single" w:sz="6" w:space="0" w:color="FFFFFF"/>
              <w:right w:val="single" w:sz="6" w:space="0" w:color="FFFFFF"/>
            </w:tcBorders>
            <w:shd w:val="clear" w:color="auto" w:fill="D6E3BC" w:themeFill="accent3" w:themeFillTint="66"/>
            <w:vAlign w:val="bottom"/>
          </w:tcPr>
          <w:p w14:paraId="5B188D0F"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399AFE9B"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09671301"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val="restart"/>
            <w:tcBorders>
              <w:top w:val="single" w:sz="6" w:space="0" w:color="FFFFFF"/>
              <w:left w:val="single" w:sz="18" w:space="0" w:color="FFFFFF"/>
              <w:bottom w:val="single" w:sz="6" w:space="0" w:color="FFFFFF"/>
              <w:right w:val="single" w:sz="6" w:space="0" w:color="FFFFFF"/>
            </w:tcBorders>
            <w:shd w:val="clear" w:color="auto" w:fill="EAF1DD" w:themeFill="accent3" w:themeFillTint="33"/>
            <w:vAlign w:val="center"/>
          </w:tcPr>
          <w:p w14:paraId="5250B84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2018-2019</w:t>
            </w:r>
          </w:p>
        </w:tc>
        <w:tc>
          <w:tcPr>
            <w:tcW w:w="1701"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7DBB1884"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Australian smelt</w:t>
            </w:r>
          </w:p>
        </w:tc>
        <w:tc>
          <w:tcPr>
            <w:tcW w:w="185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0DA88926"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25</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15A240C3"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2018</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0C9B3709"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22ABF8DD"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0A264BD7"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left w:val="single" w:sz="18" w:space="0" w:color="FFFFFF"/>
              <w:bottom w:val="single" w:sz="6" w:space="0" w:color="FFFFFF"/>
              <w:right w:val="single" w:sz="6" w:space="0" w:color="FFFFFF"/>
            </w:tcBorders>
            <w:shd w:val="clear" w:color="auto" w:fill="EAF1DD" w:themeFill="accent3" w:themeFillTint="33"/>
            <w:vAlign w:val="center"/>
          </w:tcPr>
          <w:p w14:paraId="7A382E2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58506198"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carp gudgeon</w:t>
            </w:r>
          </w:p>
        </w:tc>
        <w:tc>
          <w:tcPr>
            <w:tcW w:w="185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1EBCD7C4"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22</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4DAE41FC" w14:textId="77777777" w:rsidR="00C42E08" w:rsidRPr="0006640C"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color w:val="000000"/>
                <w:sz w:val="18"/>
                <w:szCs w:val="18"/>
              </w:rPr>
            </w:pPr>
            <w:r w:rsidRPr="0006640C">
              <w:rPr>
                <w:color w:val="000000"/>
                <w:sz w:val="18"/>
                <w:szCs w:val="18"/>
              </w:rPr>
              <w:t>2018</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31263AD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132E3580"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Borders>
              <w:right w:val="single" w:sz="18" w:space="0" w:color="FFFFFF"/>
            </w:tcBorders>
            <w:vAlign w:val="center"/>
          </w:tcPr>
          <w:p w14:paraId="3A76F6F3" w14:textId="77777777" w:rsidR="00C42E08" w:rsidRPr="00F17664" w:rsidRDefault="00C42E08" w:rsidP="00E12DBE">
            <w:pPr>
              <w:spacing w:before="10" w:after="10"/>
              <w:rPr>
                <w:rFonts w:asciiTheme="minorHAnsi" w:hAnsiTheme="minorHAnsi"/>
                <w:iCs/>
                <w:caps/>
                <w:color w:val="FFFFFF" w:themeColor="background1"/>
                <w:sz w:val="18"/>
                <w:szCs w:val="18"/>
              </w:rPr>
            </w:pPr>
          </w:p>
        </w:tc>
        <w:tc>
          <w:tcPr>
            <w:tcW w:w="1750" w:type="dxa"/>
            <w:vMerge/>
            <w:tcBorders>
              <w:top w:val="single" w:sz="6" w:space="0" w:color="FFFFFF"/>
              <w:left w:val="single" w:sz="18" w:space="0" w:color="FFFFFF"/>
              <w:bottom w:val="single" w:sz="6" w:space="0" w:color="FFFFFF"/>
              <w:right w:val="single" w:sz="6" w:space="0" w:color="FFFFFF"/>
            </w:tcBorders>
            <w:shd w:val="clear" w:color="auto" w:fill="EAF1DD" w:themeFill="accent3" w:themeFillTint="33"/>
            <w:vAlign w:val="center"/>
          </w:tcPr>
          <w:p w14:paraId="00EC98C1"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0FACDABD"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bony herring</w:t>
            </w:r>
          </w:p>
        </w:tc>
        <w:tc>
          <w:tcPr>
            <w:tcW w:w="185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75504818"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16</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23EAB858" w14:textId="77777777" w:rsidR="00C42E08" w:rsidRPr="0006640C"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color w:val="000000"/>
                <w:sz w:val="18"/>
                <w:szCs w:val="18"/>
              </w:rPr>
            </w:pPr>
            <w:r w:rsidRPr="0006640C">
              <w:rPr>
                <w:color w:val="000000"/>
                <w:sz w:val="18"/>
                <w:szCs w:val="18"/>
              </w:rPr>
              <w:t>2018</w:t>
            </w:r>
          </w:p>
        </w:tc>
        <w:tc>
          <w:tcPr>
            <w:tcW w:w="728" w:type="dxa"/>
            <w:tcBorders>
              <w:top w:val="single" w:sz="6" w:space="0" w:color="FFFFFF"/>
              <w:left w:val="single" w:sz="6" w:space="0" w:color="FFFFFF"/>
              <w:bottom w:val="single" w:sz="6" w:space="0" w:color="FFFFFF"/>
              <w:right w:val="single" w:sz="6" w:space="0" w:color="FFFFFF"/>
            </w:tcBorders>
            <w:shd w:val="clear" w:color="auto" w:fill="EAF1DD" w:themeFill="accent3" w:themeFillTint="33"/>
            <w:vAlign w:val="bottom"/>
          </w:tcPr>
          <w:p w14:paraId="7EAECE5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bl>
    <w:p w14:paraId="74AE9393" w14:textId="686067B6" w:rsidR="00C42E08" w:rsidRDefault="00C42E08">
      <w:pPr>
        <w:spacing w:before="0" w:after="0"/>
      </w:pPr>
    </w:p>
    <w:p w14:paraId="631313DD" w14:textId="6C35D0EB" w:rsidR="00C42E08" w:rsidRDefault="00C42E08">
      <w:pPr>
        <w:spacing w:before="0" w:after="0"/>
      </w:pPr>
      <w:r>
        <w:br w:type="page"/>
      </w:r>
    </w:p>
    <w:p w14:paraId="65A30AE7" w14:textId="48527DA3" w:rsidR="00C42E08" w:rsidRDefault="00C42E08" w:rsidP="00C42E08">
      <w:pPr>
        <w:pStyle w:val="Caption"/>
      </w:pPr>
      <w:bookmarkStart w:id="333" w:name="_Ref31969855"/>
      <w:bookmarkStart w:id="334" w:name="_Toc31985681"/>
      <w:r w:rsidRPr="00D81C0B">
        <w:t xml:space="preserve">Table </w:t>
      </w:r>
      <w:r>
        <w:rPr>
          <w:noProof/>
        </w:rPr>
        <w:fldChar w:fldCharType="begin"/>
      </w:r>
      <w:r>
        <w:rPr>
          <w:noProof/>
        </w:rPr>
        <w:instrText xml:space="preserve"> SEQ Table \* ARABIC </w:instrText>
      </w:r>
      <w:r>
        <w:rPr>
          <w:noProof/>
        </w:rPr>
        <w:fldChar w:fldCharType="separate"/>
      </w:r>
      <w:r w:rsidR="007F7607">
        <w:rPr>
          <w:noProof/>
        </w:rPr>
        <w:t>14</w:t>
      </w:r>
      <w:r>
        <w:rPr>
          <w:noProof/>
        </w:rPr>
        <w:fldChar w:fldCharType="end"/>
      </w:r>
      <w:bookmarkEnd w:id="333"/>
      <w:r w:rsidRPr="00D81C0B">
        <w:t xml:space="preserve">. Contributions of fish species biomass to variability among years in the </w:t>
      </w:r>
      <w:r>
        <w:t xml:space="preserve">Lower </w:t>
      </w:r>
      <w:r w:rsidRPr="00D81C0B">
        <w:t>Lachlan River, determined thro</w:t>
      </w:r>
      <w:r>
        <w:t>ugh SIMPER analysis.</w:t>
      </w:r>
      <w:bookmarkEnd w:id="334"/>
      <w:r>
        <w:t xml:space="preserve"> </w:t>
      </w:r>
    </w:p>
    <w:p w14:paraId="3AE62CDD" w14:textId="6DE4F890" w:rsidR="00C42E08" w:rsidRDefault="00C42E08" w:rsidP="00C42E08">
      <w:pPr>
        <w:pStyle w:val="Caption"/>
      </w:pPr>
      <w:r w:rsidRPr="00D81C0B">
        <w:t>Note that only</w:t>
      </w:r>
      <w:r>
        <w:t xml:space="preserve"> the top</w:t>
      </w:r>
      <w:r w:rsidRPr="00D81C0B">
        <w:t xml:space="preserve"> </w:t>
      </w:r>
      <w:r>
        <w:t xml:space="preserve">3 </w:t>
      </w:r>
      <w:r w:rsidRPr="00D81C0B">
        <w:t>species contributing (dissimilarity) to changes in community composition are included. Comparisons between 2015 and 2016 are not included as there were no significant differences in biomass.</w:t>
      </w:r>
    </w:p>
    <w:p w14:paraId="2C30F99E" w14:textId="77777777" w:rsidR="00C42E08" w:rsidRPr="00C42E08" w:rsidRDefault="00C42E08" w:rsidP="00C42E08"/>
    <w:tbl>
      <w:tblPr>
        <w:tblStyle w:val="MediumGrid3-Accent3"/>
        <w:tblW w:w="7958" w:type="dxa"/>
        <w:tblLook w:val="04A0" w:firstRow="1" w:lastRow="0" w:firstColumn="1" w:lastColumn="0" w:noHBand="0" w:noVBand="1"/>
      </w:tblPr>
      <w:tblGrid>
        <w:gridCol w:w="1193"/>
        <w:gridCol w:w="1750"/>
        <w:gridCol w:w="1701"/>
        <w:gridCol w:w="1858"/>
        <w:gridCol w:w="728"/>
        <w:gridCol w:w="728"/>
      </w:tblGrid>
      <w:tr w:rsidR="00C42E08" w:rsidRPr="00F17664" w14:paraId="2F7E3498" w14:textId="77777777" w:rsidTr="00E12D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93" w:type="dxa"/>
            <w:tcBorders>
              <w:bottom w:val="single" w:sz="18" w:space="0" w:color="FFFFFF"/>
            </w:tcBorders>
          </w:tcPr>
          <w:p w14:paraId="00FE44B2" w14:textId="77777777" w:rsidR="00C42E08" w:rsidRPr="00F17664" w:rsidRDefault="00C42E08" w:rsidP="00C42E08">
            <w:pPr>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Indicator</w:t>
            </w:r>
          </w:p>
        </w:tc>
        <w:tc>
          <w:tcPr>
            <w:tcW w:w="1750" w:type="dxa"/>
            <w:tcBorders>
              <w:bottom w:val="single" w:sz="18" w:space="0" w:color="FFFFFF"/>
            </w:tcBorders>
          </w:tcPr>
          <w:p w14:paraId="359E1DBB"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comparison</w:t>
            </w:r>
          </w:p>
        </w:tc>
        <w:tc>
          <w:tcPr>
            <w:tcW w:w="1701" w:type="dxa"/>
            <w:tcBorders>
              <w:bottom w:val="single" w:sz="18" w:space="0" w:color="FFFFFF"/>
            </w:tcBorders>
          </w:tcPr>
          <w:p w14:paraId="0DE76A33"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Species</w:t>
            </w:r>
          </w:p>
        </w:tc>
        <w:tc>
          <w:tcPr>
            <w:tcW w:w="1858" w:type="dxa"/>
            <w:tcBorders>
              <w:bottom w:val="single" w:sz="18" w:space="0" w:color="FFFFFF"/>
            </w:tcBorders>
          </w:tcPr>
          <w:p w14:paraId="01E1EE9D"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Contribution to difference (%)</w:t>
            </w:r>
          </w:p>
        </w:tc>
        <w:tc>
          <w:tcPr>
            <w:tcW w:w="1456" w:type="dxa"/>
            <w:gridSpan w:val="2"/>
            <w:tcBorders>
              <w:bottom w:val="single" w:sz="18" w:space="0" w:color="FFFFFF"/>
            </w:tcBorders>
          </w:tcPr>
          <w:p w14:paraId="538BA678" w14:textId="77777777" w:rsidR="00C42E08" w:rsidRPr="00F17664" w:rsidRDefault="00C42E08" w:rsidP="00C42E08">
            <w:pPr>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with greater value</w:t>
            </w:r>
          </w:p>
        </w:tc>
      </w:tr>
      <w:tr w:rsidR="00C42E08" w:rsidRPr="00D81C0B" w14:paraId="281171C1"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restart"/>
            <w:tcBorders>
              <w:top w:val="single" w:sz="18" w:space="0" w:color="FFFFFF"/>
            </w:tcBorders>
            <w:textDirection w:val="btLr"/>
            <w:vAlign w:val="center"/>
          </w:tcPr>
          <w:p w14:paraId="17B48463" w14:textId="77777777" w:rsidR="00C42E08" w:rsidRPr="00F17664" w:rsidRDefault="00C42E08" w:rsidP="00E12DBE">
            <w:pPr>
              <w:spacing w:before="10" w:after="10"/>
              <w:ind w:left="113" w:right="113"/>
              <w:jc w:val="center"/>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Biomass</w:t>
            </w:r>
          </w:p>
        </w:tc>
        <w:tc>
          <w:tcPr>
            <w:tcW w:w="1750" w:type="dxa"/>
            <w:vMerge w:val="restart"/>
            <w:tcBorders>
              <w:top w:val="single" w:sz="6" w:space="0" w:color="FFFFFF"/>
            </w:tcBorders>
            <w:shd w:val="clear" w:color="auto" w:fill="D6E3BC" w:themeFill="accent3" w:themeFillTint="66"/>
            <w:vAlign w:val="center"/>
          </w:tcPr>
          <w:p w14:paraId="0347834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2015-2017</w:t>
            </w:r>
          </w:p>
        </w:tc>
        <w:tc>
          <w:tcPr>
            <w:tcW w:w="1701" w:type="dxa"/>
            <w:tcBorders>
              <w:top w:val="single" w:sz="6" w:space="0" w:color="FFFFFF"/>
            </w:tcBorders>
            <w:shd w:val="clear" w:color="auto" w:fill="D6E3BC" w:themeFill="accent3" w:themeFillTint="66"/>
          </w:tcPr>
          <w:p w14:paraId="69845FA2"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tcBorders>
              <w:top w:val="single" w:sz="6" w:space="0" w:color="FFFFFF"/>
            </w:tcBorders>
            <w:shd w:val="clear" w:color="auto" w:fill="D6E3BC" w:themeFill="accent3" w:themeFillTint="66"/>
          </w:tcPr>
          <w:p w14:paraId="1655BB13"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34</w:t>
            </w:r>
          </w:p>
        </w:tc>
        <w:tc>
          <w:tcPr>
            <w:tcW w:w="728" w:type="dxa"/>
            <w:tcBorders>
              <w:top w:val="single" w:sz="6" w:space="0" w:color="FFFFFF"/>
            </w:tcBorders>
            <w:shd w:val="clear" w:color="auto" w:fill="D6E3BC" w:themeFill="accent3" w:themeFillTint="66"/>
          </w:tcPr>
          <w:p w14:paraId="71F67DA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tcBorders>
              <w:top w:val="single" w:sz="6" w:space="0" w:color="FFFFFF"/>
            </w:tcBorders>
            <w:shd w:val="clear" w:color="auto" w:fill="D6E3BC" w:themeFill="accent3" w:themeFillTint="66"/>
          </w:tcPr>
          <w:p w14:paraId="183E460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4F67214D"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4045D294"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51AC4CF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5A1140F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D6E3BC" w:themeFill="accent3" w:themeFillTint="66"/>
          </w:tcPr>
          <w:p w14:paraId="62F7695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w:t>
            </w:r>
          </w:p>
        </w:tc>
        <w:tc>
          <w:tcPr>
            <w:tcW w:w="728" w:type="dxa"/>
            <w:shd w:val="clear" w:color="auto" w:fill="D6E3BC" w:themeFill="accent3" w:themeFillTint="66"/>
          </w:tcPr>
          <w:p w14:paraId="48917F0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10C4225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0A7E88EB"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427566CE"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2CF5D2E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6DA8377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shd w:val="clear" w:color="auto" w:fill="D6E3BC" w:themeFill="accent3" w:themeFillTint="66"/>
          </w:tcPr>
          <w:p w14:paraId="6963AFE2"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shd w:val="clear" w:color="auto" w:fill="D6E3BC" w:themeFill="accent3" w:themeFillTint="66"/>
          </w:tcPr>
          <w:p w14:paraId="305F560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D6E3BC" w:themeFill="accent3" w:themeFillTint="66"/>
          </w:tcPr>
          <w:p w14:paraId="54743E1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32523AB7"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33575851"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shd w:val="clear" w:color="auto" w:fill="EAF1DD" w:themeFill="accent3" w:themeFillTint="33"/>
            <w:vAlign w:val="center"/>
          </w:tcPr>
          <w:p w14:paraId="38E3F71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2015-2018</w:t>
            </w:r>
          </w:p>
        </w:tc>
        <w:tc>
          <w:tcPr>
            <w:tcW w:w="1701" w:type="dxa"/>
            <w:shd w:val="clear" w:color="auto" w:fill="EAF1DD" w:themeFill="accent3" w:themeFillTint="33"/>
          </w:tcPr>
          <w:p w14:paraId="1C8A0046"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753940A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25</w:t>
            </w:r>
          </w:p>
        </w:tc>
        <w:tc>
          <w:tcPr>
            <w:tcW w:w="728" w:type="dxa"/>
            <w:shd w:val="clear" w:color="auto" w:fill="EAF1DD" w:themeFill="accent3" w:themeFillTint="33"/>
          </w:tcPr>
          <w:p w14:paraId="3071AAC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EAF1DD" w:themeFill="accent3" w:themeFillTint="33"/>
          </w:tcPr>
          <w:p w14:paraId="13B2181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47AFE58F"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17A33F99"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6CCB7E23"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55B2EF5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4C94A25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14</w:t>
            </w:r>
          </w:p>
        </w:tc>
        <w:tc>
          <w:tcPr>
            <w:tcW w:w="728" w:type="dxa"/>
            <w:shd w:val="clear" w:color="auto" w:fill="EAF1DD" w:themeFill="accent3" w:themeFillTint="33"/>
          </w:tcPr>
          <w:p w14:paraId="7D25A7B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28A11BB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01CED4E0"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420688C0"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0FB8F38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4562A03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73A822BB"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14</w:t>
            </w:r>
          </w:p>
        </w:tc>
        <w:tc>
          <w:tcPr>
            <w:tcW w:w="728" w:type="dxa"/>
            <w:shd w:val="clear" w:color="auto" w:fill="EAF1DD" w:themeFill="accent3" w:themeFillTint="33"/>
          </w:tcPr>
          <w:p w14:paraId="14496336"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5E6FCB1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657EEAE8"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6C94C98"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shd w:val="clear" w:color="auto" w:fill="D6E3BC" w:themeFill="accent3" w:themeFillTint="66"/>
            <w:vAlign w:val="center"/>
          </w:tcPr>
          <w:p w14:paraId="238C5E6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2016-2017</w:t>
            </w:r>
          </w:p>
        </w:tc>
        <w:tc>
          <w:tcPr>
            <w:tcW w:w="1701" w:type="dxa"/>
            <w:shd w:val="clear" w:color="auto" w:fill="D6E3BC" w:themeFill="accent3" w:themeFillTint="66"/>
          </w:tcPr>
          <w:p w14:paraId="5B0E77A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D6E3BC" w:themeFill="accent3" w:themeFillTint="66"/>
          </w:tcPr>
          <w:p w14:paraId="5510FA2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shd w:val="clear" w:color="auto" w:fill="D6E3BC" w:themeFill="accent3" w:themeFillTint="66"/>
          </w:tcPr>
          <w:p w14:paraId="0759F57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w:t>
            </w:r>
          </w:p>
        </w:tc>
        <w:tc>
          <w:tcPr>
            <w:tcW w:w="728" w:type="dxa"/>
            <w:shd w:val="clear" w:color="auto" w:fill="D6E3BC" w:themeFill="accent3" w:themeFillTint="66"/>
          </w:tcPr>
          <w:p w14:paraId="212A0E9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1CB2416D"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5106B2A0"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08FF96F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5050533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D6E3BC" w:themeFill="accent3" w:themeFillTint="66"/>
          </w:tcPr>
          <w:p w14:paraId="3494F64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27</w:t>
            </w:r>
          </w:p>
        </w:tc>
        <w:tc>
          <w:tcPr>
            <w:tcW w:w="728" w:type="dxa"/>
            <w:shd w:val="clear" w:color="auto" w:fill="D6E3BC" w:themeFill="accent3" w:themeFillTint="66"/>
          </w:tcPr>
          <w:p w14:paraId="51B94D26"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4CD1839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564765B5"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D84B8F4"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67B857FB"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2614356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D6E3BC" w:themeFill="accent3" w:themeFillTint="66"/>
          </w:tcPr>
          <w:p w14:paraId="705104CF"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shd w:val="clear" w:color="auto" w:fill="D6E3BC" w:themeFill="accent3" w:themeFillTint="66"/>
          </w:tcPr>
          <w:p w14:paraId="6F325DF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7A4C257F"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C42E08" w:rsidRPr="00D81C0B" w14:paraId="4181FCF5"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0C15B23D"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shd w:val="clear" w:color="auto" w:fill="EAF1DD" w:themeFill="accent3" w:themeFillTint="33"/>
            <w:vAlign w:val="center"/>
          </w:tcPr>
          <w:p w14:paraId="37638DB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2016-2018</w:t>
            </w:r>
          </w:p>
        </w:tc>
        <w:tc>
          <w:tcPr>
            <w:tcW w:w="1701" w:type="dxa"/>
            <w:shd w:val="clear" w:color="auto" w:fill="EAF1DD" w:themeFill="accent3" w:themeFillTint="33"/>
          </w:tcPr>
          <w:p w14:paraId="013FE712"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0B904541"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22</w:t>
            </w:r>
          </w:p>
        </w:tc>
        <w:tc>
          <w:tcPr>
            <w:tcW w:w="728" w:type="dxa"/>
            <w:shd w:val="clear" w:color="auto" w:fill="EAF1DD" w:themeFill="accent3" w:themeFillTint="33"/>
          </w:tcPr>
          <w:p w14:paraId="38BD8C6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w:t>
            </w:r>
          </w:p>
        </w:tc>
        <w:tc>
          <w:tcPr>
            <w:tcW w:w="728" w:type="dxa"/>
            <w:shd w:val="clear" w:color="auto" w:fill="EAF1DD" w:themeFill="accent3" w:themeFillTint="33"/>
          </w:tcPr>
          <w:p w14:paraId="5AC137AE"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39C9AF05"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32D20850"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3E95BF9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11E3546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592AB442"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shd w:val="clear" w:color="auto" w:fill="EAF1DD" w:themeFill="accent3" w:themeFillTint="33"/>
          </w:tcPr>
          <w:p w14:paraId="56523FF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2C6BAC9C"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412F06D8"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094C1E33"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482F33A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55DDCFE2"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397CE3C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shd w:val="clear" w:color="auto" w:fill="EAF1DD" w:themeFill="accent3" w:themeFillTint="33"/>
          </w:tcPr>
          <w:p w14:paraId="0739FDA4"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56C43B97"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C42E08" w:rsidRPr="00D81C0B" w14:paraId="16B90A19"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44265107"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shd w:val="clear" w:color="auto" w:fill="D6E3BC" w:themeFill="accent3" w:themeFillTint="66"/>
            <w:vAlign w:val="center"/>
          </w:tcPr>
          <w:p w14:paraId="0CFF5B1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2017-2018</w:t>
            </w:r>
          </w:p>
        </w:tc>
        <w:tc>
          <w:tcPr>
            <w:tcW w:w="1701" w:type="dxa"/>
            <w:shd w:val="clear" w:color="auto" w:fill="D6E3BC" w:themeFill="accent3" w:themeFillTint="66"/>
          </w:tcPr>
          <w:p w14:paraId="3B56BAF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D6E3BC" w:themeFill="accent3" w:themeFillTint="66"/>
          </w:tcPr>
          <w:p w14:paraId="094EF990"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27</w:t>
            </w:r>
          </w:p>
        </w:tc>
        <w:tc>
          <w:tcPr>
            <w:tcW w:w="728" w:type="dxa"/>
            <w:shd w:val="clear" w:color="auto" w:fill="D6E3BC" w:themeFill="accent3" w:themeFillTint="66"/>
          </w:tcPr>
          <w:p w14:paraId="35C8B16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6F4A76B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2018</w:t>
            </w:r>
          </w:p>
        </w:tc>
      </w:tr>
      <w:tr w:rsidR="00C42E08" w:rsidRPr="00D81C0B" w14:paraId="7FFBE233"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53C51CCD"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4BEEB56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1FB1C42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D6E3BC" w:themeFill="accent3" w:themeFillTint="66"/>
          </w:tcPr>
          <w:p w14:paraId="01BDD0B4"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21</w:t>
            </w:r>
          </w:p>
        </w:tc>
        <w:tc>
          <w:tcPr>
            <w:tcW w:w="728" w:type="dxa"/>
            <w:shd w:val="clear" w:color="auto" w:fill="D6E3BC" w:themeFill="accent3" w:themeFillTint="66"/>
          </w:tcPr>
          <w:p w14:paraId="69FC2B0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c>
          <w:tcPr>
            <w:tcW w:w="728" w:type="dxa"/>
            <w:shd w:val="clear" w:color="auto" w:fill="D6E3BC" w:themeFill="accent3" w:themeFillTint="66"/>
          </w:tcPr>
          <w:p w14:paraId="0A0BC11B"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60F41D77"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D21C3F9"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136814A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1AEC30F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D6E3BC" w:themeFill="accent3" w:themeFillTint="66"/>
          </w:tcPr>
          <w:p w14:paraId="7220453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15</w:t>
            </w:r>
          </w:p>
        </w:tc>
        <w:tc>
          <w:tcPr>
            <w:tcW w:w="728" w:type="dxa"/>
            <w:shd w:val="clear" w:color="auto" w:fill="D6E3BC" w:themeFill="accent3" w:themeFillTint="66"/>
          </w:tcPr>
          <w:p w14:paraId="5B0BE04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c>
          <w:tcPr>
            <w:tcW w:w="728" w:type="dxa"/>
            <w:shd w:val="clear" w:color="auto" w:fill="D6E3BC" w:themeFill="accent3" w:themeFillTint="66"/>
          </w:tcPr>
          <w:p w14:paraId="71A84F3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59497539"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101B3D78"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tcBorders>
              <w:top w:val="single" w:sz="8" w:space="0" w:color="FFFFFF"/>
              <w:bottom w:val="single" w:sz="8" w:space="0" w:color="FFFFFF"/>
            </w:tcBorders>
            <w:shd w:val="clear" w:color="auto" w:fill="EAF1DD" w:themeFill="accent3" w:themeFillTint="33"/>
            <w:vAlign w:val="center"/>
          </w:tcPr>
          <w:p w14:paraId="0011D2E7"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2015-2019</w:t>
            </w:r>
          </w:p>
        </w:tc>
        <w:tc>
          <w:tcPr>
            <w:tcW w:w="1701" w:type="dxa"/>
            <w:tcBorders>
              <w:top w:val="single" w:sz="8" w:space="0" w:color="FFFFFF"/>
              <w:bottom w:val="single" w:sz="8" w:space="0" w:color="FFFFFF"/>
            </w:tcBorders>
            <w:shd w:val="clear" w:color="auto" w:fill="EAF1DD" w:themeFill="accent3" w:themeFillTint="33"/>
            <w:vAlign w:val="bottom"/>
          </w:tcPr>
          <w:p w14:paraId="46D4A522"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Murray cod</w:t>
            </w:r>
          </w:p>
        </w:tc>
        <w:tc>
          <w:tcPr>
            <w:tcW w:w="1858" w:type="dxa"/>
            <w:tcBorders>
              <w:top w:val="single" w:sz="8" w:space="0" w:color="FFFFFF"/>
              <w:bottom w:val="single" w:sz="8" w:space="0" w:color="FFFFFF"/>
            </w:tcBorders>
            <w:shd w:val="clear" w:color="auto" w:fill="EAF1DD" w:themeFill="accent3" w:themeFillTint="33"/>
            <w:vAlign w:val="bottom"/>
          </w:tcPr>
          <w:p w14:paraId="66CFF28D"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25</w:t>
            </w:r>
          </w:p>
        </w:tc>
        <w:tc>
          <w:tcPr>
            <w:tcW w:w="728" w:type="dxa"/>
            <w:tcBorders>
              <w:top w:val="single" w:sz="8" w:space="0" w:color="FFFFFF"/>
              <w:bottom w:val="single" w:sz="8" w:space="0" w:color="FFFFFF"/>
            </w:tcBorders>
            <w:shd w:val="clear" w:color="auto" w:fill="EAF1DD" w:themeFill="accent3" w:themeFillTint="33"/>
            <w:vAlign w:val="bottom"/>
          </w:tcPr>
          <w:p w14:paraId="5298F399"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2015</w:t>
            </w:r>
          </w:p>
        </w:tc>
        <w:tc>
          <w:tcPr>
            <w:tcW w:w="728" w:type="dxa"/>
            <w:tcBorders>
              <w:top w:val="single" w:sz="8" w:space="0" w:color="FFFFFF"/>
              <w:bottom w:val="single" w:sz="8" w:space="0" w:color="FFFFFF"/>
            </w:tcBorders>
            <w:shd w:val="clear" w:color="auto" w:fill="EAF1DD" w:themeFill="accent3" w:themeFillTint="33"/>
          </w:tcPr>
          <w:p w14:paraId="50C60F6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31AC58F5"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222FC3F"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4333F658"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vAlign w:val="bottom"/>
          </w:tcPr>
          <w:p w14:paraId="3B7E78BE"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common carp</w:t>
            </w:r>
          </w:p>
        </w:tc>
        <w:tc>
          <w:tcPr>
            <w:tcW w:w="1858" w:type="dxa"/>
            <w:shd w:val="clear" w:color="auto" w:fill="EAF1DD" w:themeFill="accent3" w:themeFillTint="33"/>
            <w:vAlign w:val="bottom"/>
          </w:tcPr>
          <w:p w14:paraId="7DEAE4A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14</w:t>
            </w:r>
          </w:p>
        </w:tc>
        <w:tc>
          <w:tcPr>
            <w:tcW w:w="728" w:type="dxa"/>
            <w:shd w:val="clear" w:color="auto" w:fill="EAF1DD" w:themeFill="accent3" w:themeFillTint="33"/>
            <w:vAlign w:val="bottom"/>
          </w:tcPr>
          <w:p w14:paraId="37525CB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2015</w:t>
            </w:r>
          </w:p>
        </w:tc>
        <w:tc>
          <w:tcPr>
            <w:tcW w:w="728" w:type="dxa"/>
            <w:shd w:val="clear" w:color="auto" w:fill="EAF1DD" w:themeFill="accent3" w:themeFillTint="33"/>
          </w:tcPr>
          <w:p w14:paraId="6DBAC88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4608D0F3"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3BDD8E8A"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tcBorders>
              <w:top w:val="single" w:sz="8" w:space="0" w:color="FFFFFF"/>
              <w:bottom w:val="single" w:sz="8" w:space="0" w:color="FFFFFF"/>
            </w:tcBorders>
            <w:shd w:val="clear" w:color="auto" w:fill="EAF1DD" w:themeFill="accent3" w:themeFillTint="33"/>
            <w:vAlign w:val="center"/>
          </w:tcPr>
          <w:p w14:paraId="3DB20E5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vAlign w:val="bottom"/>
          </w:tcPr>
          <w:p w14:paraId="72DBE62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golden perch</w:t>
            </w:r>
          </w:p>
        </w:tc>
        <w:tc>
          <w:tcPr>
            <w:tcW w:w="1858" w:type="dxa"/>
            <w:tcBorders>
              <w:top w:val="single" w:sz="8" w:space="0" w:color="FFFFFF"/>
              <w:bottom w:val="single" w:sz="8" w:space="0" w:color="FFFFFF"/>
            </w:tcBorders>
            <w:shd w:val="clear" w:color="auto" w:fill="EAF1DD" w:themeFill="accent3" w:themeFillTint="33"/>
            <w:vAlign w:val="bottom"/>
          </w:tcPr>
          <w:p w14:paraId="7919773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13</w:t>
            </w:r>
          </w:p>
        </w:tc>
        <w:tc>
          <w:tcPr>
            <w:tcW w:w="728" w:type="dxa"/>
            <w:tcBorders>
              <w:top w:val="single" w:sz="8" w:space="0" w:color="FFFFFF"/>
              <w:bottom w:val="single" w:sz="8" w:space="0" w:color="FFFFFF"/>
            </w:tcBorders>
            <w:shd w:val="clear" w:color="auto" w:fill="EAF1DD" w:themeFill="accent3" w:themeFillTint="33"/>
            <w:vAlign w:val="bottom"/>
          </w:tcPr>
          <w:p w14:paraId="60FFDF1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2015</w:t>
            </w:r>
          </w:p>
        </w:tc>
        <w:tc>
          <w:tcPr>
            <w:tcW w:w="728" w:type="dxa"/>
            <w:tcBorders>
              <w:top w:val="single" w:sz="8" w:space="0" w:color="FFFFFF"/>
              <w:bottom w:val="single" w:sz="8" w:space="0" w:color="FFFFFF"/>
            </w:tcBorders>
            <w:shd w:val="clear" w:color="auto" w:fill="EAF1DD" w:themeFill="accent3" w:themeFillTint="33"/>
          </w:tcPr>
          <w:p w14:paraId="531E21F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656CE52F"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5B44CF2B"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shd w:val="clear" w:color="auto" w:fill="D6E3BC" w:themeFill="accent3" w:themeFillTint="66"/>
            <w:vAlign w:val="center"/>
          </w:tcPr>
          <w:p w14:paraId="79CC9D1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2017-2019</w:t>
            </w:r>
          </w:p>
        </w:tc>
        <w:tc>
          <w:tcPr>
            <w:tcW w:w="1701" w:type="dxa"/>
            <w:shd w:val="clear" w:color="auto" w:fill="D6E3BC" w:themeFill="accent3" w:themeFillTint="66"/>
            <w:vAlign w:val="bottom"/>
          </w:tcPr>
          <w:p w14:paraId="39B3F1A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common carp</w:t>
            </w:r>
          </w:p>
        </w:tc>
        <w:tc>
          <w:tcPr>
            <w:tcW w:w="1858" w:type="dxa"/>
            <w:shd w:val="clear" w:color="auto" w:fill="D6E3BC" w:themeFill="accent3" w:themeFillTint="66"/>
            <w:vAlign w:val="bottom"/>
          </w:tcPr>
          <w:p w14:paraId="474A22E1"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26</w:t>
            </w:r>
          </w:p>
        </w:tc>
        <w:tc>
          <w:tcPr>
            <w:tcW w:w="728" w:type="dxa"/>
            <w:shd w:val="clear" w:color="auto" w:fill="D6E3BC" w:themeFill="accent3" w:themeFillTint="66"/>
            <w:vAlign w:val="bottom"/>
          </w:tcPr>
          <w:p w14:paraId="0228E6B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2017</w:t>
            </w:r>
          </w:p>
        </w:tc>
        <w:tc>
          <w:tcPr>
            <w:tcW w:w="728" w:type="dxa"/>
            <w:shd w:val="clear" w:color="auto" w:fill="D6E3BC" w:themeFill="accent3" w:themeFillTint="66"/>
          </w:tcPr>
          <w:p w14:paraId="762786D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447D809D"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1DA12F64"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tcPr>
          <w:p w14:paraId="4BA3D7B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vAlign w:val="bottom"/>
          </w:tcPr>
          <w:p w14:paraId="6797266C"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Murray cod</w:t>
            </w:r>
          </w:p>
        </w:tc>
        <w:tc>
          <w:tcPr>
            <w:tcW w:w="1858" w:type="dxa"/>
            <w:shd w:val="clear" w:color="auto" w:fill="D6E3BC" w:themeFill="accent3" w:themeFillTint="66"/>
            <w:vAlign w:val="bottom"/>
          </w:tcPr>
          <w:p w14:paraId="2CA9FE1D"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24</w:t>
            </w:r>
          </w:p>
        </w:tc>
        <w:tc>
          <w:tcPr>
            <w:tcW w:w="728" w:type="dxa"/>
            <w:shd w:val="clear" w:color="auto" w:fill="D6E3BC" w:themeFill="accent3" w:themeFillTint="66"/>
            <w:vAlign w:val="bottom"/>
          </w:tcPr>
          <w:p w14:paraId="1086623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0E71F2D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2019</w:t>
            </w:r>
          </w:p>
        </w:tc>
      </w:tr>
      <w:tr w:rsidR="00C42E08" w:rsidRPr="00D81C0B" w14:paraId="753BAEE7"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1DBBD975"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tcPr>
          <w:p w14:paraId="4A922FD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vAlign w:val="bottom"/>
          </w:tcPr>
          <w:p w14:paraId="65428992"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goldfish</w:t>
            </w:r>
          </w:p>
        </w:tc>
        <w:tc>
          <w:tcPr>
            <w:tcW w:w="1858" w:type="dxa"/>
            <w:shd w:val="clear" w:color="auto" w:fill="D6E3BC" w:themeFill="accent3" w:themeFillTint="66"/>
            <w:vAlign w:val="bottom"/>
          </w:tcPr>
          <w:p w14:paraId="44A49BE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13</w:t>
            </w:r>
          </w:p>
        </w:tc>
        <w:tc>
          <w:tcPr>
            <w:tcW w:w="728" w:type="dxa"/>
            <w:shd w:val="clear" w:color="auto" w:fill="D6E3BC" w:themeFill="accent3" w:themeFillTint="66"/>
            <w:vAlign w:val="bottom"/>
          </w:tcPr>
          <w:p w14:paraId="79FDBC0A"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2017</w:t>
            </w:r>
          </w:p>
        </w:tc>
        <w:tc>
          <w:tcPr>
            <w:tcW w:w="728" w:type="dxa"/>
            <w:shd w:val="clear" w:color="auto" w:fill="D6E3BC" w:themeFill="accent3" w:themeFillTint="66"/>
          </w:tcPr>
          <w:p w14:paraId="1623C4A5"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158F2C91"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0DB1C045"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val="restart"/>
            <w:tcBorders>
              <w:top w:val="single" w:sz="8" w:space="0" w:color="FFFFFF"/>
              <w:bottom w:val="single" w:sz="8" w:space="0" w:color="FFFFFF"/>
            </w:tcBorders>
            <w:shd w:val="clear" w:color="auto" w:fill="EAF1DD" w:themeFill="accent3" w:themeFillTint="33"/>
          </w:tcPr>
          <w:p w14:paraId="7729BD5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rFonts w:asciiTheme="minorHAnsi" w:hAnsiTheme="minorHAnsi"/>
                <w:bCs/>
                <w:iCs/>
                <w:sz w:val="18"/>
                <w:szCs w:val="18"/>
              </w:rPr>
              <w:t>2018-2019</w:t>
            </w:r>
          </w:p>
        </w:tc>
        <w:tc>
          <w:tcPr>
            <w:tcW w:w="1701" w:type="dxa"/>
            <w:tcBorders>
              <w:top w:val="single" w:sz="8" w:space="0" w:color="FFFFFF"/>
              <w:bottom w:val="single" w:sz="8" w:space="0" w:color="FFFFFF"/>
            </w:tcBorders>
            <w:shd w:val="clear" w:color="auto" w:fill="EAF1DD" w:themeFill="accent3" w:themeFillTint="33"/>
            <w:vAlign w:val="bottom"/>
          </w:tcPr>
          <w:p w14:paraId="17521EEF"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bony herring</w:t>
            </w:r>
          </w:p>
        </w:tc>
        <w:tc>
          <w:tcPr>
            <w:tcW w:w="1858" w:type="dxa"/>
            <w:tcBorders>
              <w:top w:val="single" w:sz="8" w:space="0" w:color="FFFFFF"/>
              <w:bottom w:val="single" w:sz="8" w:space="0" w:color="FFFFFF"/>
            </w:tcBorders>
            <w:shd w:val="clear" w:color="auto" w:fill="EAF1DD" w:themeFill="accent3" w:themeFillTint="33"/>
            <w:vAlign w:val="bottom"/>
          </w:tcPr>
          <w:p w14:paraId="44796667"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17</w:t>
            </w:r>
          </w:p>
        </w:tc>
        <w:tc>
          <w:tcPr>
            <w:tcW w:w="728" w:type="dxa"/>
            <w:tcBorders>
              <w:top w:val="single" w:sz="8" w:space="0" w:color="FFFFFF"/>
              <w:bottom w:val="single" w:sz="8" w:space="0" w:color="FFFFFF"/>
            </w:tcBorders>
            <w:shd w:val="clear" w:color="auto" w:fill="EAF1DD" w:themeFill="accent3" w:themeFillTint="33"/>
            <w:vAlign w:val="bottom"/>
          </w:tcPr>
          <w:p w14:paraId="005A6460"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2018</w:t>
            </w:r>
          </w:p>
        </w:tc>
        <w:tc>
          <w:tcPr>
            <w:tcW w:w="728" w:type="dxa"/>
            <w:tcBorders>
              <w:top w:val="single" w:sz="8" w:space="0" w:color="FFFFFF"/>
              <w:bottom w:val="single" w:sz="8" w:space="0" w:color="FFFFFF"/>
            </w:tcBorders>
            <w:shd w:val="clear" w:color="auto" w:fill="EAF1DD" w:themeFill="accent3" w:themeFillTint="33"/>
          </w:tcPr>
          <w:p w14:paraId="26C95A0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C42E08" w:rsidRPr="00D81C0B" w14:paraId="343104C2" w14:textId="77777777" w:rsidTr="00E12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30AD61C3"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tcPr>
          <w:p w14:paraId="068C3A54"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vAlign w:val="bottom"/>
          </w:tcPr>
          <w:p w14:paraId="4CA65CBD"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common carp</w:t>
            </w:r>
          </w:p>
        </w:tc>
        <w:tc>
          <w:tcPr>
            <w:tcW w:w="1858" w:type="dxa"/>
            <w:shd w:val="clear" w:color="auto" w:fill="EAF1DD" w:themeFill="accent3" w:themeFillTint="33"/>
            <w:vAlign w:val="bottom"/>
          </w:tcPr>
          <w:p w14:paraId="2540AFA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17</w:t>
            </w:r>
          </w:p>
        </w:tc>
        <w:tc>
          <w:tcPr>
            <w:tcW w:w="728" w:type="dxa"/>
            <w:shd w:val="clear" w:color="auto" w:fill="EAF1DD" w:themeFill="accent3" w:themeFillTint="33"/>
            <w:vAlign w:val="bottom"/>
          </w:tcPr>
          <w:p w14:paraId="3D9F7036"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color w:val="000000"/>
                <w:sz w:val="18"/>
                <w:szCs w:val="18"/>
              </w:rPr>
              <w:t>2018</w:t>
            </w:r>
          </w:p>
        </w:tc>
        <w:tc>
          <w:tcPr>
            <w:tcW w:w="728" w:type="dxa"/>
            <w:shd w:val="clear" w:color="auto" w:fill="EAF1DD" w:themeFill="accent3" w:themeFillTint="33"/>
          </w:tcPr>
          <w:p w14:paraId="28A09997" w14:textId="77777777" w:rsidR="00C42E08" w:rsidRPr="00D81C0B" w:rsidRDefault="00C42E08" w:rsidP="00C42E08">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C42E08" w:rsidRPr="00D81C0B" w14:paraId="51DDC63C" w14:textId="77777777" w:rsidTr="00E12DBE">
        <w:tc>
          <w:tcPr>
            <w:cnfStyle w:val="001000000000" w:firstRow="0" w:lastRow="0" w:firstColumn="1" w:lastColumn="0" w:oddVBand="0" w:evenVBand="0" w:oddHBand="0" w:evenHBand="0" w:firstRowFirstColumn="0" w:firstRowLastColumn="0" w:lastRowFirstColumn="0" w:lastRowLastColumn="0"/>
            <w:tcW w:w="1193" w:type="dxa"/>
            <w:vMerge/>
          </w:tcPr>
          <w:p w14:paraId="57904437" w14:textId="77777777" w:rsidR="00C42E08" w:rsidRPr="00D81C0B" w:rsidRDefault="00C42E08" w:rsidP="00E12DBE">
            <w:pPr>
              <w:spacing w:before="10" w:after="10"/>
              <w:rPr>
                <w:rFonts w:asciiTheme="minorHAnsi" w:hAnsiTheme="minorHAnsi"/>
                <w:iCs/>
                <w:color w:val="FFFFFF" w:themeColor="background1"/>
                <w:sz w:val="18"/>
                <w:szCs w:val="18"/>
              </w:rPr>
            </w:pPr>
          </w:p>
        </w:tc>
        <w:tc>
          <w:tcPr>
            <w:tcW w:w="1750" w:type="dxa"/>
            <w:vMerge/>
            <w:tcBorders>
              <w:top w:val="single" w:sz="8" w:space="0" w:color="FFFFFF"/>
              <w:bottom w:val="single" w:sz="8" w:space="0" w:color="FFFFFF"/>
            </w:tcBorders>
            <w:shd w:val="clear" w:color="auto" w:fill="EAF1DD" w:themeFill="accent3" w:themeFillTint="33"/>
          </w:tcPr>
          <w:p w14:paraId="5495E598"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vAlign w:val="bottom"/>
          </w:tcPr>
          <w:p w14:paraId="1595DC7A"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goldfish</w:t>
            </w:r>
          </w:p>
        </w:tc>
        <w:tc>
          <w:tcPr>
            <w:tcW w:w="1858" w:type="dxa"/>
            <w:tcBorders>
              <w:top w:val="single" w:sz="8" w:space="0" w:color="FFFFFF"/>
              <w:bottom w:val="single" w:sz="8" w:space="0" w:color="FFFFFF"/>
            </w:tcBorders>
            <w:shd w:val="clear" w:color="auto" w:fill="EAF1DD" w:themeFill="accent3" w:themeFillTint="33"/>
            <w:vAlign w:val="bottom"/>
          </w:tcPr>
          <w:p w14:paraId="3137E925"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16</w:t>
            </w:r>
          </w:p>
        </w:tc>
        <w:tc>
          <w:tcPr>
            <w:tcW w:w="728" w:type="dxa"/>
            <w:tcBorders>
              <w:top w:val="single" w:sz="8" w:space="0" w:color="FFFFFF"/>
              <w:bottom w:val="single" w:sz="8" w:space="0" w:color="FFFFFF"/>
            </w:tcBorders>
            <w:shd w:val="clear" w:color="auto" w:fill="EAF1DD" w:themeFill="accent3" w:themeFillTint="33"/>
            <w:vAlign w:val="bottom"/>
          </w:tcPr>
          <w:p w14:paraId="48F80C74"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color w:val="000000"/>
                <w:sz w:val="18"/>
                <w:szCs w:val="18"/>
              </w:rPr>
              <w:t>2018</w:t>
            </w:r>
          </w:p>
        </w:tc>
        <w:tc>
          <w:tcPr>
            <w:tcW w:w="728" w:type="dxa"/>
            <w:tcBorders>
              <w:top w:val="single" w:sz="8" w:space="0" w:color="FFFFFF"/>
              <w:bottom w:val="single" w:sz="8" w:space="0" w:color="FFFFFF"/>
            </w:tcBorders>
            <w:shd w:val="clear" w:color="auto" w:fill="EAF1DD" w:themeFill="accent3" w:themeFillTint="33"/>
          </w:tcPr>
          <w:p w14:paraId="6F029A13" w14:textId="77777777" w:rsidR="00C42E08" w:rsidRPr="00D81C0B" w:rsidRDefault="00C42E08" w:rsidP="00C42E08">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bl>
    <w:p w14:paraId="440AC509" w14:textId="77777777" w:rsidR="00C42E08" w:rsidRDefault="00C42E08" w:rsidP="00C42E08">
      <w:pPr>
        <w:rPr>
          <w:iCs/>
        </w:rPr>
      </w:pPr>
    </w:p>
    <w:p w14:paraId="183C0276" w14:textId="7EC4A3BC" w:rsidR="00C42E08" w:rsidRDefault="00C42E08">
      <w:pPr>
        <w:spacing w:before="0" w:after="0"/>
        <w:rPr>
          <w:rFonts w:eastAsia="Times New Roman" w:cs="Khmer UI"/>
          <w:bCs/>
          <w:i/>
          <w:sz w:val="22"/>
          <w:szCs w:val="22"/>
        </w:rPr>
      </w:pPr>
      <w:r>
        <w:br w:type="page"/>
      </w:r>
    </w:p>
    <w:p w14:paraId="10D081DD" w14:textId="2C8780D4" w:rsidR="00B04728" w:rsidRPr="00953C9E" w:rsidRDefault="00B04728" w:rsidP="00CE2EDC">
      <w:pPr>
        <w:rPr>
          <w:iCs/>
        </w:rPr>
      </w:pPr>
      <w:r>
        <w:rPr>
          <w:iCs/>
          <w:noProof/>
          <w:lang w:eastAsia="en-AU"/>
        </w:rPr>
        <w:drawing>
          <wp:inline distT="0" distB="0" distL="0" distR="0" wp14:anchorId="65661231" wp14:editId="56F2219A">
            <wp:extent cx="5731510" cy="5731510"/>
            <wp:effectExtent l="0" t="0" r="2540" b="254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tchpersite.jpg"/>
                    <pic:cNvPicPr/>
                  </pic:nvPicPr>
                  <pic:blipFill>
                    <a:blip r:embed="rId142" cstate="email">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inline>
        </w:drawing>
      </w:r>
    </w:p>
    <w:p w14:paraId="6B5EB137" w14:textId="69B5E801" w:rsidR="6FE206D7" w:rsidRDefault="6FE206D7" w:rsidP="006307CC">
      <w:pPr>
        <w:pStyle w:val="Caption"/>
      </w:pPr>
      <w:bookmarkStart w:id="335" w:name="_Toc31985611"/>
      <w:r>
        <w:t xml:space="preserve">Figure </w:t>
      </w:r>
      <w:r w:rsidRPr="6FE206D7">
        <w:rPr>
          <w:noProof/>
        </w:rPr>
        <w:fldChar w:fldCharType="begin"/>
      </w:r>
      <w:r w:rsidRPr="6FE206D7">
        <w:rPr>
          <w:noProof/>
        </w:rPr>
        <w:instrText xml:space="preserve"> SEQ Figure \* ARABIC </w:instrText>
      </w:r>
      <w:r w:rsidRPr="6FE206D7">
        <w:rPr>
          <w:noProof/>
        </w:rPr>
        <w:fldChar w:fldCharType="separate"/>
      </w:r>
      <w:r w:rsidR="007F7607">
        <w:rPr>
          <w:noProof/>
        </w:rPr>
        <w:t>47</w:t>
      </w:r>
      <w:r w:rsidRPr="6FE206D7">
        <w:rPr>
          <w:noProof/>
        </w:rPr>
        <w:fldChar w:fldCharType="end"/>
      </w:r>
      <w:r w:rsidRPr="6FE206D7">
        <w:rPr>
          <w:lang w:val="en-US"/>
        </w:rPr>
        <w:t>.</w:t>
      </w:r>
      <w:r w:rsidRPr="6FE206D7">
        <w:rPr>
          <w:b/>
          <w:lang w:val="en-US"/>
        </w:rPr>
        <w:t xml:space="preserve"> </w:t>
      </w:r>
      <w:r>
        <w:t xml:space="preserve">Catch per site (number of fish; mean </w:t>
      </w:r>
      <w:r w:rsidRPr="6FE206D7">
        <w:t>±</w:t>
      </w:r>
      <w:r>
        <w:t xml:space="preserve"> SE) of each fish species within the Lower Lachlan river system target reach, sampled from 2015-2019. Cumulative stacked bars separate the catch of juvenile (white bars) and non-juveniles (grey bars).</w:t>
      </w:r>
      <w:bookmarkEnd w:id="335"/>
    </w:p>
    <w:p w14:paraId="39940286" w14:textId="77777777" w:rsidR="00CE2EDC" w:rsidRDefault="00CE2EDC" w:rsidP="00CE2EDC"/>
    <w:p w14:paraId="7E319DE0" w14:textId="21F6CF2A" w:rsidR="00CE2EDC" w:rsidRPr="00CC25AC" w:rsidRDefault="006307CC" w:rsidP="00CE2EDC">
      <w:pPr>
        <w:rPr>
          <w:lang w:val="en-US"/>
        </w:rPr>
      </w:pPr>
      <w:r>
        <w:rPr>
          <w:noProof/>
          <w:lang w:eastAsia="en-AU"/>
        </w:rPr>
        <w:drawing>
          <wp:inline distT="0" distB="0" distL="0" distR="0" wp14:anchorId="14764ECF" wp14:editId="65E5DF88">
            <wp:extent cx="5731510" cy="5731510"/>
            <wp:effectExtent l="0" t="0" r="2540" b="254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omasspersite.jpg"/>
                    <pic:cNvPicPr/>
                  </pic:nvPicPr>
                  <pic:blipFill>
                    <a:blip r:embed="rId143" cstate="email">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inline>
        </w:drawing>
      </w:r>
    </w:p>
    <w:p w14:paraId="50829A5A" w14:textId="08B40D4E" w:rsidR="00CE2EDC" w:rsidRDefault="00CE2EDC" w:rsidP="00CE2EDC">
      <w:pPr>
        <w:pStyle w:val="Caption"/>
      </w:pPr>
      <w:bookmarkStart w:id="336" w:name="_Ref427304154"/>
      <w:bookmarkStart w:id="337" w:name="_Toc440827343"/>
      <w:bookmarkStart w:id="338" w:name="_Toc31985612"/>
      <w:r w:rsidRPr="00425FEB">
        <w:t xml:space="preserve">Figure </w:t>
      </w:r>
      <w:r>
        <w:rPr>
          <w:noProof/>
        </w:rPr>
        <w:fldChar w:fldCharType="begin"/>
      </w:r>
      <w:r>
        <w:rPr>
          <w:noProof/>
        </w:rPr>
        <w:instrText xml:space="preserve"> SEQ Figure \* ARABIC </w:instrText>
      </w:r>
      <w:r>
        <w:rPr>
          <w:noProof/>
        </w:rPr>
        <w:fldChar w:fldCharType="separate"/>
      </w:r>
      <w:r w:rsidR="007F7607">
        <w:rPr>
          <w:noProof/>
        </w:rPr>
        <w:t>48</w:t>
      </w:r>
      <w:r>
        <w:rPr>
          <w:noProof/>
        </w:rPr>
        <w:fldChar w:fldCharType="end"/>
      </w:r>
      <w:bookmarkEnd w:id="336"/>
      <w:r w:rsidRPr="00425FEB">
        <w:rPr>
          <w:lang w:val="en-US"/>
        </w:rPr>
        <w:t>.</w:t>
      </w:r>
      <w:r w:rsidRPr="00425FEB">
        <w:rPr>
          <w:b/>
          <w:lang w:val="en-US"/>
        </w:rPr>
        <w:t xml:space="preserve"> </w:t>
      </w:r>
      <w:r w:rsidRPr="00425FEB">
        <w:t xml:space="preserve">Biomass per site (g; mean </w:t>
      </w:r>
      <w:r w:rsidRPr="00425FEB">
        <w:rPr>
          <w:rFonts w:cs="Times New Roman"/>
        </w:rPr>
        <w:t>±</w:t>
      </w:r>
      <w:r w:rsidRPr="00425FEB">
        <w:t xml:space="preserve"> SE) of each fish species within the Lower Lachlan river system target reach</w:t>
      </w:r>
      <w:r>
        <w:t>,</w:t>
      </w:r>
      <w:r w:rsidRPr="00425FEB">
        <w:t xml:space="preserve"> sampled </w:t>
      </w:r>
      <w:r>
        <w:t>from 2015-2019</w:t>
      </w:r>
      <w:r w:rsidRPr="00425FEB">
        <w:t>.</w:t>
      </w:r>
      <w:bookmarkEnd w:id="337"/>
      <w:bookmarkEnd w:id="338"/>
    </w:p>
    <w:p w14:paraId="0F8426E7" w14:textId="77777777" w:rsidR="006307CC" w:rsidRPr="006307CC" w:rsidRDefault="006307CC" w:rsidP="006307CC"/>
    <w:p w14:paraId="3F94EFE2" w14:textId="3D6C66C5" w:rsidR="00CE2EDC" w:rsidRDefault="006307CC" w:rsidP="00CE2EDC">
      <w:pPr>
        <w:jc w:val="center"/>
        <w:rPr>
          <w:lang w:val="en-US"/>
        </w:rPr>
      </w:pPr>
      <w:r>
        <w:rPr>
          <w:noProof/>
          <w:lang w:eastAsia="en-AU"/>
        </w:rPr>
        <w:drawing>
          <wp:inline distT="0" distB="0" distL="0" distR="0" wp14:anchorId="02AF737B" wp14:editId="0C7B0C6D">
            <wp:extent cx="5760000" cy="4114800"/>
            <wp:effectExtent l="0" t="0" r="0" b="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engthprops.jpg"/>
                    <pic:cNvPicPr/>
                  </pic:nvPicPr>
                  <pic:blipFill>
                    <a:blip r:embed="rId144" cstate="email">
                      <a:extLst>
                        <a:ext uri="{28A0092B-C50C-407E-A947-70E740481C1C}">
                          <a14:useLocalDpi xmlns:a14="http://schemas.microsoft.com/office/drawing/2010/main"/>
                        </a:ext>
                      </a:extLst>
                    </a:blip>
                    <a:stretch>
                      <a:fillRect/>
                    </a:stretch>
                  </pic:blipFill>
                  <pic:spPr>
                    <a:xfrm>
                      <a:off x="0" y="0"/>
                      <a:ext cx="5760000" cy="4114800"/>
                    </a:xfrm>
                    <a:prstGeom prst="rect">
                      <a:avLst/>
                    </a:prstGeom>
                  </pic:spPr>
                </pic:pic>
              </a:graphicData>
            </a:graphic>
          </wp:inline>
        </w:drawing>
      </w:r>
    </w:p>
    <w:p w14:paraId="5B9F2DB1" w14:textId="55D3D789" w:rsidR="00EE2A70" w:rsidRDefault="00CE2EDC" w:rsidP="00CE2EDC">
      <w:pPr>
        <w:pStyle w:val="Caption"/>
        <w:rPr>
          <w:lang w:val="en-US"/>
        </w:rPr>
      </w:pPr>
      <w:bookmarkStart w:id="339" w:name="_Ref427304168"/>
      <w:bookmarkStart w:id="340" w:name="_Toc31985613"/>
      <w:bookmarkStart w:id="341" w:name="_Toc440827344"/>
      <w:r w:rsidRPr="00425FEB">
        <w:t xml:space="preserve">Figure </w:t>
      </w:r>
      <w:r>
        <w:rPr>
          <w:noProof/>
        </w:rPr>
        <w:fldChar w:fldCharType="begin"/>
      </w:r>
      <w:r>
        <w:rPr>
          <w:noProof/>
        </w:rPr>
        <w:instrText xml:space="preserve"> SEQ Figure \* ARABIC </w:instrText>
      </w:r>
      <w:r>
        <w:rPr>
          <w:noProof/>
        </w:rPr>
        <w:fldChar w:fldCharType="separate"/>
      </w:r>
      <w:r w:rsidR="007F7607">
        <w:rPr>
          <w:noProof/>
        </w:rPr>
        <w:t>49</w:t>
      </w:r>
      <w:r>
        <w:rPr>
          <w:noProof/>
        </w:rPr>
        <w:fldChar w:fldCharType="end"/>
      </w:r>
      <w:bookmarkEnd w:id="339"/>
      <w:r w:rsidRPr="00425FEB">
        <w:rPr>
          <w:lang w:val="en-US"/>
        </w:rPr>
        <w:t xml:space="preserve">. Proportionate length-frequencies of the six most abundant species captured in the Lachlan River </w:t>
      </w:r>
      <w:r>
        <w:rPr>
          <w:lang w:val="en-US"/>
        </w:rPr>
        <w:t>from</w:t>
      </w:r>
      <w:r w:rsidRPr="00425FEB">
        <w:rPr>
          <w:lang w:val="en-US"/>
        </w:rPr>
        <w:t xml:space="preserve"> 2015</w:t>
      </w:r>
      <w:r>
        <w:rPr>
          <w:lang w:val="en-US"/>
        </w:rPr>
        <w:t>–2019</w:t>
      </w:r>
      <w:r w:rsidRPr="00425FEB">
        <w:rPr>
          <w:lang w:val="en-US"/>
        </w:rPr>
        <w:t>.</w:t>
      </w:r>
      <w:bookmarkEnd w:id="340"/>
    </w:p>
    <w:p w14:paraId="5F2B80C7" w14:textId="4B97EC92" w:rsidR="00CE2EDC" w:rsidRPr="006307CC" w:rsidRDefault="00CE2EDC" w:rsidP="006307CC">
      <w:pPr>
        <w:rPr>
          <w:i/>
          <w:iCs/>
        </w:rPr>
      </w:pPr>
      <w:r w:rsidRPr="006307CC">
        <w:rPr>
          <w:i/>
          <w:iCs/>
        </w:rPr>
        <w:t>The dashed line indicates approximate size limits used to distinguish new recruits for each species (</w:t>
      </w:r>
      <w:r w:rsidR="00AA2021" w:rsidRPr="006307CC">
        <w:rPr>
          <w:i/>
          <w:iCs/>
        </w:rPr>
        <w:t xml:space="preserve">see </w:t>
      </w:r>
      <w:r w:rsidR="00AA2021" w:rsidRPr="006307CC">
        <w:rPr>
          <w:i/>
          <w:iCs/>
        </w:rPr>
        <w:fldChar w:fldCharType="begin"/>
      </w:r>
      <w:r w:rsidR="00AA2021" w:rsidRPr="006307CC">
        <w:rPr>
          <w:i/>
          <w:iCs/>
        </w:rPr>
        <w:instrText xml:space="preserve"> REF _Ref17974342 \h </w:instrText>
      </w:r>
      <w:r w:rsidR="006307CC" w:rsidRPr="006307CC">
        <w:rPr>
          <w:i/>
          <w:iCs/>
        </w:rPr>
        <w:instrText xml:space="preserve"> \* MERGEFORMAT </w:instrText>
      </w:r>
      <w:r w:rsidR="00AA2021" w:rsidRPr="006307CC">
        <w:rPr>
          <w:i/>
          <w:iCs/>
        </w:rPr>
      </w:r>
      <w:r w:rsidR="00AA2021" w:rsidRPr="006307CC">
        <w:rPr>
          <w:i/>
          <w:iCs/>
        </w:rPr>
        <w:fldChar w:fldCharType="separate"/>
      </w:r>
      <w:r w:rsidR="007F7607" w:rsidRPr="007F7607">
        <w:rPr>
          <w:i/>
          <w:iCs/>
        </w:rPr>
        <w:t>Table 10</w:t>
      </w:r>
      <w:r w:rsidR="00AA2021" w:rsidRPr="006307CC">
        <w:rPr>
          <w:i/>
          <w:iCs/>
        </w:rPr>
        <w:fldChar w:fldCharType="end"/>
      </w:r>
      <w:r w:rsidR="00AA2021" w:rsidRPr="006307CC">
        <w:rPr>
          <w:i/>
          <w:iCs/>
        </w:rPr>
        <w:t xml:space="preserve">, </w:t>
      </w:r>
      <w:r w:rsidR="00507E37" w:rsidRPr="006307CC">
        <w:rPr>
          <w:i/>
          <w:iCs/>
        </w:rPr>
        <w:t>p.</w:t>
      </w:r>
      <w:r w:rsidR="00AA2021" w:rsidRPr="006307CC">
        <w:rPr>
          <w:i/>
          <w:iCs/>
        </w:rPr>
        <w:t xml:space="preserve"> </w:t>
      </w:r>
      <w:r w:rsidR="00AA2021" w:rsidRPr="006307CC">
        <w:rPr>
          <w:i/>
          <w:iCs/>
        </w:rPr>
        <w:fldChar w:fldCharType="begin"/>
      </w:r>
      <w:r w:rsidR="00AA2021" w:rsidRPr="006307CC">
        <w:rPr>
          <w:i/>
          <w:iCs/>
        </w:rPr>
        <w:instrText xml:space="preserve"> PAGEREF _Ref17974346 \h </w:instrText>
      </w:r>
      <w:r w:rsidR="00AA2021" w:rsidRPr="006307CC">
        <w:rPr>
          <w:i/>
          <w:iCs/>
        </w:rPr>
      </w:r>
      <w:r w:rsidR="00AA2021" w:rsidRPr="006307CC">
        <w:rPr>
          <w:i/>
          <w:iCs/>
        </w:rPr>
        <w:fldChar w:fldCharType="separate"/>
      </w:r>
      <w:r w:rsidR="007F7607">
        <w:rPr>
          <w:i/>
          <w:iCs/>
          <w:noProof/>
        </w:rPr>
        <w:t>91</w:t>
      </w:r>
      <w:r w:rsidR="00AA2021" w:rsidRPr="006307CC">
        <w:rPr>
          <w:i/>
          <w:iCs/>
        </w:rPr>
        <w:fldChar w:fldCharType="end"/>
      </w:r>
      <w:r w:rsidRPr="006307CC">
        <w:rPr>
          <w:i/>
          <w:iCs/>
        </w:rPr>
        <w:t>)</w:t>
      </w:r>
      <w:bookmarkEnd w:id="341"/>
      <w:r w:rsidRPr="006307CC">
        <w:rPr>
          <w:i/>
          <w:iCs/>
        </w:rPr>
        <w:t>.</w:t>
      </w:r>
    </w:p>
    <w:p w14:paraId="0256D34F" w14:textId="77777777" w:rsidR="006307CC" w:rsidRPr="006307CC" w:rsidRDefault="006307CC" w:rsidP="006307CC"/>
    <w:p w14:paraId="1C9FC83A" w14:textId="7E43A4C1" w:rsidR="006307CC" w:rsidRPr="006307CC" w:rsidRDefault="006307CC" w:rsidP="006307CC">
      <w:pPr>
        <w:jc w:val="center"/>
      </w:pPr>
      <w:r w:rsidRPr="00534DAA">
        <w:rPr>
          <w:noProof/>
          <w:lang w:eastAsia="en-AU"/>
        </w:rPr>
        <w:drawing>
          <wp:inline distT="0" distB="0" distL="0" distR="0" wp14:anchorId="04148424" wp14:editId="221E0EA7">
            <wp:extent cx="4256405" cy="4256405"/>
            <wp:effectExtent l="0" t="0" r="0" b="0"/>
            <wp:docPr id="4" name="Picture 4" descr="G:\Fishnet\Research Projects\Lachlan LTIM\Data\SRA\SRAmetrics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achlan LTIM\Data\SRA\SRAmetrics3.tiff"/>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256405" cy="4256405"/>
                    </a:xfrm>
                    <a:prstGeom prst="rect">
                      <a:avLst/>
                    </a:prstGeom>
                    <a:noFill/>
                    <a:ln>
                      <a:noFill/>
                    </a:ln>
                  </pic:spPr>
                </pic:pic>
              </a:graphicData>
            </a:graphic>
          </wp:inline>
        </w:drawing>
      </w:r>
    </w:p>
    <w:p w14:paraId="7BA869F8" w14:textId="6849D2B2" w:rsidR="00AB17C9" w:rsidRDefault="00CE2EDC" w:rsidP="00CE2EDC">
      <w:pPr>
        <w:pStyle w:val="Caption"/>
        <w:rPr>
          <w:bCs w:val="0"/>
        </w:rPr>
      </w:pPr>
      <w:bookmarkStart w:id="342" w:name="_Ref31969355"/>
      <w:bookmarkStart w:id="343" w:name="_Ref31969402"/>
      <w:bookmarkStart w:id="344" w:name="_Toc31985614"/>
      <w:r w:rsidRPr="00AB2933">
        <w:rPr>
          <w:bCs w:val="0"/>
        </w:rPr>
        <w:t xml:space="preserve">Figure </w:t>
      </w:r>
      <w:r w:rsidRPr="00AB2933">
        <w:rPr>
          <w:bCs w:val="0"/>
        </w:rPr>
        <w:fldChar w:fldCharType="begin"/>
      </w:r>
      <w:r w:rsidRPr="00AB2933">
        <w:rPr>
          <w:bCs w:val="0"/>
        </w:rPr>
        <w:instrText xml:space="preserve"> SEQ Figure \* ARABIC </w:instrText>
      </w:r>
      <w:r w:rsidRPr="00AB2933">
        <w:rPr>
          <w:bCs w:val="0"/>
        </w:rPr>
        <w:fldChar w:fldCharType="separate"/>
      </w:r>
      <w:r w:rsidR="007F7607">
        <w:rPr>
          <w:bCs w:val="0"/>
          <w:noProof/>
        </w:rPr>
        <w:t>50</w:t>
      </w:r>
      <w:r w:rsidRPr="00AB2933">
        <w:rPr>
          <w:bCs w:val="0"/>
        </w:rPr>
        <w:fldChar w:fldCharType="end"/>
      </w:r>
      <w:bookmarkEnd w:id="342"/>
      <w:r w:rsidRPr="00AB2933">
        <w:rPr>
          <w:bCs w:val="0"/>
        </w:rPr>
        <w:t>. SRA metrics (score out of 100, mean ± SE) for the Lower Lachlan River system target reach from 2015–2019.</w:t>
      </w:r>
      <w:bookmarkEnd w:id="343"/>
      <w:bookmarkEnd w:id="344"/>
    </w:p>
    <w:p w14:paraId="22F82A30" w14:textId="0BDEC140" w:rsidR="00CE2EDC" w:rsidRPr="00AB2933" w:rsidRDefault="00CE2EDC" w:rsidP="00CE2EDC">
      <w:pPr>
        <w:pStyle w:val="Caption"/>
      </w:pPr>
      <w:r w:rsidRPr="00AB2933">
        <w:rPr>
          <w:bCs w:val="0"/>
        </w:rPr>
        <w:t xml:space="preserve">Note that recruitment is given a single zone-level score, rather than many site-level scores </w:t>
      </w:r>
      <w:r>
        <w:rPr>
          <w:bCs w:val="0"/>
        </w:rPr>
        <w:t>given</w:t>
      </w:r>
      <w:r w:rsidRPr="00AB2933">
        <w:rPr>
          <w:bCs w:val="0"/>
        </w:rPr>
        <w:t xml:space="preserve"> for other metrics, and so standard error cannot be calculated. </w:t>
      </w:r>
      <w:r>
        <w:rPr>
          <w:bCs w:val="0"/>
        </w:rPr>
        <w:t xml:space="preserve">Green shading represents the “good” categorical band for metric scores. </w:t>
      </w:r>
    </w:p>
    <w:p w14:paraId="25772963" w14:textId="77777777" w:rsidR="00CE2EDC" w:rsidRDefault="00CE2EDC" w:rsidP="00CE2EDC">
      <w:pPr>
        <w:pStyle w:val="Heading4"/>
      </w:pPr>
      <w:r>
        <w:t>By-catch</w:t>
      </w:r>
    </w:p>
    <w:p w14:paraId="677B8C69" w14:textId="61764CA9" w:rsidR="00CE2EDC" w:rsidRDefault="00CE2EDC" w:rsidP="00CE2EDC">
      <w:r w:rsidRPr="00425FEB">
        <w:t xml:space="preserve">A total of </w:t>
      </w:r>
      <w:r>
        <w:t>2</w:t>
      </w:r>
      <w:r w:rsidRPr="00425FEB">
        <w:t xml:space="preserve"> </w:t>
      </w:r>
      <w:r>
        <w:t xml:space="preserve">long-necked </w:t>
      </w:r>
      <w:r w:rsidRPr="00425FEB">
        <w:t>turtles were captured during fish community monitoring (Table 2). Freshwater prawns were the most abundant taxa in small mesh fyke nets, bait traps and opera house</w:t>
      </w:r>
      <w:r w:rsidR="00594FBD">
        <w:t xml:space="preserve"> (</w:t>
      </w:r>
      <w:r w:rsidR="00594FBD">
        <w:fldChar w:fldCharType="begin"/>
      </w:r>
      <w:r w:rsidR="00594FBD">
        <w:instrText xml:space="preserve"> REF _Ref17974634 \h </w:instrText>
      </w:r>
      <w:r w:rsidR="00594FBD">
        <w:fldChar w:fldCharType="separate"/>
      </w:r>
      <w:r w:rsidR="007F7607" w:rsidRPr="00425FEB">
        <w:t xml:space="preserve">Table </w:t>
      </w:r>
      <w:r w:rsidR="007F7607">
        <w:rPr>
          <w:noProof/>
        </w:rPr>
        <w:t>11</w:t>
      </w:r>
      <w:r w:rsidR="00594FBD">
        <w:fldChar w:fldCharType="end"/>
      </w:r>
      <w:r w:rsidR="00594FBD">
        <w:t>).</w:t>
      </w:r>
      <w:r w:rsidRPr="00425FEB">
        <w:t xml:space="preserve"> Only a small number of Yabbies </w:t>
      </w:r>
      <w:r>
        <w:t>(n=22</w:t>
      </w:r>
      <w:r w:rsidRPr="00425FEB">
        <w:t>)</w:t>
      </w:r>
      <w:r>
        <w:t xml:space="preserve"> and Freshwater shrimp (n=70)</w:t>
      </w:r>
      <w:r w:rsidRPr="00425FEB">
        <w:t xml:space="preserve"> were captured across the 10 monitoring sites</w:t>
      </w:r>
      <w:r w:rsidR="005C29FF">
        <w:t xml:space="preserve"> (</w:t>
      </w:r>
      <w:r w:rsidR="005C29FF">
        <w:fldChar w:fldCharType="begin"/>
      </w:r>
      <w:r w:rsidR="005C29FF">
        <w:instrText xml:space="preserve"> REF _Ref17974634 \h </w:instrText>
      </w:r>
      <w:r w:rsidR="005C29FF">
        <w:fldChar w:fldCharType="separate"/>
      </w:r>
      <w:r w:rsidR="007F7607" w:rsidRPr="00425FEB">
        <w:t xml:space="preserve">Table </w:t>
      </w:r>
      <w:r w:rsidR="007F7607">
        <w:rPr>
          <w:noProof/>
        </w:rPr>
        <w:t>11</w:t>
      </w:r>
      <w:r w:rsidR="005C29FF">
        <w:fldChar w:fldCharType="end"/>
      </w:r>
      <w:r w:rsidR="005C29FF">
        <w:t xml:space="preserve">, </w:t>
      </w:r>
      <w:r w:rsidR="00507E37">
        <w:t>p.</w:t>
      </w:r>
      <w:r w:rsidR="005C29FF">
        <w:t xml:space="preserve"> </w:t>
      </w:r>
      <w:r w:rsidR="005C29FF">
        <w:fldChar w:fldCharType="begin"/>
      </w:r>
      <w:r w:rsidR="005C29FF">
        <w:instrText xml:space="preserve"> PAGEREF _Ref17974638 \h </w:instrText>
      </w:r>
      <w:r w:rsidR="005C29FF">
        <w:fldChar w:fldCharType="separate"/>
      </w:r>
      <w:r w:rsidR="007F7607">
        <w:rPr>
          <w:noProof/>
        </w:rPr>
        <w:t>94</w:t>
      </w:r>
      <w:r w:rsidR="005C29FF">
        <w:fldChar w:fldCharType="end"/>
      </w:r>
      <w:r w:rsidR="005C29FF">
        <w:t>).</w:t>
      </w:r>
    </w:p>
    <w:p w14:paraId="09C682FF" w14:textId="77777777" w:rsidR="00CE2EDC" w:rsidRDefault="00CE2EDC" w:rsidP="00CE2EDC"/>
    <w:p w14:paraId="0B9EB3B6" w14:textId="77777777" w:rsidR="00CE2EDC" w:rsidRPr="00CE2EDC" w:rsidRDefault="00CE2EDC" w:rsidP="00CE2EDC">
      <w:pPr>
        <w:pStyle w:val="Heading3"/>
      </w:pPr>
      <w:bookmarkStart w:id="345" w:name="_Toc31985484"/>
      <w:r>
        <w:t>Mid Lachlan River (Short Term Intervention Monitoring)</w:t>
      </w:r>
      <w:bookmarkEnd w:id="345"/>
    </w:p>
    <w:p w14:paraId="443EFCEA" w14:textId="24F48776" w:rsidR="00CE2EDC" w:rsidRPr="00577153" w:rsidRDefault="00CE2EDC" w:rsidP="00CE2EDC">
      <w:r w:rsidRPr="00210D48">
        <w:t>A total of 5349 fish comprising seven native and four alien species were captured across 10 in-</w:t>
      </w:r>
      <w:r w:rsidRPr="00577153">
        <w:t>channel sampling sites in</w:t>
      </w:r>
      <w:r>
        <w:t xml:space="preserve"> the mid-Lachlan river in</w:t>
      </w:r>
      <w:r w:rsidRPr="00577153">
        <w:t xml:space="preserve"> 201</w:t>
      </w:r>
      <w:r>
        <w:t>9</w:t>
      </w:r>
      <w:r w:rsidRPr="00577153">
        <w:t xml:space="preserve"> (</w:t>
      </w:r>
      <w:r>
        <w:fldChar w:fldCharType="begin"/>
      </w:r>
      <w:r>
        <w:instrText xml:space="preserve"> REF _Ref427304302 \h  \* MERGEFORMAT </w:instrText>
      </w:r>
      <w:r>
        <w:fldChar w:fldCharType="separate"/>
      </w:r>
      <w:r w:rsidR="007F7607">
        <w:t>Table 16</w:t>
      </w:r>
      <w:r>
        <w:fldChar w:fldCharType="end"/>
      </w:r>
      <w:r w:rsidRPr="00577153">
        <w:t xml:space="preserve">). This included </w:t>
      </w:r>
      <w:r>
        <w:t>two</w:t>
      </w:r>
      <w:r w:rsidRPr="00577153">
        <w:t xml:space="preserve"> species listed as threatened:  </w:t>
      </w:r>
      <w:r w:rsidR="00EE2A70">
        <w:t>s</w:t>
      </w:r>
      <w:r>
        <w:t xml:space="preserve">ilver perch (vulnerable; Fisheries Management Act 1994) </w:t>
      </w:r>
      <w:r w:rsidRPr="00577153">
        <w:t xml:space="preserve">and Murray cod (vulnerable; EPBC Act). In order, </w:t>
      </w:r>
      <w:r>
        <w:t xml:space="preserve">flat headed gudgeon, carp gudgeon , </w:t>
      </w:r>
      <w:r w:rsidRPr="00577153">
        <w:t>bony herring, common carp</w:t>
      </w:r>
      <w:r>
        <w:t xml:space="preserve">, </w:t>
      </w:r>
      <w:r w:rsidRPr="00577153">
        <w:t>eastern gambusia</w:t>
      </w:r>
      <w:r>
        <w:t xml:space="preserve"> and </w:t>
      </w:r>
      <w:r w:rsidRPr="00577153">
        <w:t>Murray cod were the most abundant species, respectively (</w:t>
      </w:r>
      <w:r>
        <w:fldChar w:fldCharType="begin"/>
      </w:r>
      <w:r>
        <w:instrText xml:space="preserve"> REF _Ref427304302 \h  \* MERGEFORMAT </w:instrText>
      </w:r>
      <w:r>
        <w:fldChar w:fldCharType="separate"/>
      </w:r>
      <w:r w:rsidR="007F7607">
        <w:t>Table 16</w:t>
      </w:r>
      <w:r>
        <w:fldChar w:fldCharType="end"/>
      </w:r>
      <w:r w:rsidR="00EE2A70">
        <w:t>,</w:t>
      </w:r>
      <w:r w:rsidRPr="00577153">
        <w:t xml:space="preserve"> </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Pr="00577153">
        <w:t xml:space="preserve">). In order, common carp, golden perch and </w:t>
      </w:r>
      <w:r>
        <w:t>Murray cod</w:t>
      </w:r>
      <w:r w:rsidRPr="00577153">
        <w:t xml:space="preserve"> contributed the greatest overall biomass in 201</w:t>
      </w:r>
      <w:r>
        <w:t>9</w:t>
      </w:r>
      <w:r w:rsidRPr="00577153">
        <w:t xml:space="preserve"> (</w:t>
      </w:r>
      <w:r w:rsidR="00044F9F">
        <w:fldChar w:fldCharType="begin"/>
      </w:r>
      <w:r w:rsidR="00044F9F">
        <w:instrText xml:space="preserve"> REF _Ref31872349 \h </w:instrText>
      </w:r>
      <w:r w:rsidR="00044F9F">
        <w:fldChar w:fldCharType="separate"/>
      </w:r>
      <w:r w:rsidR="007F7607">
        <w:t xml:space="preserve">Figure </w:t>
      </w:r>
      <w:r w:rsidR="007F7607">
        <w:rPr>
          <w:noProof/>
        </w:rPr>
        <w:t>52</w:t>
      </w:r>
      <w:r w:rsidR="00044F9F">
        <w:fldChar w:fldCharType="end"/>
      </w:r>
      <w:r w:rsidRPr="00577153">
        <w:t>).</w:t>
      </w:r>
    </w:p>
    <w:p w14:paraId="3F79738D" w14:textId="252D86B6" w:rsidR="00CE2EDC" w:rsidRDefault="00CE2EDC" w:rsidP="00CE2EDC">
      <w:bookmarkStart w:id="346" w:name="_Hlk15552897"/>
      <w:r w:rsidRPr="00577153">
        <w:t xml:space="preserve">New recruits (juveniles) were detected in two native longer-lived species at multiple sites bony herring (at </w:t>
      </w:r>
      <w:r>
        <w:t>2</w:t>
      </w:r>
      <w:r w:rsidRPr="00577153">
        <w:t xml:space="preserve"> of </w:t>
      </w:r>
      <w:r>
        <w:t>3</w:t>
      </w:r>
      <w:r w:rsidRPr="00577153">
        <w:t xml:space="preserve"> sites) and Murray cod (8 of </w:t>
      </w:r>
      <w:r>
        <w:t>9</w:t>
      </w:r>
      <w:r w:rsidRPr="00577153">
        <w:t xml:space="preserve"> sites</w:t>
      </w:r>
      <w:r w:rsidR="00EE2A70">
        <w:t>,</w:t>
      </w:r>
      <w:r w:rsidRPr="00577153">
        <w:t xml:space="preserve"> </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00EE2A70">
        <w:t>,</w:t>
      </w:r>
      <w:r w:rsidRPr="00577153">
        <w:t xml:space="preserve"> </w:t>
      </w:r>
      <w:r w:rsidR="00044F9F">
        <w:fldChar w:fldCharType="begin"/>
      </w:r>
      <w:r w:rsidR="00044F9F">
        <w:instrText xml:space="preserve"> REF _Ref22823813 \h </w:instrText>
      </w:r>
      <w:r w:rsidR="00044F9F">
        <w:fldChar w:fldCharType="separate"/>
      </w:r>
      <w:r w:rsidR="007F7607">
        <w:t xml:space="preserve">Figure </w:t>
      </w:r>
      <w:r w:rsidR="007F7607">
        <w:rPr>
          <w:noProof/>
        </w:rPr>
        <w:t>53</w:t>
      </w:r>
      <w:r w:rsidR="00044F9F">
        <w:fldChar w:fldCharType="end"/>
      </w:r>
      <w:r w:rsidRPr="00577153">
        <w:t xml:space="preserve">), and three native short-lived species (Australian smelt (2 of </w:t>
      </w:r>
      <w:r>
        <w:t>4</w:t>
      </w:r>
      <w:r w:rsidRPr="00577153">
        <w:t xml:space="preserve"> sites), carp gudgeon (8 of 9 sites) and </w:t>
      </w:r>
      <w:r>
        <w:t>flatheaded gudgeon</w:t>
      </w:r>
      <w:r w:rsidRPr="00577153">
        <w:t xml:space="preserve"> (</w:t>
      </w:r>
      <w:r>
        <w:t>8</w:t>
      </w:r>
      <w:r w:rsidRPr="00577153">
        <w:t xml:space="preserve"> of </w:t>
      </w:r>
      <w:r>
        <w:t>8</w:t>
      </w:r>
      <w:r w:rsidRPr="00577153">
        <w:t xml:space="preserve"> sites</w:t>
      </w:r>
      <w:r w:rsidR="00EE2A70">
        <w:t>,</w:t>
      </w:r>
      <w:r w:rsidRPr="00577153">
        <w:t xml:space="preserve"> </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00EE2A70">
        <w:t>,</w:t>
      </w:r>
      <w:r w:rsidRPr="00577153">
        <w:t xml:space="preserve"> </w:t>
      </w:r>
      <w:r w:rsidR="00044F9F">
        <w:fldChar w:fldCharType="begin"/>
      </w:r>
      <w:r w:rsidR="00044F9F">
        <w:instrText xml:space="preserve"> REF _Ref22823813 \h </w:instrText>
      </w:r>
      <w:r w:rsidR="00044F9F">
        <w:fldChar w:fldCharType="separate"/>
      </w:r>
      <w:r w:rsidR="007F7607">
        <w:t xml:space="preserve">Figure </w:t>
      </w:r>
      <w:r w:rsidR="007F7607">
        <w:rPr>
          <w:noProof/>
        </w:rPr>
        <w:t>53</w:t>
      </w:r>
      <w:r w:rsidR="00044F9F">
        <w:fldChar w:fldCharType="end"/>
      </w:r>
      <w:r w:rsidRPr="00577153">
        <w:t xml:space="preserve">). No golden perch or </w:t>
      </w:r>
      <w:r>
        <w:t>silver perch</w:t>
      </w:r>
      <w:r w:rsidRPr="00577153">
        <w:t xml:space="preserve"> new recruits were captured (</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00044F9F">
        <w:t>,</w:t>
      </w:r>
      <w:r w:rsidR="00044F9F" w:rsidRPr="00577153">
        <w:t xml:space="preserve"> </w:t>
      </w:r>
      <w:r w:rsidR="00044F9F">
        <w:fldChar w:fldCharType="begin"/>
      </w:r>
      <w:r w:rsidR="00044F9F">
        <w:instrText xml:space="preserve"> REF _Ref22823813 \h </w:instrText>
      </w:r>
      <w:r w:rsidR="00044F9F">
        <w:fldChar w:fldCharType="separate"/>
      </w:r>
      <w:r w:rsidR="007F7607">
        <w:t xml:space="preserve">Figure </w:t>
      </w:r>
      <w:r w:rsidR="007F7607">
        <w:rPr>
          <w:noProof/>
        </w:rPr>
        <w:t>53</w:t>
      </w:r>
      <w:r w:rsidR="00044F9F">
        <w:fldChar w:fldCharType="end"/>
      </w:r>
      <w:r w:rsidRPr="00577153">
        <w:t>). New recruits of all alien species were captured (common carp (</w:t>
      </w:r>
      <w:r>
        <w:t>3</w:t>
      </w:r>
      <w:r w:rsidRPr="00577153">
        <w:t xml:space="preserve"> of 10 sites), goldfish (4 of </w:t>
      </w:r>
      <w:r>
        <w:t>5</w:t>
      </w:r>
      <w:r w:rsidRPr="00577153">
        <w:t xml:space="preserve"> sites) and eastern gambusia (</w:t>
      </w:r>
      <w:r>
        <w:t>1</w:t>
      </w:r>
      <w:r w:rsidRPr="00577153">
        <w:t xml:space="preserve"> of </w:t>
      </w:r>
      <w:r>
        <w:t>7</w:t>
      </w:r>
      <w:r w:rsidRPr="00577153">
        <w:t xml:space="preserve"> sites); </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00044F9F">
        <w:t>,</w:t>
      </w:r>
      <w:r w:rsidR="00044F9F" w:rsidRPr="00577153">
        <w:t xml:space="preserve"> </w:t>
      </w:r>
      <w:r w:rsidR="00044F9F">
        <w:fldChar w:fldCharType="begin"/>
      </w:r>
      <w:r w:rsidR="00044F9F">
        <w:instrText xml:space="preserve"> REF _Ref22823813 \h </w:instrText>
      </w:r>
      <w:r w:rsidR="00044F9F">
        <w:fldChar w:fldCharType="separate"/>
      </w:r>
      <w:r w:rsidR="007F7607">
        <w:t xml:space="preserve">Figure </w:t>
      </w:r>
      <w:r w:rsidR="007F7607">
        <w:rPr>
          <w:noProof/>
        </w:rPr>
        <w:t>53</w:t>
      </w:r>
      <w:r w:rsidR="00044F9F">
        <w:fldChar w:fldCharType="end"/>
      </w:r>
      <w:r w:rsidRPr="00577153">
        <w:t>).</w:t>
      </w:r>
      <w:r>
        <w:t xml:space="preserve"> No new recruits were detected for redfin perch </w:t>
      </w:r>
      <w:r w:rsidRPr="00577153">
        <w:t>(</w:t>
      </w:r>
      <w:r w:rsidR="00044F9F">
        <w:fldChar w:fldCharType="begin"/>
      </w:r>
      <w:r w:rsidR="00044F9F">
        <w:instrText xml:space="preserve"> REF _Ref31872311 \h </w:instrText>
      </w:r>
      <w:r w:rsidR="00044F9F">
        <w:fldChar w:fldCharType="separate"/>
      </w:r>
      <w:r w:rsidR="007F7607">
        <w:t xml:space="preserve">Figure </w:t>
      </w:r>
      <w:r w:rsidR="007F7607">
        <w:rPr>
          <w:noProof/>
        </w:rPr>
        <w:t>51</w:t>
      </w:r>
      <w:r w:rsidR="00044F9F">
        <w:fldChar w:fldCharType="end"/>
      </w:r>
      <w:r w:rsidR="00044F9F">
        <w:t>,</w:t>
      </w:r>
      <w:r w:rsidR="00044F9F" w:rsidRPr="00577153">
        <w:t xml:space="preserve"> </w:t>
      </w:r>
      <w:r w:rsidR="00044F9F">
        <w:fldChar w:fldCharType="begin"/>
      </w:r>
      <w:r w:rsidR="00044F9F">
        <w:instrText xml:space="preserve"> REF _Ref22823813 \h </w:instrText>
      </w:r>
      <w:r w:rsidR="00044F9F">
        <w:fldChar w:fldCharType="separate"/>
      </w:r>
      <w:r w:rsidR="007F7607">
        <w:t xml:space="preserve">Figure </w:t>
      </w:r>
      <w:r w:rsidR="007F7607">
        <w:rPr>
          <w:noProof/>
        </w:rPr>
        <w:t>53</w:t>
      </w:r>
      <w:r w:rsidR="00044F9F">
        <w:fldChar w:fldCharType="end"/>
      </w:r>
      <w:r w:rsidRPr="00577153">
        <w:t>)</w:t>
      </w:r>
      <w:r>
        <w:t>.</w:t>
      </w:r>
    </w:p>
    <w:bookmarkEnd w:id="346"/>
    <w:p w14:paraId="4DBDDF10" w14:textId="77777777" w:rsidR="00CE2EDC" w:rsidRDefault="00CE2EDC" w:rsidP="00CE2EDC">
      <w:r w:rsidRPr="00577153">
        <w:t xml:space="preserve">Sustainable Rivers Audit indices varied substantially in the </w:t>
      </w:r>
      <w:r>
        <w:t>mid-Lachlan River reach sites and varied across SRA zones</w:t>
      </w:r>
      <w:r w:rsidRPr="00577153">
        <w:t>. Nativeness rated “</w:t>
      </w:r>
      <w:r>
        <w:t>Poor</w:t>
      </w:r>
      <w:r w:rsidRPr="00577153">
        <w:t xml:space="preserve">” </w:t>
      </w:r>
      <w:r>
        <w:t xml:space="preserve">for both slopes and lowland zones </w:t>
      </w:r>
      <w:r w:rsidRPr="00577153">
        <w:t xml:space="preserve">(mean ± SE score: </w:t>
      </w:r>
      <w:r>
        <w:t>59.2</w:t>
      </w:r>
      <w:r w:rsidRPr="00577153">
        <w:t xml:space="preserve"> ± </w:t>
      </w:r>
      <w:r>
        <w:t>4.5 and 57.1</w:t>
      </w:r>
      <w:r w:rsidRPr="00577153">
        <w:t xml:space="preserve"> ± </w:t>
      </w:r>
      <w:r>
        <w:t>4.2, respectively</w:t>
      </w:r>
      <w:r w:rsidRPr="00577153">
        <w:t>)</w:t>
      </w:r>
      <w:r>
        <w:t>.</w:t>
      </w:r>
      <w:r w:rsidRPr="00577153">
        <w:t xml:space="preserve"> Expectedness </w:t>
      </w:r>
      <w:r>
        <w:t>at slopes sites was</w:t>
      </w:r>
      <w:r w:rsidRPr="00577153">
        <w:t xml:space="preserve"> “</w:t>
      </w:r>
      <w:r>
        <w:t xml:space="preserve">Very </w:t>
      </w:r>
      <w:r w:rsidRPr="00577153">
        <w:t>Poor” (</w:t>
      </w:r>
      <w:r>
        <w:t>17.1</w:t>
      </w:r>
      <w:r w:rsidRPr="00577153">
        <w:t xml:space="preserve"> ± </w:t>
      </w:r>
      <w:r>
        <w:t>3.1</w:t>
      </w:r>
      <w:r w:rsidRPr="00577153">
        <w:t xml:space="preserve">) </w:t>
      </w:r>
      <w:r>
        <w:t>and at lowland sites was “poor” (32.6</w:t>
      </w:r>
      <w:r w:rsidRPr="00577153">
        <w:t xml:space="preserve"> ± </w:t>
      </w:r>
      <w:r>
        <w:t>6.0). R</w:t>
      </w:r>
      <w:r w:rsidRPr="00577153">
        <w:t>ecruitment was “</w:t>
      </w:r>
      <w:r>
        <w:t>poor</w:t>
      </w:r>
      <w:r w:rsidRPr="00577153">
        <w:t>” (</w:t>
      </w:r>
      <w:r>
        <w:t>57</w:t>
      </w:r>
      <w:r w:rsidRPr="00577153">
        <w:t>)</w:t>
      </w:r>
      <w:r>
        <w:t xml:space="preserve"> at slopes sites and “moderate” (64.4) at lowland sites</w:t>
      </w:r>
      <w:r w:rsidRPr="00577153">
        <w:t>. The Overall Condition of the fish community is rated “</w:t>
      </w:r>
      <w:r>
        <w:t xml:space="preserve">Very </w:t>
      </w:r>
      <w:r w:rsidRPr="00577153">
        <w:t xml:space="preserve">Poor” </w:t>
      </w:r>
      <w:r>
        <w:t xml:space="preserve">at both slopes </w:t>
      </w:r>
      <w:r w:rsidRPr="00577153">
        <w:t>(</w:t>
      </w:r>
      <w:r>
        <w:t xml:space="preserve">23.6 </w:t>
      </w:r>
      <w:r w:rsidRPr="00577153">
        <w:t xml:space="preserve">± </w:t>
      </w:r>
      <w:r>
        <w:t>4</w:t>
      </w:r>
      <w:r w:rsidRPr="00577153">
        <w:t>.</w:t>
      </w:r>
      <w:r>
        <w:t>2</w:t>
      </w:r>
      <w:r w:rsidRPr="00577153">
        <w:t>)</w:t>
      </w:r>
      <w:r>
        <w:t xml:space="preserve"> and lowland sites </w:t>
      </w:r>
      <w:r w:rsidRPr="00577153">
        <w:t>(</w:t>
      </w:r>
      <w:r>
        <w:t>35.9</w:t>
      </w:r>
      <w:r w:rsidRPr="00577153">
        <w:t xml:space="preserve"> ± </w:t>
      </w:r>
      <w:r>
        <w:t>4.2</w:t>
      </w:r>
      <w:r w:rsidRPr="00577153">
        <w:t xml:space="preserve">). </w:t>
      </w:r>
    </w:p>
    <w:p w14:paraId="269ECB65" w14:textId="77777777" w:rsidR="005C29FF" w:rsidRPr="00D81C0B" w:rsidRDefault="005C29FF" w:rsidP="005C29FF">
      <w:pPr>
        <w:spacing w:beforeLines="40" w:before="96" w:after="40"/>
      </w:pPr>
      <w:bookmarkStart w:id="347" w:name="_Hlk17972734"/>
    </w:p>
    <w:p w14:paraId="34EDA3DB" w14:textId="14AB5B9A" w:rsidR="005C29FF" w:rsidRPr="005C29FF" w:rsidRDefault="005C29FF" w:rsidP="005C29FF">
      <w:pPr>
        <w:pStyle w:val="Caption"/>
      </w:pPr>
      <w:bookmarkStart w:id="348" w:name="_Toc31985682"/>
      <w:r w:rsidRPr="006F121C">
        <w:t xml:space="preserve">Table </w:t>
      </w:r>
      <w:r>
        <w:rPr>
          <w:noProof/>
        </w:rPr>
        <w:fldChar w:fldCharType="begin"/>
      </w:r>
      <w:r>
        <w:rPr>
          <w:noProof/>
        </w:rPr>
        <w:instrText xml:space="preserve"> SEQ Table \* ARABIC </w:instrText>
      </w:r>
      <w:r>
        <w:rPr>
          <w:noProof/>
        </w:rPr>
        <w:fldChar w:fldCharType="separate"/>
      </w:r>
      <w:r w:rsidR="007F7607">
        <w:rPr>
          <w:noProof/>
        </w:rPr>
        <w:t>15</w:t>
      </w:r>
      <w:r>
        <w:rPr>
          <w:noProof/>
        </w:rPr>
        <w:fldChar w:fldCharType="end"/>
      </w:r>
      <w:r w:rsidRPr="006F121C">
        <w:t xml:space="preserve">. Summary of </w:t>
      </w:r>
      <w:r w:rsidRPr="00425FEB">
        <w:t xml:space="preserve">SRA fish indices </w:t>
      </w:r>
      <w:r>
        <w:t xml:space="preserve">for each </w:t>
      </w:r>
      <w:r w:rsidR="00F32976" w:rsidRPr="00F32976">
        <w:t>SRA altitudinal zone and a mean of all sites within the mid-Lachlan River in 2019 (n = number of sites sampled with each zone)</w:t>
      </w:r>
      <w:r w:rsidR="00EE2A70">
        <w:t>.</w:t>
      </w:r>
      <w:bookmarkEnd w:id="348"/>
    </w:p>
    <w:tbl>
      <w:tblPr>
        <w:tblStyle w:val="MediumGrid3-Accent3"/>
        <w:tblW w:w="8495" w:type="dxa"/>
        <w:tblLook w:val="04A0" w:firstRow="1" w:lastRow="0" w:firstColumn="1" w:lastColumn="0" w:noHBand="0" w:noVBand="1"/>
      </w:tblPr>
      <w:tblGrid>
        <w:gridCol w:w="1266"/>
        <w:gridCol w:w="1807"/>
        <w:gridCol w:w="1807"/>
        <w:gridCol w:w="1807"/>
        <w:gridCol w:w="1808"/>
      </w:tblGrid>
      <w:tr w:rsidR="005C29FF" w:rsidRPr="004D7E00" w14:paraId="5F768796" w14:textId="77777777" w:rsidTr="005C29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Pr>
          <w:p w14:paraId="1BB3CAF3" w14:textId="77777777" w:rsidR="005C29FF" w:rsidRPr="004D7E00" w:rsidRDefault="005C29FF" w:rsidP="00C95224">
            <w:pPr>
              <w:spacing w:before="40" w:after="40"/>
              <w:rPr>
                <w:iCs/>
                <w:caps/>
                <w:color w:val="FFFFFF" w:themeColor="background1"/>
                <w:sz w:val="18"/>
                <w:szCs w:val="18"/>
              </w:rPr>
            </w:pPr>
          </w:p>
        </w:tc>
        <w:tc>
          <w:tcPr>
            <w:tcW w:w="1807" w:type="dxa"/>
            <w:tcBorders>
              <w:bottom w:val="single" w:sz="8" w:space="0" w:color="FFFFFF"/>
            </w:tcBorders>
          </w:tcPr>
          <w:p w14:paraId="5B7D7D34" w14:textId="77777777" w:rsidR="005C29FF" w:rsidRPr="004D7E00" w:rsidRDefault="005C29FF" w:rsidP="00C95224">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Nativeness</w:t>
            </w:r>
          </w:p>
        </w:tc>
        <w:tc>
          <w:tcPr>
            <w:tcW w:w="1807" w:type="dxa"/>
            <w:tcBorders>
              <w:bottom w:val="single" w:sz="8" w:space="0" w:color="FFFFFF"/>
            </w:tcBorders>
          </w:tcPr>
          <w:p w14:paraId="7839252E" w14:textId="77777777" w:rsidR="005C29FF" w:rsidRPr="004D7E00" w:rsidRDefault="005C29FF" w:rsidP="00C95224">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Expectedness</w:t>
            </w:r>
          </w:p>
        </w:tc>
        <w:tc>
          <w:tcPr>
            <w:tcW w:w="1807" w:type="dxa"/>
            <w:tcBorders>
              <w:bottom w:val="single" w:sz="8" w:space="0" w:color="FFFFFF"/>
            </w:tcBorders>
          </w:tcPr>
          <w:p w14:paraId="43544820" w14:textId="77777777" w:rsidR="005C29FF" w:rsidRPr="004D7E00" w:rsidRDefault="005C29FF" w:rsidP="00C95224">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Recruitment</w:t>
            </w:r>
          </w:p>
        </w:tc>
        <w:tc>
          <w:tcPr>
            <w:tcW w:w="1808" w:type="dxa"/>
            <w:tcBorders>
              <w:bottom w:val="single" w:sz="8" w:space="0" w:color="FFFFFF"/>
            </w:tcBorders>
          </w:tcPr>
          <w:p w14:paraId="135FDB8E" w14:textId="77777777" w:rsidR="005C29FF" w:rsidRPr="004D7E00" w:rsidRDefault="005C29FF" w:rsidP="00C95224">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Overall Condition</w:t>
            </w:r>
          </w:p>
        </w:tc>
      </w:tr>
      <w:tr w:rsidR="005C29FF" w:rsidRPr="00EB339B" w14:paraId="6B3C7E73" w14:textId="77777777" w:rsidTr="005C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Borders>
              <w:top w:val="single" w:sz="24" w:space="0" w:color="FFFFFF"/>
              <w:left w:val="single" w:sz="24" w:space="0" w:color="FFFFFF"/>
              <w:bottom w:val="single" w:sz="6" w:space="0" w:color="FFFFFF"/>
            </w:tcBorders>
          </w:tcPr>
          <w:p w14:paraId="613C7DC0" w14:textId="420ED351" w:rsidR="005C29FF" w:rsidRPr="005C29FF" w:rsidRDefault="005C29FF" w:rsidP="005C29FF">
            <w:pPr>
              <w:spacing w:before="40" w:after="40"/>
              <w:rPr>
                <w:bCs w:val="0"/>
                <w:iCs/>
                <w:color w:val="FFFFFF" w:themeColor="background1"/>
                <w:sz w:val="18"/>
                <w:szCs w:val="18"/>
              </w:rPr>
            </w:pPr>
            <w:r w:rsidRPr="005C29FF">
              <w:rPr>
                <w:bCs w:val="0"/>
                <w:sz w:val="18"/>
                <w:szCs w:val="18"/>
              </w:rPr>
              <w:t>Slopes (n=4)</w:t>
            </w:r>
          </w:p>
        </w:tc>
        <w:tc>
          <w:tcPr>
            <w:tcW w:w="1807" w:type="dxa"/>
            <w:shd w:val="clear" w:color="auto" w:fill="D6E3BC" w:themeFill="accent3" w:themeFillTint="66"/>
          </w:tcPr>
          <w:p w14:paraId="68B11D0B" w14:textId="63BC468A" w:rsidR="005C29FF" w:rsidRPr="00F17664" w:rsidRDefault="005C29FF" w:rsidP="005C29FF">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sz w:val="18"/>
                <w:szCs w:val="18"/>
              </w:rPr>
              <w:t>Poor</w:t>
            </w:r>
          </w:p>
        </w:tc>
        <w:tc>
          <w:tcPr>
            <w:tcW w:w="1807" w:type="dxa"/>
            <w:shd w:val="clear" w:color="auto" w:fill="D6E3BC" w:themeFill="accent3" w:themeFillTint="66"/>
          </w:tcPr>
          <w:p w14:paraId="6DB41738" w14:textId="7B4F6794" w:rsidR="005C29FF" w:rsidRPr="00F17664" w:rsidRDefault="005C29FF" w:rsidP="005C29FF">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sz w:val="18"/>
                <w:szCs w:val="18"/>
              </w:rPr>
              <w:t>Extremely poor</w:t>
            </w:r>
          </w:p>
        </w:tc>
        <w:tc>
          <w:tcPr>
            <w:tcW w:w="1807" w:type="dxa"/>
            <w:shd w:val="clear" w:color="auto" w:fill="D6E3BC" w:themeFill="accent3" w:themeFillTint="66"/>
          </w:tcPr>
          <w:p w14:paraId="30EBB296" w14:textId="79A84CCD" w:rsidR="005C29FF" w:rsidRPr="00F17664" w:rsidRDefault="005C29FF" w:rsidP="005C29FF">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Pr>
                <w:sz w:val="18"/>
                <w:szCs w:val="18"/>
              </w:rPr>
              <w:t>Poor</w:t>
            </w:r>
          </w:p>
        </w:tc>
        <w:tc>
          <w:tcPr>
            <w:tcW w:w="1808" w:type="dxa"/>
            <w:shd w:val="clear" w:color="auto" w:fill="D6E3BC" w:themeFill="accent3" w:themeFillTint="66"/>
          </w:tcPr>
          <w:p w14:paraId="5D2EE60E" w14:textId="6D650786" w:rsidR="005C29FF" w:rsidRPr="00F17664" w:rsidRDefault="005C29FF" w:rsidP="005C29FF">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06640C">
              <w:rPr>
                <w:sz w:val="18"/>
                <w:szCs w:val="18"/>
              </w:rPr>
              <w:t>Very poor</w:t>
            </w:r>
          </w:p>
        </w:tc>
      </w:tr>
      <w:tr w:rsidR="005C29FF" w:rsidRPr="00EB339B" w14:paraId="4D9141A9" w14:textId="77777777" w:rsidTr="00F32976">
        <w:tc>
          <w:tcPr>
            <w:cnfStyle w:val="001000000000" w:firstRow="0" w:lastRow="0" w:firstColumn="1" w:lastColumn="0" w:oddVBand="0" w:evenVBand="0" w:oddHBand="0" w:evenHBand="0" w:firstRowFirstColumn="0" w:firstRowLastColumn="0" w:lastRowFirstColumn="0" w:lastRowLastColumn="0"/>
            <w:tcW w:w="1266" w:type="dxa"/>
            <w:tcBorders>
              <w:top w:val="single" w:sz="6" w:space="0" w:color="FFFFFF"/>
              <w:left w:val="single" w:sz="24" w:space="0" w:color="FFFFFF"/>
              <w:bottom w:val="single" w:sz="6" w:space="0" w:color="FFFFFF"/>
            </w:tcBorders>
          </w:tcPr>
          <w:p w14:paraId="0ACBFA0A" w14:textId="12779520" w:rsidR="005C29FF" w:rsidRPr="005C29FF" w:rsidRDefault="005C29FF" w:rsidP="005C29FF">
            <w:pPr>
              <w:spacing w:before="40" w:after="40"/>
              <w:rPr>
                <w:bCs w:val="0"/>
                <w:iCs/>
                <w:color w:val="FFFFFF" w:themeColor="background1"/>
                <w:sz w:val="18"/>
                <w:szCs w:val="18"/>
              </w:rPr>
            </w:pPr>
            <w:r w:rsidRPr="005C29FF">
              <w:rPr>
                <w:bCs w:val="0"/>
                <w:sz w:val="18"/>
                <w:szCs w:val="18"/>
              </w:rPr>
              <w:t>Lowland (n=6)</w:t>
            </w:r>
          </w:p>
        </w:tc>
        <w:tc>
          <w:tcPr>
            <w:tcW w:w="1807" w:type="dxa"/>
          </w:tcPr>
          <w:p w14:paraId="4E4419A3" w14:textId="7E306B58" w:rsidR="005C29FF" w:rsidRPr="00F17664" w:rsidRDefault="005C29FF" w:rsidP="005C29FF">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sz w:val="18"/>
                <w:szCs w:val="18"/>
              </w:rPr>
              <w:t>Poor</w:t>
            </w:r>
          </w:p>
        </w:tc>
        <w:tc>
          <w:tcPr>
            <w:tcW w:w="1807" w:type="dxa"/>
          </w:tcPr>
          <w:p w14:paraId="25987169" w14:textId="7FF32E8E" w:rsidR="005C29FF" w:rsidRPr="00F17664" w:rsidRDefault="005C29FF" w:rsidP="005C29FF">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sz w:val="18"/>
                <w:szCs w:val="18"/>
              </w:rPr>
              <w:t xml:space="preserve">Very </w:t>
            </w:r>
            <w:r w:rsidRPr="0006640C">
              <w:rPr>
                <w:sz w:val="18"/>
                <w:szCs w:val="18"/>
              </w:rPr>
              <w:t>Poor</w:t>
            </w:r>
          </w:p>
        </w:tc>
        <w:tc>
          <w:tcPr>
            <w:tcW w:w="1807" w:type="dxa"/>
          </w:tcPr>
          <w:p w14:paraId="644391E6" w14:textId="5FA90DB6" w:rsidR="005C29FF" w:rsidRPr="00F17664" w:rsidRDefault="005C29FF" w:rsidP="005C29FF">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Pr>
                <w:sz w:val="18"/>
                <w:szCs w:val="18"/>
              </w:rPr>
              <w:t>Moderate</w:t>
            </w:r>
          </w:p>
        </w:tc>
        <w:tc>
          <w:tcPr>
            <w:tcW w:w="1808" w:type="dxa"/>
          </w:tcPr>
          <w:p w14:paraId="0F410CB5" w14:textId="0AA4A153" w:rsidR="005C29FF" w:rsidRPr="00F17664" w:rsidRDefault="005C29FF" w:rsidP="005C29FF">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06640C">
              <w:rPr>
                <w:sz w:val="18"/>
                <w:szCs w:val="18"/>
              </w:rPr>
              <w:t>Very poor</w:t>
            </w:r>
          </w:p>
        </w:tc>
      </w:tr>
      <w:tr w:rsidR="00F32976" w:rsidRPr="00EB339B" w14:paraId="5230EC44" w14:textId="77777777" w:rsidTr="005C2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tcBorders>
              <w:top w:val="single" w:sz="6" w:space="0" w:color="FFFFFF"/>
              <w:left w:val="single" w:sz="24" w:space="0" w:color="FFFFFF"/>
              <w:bottom w:val="single" w:sz="24" w:space="0" w:color="FFFFFF"/>
            </w:tcBorders>
          </w:tcPr>
          <w:p w14:paraId="13E61FD7" w14:textId="11BB099C" w:rsidR="00F32976" w:rsidRPr="005C29FF" w:rsidRDefault="00F32976" w:rsidP="00F32976">
            <w:pPr>
              <w:spacing w:before="40" w:after="40"/>
              <w:rPr>
                <w:bCs w:val="0"/>
                <w:sz w:val="18"/>
                <w:szCs w:val="18"/>
              </w:rPr>
            </w:pPr>
            <w:r>
              <w:rPr>
                <w:bCs w:val="0"/>
                <w:sz w:val="18"/>
                <w:szCs w:val="18"/>
              </w:rPr>
              <w:t>All sites (n=10)</w:t>
            </w:r>
          </w:p>
        </w:tc>
        <w:tc>
          <w:tcPr>
            <w:tcW w:w="1807" w:type="dxa"/>
          </w:tcPr>
          <w:p w14:paraId="7E602CC8" w14:textId="59D0DF0C" w:rsidR="00F32976" w:rsidRDefault="00F32976" w:rsidP="00F32976">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Poor</w:t>
            </w:r>
          </w:p>
        </w:tc>
        <w:tc>
          <w:tcPr>
            <w:tcW w:w="1807" w:type="dxa"/>
          </w:tcPr>
          <w:p w14:paraId="4AA2DEE7" w14:textId="3D09BCAE" w:rsidR="00F32976" w:rsidRDefault="00F32976" w:rsidP="00F32976">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Very </w:t>
            </w:r>
            <w:r w:rsidRPr="0006640C">
              <w:rPr>
                <w:sz w:val="18"/>
                <w:szCs w:val="18"/>
              </w:rPr>
              <w:t>Poor</w:t>
            </w:r>
          </w:p>
        </w:tc>
        <w:tc>
          <w:tcPr>
            <w:tcW w:w="1807" w:type="dxa"/>
          </w:tcPr>
          <w:p w14:paraId="654E33A2" w14:textId="39983993" w:rsidR="00F32976" w:rsidRDefault="00F32976" w:rsidP="00F32976">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Moderate</w:t>
            </w:r>
          </w:p>
        </w:tc>
        <w:tc>
          <w:tcPr>
            <w:tcW w:w="1808" w:type="dxa"/>
          </w:tcPr>
          <w:p w14:paraId="041FC764" w14:textId="1FE5987E" w:rsidR="00F32976" w:rsidRPr="0006640C" w:rsidRDefault="00F32976" w:rsidP="00F32976">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06640C">
              <w:rPr>
                <w:sz w:val="18"/>
                <w:szCs w:val="18"/>
              </w:rPr>
              <w:t>Very poor</w:t>
            </w:r>
          </w:p>
        </w:tc>
      </w:tr>
      <w:bookmarkEnd w:id="347"/>
    </w:tbl>
    <w:p w14:paraId="4BC6A7E2" w14:textId="427487E3" w:rsidR="00CE2EDC" w:rsidRDefault="00CE2EDC" w:rsidP="00CE2EDC"/>
    <w:p w14:paraId="0B8DD53A" w14:textId="77777777" w:rsidR="00CE2EDC" w:rsidRDefault="00CE2EDC">
      <w:pPr>
        <w:spacing w:before="0" w:after="0"/>
      </w:pPr>
      <w:r>
        <w:br w:type="page"/>
      </w:r>
    </w:p>
    <w:p w14:paraId="38A22E1C" w14:textId="6BAF8839" w:rsidR="00CE2EDC" w:rsidRDefault="00CE2EDC" w:rsidP="00CE2EDC">
      <w:pPr>
        <w:pStyle w:val="Caption"/>
      </w:pPr>
      <w:bookmarkStart w:id="349" w:name="_Ref427304302"/>
      <w:bookmarkStart w:id="350" w:name="_Toc440827316"/>
      <w:bookmarkStart w:id="351" w:name="_Ref24723392"/>
      <w:bookmarkStart w:id="352" w:name="_Toc31985683"/>
      <w:r>
        <w:t xml:space="preserve">Table </w:t>
      </w:r>
      <w:r>
        <w:fldChar w:fldCharType="begin"/>
      </w:r>
      <w:r>
        <w:instrText>SEQ Table \* ARABIC</w:instrText>
      </w:r>
      <w:r>
        <w:fldChar w:fldCharType="separate"/>
      </w:r>
      <w:r w:rsidR="007F7607">
        <w:rPr>
          <w:noProof/>
        </w:rPr>
        <w:t>16</w:t>
      </w:r>
      <w:r>
        <w:fldChar w:fldCharType="end"/>
      </w:r>
      <w:bookmarkEnd w:id="349"/>
      <w:r>
        <w:t>. Total (non-standardised) catch from the mid-Lachlan River</w:t>
      </w:r>
      <w:r w:rsidR="00EE2A70">
        <w:t xml:space="preserve">. </w:t>
      </w:r>
      <w:r w:rsidR="00044F9F">
        <w:t>S</w:t>
      </w:r>
      <w:r>
        <w:t>ampling was undertaken in autumn 2019 using a combination of five sampling gear types.</w:t>
      </w:r>
      <w:bookmarkEnd w:id="350"/>
      <w:bookmarkEnd w:id="351"/>
      <w:bookmarkEnd w:id="352"/>
    </w:p>
    <w:tbl>
      <w:tblPr>
        <w:tblStyle w:val="MediumGrid3-Accent3"/>
        <w:tblW w:w="0" w:type="auto"/>
        <w:tblLayout w:type="fixed"/>
        <w:tblLook w:val="06A0" w:firstRow="1" w:lastRow="0" w:firstColumn="1" w:lastColumn="0" w:noHBand="1" w:noVBand="1"/>
      </w:tblPr>
      <w:tblGrid>
        <w:gridCol w:w="2093"/>
        <w:gridCol w:w="1132"/>
        <w:gridCol w:w="1132"/>
        <w:gridCol w:w="1132"/>
        <w:gridCol w:w="1132"/>
        <w:gridCol w:w="1132"/>
        <w:gridCol w:w="1133"/>
      </w:tblGrid>
      <w:tr w:rsidR="005C29FF" w:rsidRPr="001D041C" w14:paraId="2A7C8487" w14:textId="77777777" w:rsidTr="00C95224">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093" w:type="dxa"/>
            <w:tcBorders>
              <w:bottom w:val="single" w:sz="8" w:space="0" w:color="FFFFFF"/>
            </w:tcBorders>
          </w:tcPr>
          <w:p w14:paraId="478B888D" w14:textId="77777777" w:rsidR="005C29FF" w:rsidRPr="001D041C" w:rsidRDefault="005C29FF" w:rsidP="00C95224">
            <w:pPr>
              <w:spacing w:before="40" w:afterLines="40" w:after="96"/>
              <w:rPr>
                <w:rFonts w:asciiTheme="minorHAnsi" w:hAnsiTheme="minorHAnsi"/>
                <w:sz w:val="18"/>
                <w:szCs w:val="18"/>
              </w:rPr>
            </w:pPr>
          </w:p>
        </w:tc>
        <w:tc>
          <w:tcPr>
            <w:tcW w:w="6793" w:type="dxa"/>
            <w:gridSpan w:val="6"/>
            <w:tcBorders>
              <w:bottom w:val="single" w:sz="8" w:space="0" w:color="FFFFFF"/>
            </w:tcBorders>
          </w:tcPr>
          <w:p w14:paraId="4F0268D5" w14:textId="77777777" w:rsidR="005C29FF" w:rsidRPr="001D041C" w:rsidRDefault="005C29FF" w:rsidP="00C95224">
            <w:pPr>
              <w:spacing w:before="40" w:afterLines="40" w:after="96"/>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SAMPLING METHOD</w:t>
            </w:r>
          </w:p>
        </w:tc>
      </w:tr>
      <w:tr w:rsidR="005C29FF" w:rsidRPr="006F121C" w14:paraId="05796E31" w14:textId="77777777" w:rsidTr="00C95224">
        <w:trPr>
          <w:trHeight w:val="69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shd w:val="clear" w:color="auto" w:fill="9BBB59" w:themeFill="accent3"/>
          </w:tcPr>
          <w:p w14:paraId="05F4FE05" w14:textId="77777777" w:rsidR="005C29FF" w:rsidRPr="006F121C" w:rsidRDefault="005C29FF" w:rsidP="00C95224">
            <w:pPr>
              <w:spacing w:before="40" w:afterLines="40" w:after="96"/>
              <w:jc w:val="center"/>
              <w:rPr>
                <w:rFonts w:asciiTheme="minorHAnsi" w:hAnsiTheme="minorHAnsi"/>
                <w:color w:val="FFFFFF" w:themeColor="background1"/>
                <w:sz w:val="18"/>
                <w:szCs w:val="18"/>
              </w:rPr>
            </w:pPr>
            <w:r w:rsidRPr="006F121C">
              <w:rPr>
                <w:rFonts w:asciiTheme="minorHAnsi" w:hAnsiTheme="minorHAnsi"/>
                <w:color w:val="FFFFFF" w:themeColor="background1"/>
                <w:sz w:val="18"/>
                <w:szCs w:val="18"/>
              </w:rPr>
              <w:t>COMMON NAME</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22C1CA87"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BOAT ELECTRO-FISHING</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7F83662B"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SMALL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6EF38A9C"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LARGE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101980C8"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BAIT TRAP</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3D6E20BE"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OPERA HOUSE TRAP</w:t>
            </w:r>
          </w:p>
        </w:tc>
        <w:tc>
          <w:tcPr>
            <w:tcW w:w="1133" w:type="dxa"/>
            <w:tcBorders>
              <w:top w:val="single" w:sz="8" w:space="0" w:color="FFFFFF"/>
              <w:left w:val="single" w:sz="8" w:space="0" w:color="FFFFFF"/>
              <w:bottom w:val="single" w:sz="8" w:space="0" w:color="FFFFFF"/>
            </w:tcBorders>
            <w:shd w:val="clear" w:color="auto" w:fill="9BBB59" w:themeFill="accent3"/>
          </w:tcPr>
          <w:p w14:paraId="44EAF9AE" w14:textId="77777777" w:rsidR="005C29FF" w:rsidRPr="006F121C" w:rsidRDefault="005C29FF" w:rsidP="00C95224">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TOTAL</w:t>
            </w:r>
          </w:p>
        </w:tc>
      </w:tr>
      <w:tr w:rsidR="005C29FF" w:rsidRPr="001D041C" w14:paraId="70C8245E" w14:textId="77777777" w:rsidTr="00C95224">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1E850972" w14:textId="77777777" w:rsidR="005C29FF" w:rsidRPr="001D041C" w:rsidRDefault="005C29FF" w:rsidP="00C95224">
            <w:pPr>
              <w:spacing w:before="40" w:afterLines="40" w:after="96"/>
              <w:jc w:val="center"/>
              <w:rPr>
                <w:rFonts w:asciiTheme="minorHAnsi" w:hAnsiTheme="minorHAnsi"/>
                <w:bCs w:val="0"/>
                <w:sz w:val="18"/>
                <w:szCs w:val="18"/>
              </w:rPr>
            </w:pPr>
            <w:r w:rsidRPr="001D041C">
              <w:rPr>
                <w:rFonts w:asciiTheme="minorHAnsi" w:hAnsiTheme="minorHAnsi"/>
                <w:sz w:val="18"/>
                <w:szCs w:val="18"/>
              </w:rPr>
              <w:t xml:space="preserve">Fish </w:t>
            </w:r>
            <w:r>
              <w:rPr>
                <w:rFonts w:asciiTheme="minorHAnsi" w:hAnsiTheme="minorHAnsi"/>
                <w:sz w:val="18"/>
                <w:szCs w:val="18"/>
              </w:rPr>
              <w:t>(</w:t>
            </w:r>
            <w:r w:rsidRPr="001D041C">
              <w:rPr>
                <w:rFonts w:asciiTheme="minorHAnsi" w:hAnsiTheme="minorHAnsi"/>
                <w:sz w:val="18"/>
                <w:szCs w:val="18"/>
              </w:rPr>
              <w:t>Native species</w:t>
            </w:r>
            <w:r>
              <w:rPr>
                <w:rFonts w:asciiTheme="minorHAnsi" w:hAnsiTheme="minorHAnsi"/>
                <w:sz w:val="18"/>
                <w:szCs w:val="18"/>
              </w:rPr>
              <w:t>)</w:t>
            </w:r>
          </w:p>
        </w:tc>
      </w:tr>
      <w:tr w:rsidR="00C95224" w:rsidRPr="001D041C" w14:paraId="1ADEACA0"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49280EB4" w14:textId="09CB5900" w:rsidR="00C95224" w:rsidRPr="00AA2021" w:rsidRDefault="00C95224" w:rsidP="00C95224">
            <w:pPr>
              <w:spacing w:before="40" w:afterLines="40" w:after="96"/>
              <w:rPr>
                <w:rFonts w:asciiTheme="minorHAnsi" w:hAnsiTheme="minorHAnsi"/>
                <w:sz w:val="18"/>
                <w:szCs w:val="18"/>
              </w:rPr>
            </w:pPr>
            <w:r w:rsidRPr="00AA2021">
              <w:rPr>
                <w:sz w:val="18"/>
                <w:szCs w:val="18"/>
              </w:rPr>
              <w:t>Australian smelt</w:t>
            </w:r>
          </w:p>
        </w:tc>
        <w:tc>
          <w:tcPr>
            <w:tcW w:w="1132" w:type="dxa"/>
            <w:tcBorders>
              <w:left w:val="single" w:sz="18" w:space="0" w:color="FFFFFF"/>
            </w:tcBorders>
            <w:vAlign w:val="bottom"/>
          </w:tcPr>
          <w:p w14:paraId="20C8E03E" w14:textId="592204A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554F5DA0" w14:textId="0919689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16</w:t>
            </w:r>
          </w:p>
        </w:tc>
        <w:tc>
          <w:tcPr>
            <w:tcW w:w="1132" w:type="dxa"/>
            <w:vAlign w:val="bottom"/>
          </w:tcPr>
          <w:p w14:paraId="60C79851"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642B496B"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6BAC8095"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53CDD7DA" w14:textId="36D0BBA5"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16</w:t>
            </w:r>
          </w:p>
        </w:tc>
      </w:tr>
      <w:tr w:rsidR="00C95224" w:rsidRPr="001D041C" w14:paraId="2A931307"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6B913536" w14:textId="30A411B9" w:rsidR="00C95224" w:rsidRPr="00AA2021" w:rsidRDefault="00C95224" w:rsidP="00C95224">
            <w:pPr>
              <w:spacing w:before="40" w:afterLines="40" w:after="96"/>
              <w:rPr>
                <w:rFonts w:asciiTheme="minorHAnsi" w:hAnsiTheme="minorHAnsi"/>
                <w:sz w:val="18"/>
                <w:szCs w:val="18"/>
              </w:rPr>
            </w:pPr>
            <w:r w:rsidRPr="00AA2021">
              <w:rPr>
                <w:sz w:val="18"/>
                <w:szCs w:val="18"/>
              </w:rPr>
              <w:t>bony herring</w:t>
            </w:r>
          </w:p>
        </w:tc>
        <w:tc>
          <w:tcPr>
            <w:tcW w:w="1132" w:type="dxa"/>
            <w:tcBorders>
              <w:left w:val="single" w:sz="18" w:space="0" w:color="FFFFFF"/>
            </w:tcBorders>
            <w:vAlign w:val="bottom"/>
          </w:tcPr>
          <w:p w14:paraId="3CB35692" w14:textId="7D391DD5"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w:t>
            </w:r>
          </w:p>
        </w:tc>
        <w:tc>
          <w:tcPr>
            <w:tcW w:w="1132" w:type="dxa"/>
            <w:vAlign w:val="bottom"/>
          </w:tcPr>
          <w:p w14:paraId="470D05EA" w14:textId="45F1AA41"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556</w:t>
            </w:r>
          </w:p>
        </w:tc>
        <w:tc>
          <w:tcPr>
            <w:tcW w:w="1132" w:type="dxa"/>
            <w:vAlign w:val="bottom"/>
          </w:tcPr>
          <w:p w14:paraId="59A8CAE8" w14:textId="78C3DFE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15</w:t>
            </w:r>
          </w:p>
        </w:tc>
        <w:tc>
          <w:tcPr>
            <w:tcW w:w="1132" w:type="dxa"/>
            <w:vAlign w:val="bottom"/>
          </w:tcPr>
          <w:p w14:paraId="3B7D0B83" w14:textId="0D70F769"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55</w:t>
            </w:r>
          </w:p>
        </w:tc>
        <w:tc>
          <w:tcPr>
            <w:tcW w:w="1132" w:type="dxa"/>
            <w:vAlign w:val="bottom"/>
          </w:tcPr>
          <w:p w14:paraId="472F6347"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00006799" w14:textId="6C27CE9A"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627</w:t>
            </w:r>
          </w:p>
        </w:tc>
      </w:tr>
      <w:tr w:rsidR="00C95224" w:rsidRPr="001D041C" w14:paraId="1998594C"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674DC118" w14:textId="4ED36FB6" w:rsidR="00C95224" w:rsidRPr="00AA2021" w:rsidRDefault="00C95224" w:rsidP="00C95224">
            <w:pPr>
              <w:spacing w:before="40" w:afterLines="40" w:after="96"/>
              <w:rPr>
                <w:rFonts w:asciiTheme="minorHAnsi" w:hAnsiTheme="minorHAnsi"/>
                <w:sz w:val="18"/>
                <w:szCs w:val="18"/>
              </w:rPr>
            </w:pPr>
            <w:r w:rsidRPr="00AA2021">
              <w:rPr>
                <w:sz w:val="18"/>
                <w:szCs w:val="18"/>
              </w:rPr>
              <w:t>carp gudgeon complex</w:t>
            </w:r>
          </w:p>
        </w:tc>
        <w:tc>
          <w:tcPr>
            <w:tcW w:w="1132" w:type="dxa"/>
            <w:tcBorders>
              <w:left w:val="single" w:sz="18" w:space="0" w:color="FFFFFF"/>
            </w:tcBorders>
            <w:vAlign w:val="bottom"/>
          </w:tcPr>
          <w:p w14:paraId="2CF59D45" w14:textId="3C6AC622"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8</w:t>
            </w:r>
          </w:p>
        </w:tc>
        <w:tc>
          <w:tcPr>
            <w:tcW w:w="1132" w:type="dxa"/>
            <w:vAlign w:val="bottom"/>
          </w:tcPr>
          <w:p w14:paraId="659F3AF4" w14:textId="160D460E"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w:t>
            </w:r>
          </w:p>
        </w:tc>
        <w:tc>
          <w:tcPr>
            <w:tcW w:w="1132" w:type="dxa"/>
            <w:vAlign w:val="bottom"/>
          </w:tcPr>
          <w:p w14:paraId="28A58925"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718B167F" w14:textId="7D14A7BE"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1912</w:t>
            </w:r>
          </w:p>
        </w:tc>
        <w:tc>
          <w:tcPr>
            <w:tcW w:w="1132" w:type="dxa"/>
            <w:vAlign w:val="bottom"/>
          </w:tcPr>
          <w:p w14:paraId="7FEAFFF7" w14:textId="1C742128"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756AB46B" w14:textId="6BC89AA2"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1924</w:t>
            </w:r>
          </w:p>
        </w:tc>
      </w:tr>
      <w:tr w:rsidR="00C95224" w:rsidRPr="001D041C" w14:paraId="0D6DEF0B"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04A665CC" w14:textId="20CF5A67" w:rsidR="00C95224" w:rsidRPr="00AA2021" w:rsidRDefault="00C95224" w:rsidP="00C95224">
            <w:pPr>
              <w:spacing w:before="40" w:afterLines="40" w:after="96"/>
              <w:rPr>
                <w:rFonts w:asciiTheme="minorHAnsi" w:hAnsiTheme="minorHAnsi"/>
                <w:sz w:val="18"/>
                <w:szCs w:val="18"/>
              </w:rPr>
            </w:pPr>
            <w:r w:rsidRPr="00AA2021">
              <w:rPr>
                <w:sz w:val="18"/>
                <w:szCs w:val="18"/>
              </w:rPr>
              <w:t>flathead gudgeon</w:t>
            </w:r>
          </w:p>
        </w:tc>
        <w:tc>
          <w:tcPr>
            <w:tcW w:w="1132" w:type="dxa"/>
            <w:tcBorders>
              <w:left w:val="single" w:sz="18" w:space="0" w:color="FFFFFF"/>
            </w:tcBorders>
            <w:vAlign w:val="bottom"/>
          </w:tcPr>
          <w:p w14:paraId="7E9BE486" w14:textId="4DCBEE25"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80</w:t>
            </w:r>
          </w:p>
        </w:tc>
        <w:tc>
          <w:tcPr>
            <w:tcW w:w="1132" w:type="dxa"/>
            <w:vAlign w:val="bottom"/>
          </w:tcPr>
          <w:p w14:paraId="3D9AE955" w14:textId="61982AD4"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171</w:t>
            </w:r>
          </w:p>
        </w:tc>
        <w:tc>
          <w:tcPr>
            <w:tcW w:w="1132" w:type="dxa"/>
            <w:vAlign w:val="bottom"/>
          </w:tcPr>
          <w:p w14:paraId="7AF63712"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52AB9B88" w14:textId="25AFE068"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1868</w:t>
            </w:r>
          </w:p>
        </w:tc>
        <w:tc>
          <w:tcPr>
            <w:tcW w:w="1132" w:type="dxa"/>
            <w:vAlign w:val="bottom"/>
          </w:tcPr>
          <w:p w14:paraId="1C7AA320"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27D0B9A0" w14:textId="3AAC4C7B"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2119</w:t>
            </w:r>
          </w:p>
        </w:tc>
      </w:tr>
      <w:tr w:rsidR="00C95224" w:rsidRPr="001D041C" w14:paraId="511F39B7"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4D782A26" w14:textId="117DF248" w:rsidR="00C95224" w:rsidRPr="00AA2021" w:rsidRDefault="00C95224" w:rsidP="00C95224">
            <w:pPr>
              <w:spacing w:before="40" w:afterLines="40" w:after="96"/>
              <w:rPr>
                <w:rFonts w:asciiTheme="minorHAnsi" w:hAnsiTheme="minorHAnsi"/>
                <w:sz w:val="18"/>
                <w:szCs w:val="18"/>
              </w:rPr>
            </w:pPr>
            <w:r w:rsidRPr="00AA2021">
              <w:rPr>
                <w:sz w:val="18"/>
                <w:szCs w:val="18"/>
              </w:rPr>
              <w:t>golden perch</w:t>
            </w:r>
          </w:p>
        </w:tc>
        <w:tc>
          <w:tcPr>
            <w:tcW w:w="1132" w:type="dxa"/>
            <w:tcBorders>
              <w:left w:val="single" w:sz="18" w:space="0" w:color="FFFFFF"/>
            </w:tcBorders>
            <w:vAlign w:val="bottom"/>
          </w:tcPr>
          <w:p w14:paraId="15F5D3A4"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12C4FA45" w14:textId="27C46264"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47</w:t>
            </w:r>
          </w:p>
        </w:tc>
        <w:tc>
          <w:tcPr>
            <w:tcW w:w="1132" w:type="dxa"/>
            <w:vAlign w:val="bottom"/>
          </w:tcPr>
          <w:p w14:paraId="29C1EBAE" w14:textId="33FF4C94"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5</w:t>
            </w:r>
          </w:p>
        </w:tc>
        <w:tc>
          <w:tcPr>
            <w:tcW w:w="1132" w:type="dxa"/>
            <w:vAlign w:val="bottom"/>
          </w:tcPr>
          <w:p w14:paraId="0F7B380C"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0521E2EE"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000B6B47" w14:textId="29A1E392"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52</w:t>
            </w:r>
          </w:p>
        </w:tc>
      </w:tr>
      <w:tr w:rsidR="00C95224" w:rsidRPr="001D041C" w14:paraId="62E504A1"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35F600CB" w14:textId="30709288" w:rsidR="00C95224" w:rsidRPr="00AA2021" w:rsidRDefault="00C95224" w:rsidP="00C95224">
            <w:pPr>
              <w:spacing w:before="40" w:afterLines="40" w:after="96"/>
              <w:rPr>
                <w:rFonts w:asciiTheme="minorHAnsi" w:hAnsiTheme="minorHAnsi"/>
                <w:sz w:val="18"/>
                <w:szCs w:val="18"/>
              </w:rPr>
            </w:pPr>
            <w:r w:rsidRPr="00AA2021">
              <w:rPr>
                <w:sz w:val="18"/>
                <w:szCs w:val="18"/>
              </w:rPr>
              <w:t>Murray cod</w:t>
            </w:r>
          </w:p>
        </w:tc>
        <w:tc>
          <w:tcPr>
            <w:tcW w:w="1132" w:type="dxa"/>
            <w:tcBorders>
              <w:left w:val="single" w:sz="18" w:space="0" w:color="FFFFFF"/>
            </w:tcBorders>
            <w:vAlign w:val="bottom"/>
          </w:tcPr>
          <w:p w14:paraId="39892EA8" w14:textId="69B23C40"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5ECFC4BC" w14:textId="75BE631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106</w:t>
            </w:r>
          </w:p>
        </w:tc>
        <w:tc>
          <w:tcPr>
            <w:tcW w:w="1132" w:type="dxa"/>
            <w:vAlign w:val="bottom"/>
          </w:tcPr>
          <w:p w14:paraId="63BB5B1A" w14:textId="27E9359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2</w:t>
            </w:r>
          </w:p>
        </w:tc>
        <w:tc>
          <w:tcPr>
            <w:tcW w:w="1132" w:type="dxa"/>
            <w:vAlign w:val="bottom"/>
          </w:tcPr>
          <w:p w14:paraId="25A2E97C"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75E4093E"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48438F80" w14:textId="3069617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108</w:t>
            </w:r>
          </w:p>
        </w:tc>
      </w:tr>
      <w:tr w:rsidR="00C95224" w:rsidRPr="001D041C" w14:paraId="7CEF4729"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vAlign w:val="bottom"/>
          </w:tcPr>
          <w:p w14:paraId="06EF7A3F" w14:textId="16B6152C" w:rsidR="00C95224" w:rsidRPr="00AA2021" w:rsidRDefault="00C95224" w:rsidP="00C95224">
            <w:pPr>
              <w:spacing w:before="40" w:afterLines="40" w:after="96"/>
              <w:rPr>
                <w:rFonts w:asciiTheme="minorHAnsi" w:hAnsiTheme="minorHAnsi"/>
                <w:sz w:val="18"/>
                <w:szCs w:val="18"/>
              </w:rPr>
            </w:pPr>
            <w:r w:rsidRPr="00AA2021">
              <w:rPr>
                <w:sz w:val="18"/>
                <w:szCs w:val="18"/>
              </w:rPr>
              <w:t>silver perch</w:t>
            </w:r>
          </w:p>
        </w:tc>
        <w:tc>
          <w:tcPr>
            <w:tcW w:w="1132" w:type="dxa"/>
            <w:tcBorders>
              <w:left w:val="single" w:sz="18" w:space="0" w:color="FFFFFF"/>
            </w:tcBorders>
            <w:vAlign w:val="bottom"/>
          </w:tcPr>
          <w:p w14:paraId="2C3169A0" w14:textId="62570436"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7EADF570" w14:textId="3F49738B"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w:t>
            </w:r>
          </w:p>
        </w:tc>
        <w:tc>
          <w:tcPr>
            <w:tcW w:w="1132" w:type="dxa"/>
            <w:vAlign w:val="bottom"/>
          </w:tcPr>
          <w:p w14:paraId="72ADD37A"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1196F106"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66A936D7"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04A9B0C6" w14:textId="2D5D5A2F"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4</w:t>
            </w:r>
          </w:p>
        </w:tc>
      </w:tr>
      <w:tr w:rsidR="005C29FF" w:rsidRPr="001D041C" w14:paraId="7DD18563" w14:textId="77777777" w:rsidTr="00C95224">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182C7D59" w14:textId="77777777" w:rsidR="005C29FF" w:rsidRPr="00AA2021" w:rsidRDefault="005C29FF" w:rsidP="00C95224">
            <w:pPr>
              <w:spacing w:before="40" w:afterLines="40" w:after="96"/>
              <w:jc w:val="center"/>
              <w:rPr>
                <w:rFonts w:asciiTheme="minorHAnsi" w:hAnsiTheme="minorHAnsi"/>
                <w:bCs w:val="0"/>
                <w:sz w:val="18"/>
                <w:szCs w:val="18"/>
              </w:rPr>
            </w:pPr>
            <w:r w:rsidRPr="00AA2021">
              <w:rPr>
                <w:rFonts w:asciiTheme="minorHAnsi" w:hAnsiTheme="minorHAnsi"/>
                <w:sz w:val="18"/>
                <w:szCs w:val="18"/>
              </w:rPr>
              <w:t>Fish (Alien species)</w:t>
            </w:r>
          </w:p>
        </w:tc>
      </w:tr>
      <w:tr w:rsidR="00C95224" w:rsidRPr="001D041C" w14:paraId="560E0EFB"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69F720CC" w14:textId="44ED56C2" w:rsidR="00C95224" w:rsidRPr="00AA2021" w:rsidRDefault="00B04728" w:rsidP="00C95224">
            <w:pPr>
              <w:spacing w:before="40" w:afterLines="40" w:after="96"/>
              <w:rPr>
                <w:rFonts w:asciiTheme="minorHAnsi" w:hAnsiTheme="minorHAnsi"/>
                <w:sz w:val="18"/>
                <w:szCs w:val="18"/>
              </w:rPr>
            </w:pPr>
            <w:r>
              <w:rPr>
                <w:rFonts w:asciiTheme="minorHAnsi" w:hAnsiTheme="minorHAnsi"/>
                <w:sz w:val="18"/>
                <w:szCs w:val="18"/>
              </w:rPr>
              <w:t>common carp</w:t>
            </w:r>
          </w:p>
        </w:tc>
        <w:tc>
          <w:tcPr>
            <w:tcW w:w="1132" w:type="dxa"/>
            <w:tcBorders>
              <w:left w:val="single" w:sz="18" w:space="0" w:color="FFFFFF"/>
            </w:tcBorders>
            <w:vAlign w:val="bottom"/>
          </w:tcPr>
          <w:p w14:paraId="48B2196F" w14:textId="46D1622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7386A3AB" w14:textId="69AF46E9"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243</w:t>
            </w:r>
          </w:p>
        </w:tc>
        <w:tc>
          <w:tcPr>
            <w:tcW w:w="1132" w:type="dxa"/>
            <w:vAlign w:val="bottom"/>
          </w:tcPr>
          <w:p w14:paraId="0F41C9FD" w14:textId="305E93E1"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w:t>
            </w:r>
          </w:p>
        </w:tc>
        <w:tc>
          <w:tcPr>
            <w:tcW w:w="1132" w:type="dxa"/>
            <w:vAlign w:val="bottom"/>
          </w:tcPr>
          <w:p w14:paraId="69EEB3EB"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05792361"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134EEE06" w14:textId="5E8CF53D"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247</w:t>
            </w:r>
          </w:p>
        </w:tc>
      </w:tr>
      <w:tr w:rsidR="00C95224" w:rsidRPr="001D041C" w14:paraId="583C48E6"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46192DD" w14:textId="33E988BE" w:rsidR="00C95224" w:rsidRPr="00AA2021" w:rsidRDefault="00B04728" w:rsidP="00C95224">
            <w:pPr>
              <w:spacing w:before="40" w:afterLines="40" w:after="96"/>
              <w:rPr>
                <w:rFonts w:asciiTheme="minorHAnsi" w:hAnsiTheme="minorHAnsi"/>
                <w:sz w:val="18"/>
                <w:szCs w:val="18"/>
              </w:rPr>
            </w:pPr>
            <w:r>
              <w:rPr>
                <w:rFonts w:asciiTheme="minorHAnsi" w:hAnsiTheme="minorHAnsi"/>
                <w:sz w:val="18"/>
                <w:szCs w:val="18"/>
              </w:rPr>
              <w:t>eastern gambusia</w:t>
            </w:r>
          </w:p>
        </w:tc>
        <w:tc>
          <w:tcPr>
            <w:tcW w:w="1132" w:type="dxa"/>
            <w:tcBorders>
              <w:left w:val="single" w:sz="18" w:space="0" w:color="FFFFFF"/>
            </w:tcBorders>
            <w:vAlign w:val="bottom"/>
          </w:tcPr>
          <w:p w14:paraId="5E4C26C3" w14:textId="60A9053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2A77F80F" w14:textId="009C18CE"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36</w:t>
            </w:r>
          </w:p>
        </w:tc>
        <w:tc>
          <w:tcPr>
            <w:tcW w:w="1132" w:type="dxa"/>
            <w:vAlign w:val="bottom"/>
          </w:tcPr>
          <w:p w14:paraId="57741C88"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1C777961" w14:textId="7F70376D"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195</w:t>
            </w:r>
          </w:p>
        </w:tc>
        <w:tc>
          <w:tcPr>
            <w:tcW w:w="1132" w:type="dxa"/>
            <w:vAlign w:val="bottom"/>
          </w:tcPr>
          <w:p w14:paraId="2E784E43"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585F39E1" w14:textId="403BC4C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231</w:t>
            </w:r>
          </w:p>
        </w:tc>
      </w:tr>
      <w:tr w:rsidR="00C95224" w:rsidRPr="001D041C" w14:paraId="3033DB3D"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1BC5896E" w14:textId="7D968097" w:rsidR="00C95224" w:rsidRPr="00AA2021" w:rsidRDefault="00B04728" w:rsidP="00C95224">
            <w:pPr>
              <w:spacing w:before="40" w:afterLines="40" w:after="96"/>
              <w:rPr>
                <w:rFonts w:asciiTheme="minorHAnsi" w:hAnsiTheme="minorHAnsi"/>
                <w:sz w:val="18"/>
                <w:szCs w:val="18"/>
              </w:rPr>
            </w:pPr>
            <w:r>
              <w:rPr>
                <w:rFonts w:asciiTheme="minorHAnsi" w:hAnsiTheme="minorHAnsi"/>
                <w:sz w:val="18"/>
                <w:szCs w:val="18"/>
              </w:rPr>
              <w:t>goldfish</w:t>
            </w:r>
          </w:p>
        </w:tc>
        <w:tc>
          <w:tcPr>
            <w:tcW w:w="1132" w:type="dxa"/>
            <w:tcBorders>
              <w:left w:val="single" w:sz="18" w:space="0" w:color="FFFFFF"/>
            </w:tcBorders>
            <w:vAlign w:val="bottom"/>
          </w:tcPr>
          <w:p w14:paraId="04360DB1" w14:textId="4FF8E826"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28B7F2C7" w14:textId="1AEEDC30"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16</w:t>
            </w:r>
          </w:p>
        </w:tc>
        <w:tc>
          <w:tcPr>
            <w:tcW w:w="1132" w:type="dxa"/>
            <w:vAlign w:val="bottom"/>
          </w:tcPr>
          <w:p w14:paraId="33E98DF7"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21F8161F"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4575717D"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458F942A" w14:textId="0A0FB1F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16</w:t>
            </w:r>
          </w:p>
        </w:tc>
      </w:tr>
      <w:tr w:rsidR="00C95224" w:rsidRPr="001D041C" w14:paraId="00EC648E"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506E6DAE" w14:textId="469CCE7A" w:rsidR="00C95224" w:rsidRPr="00AA2021" w:rsidRDefault="00B04728" w:rsidP="00C95224">
            <w:pPr>
              <w:spacing w:before="40" w:afterLines="40" w:after="96"/>
              <w:rPr>
                <w:rFonts w:asciiTheme="minorHAnsi" w:hAnsiTheme="minorHAnsi"/>
                <w:sz w:val="18"/>
                <w:szCs w:val="18"/>
              </w:rPr>
            </w:pPr>
            <w:r>
              <w:rPr>
                <w:rFonts w:asciiTheme="minorHAnsi" w:hAnsiTheme="minorHAnsi"/>
                <w:sz w:val="18"/>
                <w:szCs w:val="18"/>
              </w:rPr>
              <w:t>redfin perch</w:t>
            </w:r>
          </w:p>
        </w:tc>
        <w:tc>
          <w:tcPr>
            <w:tcW w:w="1132" w:type="dxa"/>
            <w:tcBorders>
              <w:left w:val="single" w:sz="18" w:space="0" w:color="FFFFFF"/>
              <w:bottom w:val="single" w:sz="8" w:space="0" w:color="FFFFFF"/>
            </w:tcBorders>
            <w:vAlign w:val="bottom"/>
          </w:tcPr>
          <w:p w14:paraId="377280BB"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vAlign w:val="bottom"/>
          </w:tcPr>
          <w:p w14:paraId="3EC15B94" w14:textId="172AFCF1"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w:t>
            </w:r>
          </w:p>
        </w:tc>
        <w:tc>
          <w:tcPr>
            <w:tcW w:w="1132" w:type="dxa"/>
            <w:tcBorders>
              <w:bottom w:val="single" w:sz="8" w:space="0" w:color="FFFFFF"/>
            </w:tcBorders>
            <w:vAlign w:val="bottom"/>
          </w:tcPr>
          <w:p w14:paraId="1AE307D9"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vAlign w:val="bottom"/>
          </w:tcPr>
          <w:p w14:paraId="12B0C376" w14:textId="67366378"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w:t>
            </w:r>
          </w:p>
        </w:tc>
        <w:tc>
          <w:tcPr>
            <w:tcW w:w="1132" w:type="dxa"/>
            <w:tcBorders>
              <w:bottom w:val="single" w:sz="8" w:space="0" w:color="FFFFFF"/>
            </w:tcBorders>
            <w:vAlign w:val="bottom"/>
          </w:tcPr>
          <w:p w14:paraId="22473F1D"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vAlign w:val="bottom"/>
          </w:tcPr>
          <w:p w14:paraId="224D0CAF" w14:textId="191254F8"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5</w:t>
            </w:r>
          </w:p>
        </w:tc>
      </w:tr>
      <w:tr w:rsidR="005C29FF" w:rsidRPr="001D041C" w14:paraId="59ED4EF4" w14:textId="77777777" w:rsidTr="00C95224">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07DA39F0" w14:textId="77777777" w:rsidR="005C29FF" w:rsidRPr="00AA2021" w:rsidRDefault="005C29FF" w:rsidP="00C95224">
            <w:pPr>
              <w:spacing w:before="40" w:afterLines="40" w:after="96"/>
              <w:jc w:val="center"/>
              <w:rPr>
                <w:rFonts w:asciiTheme="minorHAnsi" w:hAnsiTheme="minorHAnsi"/>
                <w:bCs w:val="0"/>
                <w:sz w:val="18"/>
                <w:szCs w:val="18"/>
              </w:rPr>
            </w:pPr>
            <w:r w:rsidRPr="00AA2021">
              <w:rPr>
                <w:rFonts w:asciiTheme="minorHAnsi" w:hAnsiTheme="minorHAnsi"/>
                <w:sz w:val="18"/>
                <w:szCs w:val="18"/>
              </w:rPr>
              <w:t>Turtles</w:t>
            </w:r>
          </w:p>
        </w:tc>
      </w:tr>
      <w:tr w:rsidR="00C95224" w:rsidRPr="001D041C" w14:paraId="62BCB0E6"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7FFAD6C4" w14:textId="0FB93435" w:rsidR="00C95224" w:rsidRPr="00AA2021" w:rsidRDefault="006307CC" w:rsidP="00C95224">
            <w:pPr>
              <w:spacing w:before="40" w:afterLines="40" w:after="96"/>
              <w:rPr>
                <w:rFonts w:asciiTheme="minorHAnsi" w:hAnsiTheme="minorHAnsi"/>
                <w:sz w:val="18"/>
                <w:szCs w:val="18"/>
              </w:rPr>
            </w:pPr>
            <w:r>
              <w:rPr>
                <w:rFonts w:asciiTheme="minorHAnsi" w:hAnsiTheme="minorHAnsi"/>
                <w:sz w:val="18"/>
                <w:szCs w:val="18"/>
              </w:rPr>
              <w:t>l</w:t>
            </w:r>
            <w:r w:rsidR="00C95224" w:rsidRPr="00AA2021">
              <w:rPr>
                <w:rFonts w:asciiTheme="minorHAnsi" w:hAnsiTheme="minorHAnsi"/>
                <w:sz w:val="18"/>
                <w:szCs w:val="18"/>
              </w:rPr>
              <w:t>ong-necked turtle</w:t>
            </w:r>
          </w:p>
        </w:tc>
        <w:tc>
          <w:tcPr>
            <w:tcW w:w="1132" w:type="dxa"/>
            <w:tcBorders>
              <w:left w:val="single" w:sz="18" w:space="0" w:color="FFFFFF"/>
            </w:tcBorders>
          </w:tcPr>
          <w:p w14:paraId="550E29EB"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B6AFB02" w14:textId="21FE5608"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E25CE">
              <w:rPr>
                <w:sz w:val="18"/>
              </w:rPr>
              <w:t>1</w:t>
            </w:r>
          </w:p>
        </w:tc>
        <w:tc>
          <w:tcPr>
            <w:tcW w:w="1132" w:type="dxa"/>
          </w:tcPr>
          <w:p w14:paraId="722C3F02" w14:textId="3537310C"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67A3447"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93447B5"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5AFC246" w14:textId="3308D7A4"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w:t>
            </w:r>
          </w:p>
        </w:tc>
      </w:tr>
      <w:tr w:rsidR="00C95224" w:rsidRPr="001D041C" w14:paraId="1F01D2CF"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7BDB4D9B" w14:textId="3CA8ABE1" w:rsidR="00C95224" w:rsidRPr="00AA2021" w:rsidRDefault="00C95224" w:rsidP="00C95224">
            <w:pPr>
              <w:spacing w:before="40" w:afterLines="40" w:after="96"/>
              <w:rPr>
                <w:rFonts w:asciiTheme="minorHAnsi" w:hAnsiTheme="minorHAnsi"/>
                <w:sz w:val="18"/>
                <w:szCs w:val="18"/>
              </w:rPr>
            </w:pPr>
            <w:r w:rsidRPr="00AA2021">
              <w:rPr>
                <w:rFonts w:asciiTheme="minorHAnsi" w:hAnsiTheme="minorHAnsi"/>
                <w:sz w:val="18"/>
                <w:szCs w:val="18"/>
              </w:rPr>
              <w:t>Murray</w:t>
            </w:r>
            <w:r w:rsidR="006307CC">
              <w:rPr>
                <w:rFonts w:asciiTheme="minorHAnsi" w:hAnsiTheme="minorHAnsi"/>
                <w:sz w:val="18"/>
                <w:szCs w:val="18"/>
              </w:rPr>
              <w:t xml:space="preserve"> R</w:t>
            </w:r>
            <w:r w:rsidRPr="00AA2021">
              <w:rPr>
                <w:rFonts w:asciiTheme="minorHAnsi" w:hAnsiTheme="minorHAnsi"/>
                <w:sz w:val="18"/>
                <w:szCs w:val="18"/>
              </w:rPr>
              <w:t>iver turtle</w:t>
            </w:r>
          </w:p>
        </w:tc>
        <w:tc>
          <w:tcPr>
            <w:tcW w:w="1132" w:type="dxa"/>
            <w:tcBorders>
              <w:left w:val="single" w:sz="18" w:space="0" w:color="FFFFFF"/>
              <w:bottom w:val="single" w:sz="8" w:space="0" w:color="FFFFFF"/>
            </w:tcBorders>
          </w:tcPr>
          <w:p w14:paraId="273D1C49"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6E72E26D"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48655B7F"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7373E030"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3F6C9576"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43AEABCE" w14:textId="03EECC52"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0</w:t>
            </w:r>
          </w:p>
        </w:tc>
      </w:tr>
      <w:tr w:rsidR="005C29FF" w:rsidRPr="001D041C" w14:paraId="55B3B9D0" w14:textId="77777777" w:rsidTr="00C95224">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240101ED" w14:textId="77777777" w:rsidR="005C29FF" w:rsidRPr="00AA2021" w:rsidRDefault="005C29FF" w:rsidP="00C95224">
            <w:pPr>
              <w:spacing w:before="40" w:afterLines="40" w:after="96"/>
              <w:jc w:val="center"/>
              <w:rPr>
                <w:rFonts w:asciiTheme="minorHAnsi" w:hAnsiTheme="minorHAnsi"/>
                <w:bCs w:val="0"/>
                <w:sz w:val="18"/>
                <w:szCs w:val="18"/>
              </w:rPr>
            </w:pPr>
            <w:r w:rsidRPr="00AA2021">
              <w:rPr>
                <w:rFonts w:asciiTheme="minorHAnsi" w:hAnsiTheme="minorHAnsi"/>
                <w:sz w:val="18"/>
                <w:szCs w:val="18"/>
              </w:rPr>
              <w:t>Decapods</w:t>
            </w:r>
          </w:p>
        </w:tc>
      </w:tr>
      <w:tr w:rsidR="00C95224" w:rsidRPr="001D041C" w14:paraId="2A98E435"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6AEC3CCC" w14:textId="21520327" w:rsidR="00C95224" w:rsidRPr="00AA2021" w:rsidRDefault="006307CC" w:rsidP="00C95224">
            <w:pPr>
              <w:spacing w:before="40" w:afterLines="40" w:after="96"/>
              <w:rPr>
                <w:rFonts w:asciiTheme="minorHAnsi" w:hAnsiTheme="minorHAnsi"/>
                <w:sz w:val="18"/>
                <w:szCs w:val="18"/>
              </w:rPr>
            </w:pPr>
            <w:r>
              <w:rPr>
                <w:rFonts w:asciiTheme="minorHAnsi" w:hAnsiTheme="minorHAnsi"/>
                <w:sz w:val="18"/>
                <w:szCs w:val="18"/>
              </w:rPr>
              <w:t>f</w:t>
            </w:r>
            <w:r w:rsidR="00C95224" w:rsidRPr="00AA2021">
              <w:rPr>
                <w:rFonts w:asciiTheme="minorHAnsi" w:hAnsiTheme="minorHAnsi"/>
                <w:sz w:val="18"/>
                <w:szCs w:val="18"/>
              </w:rPr>
              <w:t>reshwater prawn</w:t>
            </w:r>
          </w:p>
        </w:tc>
        <w:tc>
          <w:tcPr>
            <w:tcW w:w="1132" w:type="dxa"/>
            <w:tcBorders>
              <w:left w:val="single" w:sz="18" w:space="0" w:color="FFFFFF"/>
            </w:tcBorders>
            <w:vAlign w:val="bottom"/>
          </w:tcPr>
          <w:p w14:paraId="03E54EF5" w14:textId="38CDE069"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334</w:t>
            </w:r>
          </w:p>
        </w:tc>
        <w:tc>
          <w:tcPr>
            <w:tcW w:w="1132" w:type="dxa"/>
            <w:vAlign w:val="bottom"/>
          </w:tcPr>
          <w:p w14:paraId="0F12AF66" w14:textId="4D26F29D"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5ADF9DD7" w14:textId="411C96F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15</w:t>
            </w:r>
          </w:p>
        </w:tc>
        <w:tc>
          <w:tcPr>
            <w:tcW w:w="1132" w:type="dxa"/>
            <w:vAlign w:val="bottom"/>
          </w:tcPr>
          <w:p w14:paraId="4FB72D60" w14:textId="71D9D813"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4009</w:t>
            </w:r>
          </w:p>
        </w:tc>
        <w:tc>
          <w:tcPr>
            <w:tcW w:w="1132" w:type="dxa"/>
            <w:vAlign w:val="bottom"/>
          </w:tcPr>
          <w:p w14:paraId="4154A7C6" w14:textId="28664EB9"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44</w:t>
            </w:r>
          </w:p>
        </w:tc>
        <w:tc>
          <w:tcPr>
            <w:tcW w:w="1133" w:type="dxa"/>
            <w:vAlign w:val="bottom"/>
          </w:tcPr>
          <w:p w14:paraId="67B51FFC" w14:textId="6D87C58F"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4402</w:t>
            </w:r>
          </w:p>
        </w:tc>
      </w:tr>
      <w:tr w:rsidR="00C95224" w:rsidRPr="001D041C" w14:paraId="161109BF"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4677A10A" w14:textId="28A011C1" w:rsidR="00C95224" w:rsidRPr="00AA2021" w:rsidRDefault="006307CC" w:rsidP="00C95224">
            <w:pPr>
              <w:spacing w:before="40" w:afterLines="40" w:after="96"/>
              <w:rPr>
                <w:rFonts w:asciiTheme="minorHAnsi" w:hAnsiTheme="minorHAnsi"/>
                <w:sz w:val="18"/>
                <w:szCs w:val="18"/>
              </w:rPr>
            </w:pPr>
            <w:r>
              <w:rPr>
                <w:rFonts w:asciiTheme="minorHAnsi" w:hAnsiTheme="minorHAnsi"/>
                <w:sz w:val="18"/>
                <w:szCs w:val="18"/>
              </w:rPr>
              <w:t>f</w:t>
            </w:r>
            <w:r w:rsidR="00C95224" w:rsidRPr="00AA2021">
              <w:rPr>
                <w:rFonts w:asciiTheme="minorHAnsi" w:hAnsiTheme="minorHAnsi"/>
                <w:sz w:val="18"/>
                <w:szCs w:val="18"/>
              </w:rPr>
              <w:t>reshwater shrimp</w:t>
            </w:r>
          </w:p>
        </w:tc>
        <w:tc>
          <w:tcPr>
            <w:tcW w:w="1132" w:type="dxa"/>
            <w:tcBorders>
              <w:left w:val="single" w:sz="18" w:space="0" w:color="FFFFFF"/>
            </w:tcBorders>
            <w:vAlign w:val="bottom"/>
          </w:tcPr>
          <w:p w14:paraId="7669EA06" w14:textId="0CB2F291"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56</w:t>
            </w:r>
          </w:p>
        </w:tc>
        <w:tc>
          <w:tcPr>
            <w:tcW w:w="1132" w:type="dxa"/>
            <w:vAlign w:val="bottom"/>
          </w:tcPr>
          <w:p w14:paraId="5843EFE0" w14:textId="481062A4"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41563C6A" w14:textId="37A50FBC"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w:t>
            </w:r>
          </w:p>
        </w:tc>
        <w:tc>
          <w:tcPr>
            <w:tcW w:w="1132" w:type="dxa"/>
            <w:vAlign w:val="bottom"/>
          </w:tcPr>
          <w:p w14:paraId="245898C2" w14:textId="52597730"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1145</w:t>
            </w:r>
          </w:p>
        </w:tc>
        <w:tc>
          <w:tcPr>
            <w:tcW w:w="1132" w:type="dxa"/>
            <w:vAlign w:val="bottom"/>
          </w:tcPr>
          <w:p w14:paraId="75E913AE" w14:textId="4D3E48C0"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vAlign w:val="bottom"/>
          </w:tcPr>
          <w:p w14:paraId="09A4E5D0" w14:textId="7EA8CC02"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1202</w:t>
            </w:r>
          </w:p>
        </w:tc>
      </w:tr>
      <w:tr w:rsidR="00C95224" w:rsidRPr="001D041C" w14:paraId="7F4CFAB2" w14:textId="77777777" w:rsidTr="00C95224">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26AFAC2B" w14:textId="6D54F221" w:rsidR="00C95224" w:rsidRPr="00AA2021" w:rsidRDefault="006307CC" w:rsidP="00C95224">
            <w:pPr>
              <w:spacing w:before="40" w:afterLines="40" w:after="96"/>
              <w:rPr>
                <w:rFonts w:asciiTheme="minorHAnsi" w:hAnsiTheme="minorHAnsi"/>
                <w:sz w:val="18"/>
                <w:szCs w:val="18"/>
              </w:rPr>
            </w:pPr>
            <w:r>
              <w:rPr>
                <w:rFonts w:asciiTheme="minorHAnsi" w:hAnsiTheme="minorHAnsi"/>
                <w:sz w:val="18"/>
                <w:szCs w:val="18"/>
              </w:rPr>
              <w:t>f</w:t>
            </w:r>
            <w:r w:rsidR="00C95224" w:rsidRPr="00AA2021">
              <w:rPr>
                <w:rFonts w:asciiTheme="minorHAnsi" w:hAnsiTheme="minorHAnsi"/>
                <w:sz w:val="18"/>
                <w:szCs w:val="18"/>
              </w:rPr>
              <w:t>reshwater yabby</w:t>
            </w:r>
          </w:p>
        </w:tc>
        <w:tc>
          <w:tcPr>
            <w:tcW w:w="1132" w:type="dxa"/>
            <w:tcBorders>
              <w:left w:val="single" w:sz="18" w:space="0" w:color="FFFFFF"/>
            </w:tcBorders>
            <w:vAlign w:val="bottom"/>
          </w:tcPr>
          <w:p w14:paraId="3C6CC7E9" w14:textId="77777777"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343E0AC4" w14:textId="2CA769AE"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vAlign w:val="bottom"/>
          </w:tcPr>
          <w:p w14:paraId="4B2FC1DE" w14:textId="3C12A885"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w:t>
            </w:r>
          </w:p>
        </w:tc>
        <w:tc>
          <w:tcPr>
            <w:tcW w:w="1132" w:type="dxa"/>
            <w:vAlign w:val="bottom"/>
          </w:tcPr>
          <w:p w14:paraId="022D3220" w14:textId="1A8D74E6"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1</w:t>
            </w:r>
          </w:p>
        </w:tc>
        <w:tc>
          <w:tcPr>
            <w:tcW w:w="1132" w:type="dxa"/>
            <w:vAlign w:val="bottom"/>
          </w:tcPr>
          <w:p w14:paraId="1AE8AC40" w14:textId="50496BF0"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sz w:val="18"/>
              </w:rPr>
              <w:t>2</w:t>
            </w:r>
          </w:p>
        </w:tc>
        <w:tc>
          <w:tcPr>
            <w:tcW w:w="1133" w:type="dxa"/>
            <w:vAlign w:val="bottom"/>
          </w:tcPr>
          <w:p w14:paraId="6B24D6AF" w14:textId="4F4B3901" w:rsidR="00C95224" w:rsidRPr="001D041C" w:rsidRDefault="00C95224" w:rsidP="00C95224">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C3C33">
              <w:rPr>
                <w:b/>
                <w:bCs/>
                <w:sz w:val="18"/>
              </w:rPr>
              <w:t>4</w:t>
            </w:r>
          </w:p>
        </w:tc>
      </w:tr>
    </w:tbl>
    <w:p w14:paraId="473A7A12" w14:textId="77777777" w:rsidR="005C29FF" w:rsidRPr="00D81C0B" w:rsidRDefault="005C29FF" w:rsidP="005C29FF">
      <w:pPr>
        <w:spacing w:beforeLines="40" w:before="96" w:after="40"/>
      </w:pPr>
    </w:p>
    <w:p w14:paraId="34A0B4F3" w14:textId="77777777" w:rsidR="005C29FF" w:rsidRDefault="005C29FF" w:rsidP="00CE2EDC">
      <w:pPr>
        <w:rPr>
          <w:lang w:val="en-US"/>
        </w:rPr>
      </w:pPr>
    </w:p>
    <w:p w14:paraId="48F44061" w14:textId="77777777" w:rsidR="00CE2EDC" w:rsidRDefault="00CE2EDC" w:rsidP="00CE2EDC">
      <w:pPr>
        <w:jc w:val="center"/>
        <w:rPr>
          <w:b/>
          <w:lang w:val="en-US"/>
        </w:rPr>
      </w:pPr>
      <w:r>
        <w:rPr>
          <w:noProof/>
          <w:lang w:eastAsia="en-AU"/>
        </w:rPr>
        <w:drawing>
          <wp:inline distT="0" distB="0" distL="0" distR="0" wp14:anchorId="15607730" wp14:editId="6FC77CDE">
            <wp:extent cx="5731510" cy="4585335"/>
            <wp:effectExtent l="0" t="0" r="254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731510" cy="4585335"/>
                    </a:xfrm>
                    <a:prstGeom prst="rect">
                      <a:avLst/>
                    </a:prstGeom>
                    <a:noFill/>
                    <a:ln>
                      <a:noFill/>
                    </a:ln>
                  </pic:spPr>
                </pic:pic>
              </a:graphicData>
            </a:graphic>
          </wp:inline>
        </w:drawing>
      </w:r>
    </w:p>
    <w:p w14:paraId="5D56A1CD" w14:textId="667E2479" w:rsidR="00CE2EDC" w:rsidRDefault="00CE2EDC" w:rsidP="00CE2EDC">
      <w:pPr>
        <w:pStyle w:val="Caption"/>
      </w:pPr>
      <w:bookmarkStart w:id="353" w:name="_Ref31872311"/>
      <w:bookmarkStart w:id="354" w:name="_Toc31985615"/>
      <w:r>
        <w:t xml:space="preserve">Figure </w:t>
      </w:r>
      <w:r>
        <w:fldChar w:fldCharType="begin"/>
      </w:r>
      <w:r>
        <w:instrText>SEQ Figure \* ARABIC</w:instrText>
      </w:r>
      <w:r>
        <w:fldChar w:fldCharType="separate"/>
      </w:r>
      <w:r w:rsidR="007F7607">
        <w:rPr>
          <w:noProof/>
        </w:rPr>
        <w:t>51</w:t>
      </w:r>
      <w:r>
        <w:fldChar w:fldCharType="end"/>
      </w:r>
      <w:bookmarkEnd w:id="353"/>
      <w:r w:rsidRPr="000C5EE2">
        <w:rPr>
          <w:lang w:val="en-US"/>
        </w:rPr>
        <w:t>.</w:t>
      </w:r>
      <w:r>
        <w:rPr>
          <w:b/>
          <w:lang w:val="en-US"/>
        </w:rPr>
        <w:t xml:space="preserve"> </w:t>
      </w:r>
      <w:r>
        <w:t xml:space="preserve">Catch per site (number of fish; mean </w:t>
      </w:r>
      <w:r>
        <w:rPr>
          <w:rFonts w:cs="Times New Roman"/>
        </w:rPr>
        <w:t>±</w:t>
      </w:r>
      <w:r>
        <w:t xml:space="preserve"> SE) of each fish species within the mid-Lachlan river system sampled in 2019.</w:t>
      </w:r>
      <w:bookmarkEnd w:id="354"/>
    </w:p>
    <w:p w14:paraId="5F8A2A22" w14:textId="15AEC007" w:rsidR="00CE2EDC" w:rsidRDefault="00CE2EDC" w:rsidP="00CE2EDC"/>
    <w:p w14:paraId="6C099A51" w14:textId="4D72FF16" w:rsidR="00EE2A70" w:rsidRPr="00411C9E" w:rsidRDefault="00C921EC" w:rsidP="00CE2EDC">
      <w:r>
        <w:rPr>
          <w:noProof/>
          <w:lang w:eastAsia="en-AU"/>
        </w:rPr>
        <w:drawing>
          <wp:inline distT="0" distB="0" distL="0" distR="0" wp14:anchorId="18764402" wp14:editId="4DF1B9D5">
            <wp:extent cx="5730875" cy="457835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730875" cy="4578350"/>
                    </a:xfrm>
                    <a:prstGeom prst="rect">
                      <a:avLst/>
                    </a:prstGeom>
                    <a:noFill/>
                  </pic:spPr>
                </pic:pic>
              </a:graphicData>
            </a:graphic>
          </wp:inline>
        </w:drawing>
      </w:r>
    </w:p>
    <w:p w14:paraId="527F536F" w14:textId="176F40CE" w:rsidR="00CE2EDC" w:rsidRPr="00CC25AC" w:rsidRDefault="00CE2EDC" w:rsidP="00CE2EDC">
      <w:pPr>
        <w:jc w:val="center"/>
        <w:rPr>
          <w:lang w:val="en-US"/>
        </w:rPr>
      </w:pPr>
    </w:p>
    <w:p w14:paraId="79B0B78A" w14:textId="2E772599" w:rsidR="00CE2EDC" w:rsidRDefault="00CE2EDC" w:rsidP="00CE2EDC">
      <w:pPr>
        <w:pStyle w:val="Caption"/>
      </w:pPr>
      <w:bookmarkStart w:id="355" w:name="_Ref31872349"/>
      <w:bookmarkStart w:id="356" w:name="_Toc31985616"/>
      <w:r>
        <w:t xml:space="preserve">Figure </w:t>
      </w:r>
      <w:r>
        <w:fldChar w:fldCharType="begin"/>
      </w:r>
      <w:r>
        <w:instrText>SEQ Figure \* ARABIC</w:instrText>
      </w:r>
      <w:r>
        <w:fldChar w:fldCharType="separate"/>
      </w:r>
      <w:r w:rsidR="007F7607">
        <w:rPr>
          <w:noProof/>
        </w:rPr>
        <w:t>52</w:t>
      </w:r>
      <w:r>
        <w:fldChar w:fldCharType="end"/>
      </w:r>
      <w:bookmarkEnd w:id="355"/>
      <w:r w:rsidRPr="000C5EE2">
        <w:rPr>
          <w:lang w:val="en-US"/>
        </w:rPr>
        <w:t>.</w:t>
      </w:r>
      <w:r>
        <w:rPr>
          <w:b/>
          <w:lang w:val="en-US"/>
        </w:rPr>
        <w:t xml:space="preserve"> </w:t>
      </w:r>
      <w:r>
        <w:t xml:space="preserve">Biomass per site (g; mean </w:t>
      </w:r>
      <w:r>
        <w:rPr>
          <w:rFonts w:cs="Times New Roman"/>
        </w:rPr>
        <w:t>±</w:t>
      </w:r>
      <w:r>
        <w:t xml:space="preserve"> SE) of each fish species within the mid-Lachlan river system sampled in 2019.</w:t>
      </w:r>
      <w:bookmarkEnd w:id="356"/>
    </w:p>
    <w:p w14:paraId="0B7E30C2" w14:textId="77777777" w:rsidR="00CE2EDC" w:rsidRDefault="00CE2EDC" w:rsidP="00CE2EDC"/>
    <w:p w14:paraId="03212D44" w14:textId="77777777" w:rsidR="00CE2EDC" w:rsidRDefault="00CE2EDC" w:rsidP="00CE2EDC">
      <w:pPr>
        <w:rPr>
          <w:lang w:val="en-US"/>
        </w:rPr>
        <w:sectPr w:rsidR="00CE2EDC" w:rsidSect="006E0321">
          <w:footerReference w:type="first" r:id="rId148"/>
          <w:pgSz w:w="11906" w:h="16838"/>
          <w:pgMar w:top="1440" w:right="1440" w:bottom="1440" w:left="1440" w:header="708" w:footer="708" w:gutter="0"/>
          <w:cols w:space="708"/>
          <w:docGrid w:linePitch="360"/>
        </w:sectPr>
      </w:pPr>
    </w:p>
    <w:p w14:paraId="08B8831B" w14:textId="70B42A51" w:rsidR="00CE2EDC" w:rsidRDefault="00CE2EDC" w:rsidP="00CE2EDC">
      <w:pPr>
        <w:rPr>
          <w:sz w:val="16"/>
          <w:szCs w:val="16"/>
          <w:lang w:val="en-US"/>
        </w:rPr>
      </w:pPr>
      <w:r>
        <w:rPr>
          <w:noProof/>
          <w:lang w:eastAsia="en-AU"/>
        </w:rPr>
        <w:drawing>
          <wp:inline distT="0" distB="0" distL="0" distR="0" wp14:anchorId="0607988A" wp14:editId="6612BA98">
            <wp:extent cx="7704632" cy="4761438"/>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7732386" cy="4778590"/>
                    </a:xfrm>
                    <a:prstGeom prst="rect">
                      <a:avLst/>
                    </a:prstGeom>
                    <a:noFill/>
                    <a:ln>
                      <a:noFill/>
                    </a:ln>
                  </pic:spPr>
                </pic:pic>
              </a:graphicData>
            </a:graphic>
          </wp:inline>
        </w:drawing>
      </w:r>
    </w:p>
    <w:p w14:paraId="4AC84BDA" w14:textId="77777777" w:rsidR="00CE2EDC" w:rsidRPr="00CE2EDC" w:rsidRDefault="00CE2EDC" w:rsidP="00CE2EDC">
      <w:pPr>
        <w:rPr>
          <w:sz w:val="16"/>
          <w:szCs w:val="16"/>
          <w:lang w:val="en-US"/>
        </w:rPr>
      </w:pPr>
    </w:p>
    <w:p w14:paraId="5B42B9D6" w14:textId="7C1586A1" w:rsidR="00C95224" w:rsidRDefault="00CE2EDC" w:rsidP="00CE2EDC">
      <w:pPr>
        <w:pStyle w:val="Caption"/>
        <w:rPr>
          <w:lang w:val="en-US"/>
        </w:rPr>
      </w:pPr>
      <w:bookmarkStart w:id="357" w:name="_Ref22823813"/>
      <w:bookmarkStart w:id="358" w:name="_Ref22823826"/>
      <w:bookmarkStart w:id="359" w:name="_Toc31985617"/>
      <w:r>
        <w:t xml:space="preserve">Figure </w:t>
      </w:r>
      <w:r>
        <w:fldChar w:fldCharType="begin"/>
      </w:r>
      <w:r>
        <w:instrText>SEQ Figure \* ARABIC</w:instrText>
      </w:r>
      <w:r>
        <w:fldChar w:fldCharType="separate"/>
      </w:r>
      <w:r w:rsidR="007F7607">
        <w:rPr>
          <w:noProof/>
        </w:rPr>
        <w:t>53</w:t>
      </w:r>
      <w:r>
        <w:fldChar w:fldCharType="end"/>
      </w:r>
      <w:bookmarkEnd w:id="357"/>
      <w:r>
        <w:rPr>
          <w:lang w:val="en-US"/>
        </w:rPr>
        <w:t>. Proportionate length-frequencies of the six most abundant species captured in the mid-Lachlan River in 2019.</w:t>
      </w:r>
      <w:bookmarkEnd w:id="358"/>
      <w:bookmarkEnd w:id="359"/>
    </w:p>
    <w:p w14:paraId="5CE11223" w14:textId="140ADD31" w:rsidR="00CE2EDC" w:rsidRDefault="00CE2EDC" w:rsidP="00CE2EDC">
      <w:pPr>
        <w:pStyle w:val="Caption"/>
        <w:rPr>
          <w:lang w:val="en-US"/>
        </w:rPr>
      </w:pPr>
      <w:r>
        <w:rPr>
          <w:lang w:val="en-US"/>
        </w:rPr>
        <w:t xml:space="preserve">The dashed line indicates approximate </w:t>
      </w:r>
      <w:r>
        <w:t>size limits used to distinguish new recruits for each species (</w:t>
      </w:r>
      <w:r w:rsidRPr="0025591F">
        <w:t>see</w:t>
      </w:r>
      <w:r>
        <w:t xml:space="preserve"> </w:t>
      </w:r>
      <w:r w:rsidR="005C29FF">
        <w:fldChar w:fldCharType="begin"/>
      </w:r>
      <w:r w:rsidR="005C29FF">
        <w:instrText xml:space="preserve"> REF _Ref17974342 \h </w:instrText>
      </w:r>
      <w:r w:rsidR="005C29FF">
        <w:fldChar w:fldCharType="separate"/>
      </w:r>
      <w:r w:rsidR="007F7607" w:rsidRPr="00D31D5C">
        <w:t xml:space="preserve">Table </w:t>
      </w:r>
      <w:r w:rsidR="007F7607">
        <w:rPr>
          <w:noProof/>
        </w:rPr>
        <w:t>10</w:t>
      </w:r>
      <w:r w:rsidR="005C29FF">
        <w:fldChar w:fldCharType="end"/>
      </w:r>
      <w:r w:rsidR="005C29FF">
        <w:t xml:space="preserve">, </w:t>
      </w:r>
      <w:r w:rsidR="00507E37">
        <w:t>p.</w:t>
      </w:r>
      <w:r w:rsidR="005C29FF">
        <w:t xml:space="preserve"> </w:t>
      </w:r>
      <w:r w:rsidR="005C29FF">
        <w:fldChar w:fldCharType="begin"/>
      </w:r>
      <w:r w:rsidR="005C29FF">
        <w:instrText xml:space="preserve"> PAGEREF _Ref17974346 \h </w:instrText>
      </w:r>
      <w:r w:rsidR="005C29FF">
        <w:fldChar w:fldCharType="separate"/>
      </w:r>
      <w:r w:rsidR="007F7607">
        <w:rPr>
          <w:noProof/>
        </w:rPr>
        <w:t>91</w:t>
      </w:r>
      <w:r w:rsidR="005C29FF">
        <w:fldChar w:fldCharType="end"/>
      </w:r>
      <w:r>
        <w:t>).</w:t>
      </w:r>
    </w:p>
    <w:p w14:paraId="26376865" w14:textId="77777777" w:rsidR="00CE2EDC" w:rsidRDefault="00CE2EDC" w:rsidP="00CE2EDC">
      <w:pPr>
        <w:rPr>
          <w:lang w:val="en-US"/>
        </w:rPr>
        <w:sectPr w:rsidR="00CE2EDC" w:rsidSect="006E0321">
          <w:pgSz w:w="16838" w:h="11906" w:orient="landscape"/>
          <w:pgMar w:top="1440" w:right="1440" w:bottom="1440" w:left="1440" w:header="709" w:footer="709" w:gutter="0"/>
          <w:cols w:space="708"/>
          <w:docGrid w:linePitch="360"/>
        </w:sectPr>
      </w:pPr>
    </w:p>
    <w:p w14:paraId="36ACC32F" w14:textId="77777777" w:rsidR="00CE2EDC" w:rsidRDefault="00CE2EDC" w:rsidP="00CE2EDC">
      <w:pPr>
        <w:pStyle w:val="Heading4"/>
      </w:pPr>
      <w:bookmarkStart w:id="360" w:name="_Toc440827287"/>
      <w:r>
        <w:t>By-catch</w:t>
      </w:r>
      <w:bookmarkEnd w:id="360"/>
    </w:p>
    <w:p w14:paraId="1CC8A969" w14:textId="5F178ECD" w:rsidR="00CE2EDC" w:rsidRDefault="00CE2EDC" w:rsidP="00CE2EDC">
      <w:r>
        <w:t>A total of four turtles were captured during fish community monitoring, two long-necked turtles and two Murray River turtles (</w:t>
      </w:r>
      <w:r>
        <w:fldChar w:fldCharType="begin"/>
      </w:r>
      <w:r>
        <w:instrText xml:space="preserve"> REF _Ref427304302 \h  \* MERGEFORMAT </w:instrText>
      </w:r>
      <w:r>
        <w:fldChar w:fldCharType="separate"/>
      </w:r>
      <w:r w:rsidR="007F7607">
        <w:t>Table 16</w:t>
      </w:r>
      <w:r>
        <w:fldChar w:fldCharType="end"/>
      </w:r>
      <w:r w:rsidR="00427EB4">
        <w:t xml:space="preserve">, p. </w:t>
      </w:r>
      <w:r w:rsidR="00427EB4">
        <w:fldChar w:fldCharType="begin"/>
      </w:r>
      <w:r w:rsidR="00427EB4">
        <w:instrText xml:space="preserve"> PAGEREF _Ref24723392 \h </w:instrText>
      </w:r>
      <w:r w:rsidR="00427EB4">
        <w:fldChar w:fldCharType="separate"/>
      </w:r>
      <w:r w:rsidR="007F7607">
        <w:rPr>
          <w:noProof/>
        </w:rPr>
        <w:t>102</w:t>
      </w:r>
      <w:r w:rsidR="00427EB4">
        <w:fldChar w:fldCharType="end"/>
      </w:r>
      <w:r>
        <w:t xml:space="preserve">). </w:t>
      </w:r>
      <w:r w:rsidRPr="004D25B3">
        <w:t xml:space="preserve">Freshwater shrimp and prawns were the most </w:t>
      </w:r>
      <w:r>
        <w:t>abundant</w:t>
      </w:r>
      <w:r w:rsidRPr="004D25B3">
        <w:t xml:space="preserve"> taxa in small mesh fyke nets and bait traps</w:t>
      </w:r>
      <w:r>
        <w:t xml:space="preserve"> (</w:t>
      </w:r>
      <w:r>
        <w:fldChar w:fldCharType="begin"/>
      </w:r>
      <w:r>
        <w:instrText xml:space="preserve"> REF _Ref427304302 \h  \* MERGEFORMAT </w:instrText>
      </w:r>
      <w:r>
        <w:fldChar w:fldCharType="separate"/>
      </w:r>
      <w:r w:rsidR="007F7607">
        <w:t>Table 16</w:t>
      </w:r>
      <w:r>
        <w:fldChar w:fldCharType="end"/>
      </w:r>
      <w:r>
        <w:t xml:space="preserve">). </w:t>
      </w:r>
      <w:r w:rsidRPr="004D25B3">
        <w:t xml:space="preserve">Only a small number of </w:t>
      </w:r>
      <w:r w:rsidR="00A424FF">
        <w:t>y</w:t>
      </w:r>
      <w:r w:rsidRPr="004D25B3">
        <w:t>abbies were captured across the 10 monitoring sites</w:t>
      </w:r>
      <w:r>
        <w:t xml:space="preserve"> (</w:t>
      </w:r>
      <w:r>
        <w:fldChar w:fldCharType="begin"/>
      </w:r>
      <w:r>
        <w:instrText xml:space="preserve"> REF _Ref427304302 \h  \* MERGEFORMAT </w:instrText>
      </w:r>
      <w:r>
        <w:fldChar w:fldCharType="separate"/>
      </w:r>
      <w:r w:rsidR="007F7607">
        <w:t>Table 16</w:t>
      </w:r>
      <w:r>
        <w:fldChar w:fldCharType="end"/>
      </w:r>
      <w:r>
        <w:t>).</w:t>
      </w:r>
    </w:p>
    <w:p w14:paraId="01D1AE9C" w14:textId="77955468" w:rsidR="00CE2EDC" w:rsidRPr="004D25B3" w:rsidRDefault="00CE2EDC" w:rsidP="00CE2EDC"/>
    <w:p w14:paraId="64245516" w14:textId="77777777" w:rsidR="00CE2EDC" w:rsidRPr="003F5729" w:rsidRDefault="00CE2EDC" w:rsidP="00CE2EDC">
      <w:pPr>
        <w:pStyle w:val="Heading2"/>
      </w:pPr>
      <w:bookmarkStart w:id="361" w:name="_Toc440827288"/>
      <w:bookmarkStart w:id="362" w:name="_Toc31985485"/>
      <w:r w:rsidRPr="003F5729">
        <w:t>Discussion</w:t>
      </w:r>
      <w:bookmarkEnd w:id="361"/>
      <w:bookmarkEnd w:id="362"/>
    </w:p>
    <w:p w14:paraId="322171E2" w14:textId="77777777" w:rsidR="00CE2EDC" w:rsidRPr="00CE2EDC" w:rsidRDefault="00CE2EDC" w:rsidP="00CE2EDC">
      <w:pPr>
        <w:pStyle w:val="Heading3"/>
      </w:pPr>
      <w:bookmarkStart w:id="363" w:name="_Toc31985486"/>
      <w:r>
        <w:rPr>
          <w:lang w:val="en-AU"/>
        </w:rPr>
        <w:t xml:space="preserve">Lower </w:t>
      </w:r>
      <w:r>
        <w:t>Lachlan River (</w:t>
      </w:r>
      <w:r>
        <w:rPr>
          <w:lang w:val="en-AU"/>
        </w:rPr>
        <w:t>Long</w:t>
      </w:r>
      <w:r>
        <w:t xml:space="preserve"> Term Intervention Monitoring)</w:t>
      </w:r>
      <w:bookmarkEnd w:id="363"/>
    </w:p>
    <w:p w14:paraId="35934DC0" w14:textId="0AE89ECF" w:rsidR="00CE2EDC" w:rsidRPr="003F2021" w:rsidRDefault="00CE2EDC" w:rsidP="00CE2EDC">
      <w:r>
        <w:t>Six</w:t>
      </w:r>
      <w:r w:rsidRPr="003F2021">
        <w:t xml:space="preserve"> native species of freshwater fish</w:t>
      </w:r>
      <w:r>
        <w:t xml:space="preserve"> were captured</w:t>
      </w:r>
      <w:r w:rsidRPr="003F2021">
        <w:t xml:space="preserve"> in the Lachlan Selected Area</w:t>
      </w:r>
      <w:r>
        <w:t xml:space="preserve"> in 2019</w:t>
      </w:r>
      <w:r w:rsidRPr="003F2021">
        <w:t>. Freshwater catfish were not ca</w:t>
      </w:r>
      <w:r>
        <w:t>ught</w:t>
      </w:r>
      <w:r w:rsidRPr="003F2021">
        <w:t xml:space="preserve"> in 201</w:t>
      </w:r>
      <w:r>
        <w:t xml:space="preserve">9 even though extra targeted sampling for this species took place using large fyke nets. Un-specked hardyhead were also absent in 2019, despite being captured during sampling from 2015 to 2018. </w:t>
      </w:r>
      <w:r w:rsidRPr="003F2021">
        <w:t xml:space="preserve">Two native species, Murray-Darling rainbowfish and silver perch, </w:t>
      </w:r>
      <w:r>
        <w:t xml:space="preserve">are </w:t>
      </w:r>
      <w:r w:rsidRPr="003F2021">
        <w:t xml:space="preserve">presumed to have been historically common in lowland sections of the </w:t>
      </w:r>
      <w:r w:rsidRPr="00356685">
        <w:t>Lachlan Basin, but are now rarely encountered within the target reach and were not detected in the current study</w:t>
      </w:r>
      <w:r w:rsidR="00356685" w:rsidRPr="00356685">
        <w:t xml:space="preserve"> (</w:t>
      </w:r>
      <w:r w:rsidR="00356685" w:rsidRPr="00356685">
        <w:fldChar w:fldCharType="begin"/>
      </w:r>
      <w:r w:rsidR="00356685" w:rsidRPr="00356685">
        <w:instrText xml:space="preserve"> REF _Ref17975777 \h </w:instrText>
      </w:r>
      <w:r w:rsidR="00356685">
        <w:instrText xml:space="preserve"> \* MERGEFORMAT </w:instrText>
      </w:r>
      <w:r w:rsidR="00356685" w:rsidRPr="00356685">
        <w:fldChar w:fldCharType="separate"/>
      </w:r>
      <w:r w:rsidR="007F7607" w:rsidRPr="003C1511">
        <w:t xml:space="preserve">Table </w:t>
      </w:r>
      <w:r w:rsidR="007F7607">
        <w:rPr>
          <w:noProof/>
        </w:rPr>
        <w:t>17</w:t>
      </w:r>
      <w:r w:rsidR="00356685" w:rsidRPr="00356685">
        <w:fldChar w:fldCharType="end"/>
      </w:r>
      <w:r w:rsidR="00356685" w:rsidRPr="00356685">
        <w:t>,</w:t>
      </w:r>
      <w:r w:rsidR="00356685">
        <w:t xml:space="preserve"> </w:t>
      </w:r>
      <w:r w:rsidR="00507E37">
        <w:t>p.</w:t>
      </w:r>
      <w:r w:rsidR="00616E66">
        <w:t xml:space="preserve"> </w:t>
      </w:r>
      <w:r w:rsidR="00356685">
        <w:fldChar w:fldCharType="begin"/>
      </w:r>
      <w:r w:rsidR="00356685">
        <w:instrText xml:space="preserve"> PAGEREF _Ref17975849 \h </w:instrText>
      </w:r>
      <w:r w:rsidR="00356685">
        <w:fldChar w:fldCharType="separate"/>
      </w:r>
      <w:r w:rsidR="007F7607">
        <w:rPr>
          <w:noProof/>
        </w:rPr>
        <w:t>113</w:t>
      </w:r>
      <w:r w:rsidR="00356685">
        <w:fldChar w:fldCharType="end"/>
      </w:r>
      <w:r w:rsidR="00356685" w:rsidRPr="00356685">
        <w:t>)</w:t>
      </w:r>
      <w:r w:rsidR="00100E9E" w:rsidRPr="00356685">
        <w:t xml:space="preserve">. </w:t>
      </w:r>
      <w:r w:rsidRPr="00356685">
        <w:t>Consistent with previous</w:t>
      </w:r>
      <w:r>
        <w:t xml:space="preserve"> results, </w:t>
      </w:r>
      <w:r w:rsidRPr="003F2021">
        <w:t xml:space="preserve">four native </w:t>
      </w:r>
      <w:r>
        <w:t xml:space="preserve">fish </w:t>
      </w:r>
      <w:r w:rsidRPr="003F2021">
        <w:t>species (flathead galaxias, olive perchlet, southern purple spotted gudgeon and southern pygmy perch)</w:t>
      </w:r>
      <w:r>
        <w:t>,</w:t>
      </w:r>
      <w:r w:rsidRPr="003F2021">
        <w:t xml:space="preserve"> which were historically present, were not detected</w:t>
      </w:r>
      <w:r>
        <w:t xml:space="preserve"> in 2019</w:t>
      </w:r>
      <w:r w:rsidRPr="003F2021">
        <w:t>.</w:t>
      </w:r>
      <w:r>
        <w:t xml:space="preserve"> </w:t>
      </w:r>
      <w:r w:rsidRPr="003F2021">
        <w:t>Of these, olive perchlet is the only species to have been recently detected</w:t>
      </w:r>
      <w:r w:rsidR="00C95224">
        <w:t xml:space="preserve"> </w:t>
      </w:r>
      <w:r w:rsidR="00C95224">
        <w:fldChar w:fldCharType="begin"/>
      </w:r>
      <w:r w:rsidR="00740557">
        <w:instrText xml:space="preserve"> ADDIN EN.CITE &lt;EndNote&gt;&lt;Cite&gt;&lt;Author&gt;Wallace&lt;/Author&gt;&lt;Year&gt;2011&lt;/Year&gt;&lt;RecNum&gt;68&lt;/RecNum&gt;&lt;Suffix&gt;`, DPI Fisheries`, unpublished data&lt;/Suffix&gt;&lt;DisplayText&gt;(Wallace and Bindokas 2011, DPI Fisheries, unpublished data)&lt;/DisplayText&gt;&lt;record&gt;&lt;rec-number&gt;68&lt;/rec-number&gt;&lt;foreign-keys&gt;&lt;key app="EN" db-id="0a0zttz0gewd9befav559p5osxw5sftwfpdv" timestamp="1397369624"&gt;68&lt;/key&gt;&lt;/foreign-keys&gt;&lt;ref-type name="Report"&gt;27&lt;/ref-type&gt;&lt;contributors&gt;&lt;authors&gt;&lt;author&gt;Wallace, T.&lt;/author&gt;&lt;author&gt;Bindokas, J.&lt;/author&gt;&lt;/authors&gt;&lt;secondary-authors&gt;&lt;author&gt;Murray-Darling Freshwater Research Centre&lt;/author&gt;&lt;/secondary-authors&gt;&lt;tertiary-authors&gt;&lt;author&gt;Murray-Darling Freshwater Research Centre.&lt;/author&gt;&lt;/tertiary-authors&gt;&lt;/contributors&gt;&lt;titles&gt;&lt;title&gt;The impact of drought on water quality and fish communities within refuge pools in the Lachlan River&lt;/title&gt;&lt;/titles&gt;&lt;dates&gt;&lt;year&gt;2011&lt;/year&gt;&lt;/dates&gt;&lt;urls&gt;&lt;/urls&gt;&lt;/record&gt;&lt;/Cite&gt;&lt;/EndNote&gt;</w:instrText>
      </w:r>
      <w:r w:rsidR="00C95224">
        <w:fldChar w:fldCharType="separate"/>
      </w:r>
      <w:r w:rsidR="00C95224">
        <w:rPr>
          <w:noProof/>
        </w:rPr>
        <w:t>(Wallace and Bindokas 2011, DPI Fisheries, unpublished data)</w:t>
      </w:r>
      <w:r w:rsidR="00C95224">
        <w:fldChar w:fldCharType="end"/>
      </w:r>
      <w:r w:rsidR="00C95224">
        <w:t xml:space="preserve">. </w:t>
      </w:r>
      <w:r>
        <w:t xml:space="preserve">Despite the absence of a number of native species, the native species richness in the </w:t>
      </w:r>
      <w:r w:rsidR="00F32976">
        <w:t xml:space="preserve">Lower </w:t>
      </w:r>
      <w:r w:rsidRPr="003F2021">
        <w:t>Lachlan Selected Area</w:t>
      </w:r>
      <w:r>
        <w:t xml:space="preserve"> is generally higher than in other parts of the catchment.</w:t>
      </w:r>
    </w:p>
    <w:p w14:paraId="6F1A943E" w14:textId="4FD74111" w:rsidR="00CE2EDC" w:rsidRDefault="00CE2EDC" w:rsidP="00CE2EDC">
      <w:r>
        <w:t xml:space="preserve">Based on SRA metrics, the native fish community composition stayed in the same </w:t>
      </w:r>
      <w:r w:rsidR="00356685">
        <w:t>‘</w:t>
      </w:r>
      <w:r>
        <w:t>Overall Condition (Very Poor)</w:t>
      </w:r>
      <w:r w:rsidR="00356685">
        <w:t>’</w:t>
      </w:r>
      <w:r>
        <w:t xml:space="preserve"> in 2019 as in previous years (2015–2018). </w:t>
      </w:r>
      <w:r w:rsidRPr="00ED54DA">
        <w:t>New recruits of two longer-lived species (bony herring</w:t>
      </w:r>
      <w:r>
        <w:t xml:space="preserve"> and Murray cod</w:t>
      </w:r>
      <w:r w:rsidRPr="00ED54DA">
        <w:t xml:space="preserve">) and </w:t>
      </w:r>
      <w:r>
        <w:t>two</w:t>
      </w:r>
      <w:r w:rsidRPr="00ED54DA">
        <w:t xml:space="preserve"> smaller native species </w:t>
      </w:r>
      <w:r>
        <w:t>(Australian smelt and carp gudgeon) were observed, but no longer-lived golden perch recruits were found. As a result,</w:t>
      </w:r>
      <w:r w:rsidRPr="00ED54DA">
        <w:t xml:space="preserve"> the </w:t>
      </w:r>
      <w:r>
        <w:t xml:space="preserve">2019 </w:t>
      </w:r>
      <w:r w:rsidRPr="00ED54DA">
        <w:t>Recruitment score</w:t>
      </w:r>
      <w:r>
        <w:t xml:space="preserve"> remained at</w:t>
      </w:r>
      <w:r w:rsidRPr="00ED54DA">
        <w:t xml:space="preserve"> </w:t>
      </w:r>
      <w:r w:rsidR="00296705">
        <w:t>‘</w:t>
      </w:r>
      <w:r>
        <w:t>Very Poor</w:t>
      </w:r>
      <w:r w:rsidR="00296705">
        <w:t>’</w:t>
      </w:r>
      <w:r>
        <w:t xml:space="preserve"> as in 2018. This score surpassed that in</w:t>
      </w:r>
      <w:r w:rsidRPr="00ED54DA">
        <w:t xml:space="preserve"> </w:t>
      </w:r>
      <w:r>
        <w:t xml:space="preserve">2015 of </w:t>
      </w:r>
      <w:r w:rsidR="00296705">
        <w:t>‘</w:t>
      </w:r>
      <w:r>
        <w:t>Extremely poor</w:t>
      </w:r>
      <w:r w:rsidR="00296705">
        <w:t>’</w:t>
      </w:r>
      <w:r>
        <w:t xml:space="preserve"> when recruitment of freshwater catfish was undetected, but fell below the 2017 score of </w:t>
      </w:r>
      <w:r w:rsidR="00296705">
        <w:t>‘</w:t>
      </w:r>
      <w:r>
        <w:t>Poor</w:t>
      </w:r>
      <w:r w:rsidR="00296705">
        <w:t>’</w:t>
      </w:r>
      <w:r>
        <w:t xml:space="preserve"> when recruitment of flatheaded gudgeon was detected</w:t>
      </w:r>
      <w:r w:rsidRPr="00ED54DA">
        <w:t>.</w:t>
      </w:r>
      <w:r>
        <w:t xml:space="preserve"> Nativeness, which reflects a key measure of the proportional abundance and biomass of native and alien species</w:t>
      </w:r>
      <w:r w:rsidRPr="007A2400">
        <w:t xml:space="preserve">, </w:t>
      </w:r>
      <w:r>
        <w:t xml:space="preserve">returned to a score of </w:t>
      </w:r>
      <w:r w:rsidR="00296705">
        <w:t>‘</w:t>
      </w:r>
      <w:r>
        <w:t>Good</w:t>
      </w:r>
      <w:r w:rsidR="00296705">
        <w:t>’</w:t>
      </w:r>
      <w:r>
        <w:t xml:space="preserve"> in 2019, also seen in 2015 and 2016. Low Nativeness scores of </w:t>
      </w:r>
      <w:r w:rsidR="00296705">
        <w:t>‘</w:t>
      </w:r>
      <w:r>
        <w:t>Poor</w:t>
      </w:r>
      <w:r w:rsidR="00296705">
        <w:t>’</w:t>
      </w:r>
      <w:r>
        <w:t xml:space="preserve"> in 2017 and </w:t>
      </w:r>
      <w:r w:rsidR="00296705">
        <w:t>‘</w:t>
      </w:r>
      <w:r>
        <w:t>Moderate</w:t>
      </w:r>
      <w:r w:rsidR="00296705">
        <w:t>’</w:t>
      </w:r>
      <w:r>
        <w:t xml:space="preserve"> in 2018 were the result of reduced abundance (and biomass) of large long-lived golden perch and Murray cod and higher abundance (and biomass) of common carp. Expectedness fell to </w:t>
      </w:r>
      <w:r w:rsidR="00296705">
        <w:t>‘</w:t>
      </w:r>
      <w:r>
        <w:t>Very Poor</w:t>
      </w:r>
      <w:r w:rsidR="00296705">
        <w:t>’</w:t>
      </w:r>
      <w:r>
        <w:t xml:space="preserve"> in 2019; the lowest among LTIM sampling years in the Lachlan River. This was caused by the detection of only five native fish species using SRA methods (12 electrofishing operations and unbaited bait traps) compared to six or seven species in sampling from 2015–2018. However, six native species were caught within the broader sampling of 2019, involving an additional 20 electrofishing operations, small and large fyke netting, and opera house bait traps.</w:t>
      </w:r>
    </w:p>
    <w:p w14:paraId="69B5F207" w14:textId="59C47D91" w:rsidR="00CE2EDC" w:rsidRDefault="00CE2EDC" w:rsidP="00CE2EDC">
      <w:r>
        <w:t>One would</w:t>
      </w:r>
      <w:r w:rsidRPr="005321F0">
        <w:t xml:space="preserve"> expect</w:t>
      </w:r>
      <w:r>
        <w:t xml:space="preserve"> </w:t>
      </w:r>
      <w:r w:rsidRPr="005321F0">
        <w:t xml:space="preserve">differing flow regimes across years </w:t>
      </w:r>
      <w:r>
        <w:t>to</w:t>
      </w:r>
      <w:r w:rsidRPr="005321F0">
        <w:t xml:space="preserve"> favour </w:t>
      </w:r>
      <w:r>
        <w:t>varying suites</w:t>
      </w:r>
      <w:r w:rsidRPr="005321F0">
        <w:t xml:space="preserve"> </w:t>
      </w:r>
      <w:r>
        <w:t xml:space="preserve">of </w:t>
      </w:r>
      <w:r w:rsidRPr="005321F0">
        <w:t xml:space="preserve">species. </w:t>
      </w:r>
      <w:r>
        <w:t>In response to hydrological conditions in 2018–2019 including Commonwealth watering actions, several native species (i.e. carp gudgeon, Australian smelt and bony herring) had reduced abundance compared with 2018. Carp gudgeon and Australian smelt are shorter-lived species described as foraging generalists</w:t>
      </w:r>
      <w:r w:rsidR="00616E66">
        <w:t xml:space="preserve"> </w:t>
      </w:r>
      <w:r w:rsidR="00616E66">
        <w:fldChar w:fldCharType="begin"/>
      </w:r>
      <w:r w:rsidR="00616E66">
        <w:instrText xml:space="preserve"> ADDIN EN.CITE &lt;EndNote&gt;&lt;Cite&gt;&lt;Author&gt;Baumgartner&lt;/Author&gt;&lt;Year&gt;2014&lt;/Year&gt;&lt;RecNum&gt;239&lt;/RecNum&gt;&lt;DisplayText&gt;(Baumgartner et al. 2014)&lt;/DisplayText&gt;&lt;record&gt;&lt;rec-number&gt;239&lt;/rec-number&gt;&lt;foreign-keys&gt;&lt;key app="EN" db-id="0a0zttz0gewd9befav559p5osxw5sftwfpdv" timestamp="1542589019"&gt;239&lt;/key&gt;&lt;/foreign-keys&gt;&lt;ref-type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410-427&lt;/pages&gt;&lt;volume&gt;15&lt;/volume&gt;&lt;number&gt;3&lt;/number&gt;&lt;dates&gt;&lt;year&gt;2014&lt;/year&gt;&lt;/dates&gt;&lt;urls&gt;&lt;related-urls&gt;&lt;url&gt;https://onlinelibrary.wiley.com/doi/abs/10.1111/faf.12023&lt;/url&gt;&lt;/related-urls&gt;&lt;/urls&gt;&lt;electronic-resource-num&gt;doi:10.1111/faf.12023&lt;/electronic-resource-num&gt;&lt;/record&gt;&lt;/Cite&gt;&lt;/EndNote&gt;</w:instrText>
      </w:r>
      <w:r w:rsidR="00616E66">
        <w:fldChar w:fldCharType="separate"/>
      </w:r>
      <w:r w:rsidR="00616E66">
        <w:rPr>
          <w:noProof/>
        </w:rPr>
        <w:t>(Baumgartner et al. 2014)</w:t>
      </w:r>
      <w:r w:rsidR="00616E66">
        <w:fldChar w:fldCharType="end"/>
      </w:r>
      <w:r w:rsidR="00616E66">
        <w:t xml:space="preserve"> </w:t>
      </w:r>
      <w:r>
        <w:t xml:space="preserve">that are not flow dependent spawners and can become more abundant under drought conditions. Conversely, small increases in abundances were detected for other native species, such as Murray cod and golden perch, in conjunction with the 2018–2019 Commonwealth watering actions. These longer-lived species declined in abundance following poor water quality as a result of the 2016–2017 floods and are expected to </w:t>
      </w:r>
      <w:r w:rsidRPr="003629F9">
        <w:t>slow</w:t>
      </w:r>
      <w:r>
        <w:t>ly recover in the coming years if satisfactory conditions persist</w:t>
      </w:r>
      <w:r w:rsidRPr="003629F9">
        <w:t>.</w:t>
      </w:r>
      <w:r>
        <w:t xml:space="preserve"> It is possible that watering actions aimed at facilitating the movement and re-distribution of these species contributed to this result, although this cannot be tested as fish movement is not a monitored indicator in the Lachlan Selected Area. </w:t>
      </w:r>
    </w:p>
    <w:p w14:paraId="0412D8C7" w14:textId="3A55AB8B" w:rsidR="00CE2EDC" w:rsidRPr="00A01B89" w:rsidRDefault="00CE2EDC" w:rsidP="00CE2EDC">
      <w:r>
        <w:t xml:space="preserve">The declines in abundances of several fish species from 2015 to 2017 were attributed to dissolved oxygen concentrations at or below those inducing mortality in several large-bodied native species </w:t>
      </w:r>
      <w:r w:rsidRPr="00A01B89">
        <w:t xml:space="preserve">during 2016-17 </w:t>
      </w:r>
      <w:r w:rsidR="00616E66">
        <w:fldChar w:fldCharType="begin"/>
      </w:r>
      <w:r w:rsidR="00953089">
        <w:instrText xml:space="preserve"> ADDIN EN.CITE &lt;EndNote&gt;&lt;Cite&gt;&lt;Author&gt;Small&lt;/Author&gt;&lt;Year&gt;2014&lt;/Year&gt;&lt;RecNum&gt;188&lt;/RecNum&gt;&lt;Prefix&gt;i.e. 3.1 mg/L`, &lt;/Prefix&gt;&lt;DisplayText&gt;(i.e. 3.1 mg/L, Small et al. 2014)&lt;/DisplayText&gt;&lt;record&gt;&lt;rec-number&gt;188&lt;/rec-number&gt;&lt;foreign-keys&gt;&lt;key app="EN" db-id="0a0zttz0gewd9befav559p5osxw5sftwfpdv" timestamp="1505094353"&gt;188&lt;/key&gt;&lt;/foreign-keys&gt;&lt;ref-type name="Journal Article"&gt;17&lt;/ref-type&gt;&lt;contributors&gt;&lt;authors&gt;&lt;author&gt;Small, K.&lt;/author&gt;&lt;author&gt;Kopf, R.K.&lt;/author&gt;&lt;author&gt;Watts, R.J.&lt;/author&gt;&lt;author&gt;Howitt, J.A.&lt;/author&gt;&lt;/authors&gt;&lt;/contributors&gt;&lt;titles&gt;&lt;title&gt;Hypoxia,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ONE&lt;/full-title&gt;&lt;/periodical&gt;&lt;volume&gt;9&lt;/volume&gt;&lt;number&gt;4&lt;/number&gt;&lt;dates&gt;&lt;year&gt;2014&lt;/year&gt;&lt;/dates&gt;&lt;urls&gt;&lt;/urls&gt;&lt;/record&gt;&lt;/Cite&gt;&lt;/EndNote&gt;</w:instrText>
      </w:r>
      <w:r w:rsidR="00616E66">
        <w:fldChar w:fldCharType="separate"/>
      </w:r>
      <w:r w:rsidR="00953089">
        <w:rPr>
          <w:noProof/>
        </w:rPr>
        <w:t>(i.e. 3.1 mg/L, Small et al. 2014)</w:t>
      </w:r>
      <w:r w:rsidR="00616E66">
        <w:fldChar w:fldCharType="end"/>
      </w:r>
      <w:r w:rsidR="00CE55E9">
        <w:t>.</w:t>
      </w:r>
      <w:r>
        <w:t xml:space="preserve"> While widespread fish kills were not observed, anecdotal reports from local landholders suggest that hypoxia-related fish kills most likely explained the reduced abundance (and biomass) of Murray cod in the focal reach. Substantial fish kills occurred in other parts of the (southern) Murray-Darling Basin in both 2010-11 </w:t>
      </w:r>
      <w:r w:rsidR="00616E66">
        <w:fldChar w:fldCharType="begin">
          <w:fldData xml:space="preserve">PEVuZE5vdGU+PENpdGU+PEF1dGhvcj5IbGFkeXo8L0F1dGhvcj48WWVhcj4yMDExPC9ZZWFyPjxS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</w:fldData>
        </w:fldChar>
      </w:r>
      <w:r w:rsidR="00616E66">
        <w:instrText xml:space="preserve"> ADDIN EN.CITE </w:instrText>
      </w:r>
      <w:r w:rsidR="00616E66">
        <w:fldChar w:fldCharType="begin">
          <w:fldData xml:space="preserve">PEVuZE5vdGU+PENpdGU+PEF1dGhvcj5IbGFkeXo8L0F1dGhvcj48WWVhcj4yMDExPC9ZZWFyPjxS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</w:fldData>
        </w:fldChar>
      </w:r>
      <w:r w:rsidR="00616E66">
        <w:instrText xml:space="preserve"> ADDIN EN.CITE.DATA </w:instrText>
      </w:r>
      <w:r w:rsidR="00616E66">
        <w:fldChar w:fldCharType="end"/>
      </w:r>
      <w:r w:rsidR="00616E66">
        <w:fldChar w:fldCharType="separate"/>
      </w:r>
      <w:r w:rsidR="00616E66">
        <w:rPr>
          <w:noProof/>
        </w:rPr>
        <w:t>(Hladyz et al. 2011, King et al. 2012, Whitworth et al. 2012)</w:t>
      </w:r>
      <w:r w:rsidR="00616E66">
        <w:fldChar w:fldCharType="end"/>
      </w:r>
      <w:r w:rsidR="00CE55E9">
        <w:t xml:space="preserve"> </w:t>
      </w:r>
      <w:r>
        <w:t xml:space="preserve">and 2016-17 flooding events (DPI Fisheries, </w:t>
      </w:r>
      <w:r w:rsidRPr="004564ED">
        <w:rPr>
          <w:i/>
        </w:rPr>
        <w:t>unpublished data</w:t>
      </w:r>
      <w:r>
        <w:t>). Encouragingly, recent evidence from the Edward-Wakool system indicates that recovery of the Murray cod population from the 2010-11 fish kills was predominantly driven by localised spawning and recruitment originating from surviving remnant adults</w:t>
      </w:r>
      <w:r w:rsidR="00616E66">
        <w:t xml:space="preserve"> </w:t>
      </w:r>
      <w:r w:rsidR="00616E66">
        <w:fldChar w:fldCharType="begin"/>
      </w:r>
      <w:r w:rsidR="00616E66">
        <w:instrText xml:space="preserve"> ADDIN EN.CITE &lt;EndNote&gt;&lt;Cite&gt;&lt;Author&gt;Thiem&lt;/Author&gt;&lt;Year&gt;2017&lt;/Year&gt;&lt;RecNum&gt;192&lt;/RecNum&gt;&lt;DisplayText&gt;(Thiem et al. 2017)&lt;/DisplayText&gt;&lt;record&gt;&lt;rec-number&gt;192&lt;/rec-number&gt;&lt;foreign-keys&gt;&lt;key app="EN" db-id="0a0zttz0gewd9befav559p5osxw5sftwfpdv" timestamp="1505095863"&gt;192&lt;/key&gt;&lt;/foreign-keys&gt;&lt;ref-type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rsidR="00616E66">
        <w:fldChar w:fldCharType="separate"/>
      </w:r>
      <w:r w:rsidR="00616E66">
        <w:rPr>
          <w:noProof/>
        </w:rPr>
        <w:t>(Thiem et al. 2017)</w:t>
      </w:r>
      <w:r w:rsidR="00616E66">
        <w:fldChar w:fldCharType="end"/>
      </w:r>
      <w:r w:rsidR="00616E66">
        <w:t xml:space="preserve">. </w:t>
      </w:r>
      <w:r>
        <w:t xml:space="preserve">Given evidence in the Lachlan Selected Area of a remnant adult population, as well as documented localised spawning under this </w:t>
      </w:r>
      <w:r w:rsidR="00E05711">
        <w:t>LTIM Project</w:t>
      </w:r>
      <w:r>
        <w:t>, it is anticipated that natural processes are the most likely recovery pathway for this species. It is therefore important that f</w:t>
      </w:r>
      <w:r w:rsidRPr="00A01B89">
        <w:t xml:space="preserve">uture water delivery </w:t>
      </w:r>
      <w:r>
        <w:t>continues to provide breeding opportunities, by facilitating the movement of pre-spawning fish and maintaining spawning habitat during nesting periods to prevent rapid water level drops and nest abandonment or desiccation.</w:t>
      </w:r>
    </w:p>
    <w:p w14:paraId="621302CA" w14:textId="57EEA8AB" w:rsidR="00CE2EDC" w:rsidRDefault="00CE2EDC" w:rsidP="00CE2EDC">
      <w:r>
        <w:t xml:space="preserve">As in 2015–2018, </w:t>
      </w:r>
      <w:r w:rsidRPr="0068303C">
        <w:t xml:space="preserve">golden perch recruits </w:t>
      </w:r>
      <w:r>
        <w:t>were not captured in 2019</w:t>
      </w:r>
      <w:r w:rsidRPr="0068303C">
        <w:t xml:space="preserve">. </w:t>
      </w:r>
      <w:r>
        <w:t xml:space="preserve">However, this result does not provide definitive evidence of a lack of spawning within the lowland Lachlan River. Other Selected Areas </w:t>
      </w:r>
      <w:r w:rsidR="00356685">
        <w:fldChar w:fldCharType="begin"/>
      </w:r>
      <w:r w:rsidR="00616E66">
        <w:instrText xml:space="preserve"> ADDIN EN.CITE &lt;EndNote&gt;&lt;Cite&gt;&lt;Author&gt;Wassens&lt;/Author&gt;&lt;Year&gt;2015&lt;/Year&gt;&lt;RecNum&gt;151&lt;/RecNum&gt;&lt;Prefix&gt;e.g. the Murrumbidgee`; &lt;/Prefix&gt;&lt;DisplayText&gt;(e.g. the Murrumbidgee; Wassens et al. 2015)&lt;/DisplayText&gt;&lt;record&gt;&lt;rec-number&gt;151&lt;/rec-number&gt;&lt;foreign-keys&gt;&lt;key app="EN" db-id="0a0zttz0gewd9befav559p5osxw5sftwfpdv" timestamp="1476157110"&gt;151&lt;/key&gt;&lt;/foreign-keys&gt;&lt;ref-type name="Report"&gt;27&lt;/ref-type&gt;&lt;contributors&gt;&lt;authors&gt;&lt;author&gt;Wassens,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J.&lt;/author&gt;&lt;author&gt;Cory, F.&lt;/author&gt;&lt;/authors&gt;&lt;/contributors&gt;&lt;titles&gt;&lt;title&gt;Long Term Intervention Monitoring Murrumbidgee Selected Area 2014-15 Technical report.&lt;/title&gt;&lt;/titles&gt;&lt;dates&gt;&lt;year&gt;2015&lt;/year&gt;&lt;/dates&gt;&lt;publisher&gt;Commonwealth of Australia.&lt;/publisher&gt;&lt;urls&gt;&lt;/urls&gt;&lt;/record&gt;&lt;/Cite&gt;&lt;/EndNote&gt;</w:instrText>
      </w:r>
      <w:r w:rsidR="00356685">
        <w:fldChar w:fldCharType="separate"/>
      </w:r>
      <w:r w:rsidR="00356685">
        <w:rPr>
          <w:noProof/>
        </w:rPr>
        <w:t>(e.g. the Murrumbidgee; Wassens et al. 2015)</w:t>
      </w:r>
      <w:r w:rsidR="00356685">
        <w:fldChar w:fldCharType="end"/>
      </w:r>
      <w:r w:rsidR="00356685" w:rsidRPr="00696E7D">
        <w:t xml:space="preserve"> </w:t>
      </w:r>
      <w:r>
        <w:t xml:space="preserve">have detected spawning but rarely encountered new recruits. This may be explained by 1) high larval mortality, 2) inappropriate sampling methods or locations, or 3) a combination of both. Golden perch abundance in 2019 was similar from 2017–2018 but was reduced compared with 2015–2016, following a similar trend to Murray cod. Stocking of golden perch has been undertaken in the Lachlan River since the 1970’s, including on numerous occasions within the Selected Area in the past 10 years </w:t>
      </w:r>
      <w:r w:rsidR="00356685">
        <w:t xml:space="preserve">(http://www.dpi.nsw.gov.au/fishing/recreational/ </w:t>
      </w:r>
      <w:r w:rsidR="00356685" w:rsidRPr="005B4B87">
        <w:t>resources/stocking</w:t>
      </w:r>
      <w:r w:rsidR="00356685">
        <w:t xml:space="preserve"> and DPI Fisheries, </w:t>
      </w:r>
      <w:r w:rsidR="00356685" w:rsidRPr="3734553D">
        <w:rPr>
          <w:i/>
          <w:iCs/>
        </w:rPr>
        <w:t>unpublished data</w:t>
      </w:r>
      <w:r w:rsidR="00356685">
        <w:t xml:space="preserve">). </w:t>
      </w:r>
      <w:r>
        <w:t xml:space="preserve">It remains unknown whether the current adult population of golden perch is a result of stocking, wild-spawning, or a combination of the two. This represents an important knowledge gap when developing expected outcomes for future watering events. Recent published evidence suggests substantial variability in the contribution of stocking to riverine populations of golden perch </w:t>
      </w:r>
      <w:r w:rsidR="00356685">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LkouPC9hdXRob3I+PC9hdXRob3JzPjwvY29udHJpYnV0b3JzPjx0aXRsZXM+PHRpdGxlPjxzdHls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</w:fldData>
        </w:fldChar>
      </w:r>
      <w:r w:rsidR="00740557">
        <w:instrText xml:space="preserve"> ADDIN EN.CITE </w:instrText>
      </w:r>
      <w:r w:rsidR="00740557">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LkouPC9hdXRob3I+PC9hdXRob3JzPjwvY29udHJpYnV0b3JzPjx0aXRsZXM+PHRpdGxlPjxzdHls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</w:fldData>
        </w:fldChar>
      </w:r>
      <w:r w:rsidR="00740557">
        <w:instrText xml:space="preserve"> ADDIN EN.CITE.DATA </w:instrText>
      </w:r>
      <w:r w:rsidR="00740557">
        <w:fldChar w:fldCharType="end"/>
      </w:r>
      <w:r w:rsidR="00356685">
        <w:fldChar w:fldCharType="separate"/>
      </w:r>
      <w:r w:rsidR="00356685">
        <w:rPr>
          <w:noProof/>
        </w:rPr>
        <w:t>(Crook et al. 2016, Forbes et al. 2016)</w:t>
      </w:r>
      <w:r w:rsidR="00356685">
        <w:fldChar w:fldCharType="end"/>
      </w:r>
      <w:r w:rsidR="00356685">
        <w:t xml:space="preserve"> </w:t>
      </w:r>
      <w:r>
        <w:t xml:space="preserve">and declines in stocking effectiveness have been observed with increasing riverine </w:t>
      </w:r>
      <w:r w:rsidR="00356685" w:rsidRPr="00696E7D">
        <w:t xml:space="preserve">connectedness </w:t>
      </w:r>
      <w:r w:rsidR="00356685">
        <w:fldChar w:fldCharType="begin"/>
      </w:r>
      <w:r w:rsidR="00616E66">
        <w:instrText xml:space="preserve"> ADDIN EN.CITE &lt;EndNote&gt;&lt;Cite&gt;&lt;Author&gt;Hunt&lt;/Author&gt;&lt;Year&gt;2010&lt;/Year&gt;&lt;RecNum&gt;140&lt;/RecNum&gt;&lt;Prefix&gt;e.g. &lt;/Prefix&gt;&lt;DisplayText&gt;(e.g. Hunt et al. 2010)&lt;/DisplayText&gt;&lt;record&gt;&lt;rec-number&gt;140&lt;/rec-number&gt;&lt;foreign-keys&gt;&lt;key app="EN" db-id="0a0zttz0gewd9befav559p5osxw5sftwfpdv" timestamp="1476058855"&gt;140&lt;/key&gt;&lt;/foreign-keys&gt;&lt;ref-type name="Journal Article"&gt;17&lt;/ref-type&gt;&lt;contributors&gt;&lt;authors&gt;&lt;author&gt;Hunt, T.L.&lt;/author&gt;&lt;author&gt;Allen, M.S.&lt;/author&gt;&lt;author&gt;Douglas, J.&lt;/author&gt;&lt;author&gt;Gason, A.&lt;/author&gt;&lt;/authors&gt;&lt;/contributors&gt;&lt;titles&gt;&lt;title&gt;Evaluation of a Sport Fish Stocking Program in Lakes of the Southern Murray–Darling Basin, Australia&lt;/title&gt;&lt;secondary-title&gt;North American Journal of Fisheries Management&lt;/secondary-title&gt;&lt;/titles&gt;&lt;periodical&gt;&lt;full-title&gt;North American Journal of Fisheries Management&lt;/full-title&gt;&lt;/periodical&gt;&lt;pages&gt;805-811&lt;/pages&gt;&lt;volume&gt;30&lt;/volume&gt;&lt;number&gt;3&lt;/number&gt;&lt;dates&gt;&lt;year&gt;2010&lt;/year&gt;&lt;pub-dates&gt;&lt;date&gt;2010/06/01&lt;/date&gt;&lt;/pub-dates&gt;&lt;/dates&gt;&lt;publisher&gt;Taylor &amp;amp; Francis&lt;/publisher&gt;&lt;isbn&gt;0275-5947&lt;/isbn&gt;&lt;urls&gt;&lt;related-urls&gt;&lt;url&gt;http://dx.doi.org/10.1577/M09-207.1&lt;/url&gt;&lt;/related-urls&gt;&lt;/urls&gt;&lt;electronic-resource-num&gt;10.1577/m09-207.1&lt;/electronic-resource-num&gt;&lt;/record&gt;&lt;/Cite&gt;&lt;/EndNote&gt;</w:instrText>
      </w:r>
      <w:r w:rsidR="00356685">
        <w:fldChar w:fldCharType="separate"/>
      </w:r>
      <w:r w:rsidR="00356685">
        <w:rPr>
          <w:noProof/>
        </w:rPr>
        <w:t>(e.g. Hunt et al. 2010)</w:t>
      </w:r>
      <w:r w:rsidR="00356685">
        <w:fldChar w:fldCharType="end"/>
      </w:r>
      <w:r w:rsidR="00356685">
        <w:t xml:space="preserve">. </w:t>
      </w:r>
      <w:r>
        <w:t xml:space="preserve">As golden perch are “Flow pulse specialists”, which rely on freshes to trigger spawning </w:t>
      </w:r>
      <w:r w:rsidR="00356685" w:rsidRPr="00696E7D">
        <w:t>responses</w:t>
      </w:r>
      <w:r w:rsidR="00356685">
        <w:t xml:space="preserve"> </w:t>
      </w:r>
      <w:r w:rsidR="00356685">
        <w:fldChar w:fldCharType="begin"/>
      </w:r>
      <w:r w:rsidR="00616E66">
        <w:instrText xml:space="preserve"> ADDIN EN.CITE &lt;EndNote&gt;&lt;Cite&gt;&lt;Author&gt;Baumgartner&lt;/Author&gt;&lt;Year&gt;2014&lt;/Year&gt;&lt;RecNum&gt;239&lt;/RecNum&gt;&lt;DisplayText&gt;(Baumgartner et al. 2014)&lt;/DisplayText&gt;&lt;record&gt;&lt;rec-number&gt;239&lt;/rec-number&gt;&lt;foreign-keys&gt;&lt;key app="EN" db-id="0a0zttz0gewd9befav559p5osxw5sftwfpdv" timestamp="1542589019"&gt;239&lt;/key&gt;&lt;/foreign-keys&gt;&lt;ref-type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410-427&lt;/pages&gt;&lt;volume&gt;15&lt;/volume&gt;&lt;number&gt;3&lt;/number&gt;&lt;dates&gt;&lt;year&gt;2014&lt;/year&gt;&lt;/dates&gt;&lt;urls&gt;&lt;related-urls&gt;&lt;url&gt;https://onlinelibrary.wiley.com/doi/abs/10.1111/faf.12023&lt;/url&gt;&lt;/related-urls&gt;&lt;/urls&gt;&lt;electronic-resource-num&gt;doi:10.1111/faf.12023&lt;/electronic-resource-num&gt;&lt;/record&gt;&lt;/Cite&gt;&lt;/EndNote&gt;</w:instrText>
      </w:r>
      <w:r w:rsidR="00356685">
        <w:fldChar w:fldCharType="separate"/>
      </w:r>
      <w:r w:rsidR="00356685">
        <w:rPr>
          <w:noProof/>
        </w:rPr>
        <w:t>(Baumgartner et al. 2014)</w:t>
      </w:r>
      <w:r w:rsidR="00356685">
        <w:fldChar w:fldCharType="end"/>
      </w:r>
      <w:r>
        <w:t xml:space="preserve">, it </w:t>
      </w:r>
      <w:r w:rsidRPr="00415BC4">
        <w:t xml:space="preserve">is important </w:t>
      </w:r>
      <w:r>
        <w:t>that freshes occur in the Lachlan River, in order to promote increased spawning and subsequent recruitment for this species.</w:t>
      </w:r>
    </w:p>
    <w:p w14:paraId="3BE798A4" w14:textId="29EBCCC7" w:rsidR="00F32976" w:rsidRDefault="00F32976" w:rsidP="00F32976">
      <w:pPr>
        <w:tabs>
          <w:tab w:val="num" w:pos="1080"/>
        </w:tabs>
        <w:spacing w:after="20" w:line="23" w:lineRule="atLeast"/>
      </w:pPr>
      <w:r>
        <w:t xml:space="preserve">In response to an environmental watering event to inundate preferred nesting habitat for Murray cod and promote instream productivity and larval dispersal opportunities in 2018–2019, we detected Murray cod recruits in the lower Lachlan reach in 2019. This similarly occurred in previous LTIM years, excluding in 2017 when no recruits were observed following hypoxia-related fish kills in 2016–2017. However, recruits comprised 13% of all captured individuals in the lower Lachlan reach - higher than in other LTIM years (0–7%), except in 2015 when 24% were recruits before the hypoxia-related fish kills in 2016–2017. These results along with the successful spawning of Murray cod in 2018–2019 (larval chapter) suggest that the targeted Commonwealth environmental watering action was a contributing factor. </w:t>
      </w:r>
    </w:p>
    <w:p w14:paraId="557F697F" w14:textId="77777777" w:rsidR="001D20AD" w:rsidRPr="00CE2EDC" w:rsidRDefault="001D20AD" w:rsidP="001D20AD">
      <w:pPr>
        <w:pStyle w:val="Heading3"/>
      </w:pPr>
      <w:bookmarkStart w:id="364" w:name="_Toc31985487"/>
      <w:r>
        <w:t>Mid Lachlan River (Short Term Intervention Monitoring)</w:t>
      </w:r>
      <w:bookmarkEnd w:id="364"/>
    </w:p>
    <w:p w14:paraId="13FF166A" w14:textId="57BD09B9" w:rsidR="001D20AD" w:rsidRDefault="001D20AD" w:rsidP="001D20AD">
      <w:r>
        <w:t>Monitoring of the mid-Lachlan River 2019 provides a benchmark from which changes in the fish community in response to Commonwealth environmental watering can be made in future years. Seven native fish species were captured in the mid-Lachlan fish community sampling in 2019. Despite being captured in the larval fish monitoring, freshwater catfish were not captured in 2019, despite extra effort being deployed to target this species (large-mesh fyke nets). Larvae of this species were captured in the larval sampling in 2018 at one site (</w:t>
      </w:r>
      <w:r w:rsidRPr="00F50A00">
        <w:t xml:space="preserve">see section: </w:t>
      </w:r>
      <w:r w:rsidRPr="00F50A00">
        <w:fldChar w:fldCharType="begin"/>
      </w:r>
      <w:r w:rsidRPr="00F50A00">
        <w:instrText xml:space="preserve"> REF _Ref18503171 \r \h </w:instrText>
      </w:r>
      <w:r>
        <w:instrText xml:space="preserve"> \* MERGEFORMAT </w:instrText>
      </w:r>
      <w:r w:rsidRPr="00F50A00">
        <w:fldChar w:fldCharType="separate"/>
      </w:r>
      <w:r w:rsidR="007F7607">
        <w:t>7</w:t>
      </w:r>
      <w:r w:rsidRPr="00F50A00">
        <w:fldChar w:fldCharType="end"/>
      </w:r>
      <w:r w:rsidRPr="00F50A00">
        <w:t xml:space="preserve"> </w:t>
      </w:r>
      <w:r w:rsidRPr="00F50A00">
        <w:fldChar w:fldCharType="begin"/>
      </w:r>
      <w:r w:rsidRPr="00F50A00">
        <w:instrText xml:space="preserve"> REF _Ref18503176 \h </w:instrText>
      </w:r>
      <w:r>
        <w:instrText xml:space="preserve"> \* MERGEFORMAT </w:instrText>
      </w:r>
      <w:r w:rsidRPr="00F50A00">
        <w:fldChar w:fldCharType="separate"/>
      </w:r>
      <w:r w:rsidR="007F7607" w:rsidRPr="007E117A">
        <w:t>Spawning and larval fish</w:t>
      </w:r>
      <w:r w:rsidRPr="00F50A00">
        <w:fldChar w:fldCharType="end"/>
      </w:r>
      <w:r>
        <w:t>), confirming this species is present, but probably low densities.</w:t>
      </w:r>
    </w:p>
    <w:p w14:paraId="3C0B9BDA" w14:textId="77777777" w:rsidR="001D20AD" w:rsidRDefault="001D20AD" w:rsidP="001D20AD">
      <w:r>
        <w:t xml:space="preserve">Other species that historically were present in the reach that weren’t captured in 2019 were </w:t>
      </w:r>
      <w:r w:rsidRPr="003F2021">
        <w:t xml:space="preserve">flathead galaxias, </w:t>
      </w:r>
      <w:r>
        <w:t xml:space="preserve">unspecked hardyhead, </w:t>
      </w:r>
      <w:r w:rsidRPr="003F2021">
        <w:t>olive perchlet, southern purple spotted gudgeon and southern pygmy perch</w:t>
      </w:r>
      <w:r>
        <w:t>. Unspecked hardyhead and olive perchlet are the only two of these species that were captured within the catchment recently (Wallance and Bindokas 2011, NSW DOI unpublished data). Despite these missing taxa, the native species richness in the mid-Lachlan is relatively high compared to the lower Lachlan selected area.</w:t>
      </w:r>
    </w:p>
    <w:p w14:paraId="2466CEA4" w14:textId="77777777" w:rsidR="001D20AD" w:rsidRDefault="001D20AD" w:rsidP="001D20AD">
      <w:r>
        <w:rPr>
          <w:lang w:val="en-US"/>
        </w:rPr>
        <w:t xml:space="preserve">The SRA Overall condition index of the fish community was rated “Very poor” for both zones in the mid-Lachlan in 2019. Overall condition of the fish community, as determined by the current study, in the mid-Lachlan River (very poor) was similar to that of the lower-Lachlan River (very poor) in 2019. When compared with previous large-scale condition programs in the </w:t>
      </w:r>
      <w:r w:rsidRPr="00591B41">
        <w:rPr>
          <w:lang w:val="en-US"/>
        </w:rPr>
        <w:t xml:space="preserve">lowland Lachlan Basin, the </w:t>
      </w:r>
      <w:r>
        <w:rPr>
          <w:lang w:val="en-US"/>
        </w:rPr>
        <w:t>mid-Lachlan</w:t>
      </w:r>
      <w:r w:rsidRPr="00591B41">
        <w:rPr>
          <w:lang w:val="en-US"/>
        </w:rPr>
        <w:t xml:space="preserve"> reach </w:t>
      </w:r>
      <w:r>
        <w:rPr>
          <w:lang w:val="en-US"/>
        </w:rPr>
        <w:t>currently</w:t>
      </w:r>
      <w:r w:rsidRPr="00591B41">
        <w:rPr>
          <w:lang w:val="en-US"/>
        </w:rPr>
        <w:t xml:space="preserve"> support</w:t>
      </w:r>
      <w:r>
        <w:rPr>
          <w:lang w:val="en-US"/>
        </w:rPr>
        <w:t>s</w:t>
      </w:r>
      <w:r w:rsidRPr="00591B41">
        <w:rPr>
          <w:lang w:val="en-US"/>
        </w:rPr>
        <w:t xml:space="preserve"> a healthier native fish community</w:t>
      </w:r>
      <w:r>
        <w:rPr>
          <w:lang w:val="en-US"/>
        </w:rPr>
        <w:t>, with a previous assessment rating both zones in the Lachlan River catchment as extremely poor</w:t>
      </w:r>
      <w:r w:rsidRPr="00591B41">
        <w:rPr>
          <w:lang w:val="en-US"/>
        </w:rPr>
        <w:t xml:space="preserve"> </w:t>
      </w:r>
      <w:r>
        <w:rPr>
          <w:lang w:val="en-US"/>
        </w:rPr>
        <w:t>in 2009</w:t>
      </w:r>
      <w:r>
        <w:t xml:space="preserve"> </w:t>
      </w:r>
      <w:r>
        <w:fldChar w:fldCharType="begin"/>
      </w:r>
      <w:r>
        <w:instrText xml:space="preserve"> ADDIN EN.CITE &lt;EndNote&gt;&lt;Cite&gt;&lt;Author&gt;Davies&lt;/Author&gt;&lt;Year&gt;2012&lt;/Year&gt;&lt;RecNum&gt;205&lt;/RecNum&gt;&lt;DisplayText&gt;(Davies et al. 2012)&lt;/DisplayText&gt;&lt;record&gt;&lt;rec-number&gt;205&lt;/rec-number&gt;&lt;foreign-keys&gt;&lt;key app="EN" db-id="0a0zttz0gewd9befav559p5osxw5sftwfpdv" timestamp="1505101559"&gt;205&lt;/key&gt;&lt;/foreign-keys&gt;&lt;ref-type name="Report"&gt;27&lt;/ref-type&gt;&lt;contributors&gt;&lt;authors&gt;&lt;author&gt;Davies, P.E.&lt;/author&gt;&lt;author&gt;Stewardson, M.&lt;/author&gt;&lt;author&gt;Hillman, T.&lt;/author&gt;&lt;author&gt;Roberts, J.&lt;/author&gt;&lt;author&gt;Thoms, M.&lt;/author&gt;&lt;/authors&gt;&lt;/contributors&gt;&lt;titles&gt;&lt;title&gt;Sustainable rivers audit 2: The ecological health of rivers in the Murray-Darling Basin at the end of the Millennium Drought (2008-2010).&lt;/title&gt;&lt;secondary-title&gt;Technical Report vols. 2-3&lt;/secondary-title&gt;&lt;/titles&gt;&lt;dates&gt;&lt;year&gt;2012&lt;/year&gt;&lt;/dates&gt;&lt;pub-location&gt;Canberra&lt;/pub-location&gt;&lt;publisher&gt;Murray-Darling Basin Authority&lt;/publisher&gt;&lt;urls&gt;&lt;/urls&gt;&lt;/record&gt;&lt;/Cite&gt;&lt;/EndNote&gt;</w:instrText>
      </w:r>
      <w:r>
        <w:fldChar w:fldCharType="separate"/>
      </w:r>
      <w:r>
        <w:rPr>
          <w:noProof/>
        </w:rPr>
        <w:t>(Davies et al. 2012)</w:t>
      </w:r>
      <w:r>
        <w:fldChar w:fldCharType="end"/>
      </w:r>
      <w:r>
        <w:t xml:space="preserve">. While these results are not directly transferable to the findings of the current study given the narrower spatial scale of interest here, the data indicate that the fish communities of the broader region are generally unbalanced towards alien species, and that the target reach supports a greater proportionate abundance and biomass of native fish </w:t>
      </w:r>
      <w:r>
        <w:fldChar w:fldCharType="begin"/>
      </w:r>
      <w:r>
        <w:instrText xml:space="preserve"> ADDIN EN.CITE &lt;EndNote&gt;&lt;Cite&gt;&lt;Author&gt;Gilligan&lt;/Author&gt;&lt;Year&gt;2010&lt;/Year&gt;&lt;RecNum&gt;62&lt;/RecNum&gt;&lt;DisplayText&gt;(Gilligan et al. 2010)&lt;/DisplayText&gt;&lt;record&gt;&lt;rec-number&gt;62&lt;/rec-number&gt;&lt;foreign-keys&gt;&lt;key app="EN" db-id="0a0zttz0gewd9befav559p5osxw5sftwfpdv" timestamp="1397368786"&gt;62&lt;/key&gt;&lt;/foreign-keys&gt;&lt;ref-type name="Report"&gt;27&lt;/ref-type&gt;&lt;contributors&gt;&lt;authors&gt;&lt;author&gt;Gilligan, D.&lt;/author&gt;&lt;author&gt;Jess, L.&lt;/author&gt;&lt;author&gt;McLean, G.&lt;/author&gt;&lt;author&gt;Asmus, M.&lt;/author&gt;&lt;author&gt;Wooden, I.&lt;/author&gt;&lt;author&gt;Hartwell, D.,&lt;/author&gt;&lt;author&gt;McGregor, C.&lt;/author&gt;&lt;author&gt;Stuart, I.&lt;/author&gt;&lt;author&gt;Vey, A.&lt;/author&gt;&lt;author&gt;Jefferies, M.&lt;/author&gt;&lt;author&gt;Lewis, B.,&lt;/author&gt;&lt;author&gt;Bell, K.&lt;/author&gt;&lt;/authors&gt;&lt;/contributors&gt;&lt;titles&gt;&lt;title&gt;Identifying and implementing targeted carp control options for the Lower Lachlan Catchment&lt;/title&gt;&lt;/titles&gt;&lt;volume&gt;118&lt;/volume&gt;&lt;dates&gt;&lt;year&gt;2010&lt;/year&gt;&lt;/dates&gt;&lt;pub-location&gt;Cronulla, NSW&lt;/pub-location&gt;&lt;publisher&gt;Industry &amp;amp; Investment NSW (now incorporating NSW Department of Primary Industries)&lt;/publisher&gt;&lt;urls&gt;&lt;/urls&gt;&lt;/record&gt;&lt;/Cite&gt;&lt;/EndNote&gt;</w:instrText>
      </w:r>
      <w:r>
        <w:fldChar w:fldCharType="separate"/>
      </w:r>
      <w:r>
        <w:rPr>
          <w:noProof/>
        </w:rPr>
        <w:t>(Gilligan et al. 2010)</w:t>
      </w:r>
      <w:r>
        <w:fldChar w:fldCharType="end"/>
      </w:r>
      <w:r>
        <w:t xml:space="preserve">. </w:t>
      </w:r>
    </w:p>
    <w:p w14:paraId="17123841" w14:textId="3276EFFD" w:rsidR="001D20AD" w:rsidRDefault="001D20AD" w:rsidP="001D20AD">
      <w:r>
        <w:t xml:space="preserve">Recruitment was detected for five native fish species in the mid-Lachlan in 2019. Of these, Murray cod was a target for two environmental watering events in the mid-Lachlan reach; a spring pulse (to encourage movement) and a hydrological ‘floor’ which was set to prevent sudden drops in water level during the Murray cod spawning season, to reduce the likelihood of nest abandonment and egg desiccation. Murray cod recruits were detected at 80% of sites sampled, and overall recruits comprised &gt; 50% of the Murray cod population captured in 2019, which constitutes a significant recruitment event </w:t>
      </w:r>
      <w:r>
        <w:fldChar w:fldCharType="begin"/>
      </w:r>
      <w:r>
        <w:instrText xml:space="preserve"> ADDIN EN.CITE &lt;EndNote&gt;&lt;Cite&gt;&lt;Author&gt;OEH&lt;/Author&gt;&lt;Year&gt;2018&lt;/Year&gt;&lt;RecNum&gt;389&lt;/RecNum&gt;&lt;DisplayText&gt;(OEH 2018)&lt;/DisplayText&gt;&lt;record&gt;&lt;rec-number&gt;389&lt;/rec-number&gt;&lt;foreign-keys&gt;&lt;key app="EN" db-id="0a0zttz0gewd9befav559p5osxw5sftwfpdv" timestamp="1567574870"&gt;389&lt;/key&gt;&lt;/foreign-keys&gt;&lt;ref-type name="Report"&gt;27&lt;/ref-type&gt;&lt;contributors&gt;&lt;authors&gt;&lt;author&gt;OEH,&lt;/author&gt;&lt;/authors&gt;&lt;/contributors&gt;&lt;titles&gt;&lt;title&gt;Lachlan Long Term Water Plan Part A: Lachlan catchment&lt;/title&gt;&lt;/titles&gt;&lt;dates&gt;&lt;year&gt;2018&lt;/year&gt;&lt;/dates&gt;&lt;pub-location&gt;Office of Environment and Heritage, Sydney&lt;/pub-location&gt;&lt;urls&gt;&lt;/urls&gt;&lt;/record&gt;&lt;/Cite&gt;&lt;/EndNote&gt;</w:instrText>
      </w:r>
      <w:r>
        <w:fldChar w:fldCharType="separate"/>
      </w:r>
      <w:r>
        <w:rPr>
          <w:noProof/>
        </w:rPr>
        <w:t>(OEH 2018)</w:t>
      </w:r>
      <w:r>
        <w:fldChar w:fldCharType="end"/>
      </w:r>
      <w:r>
        <w:t>. This also supports results from the larval fish moni</w:t>
      </w:r>
      <w:r w:rsidRPr="00F50A00">
        <w:t xml:space="preserve">toring (see section: </w:t>
      </w:r>
      <w:r w:rsidRPr="00F50A00">
        <w:fldChar w:fldCharType="begin"/>
      </w:r>
      <w:r w:rsidRPr="00F50A00">
        <w:instrText xml:space="preserve"> REF _Ref18503171 \r \h </w:instrText>
      </w:r>
      <w:r>
        <w:instrText xml:space="preserve"> \* MERGEFORMAT </w:instrText>
      </w:r>
      <w:r w:rsidRPr="00F50A00">
        <w:fldChar w:fldCharType="separate"/>
      </w:r>
      <w:r w:rsidR="007F7607">
        <w:t>7</w:t>
      </w:r>
      <w:r w:rsidRPr="00F50A00">
        <w:fldChar w:fldCharType="end"/>
      </w:r>
      <w:r w:rsidRPr="00F50A00">
        <w:t xml:space="preserve"> </w:t>
      </w:r>
      <w:r w:rsidRPr="00F50A00">
        <w:fldChar w:fldCharType="begin"/>
      </w:r>
      <w:r w:rsidRPr="00F50A00">
        <w:instrText xml:space="preserve"> REF _Ref18503176 \h </w:instrText>
      </w:r>
      <w:r>
        <w:instrText xml:space="preserve"> \* MERGEFORMAT </w:instrText>
      </w:r>
      <w:r w:rsidRPr="00F50A00">
        <w:fldChar w:fldCharType="separate"/>
      </w:r>
      <w:r w:rsidR="007F7607" w:rsidRPr="007E117A">
        <w:t>Spawning and larval fish</w:t>
      </w:r>
      <w:r w:rsidRPr="00F50A00">
        <w:fldChar w:fldCharType="end"/>
      </w:r>
      <w:r>
        <w:t>) which suggested that Murray cod spawning and recruitment to early juveniles was successful. These combined results indicate that conditions were suitable in 2019 for a significant Murray cod recruitment event in the mid-Lachlan River.  The results of the 2019 fish community monitoring indicate that objectives of the watering actions around providing cues for movement, stable conditions for nesting and opportunities for dispersal and growth were met for Murray cod in the mid-Lachlan River. It is important to note, that this result is based on a single monitoring year without recent baseline data to compare against. Repeating the strategy or trialling a different strategy would provide further information about the contribution of the strategy to the significant recruitment events of Murray cod in the mid-Lachlan River.</w:t>
      </w:r>
    </w:p>
    <w:p w14:paraId="3104E4D0" w14:textId="6E1507C3" w:rsidR="001D20AD" w:rsidRDefault="001D20AD" w:rsidP="001D20AD">
      <w:r>
        <w:t xml:space="preserve">The spawning season of 2018 appears to have been successful for flatheaded gudgeon in the mid-Lachlan River, with the majority of captures comprising juvenile individuals. This could be somewhat expected as flatheaded gudgeon have been found to increase spawning intensity with an increase in food abundance </w:t>
      </w:r>
      <w:r>
        <w:fldChar w:fldCharType="begin"/>
      </w:r>
      <w:r>
        <w:instrText xml:space="preserve"> ADDIN EN.CITE &lt;EndNote&gt;&lt;Cite&gt;&lt;Author&gt;Llewellyn&lt;/Author&gt;&lt;Year&gt;2007&lt;/Year&gt;&lt;RecNum&gt;171&lt;/RecNum&gt;&lt;DisplayText&gt;(Llewellyn 2007)&lt;/DisplayText&gt;&lt;record&gt;&lt;rec-number&gt;171&lt;/rec-number&gt;&lt;foreign-keys&gt;&lt;key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fldChar w:fldCharType="separate"/>
      </w:r>
      <w:r>
        <w:rPr>
          <w:noProof/>
        </w:rPr>
        <w:t>(Llewellyn 2007)</w:t>
      </w:r>
      <w:r>
        <w:fldChar w:fldCharType="end"/>
      </w:r>
      <w:r>
        <w:t xml:space="preserve">. The spring pulse increased basal food production (gross primary productivity and ecosystem respiration – see chapter </w:t>
      </w:r>
      <w:r>
        <w:fldChar w:fldCharType="begin"/>
      </w:r>
      <w:r>
        <w:instrText xml:space="preserve"> REF _Ref22825829 \r \h </w:instrText>
      </w:r>
      <w:r>
        <w:fldChar w:fldCharType="separate"/>
      </w:r>
      <w:r w:rsidR="007F7607">
        <w:t>5</w:t>
      </w:r>
      <w:r>
        <w:fldChar w:fldCharType="end"/>
      </w:r>
      <w:r>
        <w:t xml:space="preserve">: </w:t>
      </w:r>
      <w:r>
        <w:fldChar w:fldCharType="begin"/>
      </w:r>
      <w:r>
        <w:instrText xml:space="preserve"> REF _Ref22825809 \h </w:instrText>
      </w:r>
      <w:r>
        <w:fldChar w:fldCharType="separate"/>
      </w:r>
      <w:r w:rsidR="007F7607" w:rsidRPr="00131F12">
        <w:t>Stream metabolism and water quality</w:t>
      </w:r>
      <w:r>
        <w:fldChar w:fldCharType="end"/>
      </w:r>
      <w:r>
        <w:t>) which may have resulted in increased spawning and recruitment activity in the mid-Lachlan river, albeit patchy at the site scale. The large numbers of juvenile flatheaded gudgeon captured in the community sampling</w:t>
      </w:r>
      <w:r w:rsidR="00A424FF">
        <w:t xml:space="preserve"> were</w:t>
      </w:r>
      <w:r>
        <w:t xml:space="preserve"> somewhat incongruent with the results of the larval fish monitoring, which only detected low numbers of larval flatheaded gudgeon at the monitored sites in 2018 (</w:t>
      </w:r>
      <w:r w:rsidRPr="00F50A00">
        <w:t xml:space="preserve">see section: </w:t>
      </w:r>
      <w:r w:rsidRPr="00F50A00">
        <w:fldChar w:fldCharType="begin"/>
      </w:r>
      <w:r w:rsidRPr="00F50A00">
        <w:instrText xml:space="preserve"> REF _Ref18503171 \r \h </w:instrText>
      </w:r>
      <w:r>
        <w:instrText xml:space="preserve"> \* MERGEFORMAT </w:instrText>
      </w:r>
      <w:r w:rsidRPr="00F50A00">
        <w:fldChar w:fldCharType="separate"/>
      </w:r>
      <w:r w:rsidR="007F7607">
        <w:t>7</w:t>
      </w:r>
      <w:r w:rsidRPr="00F50A00">
        <w:fldChar w:fldCharType="end"/>
      </w:r>
      <w:r w:rsidRPr="00F50A00">
        <w:t xml:space="preserve"> </w:t>
      </w:r>
      <w:r w:rsidRPr="00F50A00">
        <w:fldChar w:fldCharType="begin"/>
      </w:r>
      <w:r w:rsidRPr="00F50A00">
        <w:instrText xml:space="preserve"> REF _Ref18503176 \h </w:instrText>
      </w:r>
      <w:r>
        <w:instrText xml:space="preserve"> \* MERGEFORMAT </w:instrText>
      </w:r>
      <w:r w:rsidRPr="00F50A00">
        <w:fldChar w:fldCharType="separate"/>
      </w:r>
      <w:r w:rsidR="007F7607" w:rsidRPr="007E117A">
        <w:t>Spawning and larval fish</w:t>
      </w:r>
      <w:r w:rsidRPr="00F50A00">
        <w:fldChar w:fldCharType="end"/>
      </w:r>
      <w:r>
        <w:t>). The likely reason behind the discrepancy is that the vast majority of flatheaded gudgeon were captured at two sites only (the most upstream two sites), indicating that recruitment was somewhat site specific (and these two sites were not monitored for larval fish). At the zone scale, it appears as though objectives around supporting spawning success of flatheaded gudgeon were achieved.</w:t>
      </w:r>
    </w:p>
    <w:p w14:paraId="23CAD92E" w14:textId="77777777" w:rsidR="001D20AD" w:rsidRDefault="001D20AD" w:rsidP="001D20AD">
      <w:r>
        <w:t xml:space="preserve">The hydrological regime did not appear to result in a significant recruitment event for Australian smelt, with juveniles rare in the community sampling. This is congruent with the results of the larval fish monitoring, which together indicate that is it likely that there was not a significant spawning event of Australian smelt in the mid-Lachlan River. As this is based on a single year of data, inferential power of causality of the restricted spawning of Australian smelt in the mid-Lachlan River is limited at this stage. However, it does not appear as though objectives of the watering event around supporting spawning success may have been hampered by the lack of spawning and / or survival to early larvae.  </w:t>
      </w:r>
    </w:p>
    <w:p w14:paraId="37FA767B" w14:textId="40F9F85F" w:rsidR="006307CC" w:rsidRDefault="001D20AD" w:rsidP="001D20AD">
      <w:r>
        <w:t xml:space="preserve">As for the lower-Lachlan selected area, there was no evidence of golden perch recruitment in the mid-Lachlan reach in 2019. This continues a trend of apparent lack of recruitment in the catchment as part of the current study over the past five years, despite good populations of adults present, and positive spawning detected in nearby catchments </w:t>
      </w:r>
      <w:r>
        <w:fldChar w:fldCharType="begin"/>
      </w:r>
      <w:r>
        <w:instrText xml:space="preserve"> ADDIN EN.CITE &lt;EndNote&gt;&lt;Cite&gt;&lt;Author&gt;Wassens&lt;/Author&gt;&lt;Year&gt;2018&lt;/Year&gt;&lt;RecNum&gt;282&lt;/RecNum&gt;&lt;Prefix&gt;Murrumbidgee River`, &lt;/Prefix&gt;&lt;DisplayText&gt;(Murrumbidgee River, Wassens et al. 2018)&lt;/DisplayText&gt;&lt;record&gt;&lt;rec-number&gt;282&lt;/rec-number&gt;&lt;foreign-keys&gt;&lt;key app="EN" db-id="0a0zttz0gewd9befav559p5osxw5sftwfpdv" timestamp="1558664108"&gt;282&lt;/key&gt;&lt;/foreign-keys&gt;&lt;ref-type name="Report"&gt;27&lt;/ref-type&gt;&lt;contributors&gt;&lt;authors&gt;&lt;author&gt;Wassens, S.&lt;/author&gt;&lt;author&gt;Spencer, J.&lt;/author&gt;&lt;author&gt;Wolfenden, B.&lt;/author&gt;&lt;author&gt;Thiem, J.&lt;/author&gt;&lt;author&gt;Thomas, R.&lt;/author&gt;&lt;author&gt;Jenkins, K.&lt;/author&gt;&lt;author&gt;Hall, A.&lt;/author&gt;&lt;author&gt;Ocock, J.&lt;/author&gt;&lt;author&gt;Kobayashi, T.&lt;/author&gt;&lt;author&gt;Bino, G.&lt;/author&gt;&lt;author&gt;Davis, T.&lt;/author&gt;&lt;author&gt;Heath, J.&lt;/author&gt;&lt;author&gt;Kuo, W.&lt;/author&gt;&lt;author&gt;Amos, C.&lt;/author&gt;&lt;author&gt;Michael, D.&lt;/author&gt;&lt;/authors&gt;&lt;/contributors&gt;&lt;titles&gt;&lt;title&gt;Commonwealth Environmental Water Office Long-Term Intervention Monitoring project Murrumbidgee River system Selected Area technical report, 2014-18. Report prepared for Commonwealth Environmental Water. Albury, Institute for Land, Water and Society, Charles Sturt University.&lt;/title&gt;&lt;/titles&gt;&lt;dates&gt;&lt;year&gt;2018&lt;/year&gt;&lt;/dates&gt;&lt;urls&gt;&lt;/urls&gt;&lt;/record&gt;&lt;/Cite&gt;&lt;/EndNote&gt;</w:instrText>
      </w:r>
      <w:r>
        <w:fldChar w:fldCharType="separate"/>
      </w:r>
      <w:r>
        <w:rPr>
          <w:noProof/>
        </w:rPr>
        <w:t>(Murrumbidgee River, Wassens et al. 2018)</w:t>
      </w:r>
      <w:r>
        <w:fldChar w:fldCharType="end"/>
      </w:r>
      <w:r>
        <w:t>. As mentioned above, addressing the knowledge gaps around the lack of detection or golden perch spawning should be a priority for the mid and lower Lachlan River.</w:t>
      </w:r>
    </w:p>
    <w:p w14:paraId="50BA2DFA" w14:textId="77777777" w:rsidR="006307CC" w:rsidRDefault="006307CC">
      <w:pPr>
        <w:spacing w:before="0" w:after="0"/>
      </w:pPr>
      <w:r>
        <w:br w:type="page"/>
      </w:r>
    </w:p>
    <w:p w14:paraId="561BB313" w14:textId="52E423B6" w:rsidR="00057D80" w:rsidRDefault="00057D80" w:rsidP="00057D80">
      <w:pPr>
        <w:pStyle w:val="Heading2"/>
      </w:pPr>
      <w:bookmarkStart w:id="365" w:name="_Toc31985488"/>
      <w:r>
        <w:t>Evaluation</w:t>
      </w:r>
      <w:bookmarkEnd w:id="365"/>
    </w:p>
    <w:p w14:paraId="1091216F" w14:textId="77777777" w:rsidR="00872F64" w:rsidRPr="00CE2EDC" w:rsidRDefault="00872F64" w:rsidP="00872F64">
      <w:pPr>
        <w:pStyle w:val="Heading3"/>
      </w:pPr>
      <w:bookmarkStart w:id="366" w:name="_Toc31985489"/>
      <w:r>
        <w:rPr>
          <w:lang w:val="en-AU"/>
        </w:rPr>
        <w:t xml:space="preserve">Lower </w:t>
      </w:r>
      <w:r>
        <w:t>Lachlan River (</w:t>
      </w:r>
      <w:r>
        <w:rPr>
          <w:lang w:val="en-AU"/>
        </w:rPr>
        <w:t>Long</w:t>
      </w:r>
      <w:r>
        <w:t xml:space="preserve"> Term Intervention Monitoring)</w:t>
      </w:r>
      <w:bookmarkEnd w:id="366"/>
    </w:p>
    <w:p w14:paraId="2FB2E424" w14:textId="5B6D5EC0" w:rsidR="00872F64" w:rsidRDefault="00872F64" w:rsidP="00872F64">
      <w:pPr>
        <w:rPr>
          <w:lang w:eastAsia="x-none"/>
        </w:rPr>
      </w:pPr>
      <w:r>
        <w:t>In relation to the effects of Commonwealth environmental water, the short and long term evaluation questions are addressed as follows:</w:t>
      </w:r>
    </w:p>
    <w:p w14:paraId="7CE70F9E" w14:textId="2F8591EF" w:rsidR="00872F64" w:rsidRDefault="00872F64" w:rsidP="00D437E3">
      <w:pPr>
        <w:numPr>
          <w:ilvl w:val="0"/>
          <w:numId w:val="40"/>
        </w:numPr>
        <w:rPr>
          <w:lang w:eastAsia="x-none"/>
        </w:rPr>
      </w:pPr>
      <w:r>
        <w:t>What did Commonwealth environmental water contribute to native fish community resilience and survival?</w:t>
      </w:r>
    </w:p>
    <w:p w14:paraId="042E624A" w14:textId="77777777" w:rsidR="00F32976" w:rsidRDefault="00F32976" w:rsidP="00F32976">
      <w:pPr>
        <w:tabs>
          <w:tab w:val="num" w:pos="1080"/>
        </w:tabs>
        <w:spacing w:after="20" w:line="23" w:lineRule="atLeast"/>
      </w:pPr>
      <w:r>
        <w:t xml:space="preserve">In 2019, resilience and survival of the Lower Lachlan native fish community was maintained compared to previous years as a result of hydrological conditions, including Commonwealth environmental water. For instance, the Overall Condition remained Very Poor in 2019, as in previous LTIM years. The targeted watering action appeared to benefit spawning and recruitment in 2019. </w:t>
      </w:r>
    </w:p>
    <w:p w14:paraId="21295BF5" w14:textId="3F41FAA8" w:rsidR="00F32976" w:rsidRPr="00872F64" w:rsidRDefault="00F32976" w:rsidP="00D437E3">
      <w:pPr>
        <w:numPr>
          <w:ilvl w:val="0"/>
          <w:numId w:val="40"/>
        </w:numPr>
      </w:pPr>
      <w:r w:rsidRPr="00872F64">
        <w:t>What did Commonwealth environmental water contribute to native fish populations and diversity?</w:t>
      </w:r>
    </w:p>
    <w:p w14:paraId="48FA8669" w14:textId="77777777" w:rsidR="00F32976" w:rsidRDefault="00F32976" w:rsidP="00F32976">
      <w:r>
        <w:t>The Lower Lachlan native fish population was most affected by fish kills in 2016–2017 during LTIM years, which reduced the biomass of large-bodied Murray cod in 2017 and promoted the spawning and subsequent recruitment of common carp. This significant event likely drowned out other effects on the fish community over the study period. Commonwealth environmental watering actions may have contributed to the post-kill recovery of native fish populations in 2018 and 2019, however it is unknown if this recovery would have differed without it.</w:t>
      </w:r>
    </w:p>
    <w:p w14:paraId="4E033CB7" w14:textId="77777777" w:rsidR="00F32976" w:rsidRDefault="00F32976" w:rsidP="00F32976">
      <w:r>
        <w:t>There has been a slight decline in Lower Lachlan native fish diversity from 7 species detected from 2015–2017 to 6 species in 2018–2019, with changes to the suite of species observed. This may relate to the hypoxia-linked fish kills in 2016–2017 or the opportunistic detection of rare species (e.g. freshwater catfish). The role of Commonwealth environmental water in this result is again difficult to ascertain.</w:t>
      </w:r>
    </w:p>
    <w:p w14:paraId="46E3A28E" w14:textId="7DC340E5" w:rsidR="0078642B" w:rsidRPr="00CE2EDC" w:rsidRDefault="0078642B" w:rsidP="0078642B">
      <w:pPr>
        <w:pStyle w:val="Heading3"/>
      </w:pPr>
      <w:bookmarkStart w:id="367" w:name="_Toc31985490"/>
      <w:r>
        <w:rPr>
          <w:lang w:val="en-AU"/>
        </w:rPr>
        <w:t xml:space="preserve">Mid </w:t>
      </w:r>
      <w:r>
        <w:t>Lachlan River (</w:t>
      </w:r>
      <w:r>
        <w:rPr>
          <w:lang w:val="en-AU"/>
        </w:rPr>
        <w:t xml:space="preserve">Short </w:t>
      </w:r>
      <w:r>
        <w:t>Term Intervention Monitoring)</w:t>
      </w:r>
      <w:bookmarkEnd w:id="367"/>
    </w:p>
    <w:p w14:paraId="0790DEEB" w14:textId="63DB9EC2" w:rsidR="003E0E3E" w:rsidRDefault="003E0E3E" w:rsidP="003E0E3E">
      <w:pPr>
        <w:rPr>
          <w:lang w:eastAsia="x-none"/>
        </w:rPr>
      </w:pPr>
      <w:r>
        <w:t>In relation to the effects of Commonwealth environmental water, the short-term evaluation questions are addressed as follows:</w:t>
      </w:r>
    </w:p>
    <w:p w14:paraId="5BC485E8" w14:textId="6EEB07E9" w:rsidR="003E0E3E" w:rsidRDefault="003E0E3E" w:rsidP="00A370F4">
      <w:pPr>
        <w:numPr>
          <w:ilvl w:val="0"/>
          <w:numId w:val="47"/>
        </w:numPr>
        <w:rPr>
          <w:lang w:eastAsia="x-none"/>
        </w:rPr>
      </w:pPr>
      <w:r>
        <w:t>What did Commonwealth environmental water contribute to native fish community resilience and survival?</w:t>
      </w:r>
    </w:p>
    <w:p w14:paraId="2D481371" w14:textId="31EE4227" w:rsidR="003E0E3E" w:rsidRDefault="003E0E3E" w:rsidP="003E0E3E">
      <w:pPr>
        <w:spacing w:after="20" w:line="23" w:lineRule="atLeast"/>
        <w:rPr>
          <w:sz w:val="22"/>
          <w:szCs w:val="22"/>
        </w:rPr>
      </w:pPr>
      <w:r>
        <w:t xml:space="preserve">By contributing to strong recruitment of multiple native species, Commonwealth environmental water </w:t>
      </w:r>
      <w:r w:rsidR="00A424FF">
        <w:t xml:space="preserve">contributed to </w:t>
      </w:r>
      <w:r>
        <w:t>increas</w:t>
      </w:r>
      <w:r w:rsidR="00A424FF">
        <w:t>ing</w:t>
      </w:r>
      <w:r>
        <w:t xml:space="preserve"> fish community resilience by improving population structure of native fish species in the mid-Lachlan River. Successfully rearing fish through to larval and early juvenile phases is a critical factor determining year class strength and ultimately contribution to adult stock.</w:t>
      </w:r>
    </w:p>
    <w:p w14:paraId="1C9643DE" w14:textId="1C6CAC02" w:rsidR="003E0E3E" w:rsidRPr="003E0E3E" w:rsidRDefault="003E0E3E" w:rsidP="003E0E3E">
      <w:pPr>
        <w:rPr>
          <w:sz w:val="22"/>
          <w:szCs w:val="22"/>
        </w:rPr>
      </w:pPr>
      <w:r>
        <w:t xml:space="preserve">Productivity pulses delivered in spring and early summer </w:t>
      </w:r>
      <w:r w:rsidR="00A424FF">
        <w:t xml:space="preserve">increase stream productivity (see section 5) which </w:t>
      </w:r>
      <w:r>
        <w:t xml:space="preserve">would </w:t>
      </w:r>
      <w:r w:rsidR="00A424FF">
        <w:t xml:space="preserve">likely </w:t>
      </w:r>
      <w:r>
        <w:t xml:space="preserve">have increased food resources, and growth and juvenile native fish species. Adequate food resources during early larval fish development are critical to survival by preventing starvation (during a period where mortality </w:t>
      </w:r>
      <w:r w:rsidR="00A424FF">
        <w:t>can be</w:t>
      </w:r>
      <w:r>
        <w:t xml:space="preserve"> highest). Early growth and development would also decrease predation as individuals increase in size and swimming ability predation risk can decrease.</w:t>
      </w:r>
    </w:p>
    <w:p w14:paraId="6CD91837" w14:textId="77777777" w:rsidR="003E0E3E" w:rsidRPr="00872F64" w:rsidRDefault="003E0E3E" w:rsidP="00A370F4">
      <w:pPr>
        <w:numPr>
          <w:ilvl w:val="0"/>
          <w:numId w:val="47"/>
        </w:numPr>
      </w:pPr>
      <w:r w:rsidRPr="00872F64">
        <w:t>What did Commonwealth environmental water contribute to native fish populations and diversity?</w:t>
      </w:r>
    </w:p>
    <w:p w14:paraId="2016BEEB" w14:textId="77777777" w:rsidR="003E0E3E" w:rsidRPr="003E0E3E" w:rsidRDefault="003E0E3E" w:rsidP="003E0E3E">
      <w:pPr>
        <w:spacing w:after="160"/>
        <w:rPr>
          <w:sz w:val="22"/>
          <w:szCs w:val="22"/>
        </w:rPr>
      </w:pPr>
      <w:r>
        <w:t>Watering actions of the 2018 / 2019 watering year supported strong recruitment for at least two native fish species. Watering actions would have contributed to connectivity, food resources and dispersal. The watering year saw a significant recruitment event for Murray cod with watering action likely supporting connectivity and movement early juvenile food resources and dispersal (increasing survival). Flatheaded gudgeon and carp gudgeon recruits were also in high abundance, indicating that the watering year was also successful in supporting recruitment of these small bodied species.</w:t>
      </w:r>
    </w:p>
    <w:p w14:paraId="37841F4A" w14:textId="77777777" w:rsidR="00F32976" w:rsidRDefault="00F32976" w:rsidP="00CE2EDC"/>
    <w:p w14:paraId="52CEB9B8" w14:textId="696B8469" w:rsidR="00CE2EDC" w:rsidRPr="00B84CFF" w:rsidRDefault="002E0631" w:rsidP="00CE2EDC">
      <w:pPr>
        <w:pStyle w:val="Heading2"/>
      </w:pPr>
      <w:bookmarkStart w:id="368" w:name="_Toc440827289"/>
      <w:bookmarkStart w:id="369" w:name="_Toc31985491"/>
      <w:r>
        <w:rPr>
          <w:lang w:val="en-US"/>
        </w:rPr>
        <w:t>R</w:t>
      </w:r>
      <w:r w:rsidR="00CE2EDC" w:rsidRPr="00B84CFF">
        <w:t>ecommendations</w:t>
      </w:r>
      <w:bookmarkEnd w:id="368"/>
      <w:bookmarkEnd w:id="369"/>
    </w:p>
    <w:p w14:paraId="43355F78" w14:textId="77777777" w:rsidR="00CE2EDC" w:rsidRPr="00CE2EDC" w:rsidRDefault="00CE2EDC" w:rsidP="00CE2EDC">
      <w:pPr>
        <w:pStyle w:val="Heading3"/>
      </w:pPr>
      <w:bookmarkStart w:id="370" w:name="_Toc31985492"/>
      <w:r>
        <w:rPr>
          <w:lang w:val="en-AU"/>
        </w:rPr>
        <w:t xml:space="preserve">Lower </w:t>
      </w:r>
      <w:r>
        <w:t>Lachlan River (</w:t>
      </w:r>
      <w:r>
        <w:rPr>
          <w:lang w:val="en-AU"/>
        </w:rPr>
        <w:t>Long</w:t>
      </w:r>
      <w:r>
        <w:t xml:space="preserve"> Term Intervention Monitoring)</w:t>
      </w:r>
      <w:bookmarkEnd w:id="370"/>
    </w:p>
    <w:p w14:paraId="2429D815" w14:textId="5C4265E5" w:rsidR="00CE2EDC" w:rsidRDefault="00CE2EDC" w:rsidP="00D437E3">
      <w:pPr>
        <w:pStyle w:val="ListParagraph"/>
        <w:numPr>
          <w:ilvl w:val="0"/>
          <w:numId w:val="18"/>
        </w:numPr>
        <w:spacing w:after="200" w:line="276" w:lineRule="auto"/>
        <w:rPr>
          <w:lang w:val="en-GB"/>
        </w:rPr>
      </w:pPr>
      <w:r>
        <w:rPr>
          <w:lang w:val="en-GB"/>
        </w:rPr>
        <w:t>Future water delivery, focussing on native fish outcomes, should utilise natural triggers such as tributary inflows</w:t>
      </w:r>
      <w:r w:rsidR="00A05893">
        <w:rPr>
          <w:lang w:val="en-GB"/>
        </w:rPr>
        <w:t>.</w:t>
      </w:r>
    </w:p>
    <w:p w14:paraId="7453669B" w14:textId="0CBC7F79" w:rsidR="00CE2EDC" w:rsidRPr="00553349" w:rsidRDefault="00CE2EDC" w:rsidP="00D437E3">
      <w:pPr>
        <w:pStyle w:val="ListParagraph"/>
        <w:numPr>
          <w:ilvl w:val="0"/>
          <w:numId w:val="18"/>
        </w:numPr>
        <w:spacing w:after="200" w:line="276" w:lineRule="auto"/>
        <w:rPr>
          <w:lang w:val="en-GB"/>
        </w:rPr>
      </w:pPr>
      <w:r>
        <w:rPr>
          <w:lang w:val="en-GB"/>
        </w:rPr>
        <w:t>D</w:t>
      </w:r>
      <w:r w:rsidRPr="00215699">
        <w:rPr>
          <w:lang w:val="en-GB"/>
        </w:rPr>
        <w:t xml:space="preserve">uring low </w:t>
      </w:r>
      <w:r w:rsidR="00A424FF">
        <w:rPr>
          <w:lang w:val="en-GB"/>
        </w:rPr>
        <w:t xml:space="preserve">water </w:t>
      </w:r>
      <w:r w:rsidRPr="00215699">
        <w:rPr>
          <w:lang w:val="en-GB"/>
        </w:rPr>
        <w:t xml:space="preserve">resource years </w:t>
      </w:r>
      <w:r>
        <w:rPr>
          <w:lang w:val="en-GB"/>
        </w:rPr>
        <w:t>the primary f</w:t>
      </w:r>
      <w:r w:rsidRPr="00F2759C">
        <w:rPr>
          <w:lang w:val="en-GB"/>
        </w:rPr>
        <w:t xml:space="preserve">ocus </w:t>
      </w:r>
      <w:r>
        <w:rPr>
          <w:lang w:val="en-GB"/>
        </w:rPr>
        <w:t>of environmental flows should be</w:t>
      </w:r>
      <w:r w:rsidRPr="00F2759C">
        <w:rPr>
          <w:lang w:val="en-GB"/>
        </w:rPr>
        <w:t xml:space="preserve"> on maintenance of native fish populations</w:t>
      </w:r>
      <w:r w:rsidR="00553349">
        <w:rPr>
          <w:lang w:val="en-GB"/>
        </w:rPr>
        <w:t xml:space="preserve"> and the provision of refuge habitat where possible.</w:t>
      </w:r>
    </w:p>
    <w:p w14:paraId="3E94455D" w14:textId="77777777" w:rsidR="00CE2EDC" w:rsidRPr="008A1638" w:rsidRDefault="00CE2EDC" w:rsidP="00D437E3">
      <w:pPr>
        <w:pStyle w:val="ListParagraph"/>
        <w:numPr>
          <w:ilvl w:val="0"/>
          <w:numId w:val="18"/>
        </w:numPr>
        <w:spacing w:after="200" w:line="276" w:lineRule="auto"/>
      </w:pPr>
      <w:r w:rsidRPr="009E7595">
        <w:rPr>
          <w:lang w:val="en-GB"/>
        </w:rPr>
        <w:t>The source (stocked or wild) of the existing golden perch population should be investigated to establish whether recent hydrological events may have led to wild-spawning and recruitment.</w:t>
      </w:r>
    </w:p>
    <w:p w14:paraId="5935E0C4" w14:textId="11191FCE" w:rsidR="00CE2EDC" w:rsidRPr="00F32976" w:rsidRDefault="00CE2EDC" w:rsidP="00D437E3">
      <w:pPr>
        <w:pStyle w:val="ListParagraph"/>
        <w:numPr>
          <w:ilvl w:val="0"/>
          <w:numId w:val="18"/>
        </w:numPr>
        <w:spacing w:after="200" w:line="276" w:lineRule="auto"/>
      </w:pPr>
      <w:r w:rsidRPr="00F32976">
        <w:rPr>
          <w:lang w:val="en-GB"/>
        </w:rPr>
        <w:t xml:space="preserve">Watering actions to support golden perch are likely only possible during years of good water availability.  Given that the 5 years of the </w:t>
      </w:r>
      <w:r w:rsidR="00E05711">
        <w:rPr>
          <w:lang w:val="en-GB"/>
        </w:rPr>
        <w:t>LTIM Project</w:t>
      </w:r>
      <w:r w:rsidRPr="00F32976">
        <w:rPr>
          <w:lang w:val="en-GB"/>
        </w:rPr>
        <w:t xml:space="preserve"> have identified a range of conditions that DON’T result in the golden perch spawning, it would be valuable in a year of </w:t>
      </w:r>
      <w:r w:rsidR="00F32976" w:rsidRPr="00F32976">
        <w:rPr>
          <w:lang w:val="en-GB"/>
        </w:rPr>
        <w:t>high</w:t>
      </w:r>
      <w:r w:rsidRPr="00F32976">
        <w:rPr>
          <w:lang w:val="en-GB"/>
        </w:rPr>
        <w:t xml:space="preserve"> water availability to design watering actions for golden perch based on learning to date to see if spawning can be triggered in the lower Lachlan river system.</w:t>
      </w:r>
      <w:r w:rsidR="00A424FF">
        <w:rPr>
          <w:lang w:val="en-GB"/>
        </w:rPr>
        <w:t xml:space="preserve"> Building on knowledge gained from other catchments being monitored as part of LTIM (e.g. Goulburn River) would further refine these releases for golden perch spawning outcomes.</w:t>
      </w:r>
    </w:p>
    <w:p w14:paraId="02FCB332" w14:textId="77777777" w:rsidR="00CE2EDC" w:rsidRPr="00F32976" w:rsidRDefault="00CE2EDC" w:rsidP="00D437E3">
      <w:pPr>
        <w:pStyle w:val="ListParagraph"/>
        <w:numPr>
          <w:ilvl w:val="0"/>
          <w:numId w:val="18"/>
        </w:numPr>
        <w:spacing w:after="200" w:line="276" w:lineRule="auto"/>
      </w:pPr>
      <w:r w:rsidRPr="00F32976">
        <w:t>It is important that future water delivery continues to provide breeding opportunities for Murray cod, by facilitating the movement of pre-spawning fish and maintaining spawning habitat during nesting periods to prevent rapid water level drops and nest abandonment or desiccation.</w:t>
      </w:r>
    </w:p>
    <w:p w14:paraId="354DB233" w14:textId="73F5E24B" w:rsidR="00F32976" w:rsidRDefault="00F32976" w:rsidP="00D437E3">
      <w:pPr>
        <w:pStyle w:val="ListParagraph"/>
        <w:numPr>
          <w:ilvl w:val="0"/>
          <w:numId w:val="18"/>
        </w:numPr>
      </w:pPr>
      <w:r>
        <w:t xml:space="preserve">It is possible that watering actions aimed at facilitating the movement and re-distribution of </w:t>
      </w:r>
      <w:r w:rsidR="0063219B">
        <w:t>long lived</w:t>
      </w:r>
      <w:r>
        <w:t xml:space="preserve"> species contributed to </w:t>
      </w:r>
      <w:r w:rsidR="0063219B">
        <w:t>the small increase in abundances in 2018-19</w:t>
      </w:r>
      <w:r>
        <w:t xml:space="preserve">, although this cannot be tested as fish movement is not a monitored indicator in the Lachlan Selected Area. </w:t>
      </w:r>
      <w:r w:rsidR="0063219B">
        <w:t xml:space="preserve">To better understand the outcomes from using environmental water to generate movement in fish species, it is recommended that some </w:t>
      </w:r>
      <w:r w:rsidR="00A05893">
        <w:t>targeted monitoring of movement is undertaken.</w:t>
      </w:r>
      <w:r w:rsidR="00872F64">
        <w:t xml:space="preserve"> This would require some co-design of the monitoring</w:t>
      </w:r>
      <w:r w:rsidR="002E0631">
        <w:t xml:space="preserve"> activities around actions that aim to facilitate movement and could test assumptions around increases in flow providing access to more habitat.</w:t>
      </w:r>
    </w:p>
    <w:p w14:paraId="5B2D3834" w14:textId="77777777" w:rsidR="00CE2EDC" w:rsidRPr="00CE2EDC" w:rsidRDefault="00CE2EDC" w:rsidP="00CE2EDC">
      <w:pPr>
        <w:pStyle w:val="Heading3"/>
      </w:pPr>
      <w:bookmarkStart w:id="371" w:name="_Toc31985493"/>
      <w:r>
        <w:t>Mid Lachlan River (Short Term Intervention Monitoring)</w:t>
      </w:r>
      <w:bookmarkEnd w:id="371"/>
    </w:p>
    <w:p w14:paraId="6DB8C1C1" w14:textId="51B17AB9" w:rsidR="00CE2EDC" w:rsidRDefault="00CE2EDC" w:rsidP="00D437E3">
      <w:pPr>
        <w:pStyle w:val="ListParagraph"/>
        <w:numPr>
          <w:ilvl w:val="0"/>
          <w:numId w:val="18"/>
        </w:numPr>
        <w:spacing w:after="200" w:line="276" w:lineRule="auto"/>
        <w:rPr>
          <w:lang w:val="en-GB"/>
        </w:rPr>
      </w:pPr>
      <w:r>
        <w:rPr>
          <w:lang w:val="en-GB"/>
        </w:rPr>
        <w:t>Where possible, stable water levels should be maintained during Murray cod spawning season to prevent nest abandonment and egg desiccation, especially in the years following any significant reduction in the adult Murray cod to assist in population recovery.</w:t>
      </w:r>
      <w:r w:rsidR="00A05893">
        <w:rPr>
          <w:lang w:val="en-GB"/>
        </w:rPr>
        <w:t xml:space="preserve"> This can largely be achieved using a small amount of Commonwealth water to modify water level changes caused by operational flows. (See also Hydrology recommendations)</w:t>
      </w:r>
      <w:r w:rsidR="00E46F91">
        <w:rPr>
          <w:lang w:val="en-GB"/>
        </w:rPr>
        <w:t>.</w:t>
      </w:r>
    </w:p>
    <w:p w14:paraId="1BA9E47F" w14:textId="100F9A67" w:rsidR="00CE2EDC" w:rsidRDefault="00CE2EDC" w:rsidP="00E20838">
      <w:pPr>
        <w:pStyle w:val="ListParagraph"/>
        <w:numPr>
          <w:ilvl w:val="0"/>
          <w:numId w:val="18"/>
        </w:numPr>
        <w:spacing w:after="200" w:line="276" w:lineRule="auto"/>
      </w:pPr>
      <w:r w:rsidRPr="00FC6747">
        <w:rPr>
          <w:lang w:val="en-GB"/>
        </w:rPr>
        <w:t>Addressing knowledge gaps</w:t>
      </w:r>
      <w:r w:rsidRPr="00427EB4">
        <w:rPr>
          <w:lang w:val="en-GB"/>
        </w:rPr>
        <w:t xml:space="preserve"> around golden perch recruitment in the mid and lower Lachlan River should be a priority</w:t>
      </w:r>
      <w:r w:rsidR="00074099">
        <w:rPr>
          <w:lang w:val="en-GB"/>
        </w:rPr>
        <w:t xml:space="preserve"> (e.g. sources of recruitment, adult movement)</w:t>
      </w:r>
      <w:r w:rsidRPr="00427EB4">
        <w:rPr>
          <w:b/>
          <w:bCs/>
        </w:rPr>
        <w:br w:type="page"/>
      </w:r>
    </w:p>
    <w:p w14:paraId="5FAFA3D7" w14:textId="163FB072" w:rsidR="00CE2EDC" w:rsidRPr="00675F24" w:rsidRDefault="00CE2EDC" w:rsidP="00CE2EDC">
      <w:pPr>
        <w:pStyle w:val="Heading2"/>
      </w:pPr>
      <w:bookmarkStart w:id="372" w:name="_Toc440827290"/>
      <w:bookmarkStart w:id="373" w:name="_Toc31985494"/>
      <w:r w:rsidRPr="00675F24">
        <w:t>Appendi</w:t>
      </w:r>
      <w:bookmarkEnd w:id="372"/>
      <w:r w:rsidR="00720A6F">
        <w:rPr>
          <w:lang w:val="en-AU"/>
        </w:rPr>
        <w:t>cies</w:t>
      </w:r>
      <w:bookmarkEnd w:id="373"/>
    </w:p>
    <w:p w14:paraId="702D68C9" w14:textId="77777777" w:rsidR="00CE2EDC" w:rsidRDefault="00CE2EDC" w:rsidP="00CE2EDC">
      <w:pPr>
        <w:rPr>
          <w:b/>
          <w:lang w:val="en-US"/>
        </w:rPr>
      </w:pPr>
      <w:r w:rsidRPr="00CC25AC">
        <w:rPr>
          <w:noProof/>
          <w:lang w:eastAsia="en-AU"/>
        </w:rPr>
        <w:drawing>
          <wp:inline distT="0" distB="0" distL="0" distR="0" wp14:anchorId="28D8F2DB" wp14:editId="778D4B42">
            <wp:extent cx="5276088" cy="3380734"/>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l="1023" b="10386"/>
                    <a:stretch/>
                  </pic:blipFill>
                  <pic:spPr bwMode="auto">
                    <a:xfrm>
                      <a:off x="0" y="0"/>
                      <a:ext cx="5290623" cy="3390048"/>
                    </a:xfrm>
                    <a:prstGeom prst="rect">
                      <a:avLst/>
                    </a:prstGeom>
                    <a:noFill/>
                    <a:ln>
                      <a:noFill/>
                    </a:ln>
                    <a:extLst>
                      <a:ext uri="{53640926-AAD7-44D8-BBD7-CCE9431645EC}">
                        <a14:shadowObscured xmlns:a14="http://schemas.microsoft.com/office/drawing/2010/main"/>
                      </a:ext>
                    </a:extLst>
                  </pic:spPr>
                </pic:pic>
              </a:graphicData>
            </a:graphic>
          </wp:inline>
        </w:drawing>
      </w:r>
    </w:p>
    <w:p w14:paraId="1919E6A0" w14:textId="3EE7A3AB" w:rsidR="00CE2EDC" w:rsidRDefault="00CE2EDC" w:rsidP="00CE2EDC">
      <w:pPr>
        <w:pStyle w:val="Caption"/>
        <w:rPr>
          <w:lang w:val="en-US"/>
        </w:rPr>
      </w:pPr>
      <w:bookmarkStart w:id="374" w:name="_Toc440827345"/>
      <w:bookmarkStart w:id="375" w:name="_Toc31985618"/>
      <w:r>
        <w:t xml:space="preserve">Figure </w:t>
      </w:r>
      <w:r>
        <w:rPr>
          <w:noProof/>
        </w:rPr>
        <w:fldChar w:fldCharType="begin"/>
      </w:r>
      <w:r>
        <w:rPr>
          <w:noProof/>
        </w:rPr>
        <w:instrText xml:space="preserve"> SEQ Figure \* ARABIC </w:instrText>
      </w:r>
      <w:r>
        <w:rPr>
          <w:noProof/>
        </w:rPr>
        <w:fldChar w:fldCharType="separate"/>
      </w:r>
      <w:r w:rsidR="007F7607">
        <w:rPr>
          <w:noProof/>
        </w:rPr>
        <w:t>54</w:t>
      </w:r>
      <w:r>
        <w:rPr>
          <w:noProof/>
        </w:rPr>
        <w:fldChar w:fldCharType="end"/>
      </w:r>
      <w:r>
        <w:rPr>
          <w:b/>
          <w:lang w:val="en-US"/>
        </w:rPr>
        <w:t xml:space="preserve">. </w:t>
      </w:r>
      <w:r>
        <w:rPr>
          <w:lang w:val="en-US"/>
        </w:rPr>
        <w:t>Example of mapped boat electrofishing units used for Category 1 fish community sampling in the Lachlan River. Each unit was sampled using 90 seconds of ‘on-time’.</w:t>
      </w:r>
      <w:bookmarkEnd w:id="374"/>
      <w:bookmarkEnd w:id="375"/>
      <w:r>
        <w:rPr>
          <w:lang w:val="en-US"/>
        </w:rPr>
        <w:t xml:space="preserve"> </w:t>
      </w:r>
    </w:p>
    <w:p w14:paraId="1EE1D6D8" w14:textId="57CC6CD0" w:rsidR="00CE2EDC" w:rsidRDefault="00CE2EDC" w:rsidP="00CE2EDC"/>
    <w:p w14:paraId="754D56F1" w14:textId="56DDD300" w:rsidR="00100E9E" w:rsidRDefault="00100E9E" w:rsidP="00100E9E">
      <w:pPr>
        <w:pStyle w:val="Caption"/>
      </w:pPr>
      <w:bookmarkStart w:id="376" w:name="_Ref17975777"/>
      <w:bookmarkStart w:id="377" w:name="_Toc498514498"/>
      <w:bookmarkStart w:id="378" w:name="_Toc4574922"/>
      <w:bookmarkStart w:id="379" w:name="_Ref17975849"/>
      <w:bookmarkStart w:id="380" w:name="_Ref22822225"/>
      <w:bookmarkStart w:id="381" w:name="_Toc31985684"/>
      <w:r w:rsidRPr="003C1511">
        <w:t xml:space="preserve">Table </w:t>
      </w:r>
      <w:r>
        <w:rPr>
          <w:noProof/>
        </w:rPr>
        <w:fldChar w:fldCharType="begin"/>
      </w:r>
      <w:r>
        <w:rPr>
          <w:noProof/>
        </w:rPr>
        <w:instrText xml:space="preserve"> SEQ Table \* ARABIC </w:instrText>
      </w:r>
      <w:r>
        <w:rPr>
          <w:noProof/>
        </w:rPr>
        <w:fldChar w:fldCharType="separate"/>
      </w:r>
      <w:r w:rsidR="007F7607">
        <w:rPr>
          <w:noProof/>
        </w:rPr>
        <w:t>17</w:t>
      </w:r>
      <w:r>
        <w:rPr>
          <w:noProof/>
        </w:rPr>
        <w:fldChar w:fldCharType="end"/>
      </w:r>
      <w:bookmarkEnd w:id="376"/>
      <w:r w:rsidRPr="003C1511">
        <w:t>. Pre-European (</w:t>
      </w:r>
      <w:r w:rsidR="007E1FDA" w:rsidRPr="003C1511">
        <w:t>PERCH</w:t>
      </w:r>
      <w:r w:rsidR="007E1FDA">
        <w:t xml:space="preserve"> = Pre-European Reference Condition for fisH</w:t>
      </w:r>
      <w:r w:rsidRPr="003C1511">
        <w:t xml:space="preserve">) list of the expected native </w:t>
      </w:r>
      <w:r>
        <w:t xml:space="preserve">fish </w:t>
      </w:r>
      <w:r w:rsidRPr="003C1511">
        <w:t>species present in the lowland Lachlan Basin, their associated rarity and subsequent detection during the LTIM 2016 census.</w:t>
      </w:r>
      <w:bookmarkEnd w:id="377"/>
      <w:bookmarkEnd w:id="378"/>
      <w:bookmarkEnd w:id="379"/>
      <w:bookmarkEnd w:id="380"/>
      <w:bookmarkEnd w:id="381"/>
      <w:r>
        <w:t xml:space="preserve"> </w:t>
      </w:r>
    </w:p>
    <w:p w14:paraId="4B50EAA2" w14:textId="0E899163" w:rsidR="000856C9" w:rsidRPr="000856C9" w:rsidRDefault="000856C9" w:rsidP="000856C9">
      <w:pPr>
        <w:rPr>
          <w:i/>
          <w:iCs/>
          <w:sz w:val="22"/>
          <w:szCs w:val="22"/>
        </w:rPr>
      </w:pPr>
      <w:r w:rsidRPr="000856C9">
        <w:rPr>
          <w:i/>
          <w:iCs/>
          <w:sz w:val="22"/>
          <w:szCs w:val="22"/>
        </w:rPr>
        <w:t xml:space="preserve">Descriptions of predominance (occurrence) correspond to reference condition categories for the Murray-Darling Basin </w:t>
      </w:r>
      <w:r>
        <w:rPr>
          <w:i/>
          <w:iCs/>
          <w:sz w:val="22"/>
          <w:szCs w:val="22"/>
        </w:rPr>
        <w:t>SRA</w:t>
      </w:r>
      <w:r w:rsidRPr="000856C9">
        <w:rPr>
          <w:i/>
          <w:iCs/>
          <w:sz w:val="22"/>
          <w:szCs w:val="22"/>
        </w:rPr>
        <w:t xml:space="preserve"> program and are used to generate fish condition metrics.</w:t>
      </w:r>
    </w:p>
    <w:tbl>
      <w:tblPr>
        <w:tblW w:w="906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53"/>
        <w:gridCol w:w="3245"/>
        <w:gridCol w:w="1299"/>
        <w:gridCol w:w="1082"/>
        <w:gridCol w:w="1083"/>
      </w:tblGrid>
      <w:tr w:rsidR="00100E9E" w:rsidRPr="00B7254B" w14:paraId="7B6FEF01" w14:textId="77777777" w:rsidTr="000856C9">
        <w:trPr>
          <w:trHeight w:val="527"/>
        </w:trPr>
        <w:tc>
          <w:tcPr>
            <w:tcW w:w="235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330D4AF8"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COMMON NAME</w:t>
            </w:r>
          </w:p>
        </w:tc>
        <w:tc>
          <w:tcPr>
            <w:tcW w:w="324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2001E9D5" w14:textId="77777777" w:rsidR="00100E9E" w:rsidRPr="00B7254B" w:rsidRDefault="00100E9E" w:rsidP="000F79CD">
            <w:pPr>
              <w:spacing w:before="40" w:after="40"/>
              <w:jc w:val="center"/>
              <w:rPr>
                <w:b/>
                <w:bCs/>
                <w:color w:val="FFFFFF" w:themeColor="background1"/>
                <w:sz w:val="18"/>
                <w:szCs w:val="18"/>
              </w:rPr>
            </w:pPr>
            <w:r w:rsidRPr="00B7254B">
              <w:rPr>
                <w:b/>
                <w:bCs/>
                <w:color w:val="FFFFFF" w:themeColor="background1"/>
                <w:sz w:val="18"/>
                <w:szCs w:val="18"/>
              </w:rPr>
              <w:t>SCIENTIFIC NAME</w:t>
            </w:r>
          </w:p>
        </w:tc>
        <w:tc>
          <w:tcPr>
            <w:tcW w:w="129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04744CC6" w14:textId="77777777" w:rsidR="00100E9E" w:rsidRPr="00B7254B" w:rsidRDefault="00100E9E" w:rsidP="000F79CD">
            <w:pPr>
              <w:spacing w:before="40" w:after="40"/>
              <w:jc w:val="center"/>
              <w:rPr>
                <w:b/>
                <w:bCs/>
                <w:color w:val="FFFFFF" w:themeColor="background1"/>
                <w:sz w:val="18"/>
                <w:szCs w:val="18"/>
              </w:rPr>
            </w:pPr>
            <w:r w:rsidRPr="00B7254B">
              <w:rPr>
                <w:b/>
                <w:bCs/>
                <w:color w:val="FFFFFF" w:themeColor="background1"/>
                <w:sz w:val="18"/>
                <w:szCs w:val="18"/>
              </w:rPr>
              <w:t>OCCURRENCE</w:t>
            </w:r>
            <w:r w:rsidRPr="00B7254B">
              <w:rPr>
                <w:b/>
                <w:bCs/>
                <w:color w:val="FFFFFF" w:themeColor="background1"/>
                <w:sz w:val="18"/>
                <w:szCs w:val="18"/>
                <w:vertAlign w:val="superscript"/>
              </w:rPr>
              <w:t>1</w:t>
            </w:r>
          </w:p>
        </w:tc>
        <w:tc>
          <w:tcPr>
            <w:tcW w:w="108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7CB20AD6" w14:textId="77777777" w:rsidR="00100E9E" w:rsidRPr="00B7254B" w:rsidRDefault="00100E9E" w:rsidP="000F79CD">
            <w:pPr>
              <w:spacing w:before="40" w:after="40"/>
              <w:jc w:val="center"/>
              <w:rPr>
                <w:b/>
                <w:bCs/>
                <w:color w:val="FFFFFF" w:themeColor="background1"/>
                <w:sz w:val="18"/>
                <w:szCs w:val="18"/>
              </w:rPr>
            </w:pPr>
            <w:r w:rsidRPr="00B7254B">
              <w:rPr>
                <w:b/>
                <w:bCs/>
                <w:color w:val="FFFFFF" w:themeColor="background1"/>
                <w:sz w:val="18"/>
                <w:szCs w:val="18"/>
              </w:rPr>
              <w:t>2015 LTIM CENSUS</w:t>
            </w:r>
          </w:p>
        </w:tc>
        <w:tc>
          <w:tcPr>
            <w:tcW w:w="108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5556BBD0" w14:textId="77777777" w:rsidR="00100E9E" w:rsidRPr="00B7254B" w:rsidRDefault="00100E9E" w:rsidP="000F79CD">
            <w:pPr>
              <w:spacing w:before="40" w:after="40"/>
              <w:jc w:val="center"/>
              <w:rPr>
                <w:b/>
                <w:bCs/>
                <w:color w:val="FFFFFF" w:themeColor="background1"/>
                <w:sz w:val="18"/>
                <w:szCs w:val="18"/>
              </w:rPr>
            </w:pPr>
            <w:r w:rsidRPr="00B7254B">
              <w:rPr>
                <w:b/>
                <w:bCs/>
                <w:color w:val="FFFFFF" w:themeColor="background1"/>
                <w:sz w:val="18"/>
                <w:szCs w:val="18"/>
              </w:rPr>
              <w:t>2016 LTIM CENSUS</w:t>
            </w:r>
          </w:p>
        </w:tc>
      </w:tr>
      <w:tr w:rsidR="00100E9E" w:rsidRPr="00B7254B" w14:paraId="2D4439EC"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1030EE68"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Australian smelt</w:t>
            </w:r>
          </w:p>
        </w:tc>
        <w:tc>
          <w:tcPr>
            <w:tcW w:w="3245" w:type="dxa"/>
            <w:shd w:val="clear" w:color="auto" w:fill="E6EED5"/>
          </w:tcPr>
          <w:p w14:paraId="4036B4C4" w14:textId="77777777" w:rsidR="00100E9E" w:rsidRPr="00B7254B" w:rsidRDefault="00100E9E" w:rsidP="000F79CD">
            <w:pPr>
              <w:spacing w:before="40" w:after="40"/>
              <w:rPr>
                <w:i/>
                <w:iCs/>
                <w:sz w:val="18"/>
                <w:szCs w:val="18"/>
              </w:rPr>
            </w:pPr>
            <w:r w:rsidRPr="00B7254B">
              <w:rPr>
                <w:i/>
                <w:iCs/>
                <w:sz w:val="18"/>
                <w:szCs w:val="18"/>
              </w:rPr>
              <w:t>Retropinna semoni</w:t>
            </w:r>
          </w:p>
        </w:tc>
        <w:tc>
          <w:tcPr>
            <w:tcW w:w="1299" w:type="dxa"/>
            <w:shd w:val="clear" w:color="auto" w:fill="E6EED5"/>
          </w:tcPr>
          <w:p w14:paraId="0DC1AAC2"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59C08900"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4A54AB80"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77BEB60B"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2D6EE635"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bony herring</w:t>
            </w:r>
          </w:p>
        </w:tc>
        <w:tc>
          <w:tcPr>
            <w:tcW w:w="3245" w:type="dxa"/>
            <w:shd w:val="clear" w:color="auto" w:fill="E6EED5"/>
          </w:tcPr>
          <w:p w14:paraId="12824012" w14:textId="77777777" w:rsidR="00100E9E" w:rsidRPr="00B7254B" w:rsidRDefault="00100E9E" w:rsidP="000F79CD">
            <w:pPr>
              <w:spacing w:before="40" w:after="40"/>
              <w:rPr>
                <w:i/>
                <w:iCs/>
                <w:sz w:val="18"/>
                <w:szCs w:val="18"/>
              </w:rPr>
            </w:pPr>
            <w:r w:rsidRPr="00B7254B">
              <w:rPr>
                <w:i/>
                <w:iCs/>
                <w:sz w:val="18"/>
                <w:szCs w:val="18"/>
              </w:rPr>
              <w:t>Nematalosa erebi</w:t>
            </w:r>
          </w:p>
        </w:tc>
        <w:tc>
          <w:tcPr>
            <w:tcW w:w="1299" w:type="dxa"/>
            <w:shd w:val="clear" w:color="auto" w:fill="E6EED5"/>
          </w:tcPr>
          <w:p w14:paraId="29E0AA96"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2AFD113D"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498B1558"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17ED7DA2"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6A5AC578"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carp gudgeon</w:t>
            </w:r>
          </w:p>
        </w:tc>
        <w:tc>
          <w:tcPr>
            <w:tcW w:w="3245" w:type="dxa"/>
            <w:shd w:val="clear" w:color="auto" w:fill="E6EED5"/>
          </w:tcPr>
          <w:p w14:paraId="37568800" w14:textId="77777777" w:rsidR="00100E9E" w:rsidRPr="00B7254B" w:rsidRDefault="00100E9E" w:rsidP="000F79CD">
            <w:pPr>
              <w:spacing w:before="40" w:after="40"/>
              <w:rPr>
                <w:i/>
                <w:iCs/>
                <w:sz w:val="18"/>
                <w:szCs w:val="18"/>
              </w:rPr>
            </w:pPr>
            <w:r w:rsidRPr="00B7254B">
              <w:rPr>
                <w:i/>
                <w:iCs/>
                <w:sz w:val="18"/>
                <w:szCs w:val="18"/>
              </w:rPr>
              <w:t>Hypseleotris spp</w:t>
            </w:r>
          </w:p>
        </w:tc>
        <w:tc>
          <w:tcPr>
            <w:tcW w:w="1299" w:type="dxa"/>
            <w:shd w:val="clear" w:color="auto" w:fill="E6EED5"/>
          </w:tcPr>
          <w:p w14:paraId="0DAC4810"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25553C0C"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51ED4E9B"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57126E1D"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0CF963DB"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freshwater catfish</w:t>
            </w:r>
          </w:p>
        </w:tc>
        <w:tc>
          <w:tcPr>
            <w:tcW w:w="3245" w:type="dxa"/>
            <w:shd w:val="clear" w:color="auto" w:fill="E6EED5"/>
          </w:tcPr>
          <w:p w14:paraId="56787E48" w14:textId="77777777" w:rsidR="00100E9E" w:rsidRPr="00B7254B" w:rsidRDefault="00100E9E" w:rsidP="000F79CD">
            <w:pPr>
              <w:spacing w:before="40" w:after="40"/>
              <w:rPr>
                <w:i/>
                <w:iCs/>
                <w:sz w:val="18"/>
                <w:szCs w:val="18"/>
              </w:rPr>
            </w:pPr>
            <w:r w:rsidRPr="00B7254B">
              <w:rPr>
                <w:i/>
                <w:iCs/>
                <w:sz w:val="18"/>
                <w:szCs w:val="18"/>
              </w:rPr>
              <w:t>Tandanus tandanus</w:t>
            </w:r>
          </w:p>
        </w:tc>
        <w:tc>
          <w:tcPr>
            <w:tcW w:w="1299" w:type="dxa"/>
            <w:shd w:val="clear" w:color="auto" w:fill="E6EED5"/>
          </w:tcPr>
          <w:p w14:paraId="6791730F"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51F7FDA9"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31CB15DC" w14:textId="77777777" w:rsidR="00100E9E" w:rsidRPr="00B7254B" w:rsidRDefault="00100E9E" w:rsidP="000F79CD">
            <w:pPr>
              <w:spacing w:before="40" w:after="40"/>
              <w:jc w:val="center"/>
              <w:rPr>
                <w:sz w:val="18"/>
                <w:szCs w:val="18"/>
              </w:rPr>
            </w:pPr>
          </w:p>
        </w:tc>
      </w:tr>
      <w:tr w:rsidR="00100E9E" w:rsidRPr="00B7254B" w14:paraId="617373EA"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79173C87"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golden perch</w:t>
            </w:r>
          </w:p>
        </w:tc>
        <w:tc>
          <w:tcPr>
            <w:tcW w:w="3245" w:type="dxa"/>
            <w:shd w:val="clear" w:color="auto" w:fill="E6EED5"/>
          </w:tcPr>
          <w:p w14:paraId="0B79F9C3" w14:textId="77777777" w:rsidR="00100E9E" w:rsidRPr="00B7254B" w:rsidRDefault="00100E9E" w:rsidP="000F79CD">
            <w:pPr>
              <w:spacing w:before="40" w:after="40"/>
              <w:rPr>
                <w:i/>
                <w:iCs/>
                <w:sz w:val="18"/>
                <w:szCs w:val="18"/>
              </w:rPr>
            </w:pPr>
            <w:r w:rsidRPr="00B7254B">
              <w:rPr>
                <w:i/>
                <w:iCs/>
                <w:sz w:val="18"/>
                <w:szCs w:val="18"/>
              </w:rPr>
              <w:t>Macquaria ambigua</w:t>
            </w:r>
          </w:p>
        </w:tc>
        <w:tc>
          <w:tcPr>
            <w:tcW w:w="1299" w:type="dxa"/>
            <w:shd w:val="clear" w:color="auto" w:fill="E6EED5"/>
          </w:tcPr>
          <w:p w14:paraId="616F64E9"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097F2BE5"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6EC39D39"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50BA481F"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2532BA8A"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Murray-Darling rainbowfish</w:t>
            </w:r>
          </w:p>
        </w:tc>
        <w:tc>
          <w:tcPr>
            <w:tcW w:w="3245" w:type="dxa"/>
            <w:shd w:val="clear" w:color="auto" w:fill="E6EED5"/>
          </w:tcPr>
          <w:p w14:paraId="262B1481" w14:textId="77777777" w:rsidR="00100E9E" w:rsidRPr="00B7254B" w:rsidRDefault="00100E9E" w:rsidP="000F79CD">
            <w:pPr>
              <w:spacing w:before="40" w:after="40"/>
              <w:rPr>
                <w:i/>
                <w:iCs/>
                <w:sz w:val="18"/>
                <w:szCs w:val="18"/>
              </w:rPr>
            </w:pPr>
            <w:r w:rsidRPr="00B7254B">
              <w:rPr>
                <w:i/>
                <w:iCs/>
                <w:sz w:val="18"/>
                <w:szCs w:val="18"/>
              </w:rPr>
              <w:t>Melanotaenia fluviatilis</w:t>
            </w:r>
          </w:p>
        </w:tc>
        <w:tc>
          <w:tcPr>
            <w:tcW w:w="1299" w:type="dxa"/>
            <w:shd w:val="clear" w:color="auto" w:fill="E6EED5"/>
          </w:tcPr>
          <w:p w14:paraId="5DBE6091"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6B8B945B" w14:textId="77777777" w:rsidR="00100E9E" w:rsidRPr="00B7254B" w:rsidRDefault="00100E9E" w:rsidP="000F79CD">
            <w:pPr>
              <w:spacing w:before="40" w:after="40"/>
              <w:jc w:val="center"/>
              <w:rPr>
                <w:sz w:val="18"/>
                <w:szCs w:val="18"/>
              </w:rPr>
            </w:pPr>
          </w:p>
        </w:tc>
        <w:tc>
          <w:tcPr>
            <w:tcW w:w="1083" w:type="dxa"/>
            <w:shd w:val="clear" w:color="auto" w:fill="E6EED5"/>
          </w:tcPr>
          <w:p w14:paraId="64C766A9" w14:textId="77777777" w:rsidR="00100E9E" w:rsidRPr="00B7254B" w:rsidRDefault="00100E9E" w:rsidP="000F79CD">
            <w:pPr>
              <w:spacing w:before="40" w:after="40"/>
              <w:jc w:val="center"/>
              <w:rPr>
                <w:sz w:val="18"/>
                <w:szCs w:val="18"/>
              </w:rPr>
            </w:pPr>
          </w:p>
        </w:tc>
      </w:tr>
      <w:tr w:rsidR="00100E9E" w:rsidRPr="00B7254B" w14:paraId="2640ABAC"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156DA83A"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silver perch</w:t>
            </w:r>
          </w:p>
        </w:tc>
        <w:tc>
          <w:tcPr>
            <w:tcW w:w="3245" w:type="dxa"/>
            <w:shd w:val="clear" w:color="auto" w:fill="E6EED5"/>
          </w:tcPr>
          <w:p w14:paraId="2ADB802E" w14:textId="77777777" w:rsidR="00100E9E" w:rsidRPr="00B7254B" w:rsidRDefault="00100E9E" w:rsidP="000F79CD">
            <w:pPr>
              <w:spacing w:before="40" w:after="40"/>
              <w:rPr>
                <w:i/>
                <w:iCs/>
                <w:sz w:val="18"/>
                <w:szCs w:val="18"/>
              </w:rPr>
            </w:pPr>
            <w:r w:rsidRPr="00B7254B">
              <w:rPr>
                <w:i/>
                <w:iCs/>
                <w:sz w:val="18"/>
                <w:szCs w:val="18"/>
              </w:rPr>
              <w:t>Bidyanus bidyanus</w:t>
            </w:r>
          </w:p>
        </w:tc>
        <w:tc>
          <w:tcPr>
            <w:tcW w:w="1299" w:type="dxa"/>
            <w:shd w:val="clear" w:color="auto" w:fill="E6EED5"/>
          </w:tcPr>
          <w:p w14:paraId="41D126A6" w14:textId="77777777" w:rsidR="00100E9E" w:rsidRPr="00B7254B" w:rsidRDefault="00100E9E" w:rsidP="000F79CD">
            <w:pPr>
              <w:spacing w:before="40" w:after="40"/>
              <w:jc w:val="center"/>
              <w:rPr>
                <w:sz w:val="18"/>
                <w:szCs w:val="18"/>
              </w:rPr>
            </w:pPr>
            <w:r w:rsidRPr="00B7254B">
              <w:rPr>
                <w:sz w:val="18"/>
                <w:szCs w:val="18"/>
              </w:rPr>
              <w:t>common</w:t>
            </w:r>
          </w:p>
        </w:tc>
        <w:tc>
          <w:tcPr>
            <w:tcW w:w="1082" w:type="dxa"/>
            <w:shd w:val="clear" w:color="auto" w:fill="E6EED5"/>
          </w:tcPr>
          <w:p w14:paraId="0FC48227" w14:textId="77777777" w:rsidR="00100E9E" w:rsidRPr="00B7254B" w:rsidRDefault="00100E9E" w:rsidP="000F79CD">
            <w:pPr>
              <w:spacing w:before="40" w:after="40"/>
              <w:jc w:val="center"/>
              <w:rPr>
                <w:sz w:val="18"/>
                <w:szCs w:val="18"/>
              </w:rPr>
            </w:pPr>
          </w:p>
        </w:tc>
        <w:tc>
          <w:tcPr>
            <w:tcW w:w="1083" w:type="dxa"/>
            <w:shd w:val="clear" w:color="auto" w:fill="E6EED5"/>
          </w:tcPr>
          <w:p w14:paraId="00C1CF77" w14:textId="77777777" w:rsidR="00100E9E" w:rsidRPr="00B7254B" w:rsidRDefault="00100E9E" w:rsidP="000F79CD">
            <w:pPr>
              <w:spacing w:before="40" w:after="40"/>
              <w:jc w:val="center"/>
              <w:rPr>
                <w:sz w:val="18"/>
                <w:szCs w:val="18"/>
              </w:rPr>
            </w:pPr>
          </w:p>
        </w:tc>
      </w:tr>
      <w:tr w:rsidR="00100E9E" w:rsidRPr="00B7254B" w14:paraId="57C9EEF8"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1A06BC1B"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Murray cod</w:t>
            </w:r>
          </w:p>
        </w:tc>
        <w:tc>
          <w:tcPr>
            <w:tcW w:w="3245" w:type="dxa"/>
            <w:shd w:val="clear" w:color="auto" w:fill="E6EED5"/>
          </w:tcPr>
          <w:p w14:paraId="0F6B15E4" w14:textId="77777777" w:rsidR="00100E9E" w:rsidRPr="00B7254B" w:rsidRDefault="00100E9E" w:rsidP="000F79CD">
            <w:pPr>
              <w:spacing w:before="40" w:after="40"/>
              <w:rPr>
                <w:i/>
                <w:iCs/>
                <w:sz w:val="18"/>
                <w:szCs w:val="18"/>
              </w:rPr>
            </w:pPr>
            <w:r w:rsidRPr="00B7254B">
              <w:rPr>
                <w:i/>
                <w:iCs/>
                <w:sz w:val="18"/>
                <w:szCs w:val="18"/>
              </w:rPr>
              <w:t>Maccullochella peelii</w:t>
            </w:r>
          </w:p>
        </w:tc>
        <w:tc>
          <w:tcPr>
            <w:tcW w:w="1299" w:type="dxa"/>
            <w:shd w:val="clear" w:color="auto" w:fill="E6EED5"/>
          </w:tcPr>
          <w:p w14:paraId="1A337EE5" w14:textId="77777777" w:rsidR="00100E9E" w:rsidRPr="00B7254B" w:rsidRDefault="00100E9E" w:rsidP="000F79CD">
            <w:pPr>
              <w:spacing w:before="40" w:after="40"/>
              <w:jc w:val="center"/>
              <w:rPr>
                <w:sz w:val="18"/>
                <w:szCs w:val="18"/>
              </w:rPr>
            </w:pPr>
            <w:r w:rsidRPr="00B7254B">
              <w:rPr>
                <w:sz w:val="18"/>
                <w:szCs w:val="18"/>
              </w:rPr>
              <w:t>occasional</w:t>
            </w:r>
          </w:p>
        </w:tc>
        <w:tc>
          <w:tcPr>
            <w:tcW w:w="1082" w:type="dxa"/>
            <w:shd w:val="clear" w:color="auto" w:fill="E6EED5"/>
          </w:tcPr>
          <w:p w14:paraId="4497D5B8"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0FEED0B8"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23B110A6"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78E18EE9"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un-specked hardyhead</w:t>
            </w:r>
          </w:p>
        </w:tc>
        <w:tc>
          <w:tcPr>
            <w:tcW w:w="3245" w:type="dxa"/>
            <w:shd w:val="clear" w:color="auto" w:fill="E6EED5"/>
          </w:tcPr>
          <w:p w14:paraId="0034734A" w14:textId="77777777" w:rsidR="00100E9E" w:rsidRPr="00B7254B" w:rsidRDefault="00100E9E" w:rsidP="000F79CD">
            <w:pPr>
              <w:spacing w:before="40" w:after="40"/>
              <w:rPr>
                <w:i/>
                <w:iCs/>
                <w:sz w:val="18"/>
                <w:szCs w:val="18"/>
              </w:rPr>
            </w:pPr>
            <w:r w:rsidRPr="00B7254B">
              <w:rPr>
                <w:i/>
                <w:iCs/>
                <w:sz w:val="18"/>
                <w:szCs w:val="18"/>
              </w:rPr>
              <w:t>Craterocephalus stercusmuscarum fulvus</w:t>
            </w:r>
          </w:p>
        </w:tc>
        <w:tc>
          <w:tcPr>
            <w:tcW w:w="1299" w:type="dxa"/>
            <w:shd w:val="clear" w:color="auto" w:fill="E6EED5"/>
          </w:tcPr>
          <w:p w14:paraId="77378E0F" w14:textId="77777777" w:rsidR="00100E9E" w:rsidRPr="00B7254B" w:rsidRDefault="00100E9E" w:rsidP="000F79CD">
            <w:pPr>
              <w:spacing w:before="40" w:after="40"/>
              <w:jc w:val="center"/>
              <w:rPr>
                <w:sz w:val="18"/>
                <w:szCs w:val="18"/>
              </w:rPr>
            </w:pPr>
            <w:r w:rsidRPr="00B7254B">
              <w:rPr>
                <w:sz w:val="18"/>
                <w:szCs w:val="18"/>
              </w:rPr>
              <w:t>occasional</w:t>
            </w:r>
          </w:p>
        </w:tc>
        <w:tc>
          <w:tcPr>
            <w:tcW w:w="1082" w:type="dxa"/>
            <w:shd w:val="clear" w:color="auto" w:fill="E6EED5"/>
          </w:tcPr>
          <w:p w14:paraId="2951CDCA" w14:textId="77777777" w:rsidR="00100E9E" w:rsidRPr="00B7254B" w:rsidRDefault="00100E9E" w:rsidP="000F79CD">
            <w:pPr>
              <w:spacing w:before="40" w:after="40"/>
              <w:jc w:val="center"/>
              <w:rPr>
                <w:sz w:val="18"/>
                <w:szCs w:val="18"/>
              </w:rPr>
            </w:pPr>
            <w:r w:rsidRPr="00B7254B">
              <w:rPr>
                <w:sz w:val="18"/>
                <w:szCs w:val="18"/>
              </w:rPr>
              <w:t>Y</w:t>
            </w:r>
          </w:p>
        </w:tc>
        <w:tc>
          <w:tcPr>
            <w:tcW w:w="1083" w:type="dxa"/>
            <w:shd w:val="clear" w:color="auto" w:fill="E6EED5"/>
          </w:tcPr>
          <w:p w14:paraId="4250754E"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447D7AEA"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5AD86594"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flathead galaxias</w:t>
            </w:r>
          </w:p>
        </w:tc>
        <w:tc>
          <w:tcPr>
            <w:tcW w:w="3245" w:type="dxa"/>
            <w:shd w:val="clear" w:color="auto" w:fill="E6EED5"/>
          </w:tcPr>
          <w:p w14:paraId="3ABDBE3A" w14:textId="77777777" w:rsidR="00100E9E" w:rsidRPr="00B7254B" w:rsidRDefault="00100E9E" w:rsidP="000F79CD">
            <w:pPr>
              <w:spacing w:before="40" w:after="40"/>
              <w:rPr>
                <w:i/>
                <w:iCs/>
                <w:sz w:val="18"/>
                <w:szCs w:val="18"/>
              </w:rPr>
            </w:pPr>
            <w:r w:rsidRPr="00B7254B">
              <w:rPr>
                <w:i/>
                <w:iCs/>
                <w:sz w:val="18"/>
                <w:szCs w:val="18"/>
              </w:rPr>
              <w:t>Galaxias rostratus</w:t>
            </w:r>
          </w:p>
        </w:tc>
        <w:tc>
          <w:tcPr>
            <w:tcW w:w="1299" w:type="dxa"/>
            <w:shd w:val="clear" w:color="auto" w:fill="E6EED5"/>
          </w:tcPr>
          <w:p w14:paraId="1C377A49" w14:textId="77777777" w:rsidR="00100E9E" w:rsidRPr="00B7254B" w:rsidRDefault="00100E9E" w:rsidP="000F79CD">
            <w:pPr>
              <w:spacing w:before="40" w:after="40"/>
              <w:jc w:val="center"/>
              <w:rPr>
                <w:sz w:val="18"/>
                <w:szCs w:val="18"/>
              </w:rPr>
            </w:pPr>
            <w:r w:rsidRPr="00B7254B">
              <w:rPr>
                <w:sz w:val="18"/>
                <w:szCs w:val="18"/>
              </w:rPr>
              <w:t>rare</w:t>
            </w:r>
          </w:p>
        </w:tc>
        <w:tc>
          <w:tcPr>
            <w:tcW w:w="1082" w:type="dxa"/>
            <w:shd w:val="clear" w:color="auto" w:fill="E6EED5"/>
          </w:tcPr>
          <w:p w14:paraId="175AF360" w14:textId="77777777" w:rsidR="00100E9E" w:rsidRPr="00B7254B" w:rsidRDefault="00100E9E" w:rsidP="000F79CD">
            <w:pPr>
              <w:spacing w:before="40" w:after="40"/>
              <w:jc w:val="center"/>
              <w:rPr>
                <w:sz w:val="18"/>
                <w:szCs w:val="18"/>
              </w:rPr>
            </w:pPr>
          </w:p>
        </w:tc>
        <w:tc>
          <w:tcPr>
            <w:tcW w:w="1083" w:type="dxa"/>
            <w:shd w:val="clear" w:color="auto" w:fill="E6EED5"/>
          </w:tcPr>
          <w:p w14:paraId="17376DD6" w14:textId="77777777" w:rsidR="00100E9E" w:rsidRPr="00B7254B" w:rsidRDefault="00100E9E" w:rsidP="000F79CD">
            <w:pPr>
              <w:spacing w:before="40" w:after="40"/>
              <w:jc w:val="center"/>
              <w:rPr>
                <w:sz w:val="18"/>
                <w:szCs w:val="18"/>
              </w:rPr>
            </w:pPr>
          </w:p>
        </w:tc>
      </w:tr>
      <w:tr w:rsidR="00100E9E" w:rsidRPr="00B7254B" w14:paraId="6FC236DE"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1CE14A7C"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flat-headed gudgeon</w:t>
            </w:r>
          </w:p>
        </w:tc>
        <w:tc>
          <w:tcPr>
            <w:tcW w:w="3245" w:type="dxa"/>
            <w:shd w:val="clear" w:color="auto" w:fill="E6EED5"/>
          </w:tcPr>
          <w:p w14:paraId="09F34AF8" w14:textId="77777777" w:rsidR="00100E9E" w:rsidRPr="00B7254B" w:rsidRDefault="00100E9E" w:rsidP="000F79CD">
            <w:pPr>
              <w:spacing w:before="40" w:after="40"/>
              <w:rPr>
                <w:i/>
                <w:iCs/>
                <w:sz w:val="18"/>
                <w:szCs w:val="18"/>
              </w:rPr>
            </w:pPr>
            <w:r w:rsidRPr="00B7254B">
              <w:rPr>
                <w:i/>
                <w:iCs/>
                <w:sz w:val="18"/>
                <w:szCs w:val="18"/>
              </w:rPr>
              <w:t>Philypnodon grandiceps</w:t>
            </w:r>
          </w:p>
        </w:tc>
        <w:tc>
          <w:tcPr>
            <w:tcW w:w="1299" w:type="dxa"/>
            <w:shd w:val="clear" w:color="auto" w:fill="E6EED5"/>
          </w:tcPr>
          <w:p w14:paraId="558FD05A" w14:textId="77777777" w:rsidR="00100E9E" w:rsidRPr="00B7254B" w:rsidRDefault="00100E9E" w:rsidP="000F79CD">
            <w:pPr>
              <w:spacing w:before="40" w:after="40"/>
              <w:jc w:val="center"/>
              <w:rPr>
                <w:sz w:val="18"/>
                <w:szCs w:val="18"/>
              </w:rPr>
            </w:pPr>
            <w:r w:rsidRPr="00B7254B">
              <w:rPr>
                <w:sz w:val="18"/>
                <w:szCs w:val="18"/>
              </w:rPr>
              <w:t>rare</w:t>
            </w:r>
          </w:p>
        </w:tc>
        <w:tc>
          <w:tcPr>
            <w:tcW w:w="1082" w:type="dxa"/>
            <w:shd w:val="clear" w:color="auto" w:fill="E6EED5"/>
          </w:tcPr>
          <w:p w14:paraId="0938F8BF" w14:textId="77777777" w:rsidR="00100E9E" w:rsidRPr="00B7254B" w:rsidRDefault="00100E9E" w:rsidP="000F79CD">
            <w:pPr>
              <w:spacing w:before="40" w:after="40"/>
              <w:jc w:val="center"/>
              <w:rPr>
                <w:sz w:val="18"/>
                <w:szCs w:val="18"/>
              </w:rPr>
            </w:pPr>
          </w:p>
        </w:tc>
        <w:tc>
          <w:tcPr>
            <w:tcW w:w="1083" w:type="dxa"/>
            <w:shd w:val="clear" w:color="auto" w:fill="E6EED5"/>
          </w:tcPr>
          <w:p w14:paraId="69AB6803" w14:textId="77777777" w:rsidR="00100E9E" w:rsidRPr="00B7254B" w:rsidRDefault="00100E9E" w:rsidP="000F79CD">
            <w:pPr>
              <w:spacing w:before="40" w:after="40"/>
              <w:jc w:val="center"/>
              <w:rPr>
                <w:sz w:val="18"/>
                <w:szCs w:val="18"/>
              </w:rPr>
            </w:pPr>
            <w:r w:rsidRPr="00B7254B">
              <w:rPr>
                <w:sz w:val="18"/>
                <w:szCs w:val="18"/>
              </w:rPr>
              <w:t>Y</w:t>
            </w:r>
          </w:p>
        </w:tc>
      </w:tr>
      <w:tr w:rsidR="00100E9E" w:rsidRPr="00B7254B" w14:paraId="20C750D5"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08BFE58D"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olive perchlet</w:t>
            </w:r>
          </w:p>
        </w:tc>
        <w:tc>
          <w:tcPr>
            <w:tcW w:w="3245" w:type="dxa"/>
            <w:shd w:val="clear" w:color="auto" w:fill="E6EED5"/>
          </w:tcPr>
          <w:p w14:paraId="44D61249" w14:textId="77777777" w:rsidR="00100E9E" w:rsidRPr="00B7254B" w:rsidRDefault="00100E9E" w:rsidP="000F79CD">
            <w:pPr>
              <w:spacing w:before="40" w:after="40"/>
              <w:rPr>
                <w:i/>
                <w:iCs/>
                <w:sz w:val="18"/>
                <w:szCs w:val="18"/>
              </w:rPr>
            </w:pPr>
            <w:r w:rsidRPr="00B7254B">
              <w:rPr>
                <w:i/>
                <w:iCs/>
                <w:sz w:val="18"/>
                <w:szCs w:val="18"/>
              </w:rPr>
              <w:t>Ambassis agassizii</w:t>
            </w:r>
          </w:p>
        </w:tc>
        <w:tc>
          <w:tcPr>
            <w:tcW w:w="1299" w:type="dxa"/>
            <w:shd w:val="clear" w:color="auto" w:fill="E6EED5"/>
          </w:tcPr>
          <w:p w14:paraId="63885FF8" w14:textId="77777777" w:rsidR="00100E9E" w:rsidRPr="00B7254B" w:rsidRDefault="00100E9E" w:rsidP="000F79CD">
            <w:pPr>
              <w:spacing w:before="40" w:after="40"/>
              <w:jc w:val="center"/>
              <w:rPr>
                <w:sz w:val="18"/>
                <w:szCs w:val="18"/>
              </w:rPr>
            </w:pPr>
            <w:r w:rsidRPr="00B7254B">
              <w:rPr>
                <w:sz w:val="18"/>
                <w:szCs w:val="18"/>
              </w:rPr>
              <w:t>rare</w:t>
            </w:r>
          </w:p>
        </w:tc>
        <w:tc>
          <w:tcPr>
            <w:tcW w:w="1082" w:type="dxa"/>
            <w:shd w:val="clear" w:color="auto" w:fill="E6EED5"/>
          </w:tcPr>
          <w:p w14:paraId="01D6AB0D" w14:textId="77777777" w:rsidR="00100E9E" w:rsidRPr="00B7254B" w:rsidRDefault="00100E9E" w:rsidP="000F79CD">
            <w:pPr>
              <w:spacing w:before="40" w:after="40"/>
              <w:jc w:val="center"/>
              <w:rPr>
                <w:sz w:val="18"/>
                <w:szCs w:val="18"/>
              </w:rPr>
            </w:pPr>
          </w:p>
        </w:tc>
        <w:tc>
          <w:tcPr>
            <w:tcW w:w="1083" w:type="dxa"/>
            <w:shd w:val="clear" w:color="auto" w:fill="E6EED5"/>
          </w:tcPr>
          <w:p w14:paraId="236CD22A" w14:textId="77777777" w:rsidR="00100E9E" w:rsidRPr="00B7254B" w:rsidRDefault="00100E9E" w:rsidP="000F79CD">
            <w:pPr>
              <w:spacing w:before="40" w:after="40"/>
              <w:jc w:val="center"/>
              <w:rPr>
                <w:sz w:val="18"/>
                <w:szCs w:val="18"/>
              </w:rPr>
            </w:pPr>
          </w:p>
        </w:tc>
      </w:tr>
      <w:tr w:rsidR="00100E9E" w:rsidRPr="00B7254B" w14:paraId="23712F91" w14:textId="77777777" w:rsidTr="000856C9">
        <w:tc>
          <w:tcPr>
            <w:tcW w:w="2353" w:type="dxa"/>
            <w:tcBorders>
              <w:left w:val="single" w:sz="8" w:space="0" w:color="FFFFFF" w:themeColor="background1"/>
              <w:bottom w:val="nil"/>
              <w:right w:val="single" w:sz="24" w:space="0" w:color="FFFFFF" w:themeColor="background1"/>
            </w:tcBorders>
            <w:shd w:val="clear" w:color="auto" w:fill="9BBB59" w:themeFill="accent3"/>
          </w:tcPr>
          <w:p w14:paraId="1974AF02"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southern purple spotted gudgeon</w:t>
            </w:r>
          </w:p>
        </w:tc>
        <w:tc>
          <w:tcPr>
            <w:tcW w:w="3245" w:type="dxa"/>
            <w:shd w:val="clear" w:color="auto" w:fill="E6EED5"/>
          </w:tcPr>
          <w:p w14:paraId="2C6A98F9" w14:textId="77777777" w:rsidR="00100E9E" w:rsidRPr="00B7254B" w:rsidRDefault="00100E9E" w:rsidP="000F79CD">
            <w:pPr>
              <w:spacing w:before="40" w:after="40"/>
              <w:rPr>
                <w:i/>
                <w:iCs/>
                <w:sz w:val="18"/>
                <w:szCs w:val="18"/>
              </w:rPr>
            </w:pPr>
            <w:r w:rsidRPr="00B7254B">
              <w:rPr>
                <w:i/>
                <w:iCs/>
                <w:sz w:val="18"/>
                <w:szCs w:val="18"/>
              </w:rPr>
              <w:t>Mogurnda adspersa</w:t>
            </w:r>
          </w:p>
        </w:tc>
        <w:tc>
          <w:tcPr>
            <w:tcW w:w="1299" w:type="dxa"/>
            <w:shd w:val="clear" w:color="auto" w:fill="E6EED5"/>
          </w:tcPr>
          <w:p w14:paraId="107B599C" w14:textId="77777777" w:rsidR="00100E9E" w:rsidRPr="00B7254B" w:rsidRDefault="00100E9E" w:rsidP="000F79CD">
            <w:pPr>
              <w:spacing w:before="40" w:after="40"/>
              <w:jc w:val="center"/>
              <w:rPr>
                <w:sz w:val="18"/>
                <w:szCs w:val="18"/>
              </w:rPr>
            </w:pPr>
            <w:r w:rsidRPr="00B7254B">
              <w:rPr>
                <w:sz w:val="18"/>
                <w:szCs w:val="18"/>
              </w:rPr>
              <w:t>rare</w:t>
            </w:r>
          </w:p>
        </w:tc>
        <w:tc>
          <w:tcPr>
            <w:tcW w:w="1082" w:type="dxa"/>
            <w:shd w:val="clear" w:color="auto" w:fill="E6EED5"/>
          </w:tcPr>
          <w:p w14:paraId="67295E48" w14:textId="77777777" w:rsidR="00100E9E" w:rsidRPr="00B7254B" w:rsidRDefault="00100E9E" w:rsidP="000F79CD">
            <w:pPr>
              <w:spacing w:before="40" w:after="40"/>
              <w:jc w:val="center"/>
              <w:rPr>
                <w:sz w:val="18"/>
                <w:szCs w:val="18"/>
              </w:rPr>
            </w:pPr>
          </w:p>
        </w:tc>
        <w:tc>
          <w:tcPr>
            <w:tcW w:w="1083" w:type="dxa"/>
            <w:shd w:val="clear" w:color="auto" w:fill="E6EED5"/>
          </w:tcPr>
          <w:p w14:paraId="3912DB3B" w14:textId="77777777" w:rsidR="00100E9E" w:rsidRPr="00B7254B" w:rsidRDefault="00100E9E" w:rsidP="000F79CD">
            <w:pPr>
              <w:spacing w:before="40" w:after="40"/>
              <w:jc w:val="center"/>
              <w:rPr>
                <w:sz w:val="18"/>
                <w:szCs w:val="18"/>
              </w:rPr>
            </w:pPr>
          </w:p>
        </w:tc>
      </w:tr>
      <w:tr w:rsidR="00100E9E" w:rsidRPr="00B7254B" w14:paraId="1B65CCA4" w14:textId="77777777" w:rsidTr="000856C9">
        <w:tc>
          <w:tcPr>
            <w:tcW w:w="2353" w:type="dxa"/>
            <w:tcBorders>
              <w:left w:val="single" w:sz="8" w:space="0" w:color="FFFFFF" w:themeColor="background1"/>
              <w:right w:val="single" w:sz="24" w:space="0" w:color="FFFFFF" w:themeColor="background1"/>
            </w:tcBorders>
            <w:shd w:val="clear" w:color="auto" w:fill="9BBB59" w:themeFill="accent3"/>
          </w:tcPr>
          <w:p w14:paraId="483A8BF1" w14:textId="77777777" w:rsidR="00100E9E" w:rsidRPr="00B7254B" w:rsidRDefault="00100E9E" w:rsidP="000F79CD">
            <w:pPr>
              <w:spacing w:before="40" w:after="40"/>
              <w:rPr>
                <w:b/>
                <w:bCs/>
                <w:color w:val="FFFFFF" w:themeColor="background1"/>
                <w:sz w:val="18"/>
                <w:szCs w:val="18"/>
              </w:rPr>
            </w:pPr>
            <w:r w:rsidRPr="00B7254B">
              <w:rPr>
                <w:b/>
                <w:bCs/>
                <w:color w:val="FFFFFF" w:themeColor="background1"/>
                <w:sz w:val="18"/>
                <w:szCs w:val="18"/>
              </w:rPr>
              <w:t>southern pygmy perch</w:t>
            </w:r>
          </w:p>
        </w:tc>
        <w:tc>
          <w:tcPr>
            <w:tcW w:w="3245" w:type="dxa"/>
            <w:shd w:val="clear" w:color="auto" w:fill="E6EED5"/>
          </w:tcPr>
          <w:p w14:paraId="09177438" w14:textId="77777777" w:rsidR="00100E9E" w:rsidRPr="00B7254B" w:rsidRDefault="00100E9E" w:rsidP="000F79CD">
            <w:pPr>
              <w:spacing w:before="40" w:after="40"/>
              <w:rPr>
                <w:i/>
                <w:iCs/>
                <w:sz w:val="18"/>
                <w:szCs w:val="18"/>
              </w:rPr>
            </w:pPr>
            <w:r w:rsidRPr="00B7254B">
              <w:rPr>
                <w:i/>
                <w:iCs/>
                <w:sz w:val="18"/>
                <w:szCs w:val="18"/>
              </w:rPr>
              <w:t>Nannoperca australis</w:t>
            </w:r>
          </w:p>
        </w:tc>
        <w:tc>
          <w:tcPr>
            <w:tcW w:w="1299" w:type="dxa"/>
            <w:shd w:val="clear" w:color="auto" w:fill="E6EED5"/>
          </w:tcPr>
          <w:p w14:paraId="63D24FC0" w14:textId="77777777" w:rsidR="00100E9E" w:rsidRPr="00B7254B" w:rsidRDefault="00100E9E" w:rsidP="000F79CD">
            <w:pPr>
              <w:spacing w:before="40" w:after="40"/>
              <w:jc w:val="center"/>
              <w:rPr>
                <w:sz w:val="18"/>
                <w:szCs w:val="18"/>
              </w:rPr>
            </w:pPr>
            <w:r w:rsidRPr="00B7254B">
              <w:rPr>
                <w:sz w:val="18"/>
                <w:szCs w:val="18"/>
              </w:rPr>
              <w:t>rare</w:t>
            </w:r>
          </w:p>
        </w:tc>
        <w:tc>
          <w:tcPr>
            <w:tcW w:w="1082" w:type="dxa"/>
            <w:shd w:val="clear" w:color="auto" w:fill="E6EED5"/>
          </w:tcPr>
          <w:p w14:paraId="164A5690" w14:textId="77777777" w:rsidR="00100E9E" w:rsidRPr="00B7254B" w:rsidRDefault="00100E9E" w:rsidP="000F79CD">
            <w:pPr>
              <w:spacing w:before="40" w:after="40"/>
              <w:jc w:val="center"/>
              <w:rPr>
                <w:sz w:val="18"/>
                <w:szCs w:val="18"/>
              </w:rPr>
            </w:pPr>
          </w:p>
        </w:tc>
        <w:tc>
          <w:tcPr>
            <w:tcW w:w="1083" w:type="dxa"/>
            <w:shd w:val="clear" w:color="auto" w:fill="E6EED5"/>
          </w:tcPr>
          <w:p w14:paraId="3CE795AC" w14:textId="77777777" w:rsidR="00100E9E" w:rsidRPr="00B7254B" w:rsidRDefault="00100E9E" w:rsidP="000F79CD">
            <w:pPr>
              <w:spacing w:before="40" w:after="40"/>
              <w:jc w:val="center"/>
              <w:rPr>
                <w:sz w:val="18"/>
                <w:szCs w:val="18"/>
              </w:rPr>
            </w:pPr>
          </w:p>
        </w:tc>
      </w:tr>
    </w:tbl>
    <w:p w14:paraId="2805EBF6" w14:textId="77777777" w:rsidR="007E117A" w:rsidRPr="007E117A" w:rsidRDefault="007E117A" w:rsidP="007E117A">
      <w:pPr>
        <w:pStyle w:val="Heading1"/>
      </w:pPr>
      <w:bookmarkStart w:id="382" w:name="_Toc440827291"/>
      <w:bookmarkStart w:id="383" w:name="_Ref460236088"/>
      <w:bookmarkStart w:id="384" w:name="_Toc467776102"/>
      <w:bookmarkStart w:id="385" w:name="_Ref530990614"/>
      <w:bookmarkStart w:id="386" w:name="_Ref530990621"/>
      <w:bookmarkStart w:id="387" w:name="_Ref530990631"/>
      <w:bookmarkStart w:id="388" w:name="_Ref18503171"/>
      <w:bookmarkStart w:id="389" w:name="_Ref18503176"/>
      <w:bookmarkStart w:id="390" w:name="_Toc31985495"/>
      <w:bookmarkEnd w:id="307"/>
      <w:r w:rsidRPr="007E117A">
        <w:t>Spawning and larval fish</w:t>
      </w:r>
      <w:bookmarkEnd w:id="382"/>
      <w:bookmarkEnd w:id="383"/>
      <w:bookmarkEnd w:id="384"/>
      <w:bookmarkEnd w:id="385"/>
      <w:bookmarkEnd w:id="386"/>
      <w:bookmarkEnd w:id="387"/>
      <w:bookmarkEnd w:id="388"/>
      <w:bookmarkEnd w:id="389"/>
      <w:bookmarkEnd w:id="390"/>
    </w:p>
    <w:p w14:paraId="44688A5A" w14:textId="77777777" w:rsidR="00616E66" w:rsidRPr="003F5729" w:rsidRDefault="00616E66" w:rsidP="00616E66">
      <w:pPr>
        <w:pStyle w:val="Heading2"/>
      </w:pPr>
      <w:bookmarkStart w:id="391" w:name="_Toc31985496"/>
      <w:r w:rsidRPr="003F5729">
        <w:t>Introduction</w:t>
      </w:r>
      <w:bookmarkEnd w:id="391"/>
    </w:p>
    <w:p w14:paraId="7DBC970B" w14:textId="1A3B60AF" w:rsidR="002D2187" w:rsidRDefault="002D2187" w:rsidP="002D2187">
      <w:pPr>
        <w:rPr>
          <w:lang w:eastAsia="x-none"/>
        </w:rPr>
      </w:pPr>
      <w:r w:rsidRPr="002E6686">
        <w:rPr>
          <w:lang w:eastAsia="x-none"/>
        </w:rPr>
        <w:t xml:space="preserve">Environmental flow regimes commonly aim to maintain and enhance native fish community populations </w:t>
      </w:r>
      <w:r w:rsidRPr="002E6686">
        <w:rPr>
          <w:lang w:eastAsia="x-none"/>
        </w:rPr>
        <w:fldChar w:fldCharType="begin"/>
      </w:r>
      <w:r w:rsidR="00CE55E9">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sidR="00CE55E9">
        <w:rPr>
          <w:noProof/>
          <w:lang w:eastAsia="x-none"/>
        </w:rPr>
        <w:t>(King et al. 2010)</w:t>
      </w:r>
      <w:r w:rsidRPr="002E6686">
        <w:rPr>
          <w:lang w:eastAsia="x-none"/>
        </w:rPr>
        <w:fldChar w:fldCharType="end"/>
      </w:r>
      <w:r w:rsidRPr="002E6686">
        <w:rPr>
          <w:lang w:eastAsia="x-none"/>
        </w:rPr>
        <w:t>. The premise being that aspects of the flow regime are linked to key components of the life history of fish, including pre-spawning condition and maturation, movement cues, spawning cues and behaviour, a</w:t>
      </w:r>
      <w:r>
        <w:rPr>
          <w:lang w:eastAsia="x-none"/>
        </w:rPr>
        <w:t xml:space="preserve">nd larval and juvenile survival </w:t>
      </w:r>
      <w:r>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CE55E9">
        <w:rPr>
          <w:lang w:eastAsia="x-none"/>
        </w:rPr>
        <w:instrText xml:space="preserve"> ADDIN EN.CITE </w:instrText>
      </w:r>
      <w:r w:rsidR="00CE55E9">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CE55E9">
        <w:rPr>
          <w:lang w:eastAsia="x-none"/>
        </w:rPr>
        <w:instrText xml:space="preserve"> ADDIN EN.CITE.DATA </w:instrText>
      </w:r>
      <w:r w:rsidR="00CE55E9">
        <w:rPr>
          <w:lang w:eastAsia="x-none"/>
        </w:rPr>
      </w:r>
      <w:r w:rsidR="00CE55E9">
        <w:rPr>
          <w:lang w:eastAsia="x-none"/>
        </w:rPr>
        <w:fldChar w:fldCharType="end"/>
      </w:r>
      <w:r>
        <w:rPr>
          <w:lang w:eastAsia="x-none"/>
        </w:rPr>
      </w:r>
      <w:r>
        <w:rPr>
          <w:lang w:eastAsia="x-none"/>
        </w:rPr>
        <w:fldChar w:fldCharType="separate"/>
      </w:r>
      <w:r w:rsidR="00CE55E9">
        <w:rPr>
          <w:noProof/>
          <w:lang w:eastAsia="x-none"/>
        </w:rPr>
        <w:t>(Junk et al. 1989, Humphries et al. 1999, King et al. 2003, Balcombe et al. 2006)</w:t>
      </w:r>
      <w:r>
        <w:rPr>
          <w:lang w:eastAsia="x-none"/>
        </w:rPr>
        <w:fldChar w:fldCharType="end"/>
      </w:r>
      <w:r>
        <w:rPr>
          <w:lang w:eastAsia="x-none"/>
        </w:rPr>
        <w:t xml:space="preserve">. </w:t>
      </w:r>
      <w:r w:rsidRPr="002E6686">
        <w:rPr>
          <w:lang w:eastAsia="x-none"/>
        </w:rPr>
        <w:t>Since the strength of recruitment</w:t>
      </w:r>
      <w:r>
        <w:rPr>
          <w:lang w:eastAsia="x-none"/>
        </w:rPr>
        <w:t xml:space="preserve"> to adulthood</w:t>
      </w:r>
      <w:r w:rsidRPr="002E6686">
        <w:rPr>
          <w:lang w:eastAsia="x-none"/>
        </w:rPr>
        <w:t xml:space="preserve"> is largely driven by spawning success, growth and survival of young, understanding how the flow regime influences the early life history of fishes is critical to managing fish populations </w:t>
      </w:r>
      <w:r w:rsidRPr="002E6686">
        <w:rPr>
          <w:lang w:eastAsia="x-none"/>
        </w:rPr>
        <w:fldChar w:fldCharType="begin"/>
      </w:r>
      <w:r w:rsidR="00CE55E9">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sidR="00CE55E9">
        <w:rPr>
          <w:noProof/>
          <w:lang w:eastAsia="x-none"/>
        </w:rPr>
        <w:t>(King et al. 2010)</w:t>
      </w:r>
      <w:r w:rsidRPr="002E6686">
        <w:rPr>
          <w:lang w:eastAsia="x-none"/>
        </w:rPr>
        <w:fldChar w:fldCharType="end"/>
      </w:r>
      <w:r w:rsidRPr="002E6686">
        <w:rPr>
          <w:lang w:eastAsia="x-none"/>
        </w:rPr>
        <w:t xml:space="preserve">. </w:t>
      </w:r>
      <w:r>
        <w:rPr>
          <w:lang w:eastAsia="x-none"/>
        </w:rPr>
        <w:t xml:space="preserve"> </w:t>
      </w:r>
    </w:p>
    <w:p w14:paraId="4180FD26" w14:textId="77777777" w:rsidR="00146882" w:rsidRDefault="00146882" w:rsidP="00146882">
      <w:pPr>
        <w:rPr>
          <w:lang w:val="en-GB" w:eastAsia="x-none"/>
        </w:rPr>
      </w:pPr>
      <w:r>
        <w:rPr>
          <w:lang w:val="en-GB" w:eastAsia="x-none"/>
        </w:rPr>
        <w:t xml:space="preserve">There were two Commonwealth environmental watering actions in 2018 – 2019 that targeted outcomes for native fish reproduction in the main channel of the mid (Forbes) and lower (Hillston) Lachlan River.  In the lower Lachlan River system, these were: </w:t>
      </w:r>
    </w:p>
    <w:p w14:paraId="1A8E7268" w14:textId="1F3E9F89" w:rsidR="00146882" w:rsidRPr="00146882" w:rsidRDefault="00146882" w:rsidP="00D437E3">
      <w:pPr>
        <w:pStyle w:val="ListParagraph"/>
        <w:numPr>
          <w:ilvl w:val="0"/>
          <w:numId w:val="41"/>
        </w:numPr>
        <w:rPr>
          <w:lang w:val="en-GB" w:eastAsia="x-none"/>
        </w:rPr>
      </w:pPr>
      <w:r>
        <w:t>A spring pulse (mid-late September 2018) in the mid Lachlan</w:t>
      </w:r>
      <w:r w:rsidRPr="003D31F1">
        <w:t xml:space="preserve"> </w:t>
      </w:r>
      <w:r>
        <w:t>to support native fish outcomes (Watering Action 1). This watering action was re-regulated through Brewster weir pool and provided two spring pulses in the lower Lachlan.</w:t>
      </w:r>
    </w:p>
    <w:p w14:paraId="05A34194" w14:textId="2EDE2E7D" w:rsidR="00146882" w:rsidRPr="00146882" w:rsidRDefault="00146882" w:rsidP="00D437E3">
      <w:pPr>
        <w:pStyle w:val="ListParagraph"/>
        <w:numPr>
          <w:ilvl w:val="0"/>
          <w:numId w:val="41"/>
        </w:numPr>
        <w:rPr>
          <w:lang w:val="en-GB" w:eastAsia="x-none"/>
        </w:rPr>
      </w:pPr>
      <w:r w:rsidRPr="00146882">
        <w:rPr>
          <w:lang w:val="en-GB" w:eastAsia="x-none"/>
        </w:rPr>
        <w:t>The protection of a Hydrological ‘floor’ from mid-October until end of November to prevent water level drops that may lead to Murray cod nest abandonment</w:t>
      </w:r>
      <w:r>
        <w:rPr>
          <w:lang w:val="en-GB" w:eastAsia="x-none"/>
        </w:rPr>
        <w:t xml:space="preserve"> in the mid Lachlan</w:t>
      </w:r>
      <w:r w:rsidR="00A860D2">
        <w:rPr>
          <w:lang w:val="en-GB" w:eastAsia="x-none"/>
        </w:rPr>
        <w:t xml:space="preserve"> (Watering Action 2)</w:t>
      </w:r>
      <w:r>
        <w:rPr>
          <w:lang w:val="en-GB" w:eastAsia="x-none"/>
        </w:rPr>
        <w:t>.  This watering action was passed through the system to provide a third late spring pulse in the lower Lachlan.</w:t>
      </w:r>
    </w:p>
    <w:p w14:paraId="63176E34" w14:textId="77777777" w:rsidR="00146882" w:rsidRDefault="00146882" w:rsidP="00146882">
      <w:pPr>
        <w:rPr>
          <w:lang w:val="en-GB" w:eastAsia="x-none"/>
        </w:rPr>
      </w:pPr>
      <w:r>
        <w:rPr>
          <w:lang w:val="en-GB" w:eastAsia="x-none"/>
        </w:rPr>
        <w:t>These watering actions had the following expected outcomes relating to reproduction of native fish:</w:t>
      </w:r>
    </w:p>
    <w:p w14:paraId="14EBBDE0" w14:textId="77777777" w:rsidR="00146882" w:rsidRPr="00576BA9" w:rsidRDefault="00146882" w:rsidP="00D437E3">
      <w:pPr>
        <w:pStyle w:val="ListParagraph"/>
        <w:numPr>
          <w:ilvl w:val="0"/>
          <w:numId w:val="24"/>
        </w:numPr>
      </w:pPr>
      <w:r>
        <w:t>To support n</w:t>
      </w:r>
      <w:r w:rsidRPr="00576BA9">
        <w:t xml:space="preserve">ative fish condition, </w:t>
      </w:r>
      <w:r>
        <w:t xml:space="preserve">movement, </w:t>
      </w:r>
      <w:r w:rsidRPr="00576BA9">
        <w:t>reproduction, larval abundance and recruitment opportunities</w:t>
      </w:r>
    </w:p>
    <w:p w14:paraId="325DE672" w14:textId="20F8CCC9" w:rsidR="002D2187" w:rsidRPr="00D148DE" w:rsidRDefault="002D2187" w:rsidP="002D2187">
      <w:pPr>
        <w:rPr>
          <w:lang w:eastAsia="x-none"/>
        </w:rPr>
      </w:pPr>
      <w:bookmarkStart w:id="392" w:name="_Hlk23973573"/>
      <w:r w:rsidRPr="00D148DE">
        <w:rPr>
          <w:lang w:eastAsia="x-none"/>
        </w:rPr>
        <w:t xml:space="preserve">The larval fish monitoring implemented within the Lower Lachlan </w:t>
      </w:r>
      <w:r>
        <w:rPr>
          <w:lang w:eastAsia="x-none"/>
        </w:rPr>
        <w:t>River</w:t>
      </w:r>
      <w:r w:rsidRPr="00D148DE">
        <w:rPr>
          <w:lang w:eastAsia="x-none"/>
        </w:rPr>
        <w:t xml:space="preserve"> system is directed at Basin scale evaluation </w:t>
      </w:r>
      <w:r>
        <w:rPr>
          <w:lang w:eastAsia="x-none"/>
        </w:rPr>
        <w:t>and was</w:t>
      </w:r>
      <w:r w:rsidRPr="00D148DE">
        <w:rPr>
          <w:lang w:eastAsia="x-none"/>
        </w:rPr>
        <w:t xml:space="preserve"> confined to a single zone within the Lower Lachlan </w:t>
      </w:r>
      <w:r>
        <w:rPr>
          <w:lang w:eastAsia="x-none"/>
        </w:rPr>
        <w:t>River</w:t>
      </w:r>
      <w:r w:rsidRPr="00D148DE">
        <w:rPr>
          <w:lang w:eastAsia="x-none"/>
        </w:rPr>
        <w:t xml:space="preserve"> system Selected Area</w:t>
      </w:r>
      <w:r>
        <w:rPr>
          <w:lang w:eastAsia="x-none"/>
        </w:rPr>
        <w:t xml:space="preserve"> from 2014 – 2017</w:t>
      </w:r>
      <w:r w:rsidRPr="00D148DE">
        <w:rPr>
          <w:lang w:eastAsia="x-none"/>
        </w:rPr>
        <w:t>.</w:t>
      </w:r>
      <w:r>
        <w:rPr>
          <w:lang w:eastAsia="x-none"/>
        </w:rPr>
        <w:t xml:space="preserve"> Specific Commonwealth environmental watering actions aimed at native fish recruitment have been targeted in the mid-Lachlan River. Specifically, a hydrological floor was designed to prevent sudden decreases in water level during Murray cod spawning season (Watering Action 2) to prevent nest abandonment and eggs desiccation. To monitor this, in 2018 a second zone (mid-Lachlan between Forbes and Lake Brewster) was monitored for larval fish mainly to address area specific questions.</w:t>
      </w:r>
      <w:r w:rsidRPr="00D148DE">
        <w:rPr>
          <w:lang w:eastAsia="x-none"/>
        </w:rPr>
        <w:t xml:space="preserve"> There are likely to be strong differences in the fish community and habitats between zones within the Selected Area resulting in the evaluation of outcomes for the Selected Area being confined to the target reach</w:t>
      </w:r>
      <w:r>
        <w:rPr>
          <w:lang w:eastAsia="x-none"/>
        </w:rPr>
        <w:t>es</w:t>
      </w:r>
      <w:r w:rsidRPr="00D148DE">
        <w:rPr>
          <w:lang w:eastAsia="x-none"/>
        </w:rPr>
        <w:t xml:space="preserve"> (i.e. Zone 1</w:t>
      </w:r>
      <w:r>
        <w:rPr>
          <w:lang w:eastAsia="x-none"/>
        </w:rPr>
        <w:t xml:space="preserve"> and mid-Lachlan</w:t>
      </w:r>
      <w:r w:rsidRPr="00D148DE">
        <w:rPr>
          <w:lang w:eastAsia="x-none"/>
        </w:rPr>
        <w:t xml:space="preserve">) </w:t>
      </w:r>
      <w:r>
        <w:rPr>
          <w:lang w:eastAsia="x-none"/>
        </w:rPr>
        <w:fldChar w:fldCharType="begin"/>
      </w:r>
      <w:r w:rsidR="00CE55E9">
        <w:rPr>
          <w:lang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eastAsia="x-none"/>
        </w:rPr>
        <w:fldChar w:fldCharType="separate"/>
      </w:r>
      <w:r w:rsidR="00CE55E9">
        <w:rPr>
          <w:noProof/>
          <w:lang w:eastAsia="x-none"/>
        </w:rPr>
        <w:t>(Dyer et al. 2014)</w:t>
      </w:r>
      <w:r>
        <w:rPr>
          <w:lang w:eastAsia="x-none"/>
        </w:rPr>
        <w:fldChar w:fldCharType="end"/>
      </w:r>
      <w:r>
        <w:rPr>
          <w:lang w:eastAsia="x-none"/>
        </w:rPr>
        <w:t xml:space="preserve">. There are two components to the evaluation provided in this report. The first evaluates the 2018-19 watering actions in relation to the specific objectives for fish in each reach, the second aims to address the short-term and long-term evaluation questions for the lower reach only. </w:t>
      </w:r>
    </w:p>
    <w:bookmarkEnd w:id="392"/>
    <w:p w14:paraId="575E7084" w14:textId="77777777" w:rsidR="002D2187" w:rsidRPr="002E6686" w:rsidRDefault="002D2187" w:rsidP="002D2187">
      <w:pPr>
        <w:rPr>
          <w:lang w:eastAsia="x-none"/>
        </w:rPr>
      </w:pPr>
    </w:p>
    <w:p w14:paraId="5D0F4E45" w14:textId="63C8919F" w:rsidR="002D2187" w:rsidRPr="002E6686" w:rsidRDefault="002D2187" w:rsidP="002D2187">
      <w:pPr>
        <w:rPr>
          <w:lang w:val="en-GB"/>
        </w:rPr>
      </w:pPr>
      <w:r w:rsidRPr="002E6686">
        <w:rPr>
          <w:lang w:val="en-GB"/>
        </w:rPr>
        <w:t>To assess the contribution of Commonwealth environmental water to native fish spawning and recruitment</w:t>
      </w:r>
      <w:r w:rsidR="00A860D2">
        <w:rPr>
          <w:lang w:val="en-GB"/>
        </w:rPr>
        <w:t xml:space="preserve"> in the lower Lachlan River system</w:t>
      </w:r>
      <w:r w:rsidRPr="002E6686">
        <w:rPr>
          <w:lang w:val="en-GB"/>
        </w:rPr>
        <w:t>, the relevant short term and long</w:t>
      </w:r>
      <w:r>
        <w:rPr>
          <w:lang w:val="en-GB"/>
        </w:rPr>
        <w:t>-</w:t>
      </w:r>
      <w:r w:rsidRPr="002E6686">
        <w:rPr>
          <w:lang w:val="en-GB"/>
        </w:rPr>
        <w:t>term questions to be evaluated are:</w:t>
      </w:r>
    </w:p>
    <w:p w14:paraId="2F3A907F" w14:textId="77777777" w:rsidR="002D2187" w:rsidRDefault="002D2187" w:rsidP="002D2187">
      <w:pPr>
        <w:pStyle w:val="Heading3"/>
        <w:rPr>
          <w:lang w:val="en-AU"/>
        </w:rPr>
      </w:pPr>
      <w:bookmarkStart w:id="393" w:name="_Toc467776104"/>
      <w:bookmarkStart w:id="394" w:name="_Toc31985497"/>
      <w:r w:rsidRPr="002E6686">
        <w:t>Short-term (one year) evaluation questions:</w:t>
      </w:r>
      <w:bookmarkEnd w:id="393"/>
      <w:bookmarkEnd w:id="394"/>
    </w:p>
    <w:p w14:paraId="74C63365" w14:textId="77777777" w:rsidR="002D2187" w:rsidRPr="002E6686" w:rsidRDefault="002D2187" w:rsidP="00D437E3">
      <w:pPr>
        <w:numPr>
          <w:ilvl w:val="0"/>
          <w:numId w:val="21"/>
        </w:numPr>
      </w:pPr>
      <w:r w:rsidRPr="002E6686">
        <w:t xml:space="preserve">What did Commonwealth environmental water contribute to native fish reproduction in the Lower Lachlan </w:t>
      </w:r>
      <w:r>
        <w:t>River</w:t>
      </w:r>
      <w:r w:rsidRPr="002E6686">
        <w:t xml:space="preserve"> system?</w:t>
      </w:r>
    </w:p>
    <w:p w14:paraId="72AEB308" w14:textId="77777777" w:rsidR="002D2187" w:rsidRPr="002E6686" w:rsidRDefault="002D2187" w:rsidP="00D437E3">
      <w:pPr>
        <w:numPr>
          <w:ilvl w:val="0"/>
          <w:numId w:val="21"/>
        </w:numPr>
      </w:pPr>
      <w:r w:rsidRPr="002E6686">
        <w:t xml:space="preserve">What did Commonwealth environmental water contribute to native larval fish growth in the Lower Lachlan </w:t>
      </w:r>
      <w:r>
        <w:t>River</w:t>
      </w:r>
      <w:r w:rsidRPr="002E6686">
        <w:t xml:space="preserve"> system?</w:t>
      </w:r>
    </w:p>
    <w:p w14:paraId="33173829" w14:textId="77777777" w:rsidR="002D2187" w:rsidRPr="002E6686" w:rsidRDefault="002D2187" w:rsidP="002D2187">
      <w:pPr>
        <w:pStyle w:val="Heading3"/>
      </w:pPr>
      <w:bookmarkStart w:id="395" w:name="_Toc467776105"/>
      <w:bookmarkStart w:id="396" w:name="_Toc31985498"/>
      <w:r w:rsidRPr="002E6686">
        <w:t>Long-term (five year) evaluation questions:</w:t>
      </w:r>
      <w:bookmarkEnd w:id="395"/>
      <w:bookmarkEnd w:id="396"/>
    </w:p>
    <w:p w14:paraId="1CD25949" w14:textId="77777777" w:rsidR="002D2187" w:rsidRPr="002E6686" w:rsidRDefault="002D2187" w:rsidP="00D437E3">
      <w:pPr>
        <w:numPr>
          <w:ilvl w:val="0"/>
          <w:numId w:val="21"/>
        </w:numPr>
      </w:pPr>
      <w:r w:rsidRPr="002E6686">
        <w:t xml:space="preserve">What did Commonwealth environmental water contribute to native fish populations in the Lower Lachlan </w:t>
      </w:r>
      <w:r>
        <w:t>River</w:t>
      </w:r>
      <w:r w:rsidRPr="002E6686">
        <w:t xml:space="preserve"> system?</w:t>
      </w:r>
    </w:p>
    <w:p w14:paraId="4CB7F792" w14:textId="77777777" w:rsidR="002D2187" w:rsidRPr="002E6686" w:rsidRDefault="002D2187" w:rsidP="00D437E3">
      <w:pPr>
        <w:numPr>
          <w:ilvl w:val="0"/>
          <w:numId w:val="21"/>
        </w:numPr>
      </w:pPr>
      <w:r w:rsidRPr="002E6686">
        <w:t xml:space="preserve">What did Commonwealth environmental water contribute to native fish species diversity in the Lower Lachlan </w:t>
      </w:r>
      <w:r>
        <w:t>River</w:t>
      </w:r>
      <w:r w:rsidRPr="002E6686">
        <w:t xml:space="preserve"> system?</w:t>
      </w:r>
    </w:p>
    <w:p w14:paraId="2497C639" w14:textId="77777777" w:rsidR="00616E66" w:rsidRPr="002E6686" w:rsidRDefault="00616E66" w:rsidP="00616E66">
      <w:pPr>
        <w:rPr>
          <w:lang w:val="en-GB"/>
        </w:rPr>
      </w:pPr>
    </w:p>
    <w:p w14:paraId="6D9C4129" w14:textId="77777777" w:rsidR="00616E66" w:rsidRPr="002E6686" w:rsidRDefault="00616E66" w:rsidP="00616E66">
      <w:pPr>
        <w:pStyle w:val="Heading2"/>
      </w:pPr>
      <w:bookmarkStart w:id="397" w:name="_Toc440827293"/>
      <w:bookmarkStart w:id="398" w:name="_Toc467776106"/>
      <w:bookmarkStart w:id="399" w:name="_Toc31985499"/>
      <w:r w:rsidRPr="002E6686">
        <w:t>Methods</w:t>
      </w:r>
      <w:bookmarkEnd w:id="397"/>
      <w:bookmarkEnd w:id="398"/>
      <w:bookmarkEnd w:id="399"/>
    </w:p>
    <w:p w14:paraId="1E7CB48A" w14:textId="77777777" w:rsidR="00616E66" w:rsidRPr="002B4F7B" w:rsidRDefault="00616E66" w:rsidP="00CB1658">
      <w:pPr>
        <w:pStyle w:val="Heading3"/>
      </w:pPr>
      <w:bookmarkStart w:id="400" w:name="_Toc31985500"/>
      <w:r w:rsidRPr="002B4F7B">
        <w:t>Field sampling</w:t>
      </w:r>
      <w:bookmarkEnd w:id="400"/>
    </w:p>
    <w:p w14:paraId="3126C250" w14:textId="776F9D60" w:rsidR="00616E66" w:rsidRPr="002E6686" w:rsidRDefault="00616E66" w:rsidP="00616E66">
      <w:pPr>
        <w:rPr>
          <w:lang w:val="en-GB"/>
        </w:rPr>
      </w:pPr>
      <w:r w:rsidRPr="002E6686">
        <w:rPr>
          <w:lang w:val="en-GB" w:eastAsia="x-none"/>
        </w:rPr>
        <w:t xml:space="preserve">Larval fish were sampled at </w:t>
      </w:r>
      <w:r>
        <w:rPr>
          <w:lang w:val="en-GB" w:eastAsia="x-none"/>
        </w:rPr>
        <w:t>six</w:t>
      </w:r>
      <w:r w:rsidRPr="002E6686">
        <w:rPr>
          <w:lang w:val="en-GB" w:eastAsia="x-none"/>
        </w:rPr>
        <w:t xml:space="preserve"> sites</w:t>
      </w:r>
      <w:r>
        <w:rPr>
          <w:lang w:val="en-GB" w:eastAsia="x-none"/>
        </w:rPr>
        <w:t xml:space="preserve"> </w:t>
      </w:r>
      <w:r>
        <w:rPr>
          <w:lang w:val="en-GB" w:eastAsia="x-none"/>
        </w:rPr>
        <w:fldChar w:fldCharType="begin"/>
      </w:r>
      <w:r w:rsidR="00D16F44">
        <w:rPr>
          <w:lang w:val="en-GB"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val="en-GB" w:eastAsia="x-none"/>
        </w:rPr>
        <w:fldChar w:fldCharType="separate"/>
      </w:r>
      <w:r w:rsidR="00D16F44">
        <w:rPr>
          <w:noProof/>
          <w:lang w:val="en-GB" w:eastAsia="x-none"/>
        </w:rPr>
        <w:t>(Dyer et al. 2014)</w:t>
      </w:r>
      <w:r>
        <w:rPr>
          <w:lang w:val="en-GB" w:eastAsia="x-none"/>
        </w:rPr>
        <w:fldChar w:fldCharType="end"/>
      </w:r>
      <w:r w:rsidRPr="002E6686">
        <w:rPr>
          <w:lang w:val="en-GB" w:eastAsia="x-none"/>
        </w:rPr>
        <w:t xml:space="preserve"> on the Lower</w:t>
      </w:r>
      <w:r>
        <w:rPr>
          <w:lang w:val="en-GB" w:eastAsia="x-none"/>
        </w:rPr>
        <w:t xml:space="preserve"> and mid</w:t>
      </w:r>
      <w:r w:rsidRPr="002E6686">
        <w:rPr>
          <w:lang w:val="en-GB" w:eastAsia="x-none"/>
        </w:rPr>
        <w:t xml:space="preserve"> Lachlan </w:t>
      </w:r>
      <w:r>
        <w:rPr>
          <w:lang w:val="en-GB" w:eastAsia="x-none"/>
        </w:rPr>
        <w:t>River</w:t>
      </w:r>
      <w:r w:rsidRPr="002E6686">
        <w:rPr>
          <w:lang w:val="en-GB" w:eastAsia="x-none"/>
        </w:rPr>
        <w:t xml:space="preserve"> system (Wallanthery, Hunthawang and </w:t>
      </w:r>
      <w:r>
        <w:rPr>
          <w:lang w:val="en-GB" w:eastAsia="x-none"/>
        </w:rPr>
        <w:t>Lanes</w:t>
      </w:r>
      <w:r w:rsidRPr="002E6686">
        <w:rPr>
          <w:lang w:val="en-GB" w:eastAsia="x-none"/>
        </w:rPr>
        <w:t xml:space="preserve"> Bridge</w:t>
      </w:r>
      <w:r>
        <w:rPr>
          <w:lang w:val="en-GB" w:eastAsia="x-none"/>
        </w:rPr>
        <w:t xml:space="preserve"> in the lower-Lachlan and Kirkup Park, Techam and Euabalong </w:t>
      </w:r>
      <w:r w:rsidRPr="00EA3B2B">
        <w:rPr>
          <w:lang w:val="en-GB" w:eastAsia="x-none"/>
        </w:rPr>
        <w:t>in the mid-Lachlan</w:t>
      </w:r>
      <w:r w:rsidR="00CB1658" w:rsidRPr="00EA3B2B">
        <w:rPr>
          <w:lang w:val="en-GB" w:eastAsia="x-none"/>
        </w:rPr>
        <w:t xml:space="preserve">, </w:t>
      </w:r>
      <w:r w:rsidR="00EA3B2B" w:rsidRPr="00EA3B2B">
        <w:t xml:space="preserve">see </w:t>
      </w:r>
      <w:r w:rsidR="00EA3B2B" w:rsidRPr="00EA3B2B">
        <w:fldChar w:fldCharType="begin"/>
      </w:r>
      <w:r w:rsidR="00EA3B2B" w:rsidRPr="00EA3B2B">
        <w:instrText xml:space="preserve"> REF _Ref460238461 \h </w:instrText>
      </w:r>
      <w:r w:rsidR="00EA3B2B">
        <w:instrText xml:space="preserve"> \* MERGEFORMAT </w:instrText>
      </w:r>
      <w:r w:rsidR="00EA3B2B" w:rsidRPr="00EA3B2B">
        <w:fldChar w:fldCharType="separate"/>
      </w:r>
      <w:r w:rsidR="007F7607" w:rsidRPr="007F7607">
        <w:rPr>
          <w:color w:val="000000" w:themeColor="text1"/>
        </w:rPr>
        <w:t xml:space="preserve">Figure </w:t>
      </w:r>
      <w:r w:rsidR="007F7607" w:rsidRPr="007F7607">
        <w:rPr>
          <w:noProof/>
          <w:color w:val="000000" w:themeColor="text1"/>
        </w:rPr>
        <w:t>18</w:t>
      </w:r>
      <w:r w:rsidR="00EA3B2B" w:rsidRPr="00EA3B2B">
        <w:fldChar w:fldCharType="end"/>
      </w:r>
      <w:r w:rsidR="00EA3B2B" w:rsidRPr="00EA3B2B">
        <w:t xml:space="preserve"> and </w:t>
      </w:r>
      <w:r w:rsidR="00EA3B2B" w:rsidRPr="00EA3B2B">
        <w:fldChar w:fldCharType="begin"/>
      </w:r>
      <w:r w:rsidR="00EA3B2B" w:rsidRPr="00EA3B2B">
        <w:instrText xml:space="preserve"> REF _Ref17283970 \h </w:instrText>
      </w:r>
      <w:r w:rsidR="00EA3B2B">
        <w:instrText xml:space="preserve"> \* MERGEFORMAT </w:instrText>
      </w:r>
      <w:r w:rsidR="00EA3B2B" w:rsidRPr="00EA3B2B">
        <w:fldChar w:fldCharType="separate"/>
      </w:r>
      <w:r w:rsidR="007F7607" w:rsidRPr="001C4537">
        <w:rPr>
          <w:color w:val="000000" w:themeColor="text1"/>
        </w:rPr>
        <w:t xml:space="preserve">Figure </w:t>
      </w:r>
      <w:r w:rsidR="007F7607">
        <w:rPr>
          <w:noProof/>
          <w:color w:val="000000" w:themeColor="text1"/>
        </w:rPr>
        <w:t>19</w:t>
      </w:r>
      <w:r w:rsidR="00EA3B2B" w:rsidRPr="00EA3B2B">
        <w:fldChar w:fldCharType="end"/>
      </w:r>
      <w:r w:rsidR="00EA3B2B" w:rsidRPr="00EA3B2B">
        <w:t xml:space="preserve">, </w:t>
      </w:r>
      <w:r w:rsidR="00507E37">
        <w:t>p.</w:t>
      </w:r>
      <w:r w:rsidR="00EA3B2B" w:rsidRPr="00EA3B2B">
        <w:t xml:space="preserve"> </w:t>
      </w:r>
      <w:r w:rsidR="00EA3B2B" w:rsidRPr="00EA3B2B">
        <w:fldChar w:fldCharType="begin"/>
      </w:r>
      <w:r w:rsidR="00EA3B2B" w:rsidRPr="00EA3B2B">
        <w:instrText xml:space="preserve"> PAGEREF _Ref18500746 \h </w:instrText>
      </w:r>
      <w:r w:rsidR="00EA3B2B" w:rsidRPr="00EA3B2B">
        <w:fldChar w:fldCharType="separate"/>
      </w:r>
      <w:r w:rsidR="007F7607">
        <w:rPr>
          <w:noProof/>
        </w:rPr>
        <w:t>51</w:t>
      </w:r>
      <w:r w:rsidR="00EA3B2B" w:rsidRPr="00EA3B2B">
        <w:fldChar w:fldCharType="end"/>
      </w:r>
      <w:r w:rsidRPr="00EA3B2B">
        <w:rPr>
          <w:lang w:val="en-GB" w:eastAsia="x-none"/>
        </w:rPr>
        <w:t>). This</w:t>
      </w:r>
      <w:r>
        <w:rPr>
          <w:lang w:val="en-GB" w:eastAsia="x-none"/>
        </w:rPr>
        <w:t xml:space="preserve"> is the fifth year of monitoring in the lower Lachlan River and the first year of monitoring in the mid-Lachlan River.</w:t>
      </w:r>
      <w:r w:rsidRPr="002E6686">
        <w:rPr>
          <w:lang w:val="en-GB" w:eastAsia="x-none"/>
        </w:rPr>
        <w:t xml:space="preserve"> </w:t>
      </w:r>
      <w:r w:rsidRPr="00BA4F1B">
        <w:rPr>
          <w:lang w:val="en-GB"/>
        </w:rPr>
        <w:t xml:space="preserve">To capture larval fish, three drift nets and 10 light traps were set overnight at each site </w:t>
      </w:r>
      <w:r w:rsidRPr="00BA4F1B">
        <w:rPr>
          <w:lang w:val="en-GB"/>
        </w:rPr>
        <w:fldChar w:fldCharType="begin"/>
      </w:r>
      <w:r w:rsidR="00D16F44">
        <w:rPr>
          <w:lang w:val="en-GB"/>
        </w:rPr>
        <w:instrText xml:space="preserve"> ADDIN EN.CITE &lt;EndNote&gt;&lt;Cite&gt;&lt;Author&gt;Dyer&lt;/Author&gt;&lt;Year&gt;2014&lt;/Year&gt;&lt;RecNum&gt;84&lt;/RecNum&gt;&lt;Prefix&gt;for more detail see &lt;/Prefix&gt;&lt;DisplayText&gt;(for more detail see Dyer et al. 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BA4F1B">
        <w:rPr>
          <w:lang w:val="en-GB"/>
        </w:rPr>
        <w:fldChar w:fldCharType="separate"/>
      </w:r>
      <w:r w:rsidR="00D16F44">
        <w:rPr>
          <w:noProof/>
          <w:lang w:val="en-GB"/>
        </w:rPr>
        <w:t>(for more detail see Dyer et al. 2014)</w:t>
      </w:r>
      <w:r w:rsidRPr="00BA4F1B">
        <w:rPr>
          <w:lang w:val="en-GB"/>
        </w:rPr>
        <w:fldChar w:fldCharType="end"/>
      </w:r>
      <w:r w:rsidRPr="00BA4F1B">
        <w:rPr>
          <w:lang w:val="en-GB"/>
        </w:rPr>
        <w:t xml:space="preserve">. </w:t>
      </w:r>
      <w:r>
        <w:rPr>
          <w:lang w:val="en-GB"/>
        </w:rPr>
        <w:t xml:space="preserve">Samples collected from drift nets were processed separately. Samples collected from light traps were pooled per site per trip. </w:t>
      </w:r>
      <w:r w:rsidRPr="002E6686">
        <w:rPr>
          <w:lang w:val="en-GB" w:eastAsia="x-none"/>
        </w:rPr>
        <w:t xml:space="preserve">Five sampling events were undertaken </w:t>
      </w:r>
      <w:r>
        <w:rPr>
          <w:lang w:val="en-GB" w:eastAsia="x-none"/>
        </w:rPr>
        <w:t xml:space="preserve">at fortnightly intervals </w:t>
      </w:r>
      <w:r w:rsidRPr="002E6686">
        <w:rPr>
          <w:lang w:val="en-GB" w:eastAsia="x-none"/>
        </w:rPr>
        <w:t xml:space="preserve">between </w:t>
      </w:r>
      <w:r>
        <w:rPr>
          <w:lang w:val="en-GB" w:eastAsia="x-none"/>
        </w:rPr>
        <w:t>15</w:t>
      </w:r>
      <w:r w:rsidRPr="004A641C">
        <w:rPr>
          <w:vertAlign w:val="superscript"/>
          <w:lang w:val="en-GB" w:eastAsia="x-none"/>
        </w:rPr>
        <w:t>th</w:t>
      </w:r>
      <w:r>
        <w:rPr>
          <w:lang w:val="en-GB" w:eastAsia="x-none"/>
        </w:rPr>
        <w:t xml:space="preserve"> October</w:t>
      </w:r>
      <w:r w:rsidRPr="002E6686">
        <w:rPr>
          <w:lang w:val="en-GB" w:eastAsia="x-none"/>
        </w:rPr>
        <w:t xml:space="preserve"> and </w:t>
      </w:r>
      <w:r>
        <w:rPr>
          <w:lang w:val="en-GB" w:eastAsia="x-none"/>
        </w:rPr>
        <w:t>14</w:t>
      </w:r>
      <w:r w:rsidRPr="004A641C">
        <w:rPr>
          <w:vertAlign w:val="superscript"/>
          <w:lang w:val="en-GB" w:eastAsia="x-none"/>
        </w:rPr>
        <w:t>th</w:t>
      </w:r>
      <w:r>
        <w:rPr>
          <w:lang w:val="en-GB" w:eastAsia="x-none"/>
        </w:rPr>
        <w:t xml:space="preserve"> December 2018</w:t>
      </w:r>
      <w:r w:rsidRPr="002E6686">
        <w:rPr>
          <w:lang w:val="en-GB" w:eastAsia="x-none"/>
        </w:rPr>
        <w:t>:</w:t>
      </w:r>
    </w:p>
    <w:p w14:paraId="36F94909" w14:textId="77777777" w:rsidR="00616E66" w:rsidRPr="002E6686" w:rsidRDefault="00616E66" w:rsidP="00616E66">
      <w:pPr>
        <w:rPr>
          <w:lang w:val="en-GB" w:eastAsia="x-none"/>
        </w:rPr>
      </w:pPr>
      <w:r w:rsidRPr="002E6686">
        <w:rPr>
          <w:lang w:val="en-GB" w:eastAsia="x-none"/>
        </w:rPr>
        <w:t>Sampling followed the delivery of Commonwealth environmental water and was timed to coincide with the known spawning windows of six target species:</w:t>
      </w:r>
    </w:p>
    <w:p w14:paraId="1473AD2C" w14:textId="77777777" w:rsidR="00616E66" w:rsidRPr="002E6686" w:rsidRDefault="00616E66" w:rsidP="00D437E3">
      <w:pPr>
        <w:numPr>
          <w:ilvl w:val="0"/>
          <w:numId w:val="19"/>
        </w:numPr>
        <w:rPr>
          <w:lang w:val="en-GB" w:eastAsia="x-none"/>
        </w:rPr>
      </w:pPr>
      <w:r w:rsidRPr="005A2696">
        <w:rPr>
          <w:lang w:val="en-GB" w:eastAsia="x-none"/>
        </w:rPr>
        <w:t xml:space="preserve">Equilibrium: </w:t>
      </w:r>
      <w:r w:rsidRPr="002E6686">
        <w:rPr>
          <w:lang w:val="en-GB" w:eastAsia="x-none"/>
        </w:rPr>
        <w:t>Murray cod (</w:t>
      </w:r>
      <w:r w:rsidRPr="002E6686">
        <w:rPr>
          <w:i/>
          <w:lang w:val="en-GB" w:eastAsia="x-none"/>
        </w:rPr>
        <w:t>Maccullochella peeli</w:t>
      </w:r>
      <w:r w:rsidRPr="002E6686">
        <w:rPr>
          <w:lang w:val="en-GB" w:eastAsia="x-none"/>
        </w:rPr>
        <w:t>) and freshwater catfish (</w:t>
      </w:r>
      <w:r w:rsidRPr="002E6686">
        <w:rPr>
          <w:i/>
          <w:lang w:val="en-GB" w:eastAsia="x-none"/>
        </w:rPr>
        <w:t>Tandanus tandanus</w:t>
      </w:r>
      <w:r w:rsidRPr="002E6686">
        <w:rPr>
          <w:lang w:val="en-GB" w:eastAsia="x-none"/>
        </w:rPr>
        <w:t>)</w:t>
      </w:r>
    </w:p>
    <w:p w14:paraId="34C72EBA" w14:textId="3B8865CF" w:rsidR="00616E66" w:rsidRPr="002E6686" w:rsidRDefault="00616E66" w:rsidP="00D437E3">
      <w:pPr>
        <w:numPr>
          <w:ilvl w:val="0"/>
          <w:numId w:val="19"/>
        </w:numPr>
        <w:rPr>
          <w:lang w:val="en-GB" w:eastAsia="x-none"/>
        </w:rPr>
      </w:pPr>
      <w:r w:rsidRPr="005A2696">
        <w:rPr>
          <w:lang w:val="en-GB" w:eastAsia="x-none"/>
        </w:rPr>
        <w:t>Periodic:</w:t>
      </w:r>
      <w:r w:rsidRPr="002E6686">
        <w:rPr>
          <w:lang w:val="en-GB" w:eastAsia="x-none"/>
        </w:rPr>
        <w:t xml:space="preserve"> </w:t>
      </w:r>
      <w:r w:rsidR="00FB69E7">
        <w:rPr>
          <w:lang w:val="en-GB" w:eastAsia="x-none"/>
        </w:rPr>
        <w:t>g</w:t>
      </w:r>
      <w:r w:rsidRPr="002E6686">
        <w:rPr>
          <w:lang w:val="en-GB" w:eastAsia="x-none"/>
        </w:rPr>
        <w:t>olden perch (</w:t>
      </w:r>
      <w:r w:rsidRPr="002E6686">
        <w:rPr>
          <w:i/>
          <w:lang w:val="en-GB" w:eastAsia="x-none"/>
        </w:rPr>
        <w:t>Macquaria ambigua</w:t>
      </w:r>
      <w:r w:rsidRPr="002E6686">
        <w:rPr>
          <w:lang w:val="en-GB" w:eastAsia="x-none"/>
        </w:rPr>
        <w:t>) and bony herring (</w:t>
      </w:r>
      <w:r w:rsidRPr="002E6686">
        <w:rPr>
          <w:i/>
          <w:lang w:val="en-GB" w:eastAsia="x-none"/>
        </w:rPr>
        <w:t>Nematalosa erebi</w:t>
      </w:r>
      <w:r w:rsidRPr="002E6686">
        <w:rPr>
          <w:lang w:val="en-GB" w:eastAsia="x-none"/>
        </w:rPr>
        <w:t>)</w:t>
      </w:r>
    </w:p>
    <w:p w14:paraId="585862D2" w14:textId="038B5E8A" w:rsidR="00616E66" w:rsidRPr="002E6686" w:rsidRDefault="00616E66" w:rsidP="00D437E3">
      <w:pPr>
        <w:numPr>
          <w:ilvl w:val="0"/>
          <w:numId w:val="19"/>
        </w:numPr>
        <w:rPr>
          <w:lang w:val="en-GB" w:eastAsia="x-none"/>
        </w:rPr>
      </w:pPr>
      <w:r w:rsidRPr="005A2696">
        <w:rPr>
          <w:lang w:val="en-GB" w:eastAsia="x-none"/>
        </w:rPr>
        <w:t>Opportunistic:</w:t>
      </w:r>
      <w:r w:rsidRPr="002E6686">
        <w:rPr>
          <w:lang w:val="en-GB" w:eastAsia="x-none"/>
        </w:rPr>
        <w:t xml:space="preserve"> </w:t>
      </w:r>
      <w:r w:rsidR="00FB69E7">
        <w:rPr>
          <w:lang w:val="en-GB" w:eastAsia="x-none"/>
        </w:rPr>
        <w:t>c</w:t>
      </w:r>
      <w:r w:rsidRPr="002E6686">
        <w:rPr>
          <w:lang w:val="en-GB" w:eastAsia="x-none"/>
        </w:rPr>
        <w:t>arp gudgeon (</w:t>
      </w:r>
      <w:r w:rsidRPr="002E6686">
        <w:rPr>
          <w:i/>
          <w:lang w:val="en-GB" w:eastAsia="x-none"/>
        </w:rPr>
        <w:t>Hypseleotris spp</w:t>
      </w:r>
      <w:r w:rsidR="004F2E59">
        <w:rPr>
          <w:i/>
          <w:lang w:val="en-GB" w:eastAsia="x-none"/>
        </w:rPr>
        <w:t>.</w:t>
      </w:r>
      <w:r w:rsidRPr="002E6686">
        <w:rPr>
          <w:lang w:val="en-GB" w:eastAsia="x-none"/>
        </w:rPr>
        <w:t>) and un</w:t>
      </w:r>
      <w:r>
        <w:rPr>
          <w:lang w:val="en-GB" w:eastAsia="x-none"/>
        </w:rPr>
        <w:t>-</w:t>
      </w:r>
      <w:r w:rsidRPr="002E6686">
        <w:rPr>
          <w:lang w:val="en-GB" w:eastAsia="x-none"/>
        </w:rPr>
        <w:t>specked hardyhead (</w:t>
      </w:r>
      <w:r w:rsidRPr="002E6686">
        <w:rPr>
          <w:i/>
          <w:lang w:val="en-GB" w:eastAsia="x-none"/>
        </w:rPr>
        <w:t>Craterocephalus stercusmuscarum</w:t>
      </w:r>
      <w:r w:rsidRPr="002E6686">
        <w:rPr>
          <w:lang w:val="en-GB" w:eastAsia="x-none"/>
        </w:rPr>
        <w:t>).</w:t>
      </w:r>
    </w:p>
    <w:p w14:paraId="4BA60DAF" w14:textId="77777777" w:rsidR="00616E66" w:rsidRPr="002B4F7B" w:rsidRDefault="00616E66" w:rsidP="00CB1658">
      <w:pPr>
        <w:pStyle w:val="Heading3"/>
      </w:pPr>
      <w:bookmarkStart w:id="401" w:name="_Toc31985501"/>
      <w:r w:rsidRPr="002B4F7B">
        <w:t>Laboratory processing</w:t>
      </w:r>
      <w:bookmarkEnd w:id="401"/>
    </w:p>
    <w:p w14:paraId="3C67CE96" w14:textId="2D6FBD16" w:rsidR="00616E66" w:rsidRDefault="00616E66" w:rsidP="00616E66">
      <w:pPr>
        <w:rPr>
          <w:lang w:eastAsia="x-none"/>
        </w:rPr>
      </w:pPr>
      <w:r>
        <w:rPr>
          <w:lang w:eastAsia="x-none"/>
        </w:rPr>
        <w:t>Preserved samples were examined in the laboratory and all fish were removed. Extracted fish were identified where possible</w:t>
      </w:r>
      <w:r w:rsidR="00535F48">
        <w:rPr>
          <w:lang w:eastAsia="x-none"/>
        </w:rPr>
        <w:t xml:space="preserve"> </w:t>
      </w:r>
      <w:r w:rsidR="00535F48">
        <w:rPr>
          <w:lang w:eastAsia="x-none"/>
        </w:rPr>
        <w:fldChar w:fldCharType="begin"/>
      </w:r>
      <w:r w:rsidR="00535F48">
        <w:rPr>
          <w:lang w:eastAsia="x-none"/>
        </w:rPr>
        <w:instrText xml:space="preserve"> ADDIN EN.CITE &lt;EndNote&gt;&lt;Cite&gt;&lt;Author&gt;Serafini&lt;/Author&gt;&lt;Year&gt;2004&lt;/Year&gt;&lt;RecNum&gt;248&lt;/RecNum&gt;&lt;Prefix&gt;using &lt;/Prefix&gt;&lt;DisplayText&gt;(using Serafini and Humphries 2004)&lt;/DisplayText&gt;&lt;record&gt;&lt;rec-number&gt;248&lt;/rec-number&gt;&lt;foreign-keys&gt;&lt;key app="EN" db-id="0a0zttz0gewd9befav559p5osxw5sftwfpdv" timestamp="1542669311"&gt;248&lt;/key&gt;&lt;/foreign-keys&gt;&lt;ref-type name="Report"&gt;27&lt;/ref-type&gt;&lt;contributors&gt;&lt;authors&gt;&lt;author&gt;Serafini, L. G.&lt;/author&gt;&lt;author&gt;Humphries, P.&lt;/author&gt;&lt;/authors&gt;&lt;tertiary-authors&gt;&lt;author&gt;Cooperative Centre for Freshwater Ecology&lt;/author&gt;&lt;/tertiary-authors&gt;&lt;/contributors&gt;&lt;titles&gt;&lt;title&gt;Preliminary Guide to the Identification of Larvae of Fish, with a bibliography of their studies, from the Murray-Darling Basin&lt;/title&gt;&lt;secondary-title&gt;Cooperative Centre for Freshwater Ecology Identification &amp;amp; Ecology Guide No. 48&lt;/secondary-title&gt;&lt;/titles&gt;&lt;dates&gt;&lt;year&gt;2004&lt;/year&gt;&lt;/dates&gt;&lt;pub-location&gt;Thurgoona&lt;/pub-location&gt;&lt;publisher&gt;Cooperative Centre for Freshwater Ecology&lt;/publisher&gt;&lt;urls&gt;&lt;/urls&gt;&lt;/record&gt;&lt;/Cite&gt;&lt;/EndNote&gt;</w:instrText>
      </w:r>
      <w:r w:rsidR="00535F48">
        <w:rPr>
          <w:lang w:eastAsia="x-none"/>
        </w:rPr>
        <w:fldChar w:fldCharType="separate"/>
      </w:r>
      <w:r w:rsidR="00535F48">
        <w:rPr>
          <w:noProof/>
          <w:lang w:eastAsia="x-none"/>
        </w:rPr>
        <w:t>(using Serafini and Humphries 2004)</w:t>
      </w:r>
      <w:r w:rsidR="00535F48">
        <w:rPr>
          <w:lang w:eastAsia="x-none"/>
        </w:rPr>
        <w:fldChar w:fldCharType="end"/>
      </w:r>
      <w:r>
        <w:rPr>
          <w:lang w:eastAsia="x-none"/>
        </w:rPr>
        <w:t xml:space="preserve"> and measured (standard length) under magnification using a digital graticule to the nearest 0.001 mm. If individuals were not able to be identified, individuals were measured and labelled “unidentified</w:t>
      </w:r>
      <w:r w:rsidRPr="005273D7">
        <w:rPr>
          <w:lang w:eastAsia="x-none"/>
        </w:rPr>
        <w:t>”. Only the first 50 individuals were measured per species per site per trip per operation (operation = an individual drift net or 10 light traps), with the other individuals being counted only.</w:t>
      </w:r>
      <w:r>
        <w:rPr>
          <w:lang w:eastAsia="x-none"/>
        </w:rPr>
        <w:t xml:space="preserve">  </w:t>
      </w:r>
    </w:p>
    <w:p w14:paraId="756D2C6D" w14:textId="77777777" w:rsidR="00616E66" w:rsidRDefault="00616E66" w:rsidP="00616E66">
      <w:pPr>
        <w:rPr>
          <w:lang w:eastAsia="x-none"/>
        </w:rPr>
      </w:pPr>
    </w:p>
    <w:p w14:paraId="784E4CED" w14:textId="77777777" w:rsidR="00616E66" w:rsidRPr="002B4F7B" w:rsidRDefault="00616E66" w:rsidP="00CB1658">
      <w:pPr>
        <w:pStyle w:val="Heading3"/>
      </w:pPr>
      <w:bookmarkStart w:id="402" w:name="_Toc31985502"/>
      <w:r w:rsidRPr="002B4F7B">
        <w:t>Data analysis</w:t>
      </w:r>
      <w:bookmarkEnd w:id="402"/>
    </w:p>
    <w:p w14:paraId="6EEA1FB3" w14:textId="1E873563" w:rsidR="00616E66" w:rsidRDefault="00616E66" w:rsidP="00616E66">
      <w:pPr>
        <w:rPr>
          <w:lang w:val="en-GB"/>
        </w:rPr>
      </w:pPr>
      <w:r>
        <w:rPr>
          <w:lang w:val="en-GB"/>
        </w:rPr>
        <w:t>For catch per unit effort figures, c</w:t>
      </w:r>
      <w:r w:rsidRPr="00BA4F1B">
        <w:rPr>
          <w:lang w:val="en-GB"/>
        </w:rPr>
        <w:t>atches of larval fish for drift nets was standardised as the number of individuals per m</w:t>
      </w:r>
      <w:r w:rsidRPr="00BA4F1B">
        <w:rPr>
          <w:vertAlign w:val="superscript"/>
          <w:lang w:val="en-GB"/>
        </w:rPr>
        <w:t>3</w:t>
      </w:r>
      <w:r w:rsidRPr="00BA4F1B">
        <w:rPr>
          <w:lang w:val="en-GB"/>
        </w:rPr>
        <w:t xml:space="preserve"> of water sampled. Set and retrieval times of light traps were recorded so that relative abundance can be expressed as catch-per-unit-effort (CPUE). </w:t>
      </w:r>
      <w:r>
        <w:rPr>
          <w:lang w:val="en-GB"/>
        </w:rPr>
        <w:t>Total l</w:t>
      </w:r>
      <w:r w:rsidRPr="00E657DA">
        <w:rPr>
          <w:lang w:val="en-GB"/>
        </w:rPr>
        <w:t>arval fish</w:t>
      </w:r>
      <w:r>
        <w:rPr>
          <w:lang w:val="en-GB"/>
        </w:rPr>
        <w:t xml:space="preserve"> </w:t>
      </w:r>
      <w:r w:rsidRPr="00E657DA">
        <w:rPr>
          <w:lang w:val="en-GB"/>
        </w:rPr>
        <w:t>captures</w:t>
      </w:r>
      <w:r>
        <w:rPr>
          <w:lang w:val="en-GB"/>
        </w:rPr>
        <w:t xml:space="preserve"> (all trips grouped by site)</w:t>
      </w:r>
      <w:r w:rsidRPr="00E657DA">
        <w:rPr>
          <w:lang w:val="en-GB"/>
        </w:rPr>
        <w:t xml:space="preserve"> </w:t>
      </w:r>
      <w:r>
        <w:rPr>
          <w:lang w:val="en-GB"/>
        </w:rPr>
        <w:t xml:space="preserve">between years for the lower-Lachlan River selected area </w:t>
      </w:r>
      <w:r w:rsidRPr="00E657DA">
        <w:rPr>
          <w:lang w:val="en-GB"/>
        </w:rPr>
        <w:t xml:space="preserve">were examined using a </w:t>
      </w:r>
      <w:r w:rsidRPr="00E657DA">
        <w:rPr>
          <w:rFonts w:hint="eastAsia"/>
          <w:lang w:val="en-GB"/>
        </w:rPr>
        <w:t xml:space="preserve">permutational analysis of variance (PERMANOVA) </w:t>
      </w:r>
      <w:r w:rsidRPr="00E657DA">
        <w:rPr>
          <w:lang w:val="en-GB"/>
        </w:rPr>
        <w:t xml:space="preserve">with </w:t>
      </w:r>
      <w:r w:rsidRPr="00E657DA">
        <w:rPr>
          <w:rFonts w:hint="eastAsia"/>
          <w:lang w:val="en-GB"/>
        </w:rPr>
        <w:t xml:space="preserve">Type I sum of squares. </w:t>
      </w:r>
      <w:r w:rsidRPr="00E657DA">
        <w:rPr>
          <w:lang w:val="en-GB"/>
        </w:rPr>
        <w:t>Raw captured d</w:t>
      </w:r>
      <w:r w:rsidRPr="00E657DA">
        <w:rPr>
          <w:rFonts w:hint="eastAsia"/>
          <w:lang w:val="en-GB"/>
        </w:rPr>
        <w:t xml:space="preserve">ata was </w:t>
      </w:r>
      <w:r w:rsidRPr="00E657DA">
        <w:rPr>
          <w:lang w:val="en-GB"/>
        </w:rPr>
        <w:t>fourth-root</w:t>
      </w:r>
      <w:r w:rsidRPr="00E657DA">
        <w:rPr>
          <w:rFonts w:hint="eastAsia"/>
          <w:lang w:val="en-GB"/>
        </w:rPr>
        <w:t xml:space="preserve"> transformed</w:t>
      </w:r>
      <w:r w:rsidRPr="00E657DA">
        <w:rPr>
          <w:lang w:val="en-GB"/>
        </w:rPr>
        <w:t>,</w:t>
      </w:r>
      <w:r w:rsidRPr="00E657DA">
        <w:rPr>
          <w:rFonts w:hint="eastAsia"/>
          <w:lang w:val="en-GB"/>
        </w:rPr>
        <w:t xml:space="preserve"> then </w:t>
      </w:r>
      <w:r w:rsidRPr="00E657DA">
        <w:rPr>
          <w:lang w:val="en-GB"/>
        </w:rPr>
        <w:t xml:space="preserve">a </w:t>
      </w:r>
      <w:r w:rsidRPr="00E657DA">
        <w:rPr>
          <w:rFonts w:hint="eastAsia"/>
          <w:lang w:val="en-GB"/>
        </w:rPr>
        <w:t xml:space="preserve">resemblance matrix </w:t>
      </w:r>
      <w:r w:rsidRPr="00E657DA">
        <w:rPr>
          <w:lang w:val="en-GB"/>
        </w:rPr>
        <w:t>was constructed</w:t>
      </w:r>
      <w:r w:rsidRPr="00E657DA">
        <w:rPr>
          <w:rFonts w:hint="eastAsia"/>
          <w:lang w:val="en-GB"/>
        </w:rPr>
        <w:t xml:space="preserve"> with </w:t>
      </w:r>
      <w:r w:rsidRPr="00E657DA">
        <w:rPr>
          <w:lang w:val="en-GB"/>
        </w:rPr>
        <w:t>the Bray-Curtis</w:t>
      </w:r>
      <w:r w:rsidRPr="00E657DA">
        <w:rPr>
          <w:rFonts w:hint="eastAsia"/>
          <w:lang w:val="en-GB"/>
        </w:rPr>
        <w:t xml:space="preserve"> </w:t>
      </w:r>
      <w:r w:rsidRPr="00E657DA">
        <w:rPr>
          <w:lang w:val="en-GB"/>
        </w:rPr>
        <w:t>similarity</w:t>
      </w:r>
      <w:r w:rsidRPr="00E657DA">
        <w:rPr>
          <w:rFonts w:hint="eastAsia"/>
          <w:lang w:val="en-GB"/>
        </w:rPr>
        <w:t xml:space="preserve"> measure. </w:t>
      </w:r>
      <w:r w:rsidRPr="00E657DA">
        <w:rPr>
          <w:lang w:val="en-GB"/>
        </w:rPr>
        <w:t xml:space="preserve">All species were </w:t>
      </w:r>
      <w:r w:rsidRPr="00E657DA">
        <w:rPr>
          <w:rFonts w:hint="eastAsia"/>
          <w:lang w:val="en-GB"/>
        </w:rPr>
        <w:t>included as variables</w:t>
      </w:r>
      <w:r w:rsidRPr="00E657DA">
        <w:rPr>
          <w:lang w:val="en-GB"/>
        </w:rPr>
        <w:t xml:space="preserve">, with </w:t>
      </w:r>
      <w:r w:rsidRPr="00E657DA">
        <w:rPr>
          <w:rFonts w:hint="eastAsia"/>
          <w:lang w:val="en-GB"/>
        </w:rPr>
        <w:t>year</w:t>
      </w:r>
      <w:r>
        <w:rPr>
          <w:lang w:val="en-GB"/>
        </w:rPr>
        <w:t xml:space="preserve"> as a fixed factor and site as a random factor nested within year</w:t>
      </w:r>
      <w:r w:rsidRPr="00E657DA">
        <w:rPr>
          <w:rFonts w:hint="eastAsia"/>
          <w:lang w:val="en-GB"/>
        </w:rPr>
        <w:t xml:space="preserve"> </w:t>
      </w:r>
      <w:r w:rsidRPr="00E657DA">
        <w:rPr>
          <w:lang w:val="en-GB"/>
        </w:rPr>
        <w:t xml:space="preserve">for a maximum of </w:t>
      </w:r>
      <w:r w:rsidRPr="00E657DA">
        <w:rPr>
          <w:rFonts w:hint="eastAsia"/>
          <w:lang w:val="en-GB"/>
        </w:rPr>
        <w:t>9999 permutations.</w:t>
      </w:r>
      <w:r w:rsidRPr="00E657DA">
        <w:rPr>
          <w:lang w:val="en-GB"/>
        </w:rPr>
        <w:t xml:space="preserve"> Principal Component </w:t>
      </w:r>
      <w:r>
        <w:rPr>
          <w:lang w:val="en-GB"/>
        </w:rPr>
        <w:t xml:space="preserve">analysis </w:t>
      </w:r>
      <w:r w:rsidRPr="00E657DA">
        <w:rPr>
          <w:lang w:val="en-GB"/>
        </w:rPr>
        <w:t>ordinations (PC</w:t>
      </w:r>
      <w:r>
        <w:rPr>
          <w:lang w:val="en-GB"/>
        </w:rPr>
        <w:t>oA)</w:t>
      </w:r>
      <w:r w:rsidRPr="00E657DA">
        <w:rPr>
          <w:lang w:val="en-GB"/>
        </w:rPr>
        <w:t xml:space="preserve"> of the transformed data were arranged into resemblance matrices using the Bray-Curtis Similarity measure. Vectors are the raw Pearson's correlations for the taxa that are most correlated </w:t>
      </w:r>
      <w:r>
        <w:rPr>
          <w:lang w:val="en-GB"/>
        </w:rPr>
        <w:t xml:space="preserve">(&gt; 0.5) </w:t>
      </w:r>
      <w:r w:rsidRPr="00E657DA">
        <w:rPr>
          <w:lang w:val="en-GB"/>
        </w:rPr>
        <w:t>with each of the PC</w:t>
      </w:r>
      <w:r>
        <w:rPr>
          <w:lang w:val="en-GB"/>
        </w:rPr>
        <w:t>oA</w:t>
      </w:r>
      <w:r w:rsidRPr="00E657DA">
        <w:rPr>
          <w:lang w:val="en-GB"/>
        </w:rPr>
        <w:t xml:space="preserve"> axes. </w:t>
      </w:r>
      <w:r>
        <w:rPr>
          <w:lang w:val="en-GB"/>
        </w:rPr>
        <w:t>Similarity percentage analysis (SIMPER) was performed to determine which larval fish taxa contributed to any observed differences between years</w:t>
      </w:r>
      <w:r w:rsidR="00434525">
        <w:rPr>
          <w:lang w:val="en-GB"/>
        </w:rPr>
        <w:t xml:space="preserve"> (</w:t>
      </w:r>
      <w:r w:rsidR="000C418B">
        <w:rPr>
          <w:lang w:val="en-GB"/>
        </w:rPr>
        <w:t xml:space="preserve">see </w:t>
      </w:r>
      <w:r w:rsidR="00434525">
        <w:rPr>
          <w:lang w:val="en-GB"/>
        </w:rPr>
        <w:t>Appendix</w:t>
      </w:r>
      <w:r w:rsidR="000C418B">
        <w:rPr>
          <w:lang w:val="en-GB"/>
        </w:rPr>
        <w:t xml:space="preserve"> 2, </w:t>
      </w:r>
      <w:r w:rsidR="00434525">
        <w:rPr>
          <w:lang w:val="en-GB"/>
        </w:rPr>
        <w:fldChar w:fldCharType="begin"/>
      </w:r>
      <w:r w:rsidR="00434525">
        <w:rPr>
          <w:lang w:val="en-GB"/>
        </w:rPr>
        <w:instrText xml:space="preserve"> REF _Ref24464954 \h </w:instrText>
      </w:r>
      <w:r w:rsidR="00434525">
        <w:rPr>
          <w:lang w:val="en-GB"/>
        </w:rPr>
      </w:r>
      <w:r w:rsidR="00434525">
        <w:rPr>
          <w:lang w:val="en-GB"/>
        </w:rPr>
        <w:fldChar w:fldCharType="separate"/>
      </w:r>
      <w:r w:rsidR="007F7607" w:rsidRPr="003C1511">
        <w:t xml:space="preserve">Table </w:t>
      </w:r>
      <w:r w:rsidR="007F7607">
        <w:rPr>
          <w:noProof/>
        </w:rPr>
        <w:t>21</w:t>
      </w:r>
      <w:r w:rsidR="00434525">
        <w:rPr>
          <w:lang w:val="en-GB"/>
        </w:rPr>
        <w:fldChar w:fldCharType="end"/>
      </w:r>
      <w:r w:rsidR="00434525">
        <w:rPr>
          <w:lang w:val="en-GB"/>
        </w:rPr>
        <w:t xml:space="preserve">, section </w:t>
      </w:r>
      <w:r w:rsidR="00434525">
        <w:rPr>
          <w:lang w:val="en-GB"/>
        </w:rPr>
        <w:fldChar w:fldCharType="begin"/>
      </w:r>
      <w:r w:rsidR="00434525">
        <w:rPr>
          <w:lang w:val="en-GB"/>
        </w:rPr>
        <w:instrText xml:space="preserve"> REF _Ref516063125 \r \h </w:instrText>
      </w:r>
      <w:r w:rsidR="00434525">
        <w:rPr>
          <w:lang w:val="en-GB"/>
        </w:rPr>
      </w:r>
      <w:r w:rsidR="00434525">
        <w:rPr>
          <w:lang w:val="en-GB"/>
        </w:rPr>
        <w:fldChar w:fldCharType="separate"/>
      </w:r>
      <w:r w:rsidR="007F7607">
        <w:rPr>
          <w:lang w:val="en-GB"/>
        </w:rPr>
        <w:t>7.8</w:t>
      </w:r>
      <w:r w:rsidR="00434525">
        <w:rPr>
          <w:lang w:val="en-GB"/>
        </w:rPr>
        <w:fldChar w:fldCharType="end"/>
      </w:r>
      <w:r w:rsidR="00434525">
        <w:rPr>
          <w:lang w:val="en-GB"/>
        </w:rPr>
        <w:t>)</w:t>
      </w:r>
    </w:p>
    <w:p w14:paraId="26CEFCC2" w14:textId="77777777" w:rsidR="00616E66" w:rsidRPr="00D148DE" w:rsidRDefault="00616E66" w:rsidP="00616E66">
      <w:pPr>
        <w:rPr>
          <w:lang w:eastAsia="x-none"/>
        </w:rPr>
      </w:pPr>
    </w:p>
    <w:p w14:paraId="6DC35326" w14:textId="77777777" w:rsidR="00616E66" w:rsidRPr="002E6686" w:rsidRDefault="00616E66" w:rsidP="00616E66">
      <w:pPr>
        <w:pStyle w:val="Heading2"/>
      </w:pPr>
      <w:bookmarkStart w:id="403" w:name="_Toc31985503"/>
      <w:r w:rsidRPr="002E6686">
        <w:t>Results</w:t>
      </w:r>
      <w:bookmarkEnd w:id="403"/>
    </w:p>
    <w:p w14:paraId="7959CD3D" w14:textId="77777777" w:rsidR="00616E66" w:rsidRPr="00696B96" w:rsidRDefault="00616E66" w:rsidP="00A860D2">
      <w:pPr>
        <w:pStyle w:val="Heading3"/>
      </w:pPr>
      <w:bookmarkStart w:id="404" w:name="_Toc31985504"/>
      <w:r w:rsidRPr="00696B96">
        <w:t>Lower Lachlan River Selected area</w:t>
      </w:r>
      <w:bookmarkEnd w:id="404"/>
    </w:p>
    <w:p w14:paraId="0523A7DB" w14:textId="0FC2E8B7" w:rsidR="00616E66" w:rsidRPr="002B4F7B" w:rsidRDefault="00616E66" w:rsidP="00616E66">
      <w:pPr>
        <w:rPr>
          <w:lang w:val="en-GB" w:eastAsia="x-none"/>
        </w:rPr>
      </w:pPr>
      <w:r w:rsidRPr="00E657DA">
        <w:rPr>
          <w:lang w:val="en-GB" w:eastAsia="x-none"/>
        </w:rPr>
        <w:t xml:space="preserve">A total of </w:t>
      </w:r>
      <w:r>
        <w:rPr>
          <w:lang w:val="en-GB" w:eastAsia="x-none"/>
        </w:rPr>
        <w:t>4710</w:t>
      </w:r>
      <w:r w:rsidRPr="00E657DA">
        <w:rPr>
          <w:lang w:val="en-GB" w:eastAsia="x-none"/>
        </w:rPr>
        <w:t xml:space="preserve"> larval fish were captured across the five sampling events of spring-summer 201</w:t>
      </w:r>
      <w:r>
        <w:rPr>
          <w:lang w:val="en-GB" w:eastAsia="x-none"/>
        </w:rPr>
        <w:t>8</w:t>
      </w:r>
      <w:r w:rsidRPr="00E657DA">
        <w:rPr>
          <w:lang w:val="en-GB" w:eastAsia="x-none"/>
        </w:rPr>
        <w:t xml:space="preserve"> comprising four native species (Murray cod, flat headed gudgeon, Australian smelt and carp gudgeon) and two alien fish species (eastern gambusia and common carp) (</w:t>
      </w:r>
      <w:r w:rsidRPr="00E657DA">
        <w:rPr>
          <w:lang w:val="en-GB" w:eastAsia="x-none"/>
        </w:rPr>
        <w:fldChar w:fldCharType="begin"/>
      </w:r>
      <w:r w:rsidRPr="00E657DA">
        <w:rPr>
          <w:lang w:val="en-GB" w:eastAsia="x-none"/>
        </w:rPr>
        <w:instrText xml:space="preserve"> REF _Ref440827355 \h  \* MERGEFORMAT </w:instrText>
      </w:r>
      <w:r w:rsidRPr="00E657DA">
        <w:rPr>
          <w:lang w:val="en-GB" w:eastAsia="x-none"/>
        </w:rPr>
      </w:r>
      <w:r w:rsidRPr="00E657DA">
        <w:rPr>
          <w:lang w:val="en-GB" w:eastAsia="x-none"/>
        </w:rPr>
        <w:fldChar w:fldCharType="separate"/>
      </w:r>
      <w:r w:rsidR="007F7607" w:rsidRPr="002E6686">
        <w:t xml:space="preserve">Table </w:t>
      </w:r>
      <w:r w:rsidR="007F7607">
        <w:rPr>
          <w:noProof/>
        </w:rPr>
        <w:t>18</w:t>
      </w:r>
      <w:r w:rsidRPr="00E657DA">
        <w:rPr>
          <w:lang w:eastAsia="x-none"/>
        </w:rPr>
        <w:fldChar w:fldCharType="end"/>
      </w:r>
      <w:r w:rsidRPr="00E657DA">
        <w:rPr>
          <w:lang w:val="en-GB" w:eastAsia="x-none"/>
        </w:rPr>
        <w:t xml:space="preserve">). Light traps captured the majority of larval fish, though this was mostly driven by extremely high abundances of </w:t>
      </w:r>
      <w:r>
        <w:rPr>
          <w:lang w:val="en-GB" w:eastAsia="x-none"/>
        </w:rPr>
        <w:t>flat</w:t>
      </w:r>
      <w:r w:rsidR="00FB69E7">
        <w:rPr>
          <w:lang w:val="en-GB" w:eastAsia="x-none"/>
        </w:rPr>
        <w:t xml:space="preserve"> </w:t>
      </w:r>
      <w:r>
        <w:rPr>
          <w:lang w:val="en-GB" w:eastAsia="x-none"/>
        </w:rPr>
        <w:t>headed gudgeon and Australian smelt (92% of individuals captured in 2018)</w:t>
      </w:r>
      <w:r w:rsidRPr="00E657DA">
        <w:rPr>
          <w:lang w:val="en-GB" w:eastAsia="x-none"/>
        </w:rPr>
        <w:t xml:space="preserve"> (</w:t>
      </w:r>
      <w:r w:rsidRPr="00E657DA">
        <w:rPr>
          <w:lang w:val="en-GB" w:eastAsia="x-none"/>
        </w:rPr>
        <w:fldChar w:fldCharType="begin"/>
      </w:r>
      <w:r w:rsidRPr="00E657DA">
        <w:rPr>
          <w:lang w:val="en-GB" w:eastAsia="x-none"/>
        </w:rPr>
        <w:instrText xml:space="preserve"> REF _Ref440827355 \h  \* MERGEFORMAT </w:instrText>
      </w:r>
      <w:r w:rsidRPr="00E657DA">
        <w:rPr>
          <w:lang w:val="en-GB" w:eastAsia="x-none"/>
        </w:rPr>
      </w:r>
      <w:r w:rsidRPr="00E657DA">
        <w:rPr>
          <w:lang w:val="en-GB" w:eastAsia="x-none"/>
        </w:rPr>
        <w:fldChar w:fldCharType="separate"/>
      </w:r>
      <w:r w:rsidR="007F7607" w:rsidRPr="002E6686">
        <w:t xml:space="preserve">Table </w:t>
      </w:r>
      <w:r w:rsidR="007F7607">
        <w:rPr>
          <w:noProof/>
        </w:rPr>
        <w:t>18</w:t>
      </w:r>
      <w:r w:rsidRPr="00E657DA">
        <w:rPr>
          <w:lang w:eastAsia="x-none"/>
        </w:rPr>
        <w:fldChar w:fldCharType="end"/>
      </w:r>
      <w:r w:rsidRPr="00E657DA">
        <w:rPr>
          <w:lang w:val="en-GB" w:eastAsia="x-none"/>
        </w:rPr>
        <w:t xml:space="preserve">). Numbers of larval fish were variable between sampling events, with trips 1 and </w:t>
      </w:r>
      <w:r>
        <w:rPr>
          <w:lang w:val="en-GB" w:eastAsia="x-none"/>
        </w:rPr>
        <w:t>3</w:t>
      </w:r>
      <w:r w:rsidRPr="00E657DA">
        <w:rPr>
          <w:lang w:val="en-GB" w:eastAsia="x-none"/>
        </w:rPr>
        <w:t xml:space="preserve"> capturing the majority of fish (</w:t>
      </w:r>
      <w:r>
        <w:rPr>
          <w:lang w:val="en-GB" w:eastAsia="x-none"/>
        </w:rPr>
        <w:t xml:space="preserve">57 </w:t>
      </w:r>
      <w:r w:rsidRPr="00E657DA">
        <w:rPr>
          <w:lang w:val="en-GB" w:eastAsia="x-none"/>
        </w:rPr>
        <w:t>% of all trips).</w:t>
      </w:r>
    </w:p>
    <w:p w14:paraId="31E08C75" w14:textId="52E0C8A9" w:rsidR="00CB1658" w:rsidRDefault="00616E66" w:rsidP="00616E66">
      <w:pPr>
        <w:rPr>
          <w:lang w:val="en-GB" w:eastAsia="x-none"/>
        </w:rPr>
      </w:pPr>
      <w:r w:rsidRPr="002B4F7B">
        <w:rPr>
          <w:lang w:val="en-GB" w:eastAsia="x-none"/>
        </w:rPr>
        <w:t>Larval fish were captured for only two of the six target species in 201</w:t>
      </w:r>
      <w:r>
        <w:rPr>
          <w:lang w:val="en-GB" w:eastAsia="x-none"/>
        </w:rPr>
        <w:t>8</w:t>
      </w:r>
      <w:r w:rsidRPr="002B4F7B">
        <w:rPr>
          <w:lang w:val="en-GB" w:eastAsia="x-none"/>
        </w:rPr>
        <w:t>: one Equilibrium species, Murray Cod, and one Opportunistic species, carp gudgeon (</w:t>
      </w:r>
      <w:r w:rsidRPr="002B4F7B">
        <w:rPr>
          <w:lang w:val="en-GB" w:eastAsia="x-none"/>
        </w:rPr>
        <w:fldChar w:fldCharType="begin"/>
      </w:r>
      <w:r w:rsidRPr="002B4F7B">
        <w:rPr>
          <w:lang w:val="en-GB" w:eastAsia="x-none"/>
        </w:rPr>
        <w:instrText xml:space="preserve"> REF _Ref440827355 \h  \* MERGEFORMAT </w:instrText>
      </w:r>
      <w:r w:rsidRPr="002B4F7B">
        <w:rPr>
          <w:lang w:val="en-GB" w:eastAsia="x-none"/>
        </w:rPr>
      </w:r>
      <w:r w:rsidRPr="002B4F7B">
        <w:rPr>
          <w:lang w:val="en-GB" w:eastAsia="x-none"/>
        </w:rPr>
        <w:fldChar w:fldCharType="separate"/>
      </w:r>
      <w:r w:rsidR="007F7607" w:rsidRPr="002E6686">
        <w:t xml:space="preserve">Table </w:t>
      </w:r>
      <w:r w:rsidR="007F7607">
        <w:rPr>
          <w:noProof/>
        </w:rPr>
        <w:t>18</w:t>
      </w:r>
      <w:r w:rsidRPr="002B4F7B">
        <w:rPr>
          <w:lang w:eastAsia="x-none"/>
        </w:rPr>
        <w:fldChar w:fldCharType="end"/>
      </w:r>
      <w:r w:rsidRPr="002B4F7B">
        <w:rPr>
          <w:lang w:val="en-GB" w:eastAsia="x-none"/>
        </w:rPr>
        <w:t>). No Periodic representative species (golden perch or bony herring) were collected during larval sampling in 201</w:t>
      </w:r>
      <w:r>
        <w:rPr>
          <w:lang w:val="en-GB" w:eastAsia="x-none"/>
        </w:rPr>
        <w:t>8</w:t>
      </w:r>
      <w:r w:rsidRPr="002B4F7B">
        <w:rPr>
          <w:lang w:val="en-GB" w:eastAsia="x-none"/>
        </w:rPr>
        <w:t xml:space="preserve"> (</w:t>
      </w:r>
      <w:r w:rsidRPr="002B4F7B">
        <w:rPr>
          <w:lang w:val="en-GB" w:eastAsia="x-none"/>
        </w:rPr>
        <w:fldChar w:fldCharType="begin"/>
      </w:r>
      <w:r w:rsidRPr="002B4F7B">
        <w:rPr>
          <w:lang w:val="en-GB" w:eastAsia="x-none"/>
        </w:rPr>
        <w:instrText xml:space="preserve"> REF _Ref440827355 \h  \* MERGEFORMAT </w:instrText>
      </w:r>
      <w:r w:rsidRPr="002B4F7B">
        <w:rPr>
          <w:lang w:val="en-GB" w:eastAsia="x-none"/>
        </w:rPr>
      </w:r>
      <w:r w:rsidRPr="002B4F7B">
        <w:rPr>
          <w:lang w:val="en-GB" w:eastAsia="x-none"/>
        </w:rPr>
        <w:fldChar w:fldCharType="separate"/>
      </w:r>
      <w:r w:rsidR="007F7607" w:rsidRPr="002E6686">
        <w:t xml:space="preserve">Table </w:t>
      </w:r>
      <w:r w:rsidR="007F7607">
        <w:rPr>
          <w:noProof/>
        </w:rPr>
        <w:t>18</w:t>
      </w:r>
      <w:r w:rsidRPr="002B4F7B">
        <w:rPr>
          <w:lang w:eastAsia="x-none"/>
        </w:rPr>
        <w:fldChar w:fldCharType="end"/>
      </w:r>
      <w:r w:rsidRPr="002B4F7B">
        <w:rPr>
          <w:lang w:val="en-GB" w:eastAsia="x-none"/>
        </w:rPr>
        <w:t xml:space="preserve">). Murray cod were captured in the first </w:t>
      </w:r>
      <w:r>
        <w:rPr>
          <w:lang w:val="en-GB" w:eastAsia="x-none"/>
        </w:rPr>
        <w:t>four</w:t>
      </w:r>
      <w:r w:rsidRPr="002B4F7B">
        <w:rPr>
          <w:lang w:val="en-GB" w:eastAsia="x-none"/>
        </w:rPr>
        <w:t xml:space="preserve"> trips only, with the majority (</w:t>
      </w:r>
      <w:r>
        <w:rPr>
          <w:lang w:val="en-GB" w:eastAsia="x-none"/>
        </w:rPr>
        <w:t>71</w:t>
      </w:r>
      <w:r w:rsidRPr="002B4F7B">
        <w:rPr>
          <w:lang w:val="en-GB" w:eastAsia="x-none"/>
        </w:rPr>
        <w:t xml:space="preserve">%) of individuals captured from a single site during sampling event </w:t>
      </w:r>
      <w:r>
        <w:rPr>
          <w:lang w:val="en-GB" w:eastAsia="x-none"/>
        </w:rPr>
        <w:t>2</w:t>
      </w:r>
      <w:r w:rsidRPr="002B4F7B">
        <w:rPr>
          <w:lang w:val="en-GB" w:eastAsia="x-none"/>
        </w:rPr>
        <w:t xml:space="preserve"> (</w:t>
      </w:r>
      <w:r>
        <w:rPr>
          <w:lang w:val="en-GB" w:eastAsia="x-none"/>
        </w:rPr>
        <w:t>Lanes Bridge</w:t>
      </w:r>
      <w:r w:rsidRPr="002B4F7B">
        <w:rPr>
          <w:lang w:val="en-GB" w:eastAsia="x-none"/>
        </w:rPr>
        <w:t>) (</w:t>
      </w:r>
      <w:r w:rsidRPr="002B4F7B">
        <w:rPr>
          <w:lang w:val="en-GB" w:eastAsia="x-none"/>
        </w:rPr>
        <w:fldChar w:fldCharType="begin"/>
      </w:r>
      <w:r w:rsidRPr="002B4F7B">
        <w:rPr>
          <w:lang w:val="en-GB" w:eastAsia="x-none"/>
        </w:rPr>
        <w:instrText xml:space="preserve"> REF _Ref428532182 \h </w:instrText>
      </w:r>
      <w:r>
        <w:rPr>
          <w:lang w:val="en-GB" w:eastAsia="x-none"/>
        </w:rPr>
        <w:instrText xml:space="preserve"> \* MERGEFORMAT </w:instrText>
      </w:r>
      <w:r w:rsidRPr="002B4F7B">
        <w:rPr>
          <w:lang w:val="en-GB" w:eastAsia="x-none"/>
        </w:rPr>
      </w:r>
      <w:r w:rsidRPr="002B4F7B">
        <w:rPr>
          <w:lang w:val="en-GB" w:eastAsia="x-none"/>
        </w:rPr>
        <w:fldChar w:fldCharType="separate"/>
      </w:r>
      <w:r w:rsidR="007F7607" w:rsidRPr="002E6686">
        <w:t xml:space="preserve">Figure </w:t>
      </w:r>
      <w:r w:rsidR="007F7607">
        <w:rPr>
          <w:noProof/>
        </w:rPr>
        <w:t>55</w:t>
      </w:r>
      <w:r w:rsidRPr="002B4F7B">
        <w:rPr>
          <w:lang w:val="en-GB" w:eastAsia="x-none"/>
        </w:rPr>
        <w:fldChar w:fldCharType="end"/>
      </w:r>
      <w:r w:rsidRPr="002B4F7B">
        <w:rPr>
          <w:lang w:val="en-GB" w:eastAsia="x-none"/>
        </w:rPr>
        <w:t xml:space="preserve">). Larval Murray cod ranged in length from </w:t>
      </w:r>
      <w:r>
        <w:rPr>
          <w:lang w:val="en-GB" w:eastAsia="x-none"/>
        </w:rPr>
        <w:t>5.7</w:t>
      </w:r>
      <w:r w:rsidRPr="002B4F7B">
        <w:rPr>
          <w:lang w:val="en-GB" w:eastAsia="x-none"/>
        </w:rPr>
        <w:t xml:space="preserve"> – </w:t>
      </w:r>
      <w:r>
        <w:rPr>
          <w:lang w:val="en-GB" w:eastAsia="x-none"/>
        </w:rPr>
        <w:t>10.9</w:t>
      </w:r>
      <w:r w:rsidRPr="002B4F7B">
        <w:rPr>
          <w:lang w:val="en-GB" w:eastAsia="x-none"/>
        </w:rPr>
        <w:t xml:space="preserve"> mm, corresponding to ages of </w:t>
      </w:r>
      <w:r>
        <w:rPr>
          <w:lang w:val="en-GB" w:eastAsia="x-none"/>
        </w:rPr>
        <w:t>0</w:t>
      </w:r>
      <w:r w:rsidRPr="002B4F7B">
        <w:rPr>
          <w:lang w:val="en-GB" w:eastAsia="x-none"/>
        </w:rPr>
        <w:t xml:space="preserve"> – </w:t>
      </w:r>
      <w:r>
        <w:rPr>
          <w:lang w:val="en-GB" w:eastAsia="x-none"/>
        </w:rPr>
        <w:t>27</w:t>
      </w:r>
      <w:r w:rsidRPr="002B4F7B">
        <w:rPr>
          <w:lang w:val="en-GB" w:eastAsia="x-none"/>
        </w:rPr>
        <w:t xml:space="preserve"> days</w:t>
      </w:r>
      <w:r>
        <w:rPr>
          <w:lang w:val="en-GB" w:eastAsia="x-none"/>
        </w:rPr>
        <w:t xml:space="preserve"> old</w:t>
      </w:r>
      <w:r w:rsidRPr="002B4F7B">
        <w:rPr>
          <w:lang w:val="en-GB" w:eastAsia="x-none"/>
        </w:rPr>
        <w:t xml:space="preserve"> (</w:t>
      </w:r>
      <w:r w:rsidRPr="002B4F7B">
        <w:rPr>
          <w:lang w:val="en-GB" w:eastAsia="x-none"/>
        </w:rPr>
        <w:fldChar w:fldCharType="begin"/>
      </w:r>
      <w:r w:rsidRPr="002B4F7B">
        <w:rPr>
          <w:lang w:val="en-GB" w:eastAsia="x-none"/>
        </w:rPr>
        <w:instrText xml:space="preserve"> REF _Ref515976326 \h </w:instrText>
      </w:r>
      <w:r>
        <w:rPr>
          <w:lang w:val="en-GB" w:eastAsia="x-none"/>
        </w:rPr>
        <w:instrText xml:space="preserve"> \* MERGEFORMAT </w:instrText>
      </w:r>
      <w:r w:rsidRPr="002B4F7B">
        <w:rPr>
          <w:lang w:val="en-GB" w:eastAsia="x-none"/>
        </w:rPr>
      </w:r>
      <w:r w:rsidRPr="002B4F7B">
        <w:rPr>
          <w:lang w:val="en-GB" w:eastAsia="x-none"/>
        </w:rPr>
        <w:fldChar w:fldCharType="separate"/>
      </w:r>
      <w:r w:rsidR="007F7607" w:rsidRPr="002E6686">
        <w:t xml:space="preserve">Figure </w:t>
      </w:r>
      <w:r w:rsidR="007F7607">
        <w:rPr>
          <w:noProof/>
        </w:rPr>
        <w:t>56</w:t>
      </w:r>
      <w:r w:rsidRPr="002B4F7B">
        <w:rPr>
          <w:lang w:val="en-GB" w:eastAsia="x-none"/>
        </w:rPr>
        <w:fldChar w:fldCharType="end"/>
      </w:r>
      <w:r w:rsidRPr="002B4F7B">
        <w:rPr>
          <w:lang w:val="en-GB" w:eastAsia="x-none"/>
        </w:rPr>
        <w:t>). Estimated</w:t>
      </w:r>
      <w:r>
        <w:rPr>
          <w:lang w:val="en-GB" w:eastAsia="x-none"/>
        </w:rPr>
        <w:t xml:space="preserve"> spawning window for Murray cod in 2018 was between </w:t>
      </w:r>
      <w:bookmarkStart w:id="405" w:name="_Hlk18579853"/>
      <w:r>
        <w:rPr>
          <w:lang w:val="en-GB" w:eastAsia="x-none"/>
        </w:rPr>
        <w:t>23/9/18 – 17/11/18</w:t>
      </w:r>
      <w:bookmarkEnd w:id="405"/>
      <w:r>
        <w:rPr>
          <w:lang w:val="en-GB" w:eastAsia="x-none"/>
        </w:rPr>
        <w:t>, with the largest peak between 3/10/18 – 17/10/18 (</w:t>
      </w:r>
      <w:r w:rsidRPr="002E6686">
        <w:rPr>
          <w:lang w:val="en-GB" w:eastAsia="x-none"/>
        </w:rPr>
        <w:t xml:space="preserve">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7F7607" w:rsidRPr="007F7607">
        <w:rPr>
          <w:lang w:val="en-GB" w:eastAsia="x-none"/>
        </w:rPr>
        <w:t>Figure 62</w:t>
      </w:r>
      <w:r w:rsidRPr="002E6686">
        <w:rPr>
          <w:lang w:eastAsia="x-none"/>
        </w:rPr>
        <w:fldChar w:fldCharType="end"/>
      </w:r>
      <w:r w:rsidRPr="002E6686">
        <w:rPr>
          <w:lang w:val="en-GB" w:eastAsia="x-none"/>
        </w:rPr>
        <w:t>, section</w:t>
      </w:r>
      <w:r w:rsidR="00434525">
        <w:rPr>
          <w:lang w:val="en-GB" w:eastAsia="x-none"/>
        </w:rPr>
        <w:fldChar w:fldCharType="begin"/>
      </w:r>
      <w:r w:rsidR="00434525">
        <w:rPr>
          <w:lang w:val="en-GB" w:eastAsia="x-none"/>
        </w:rPr>
        <w:instrText xml:space="preserve"> REF _Ref17982696 \r \h </w:instrText>
      </w:r>
      <w:r w:rsidR="00434525">
        <w:rPr>
          <w:lang w:val="en-GB" w:eastAsia="x-none"/>
        </w:rPr>
      </w:r>
      <w:r w:rsidR="00434525">
        <w:rPr>
          <w:lang w:val="en-GB" w:eastAsia="x-none"/>
        </w:rPr>
        <w:fldChar w:fldCharType="separate"/>
      </w:r>
      <w:r w:rsidR="007F7607">
        <w:rPr>
          <w:lang w:val="en-GB" w:eastAsia="x-none"/>
        </w:rPr>
        <w:t>7.7</w:t>
      </w:r>
      <w:r w:rsidR="00434525">
        <w:rPr>
          <w:lang w:val="en-GB" w:eastAsia="x-none"/>
        </w:rPr>
        <w:fldChar w:fldCharType="end"/>
      </w:r>
      <w:r>
        <w:rPr>
          <w:lang w:val="en-GB" w:eastAsia="x-none"/>
        </w:rPr>
        <w:t>). Mean length of Murray cod was relatively consistent between sampling events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Pr>
          <w:lang w:val="en-GB" w:eastAsia="x-none"/>
        </w:rPr>
        <w:t xml:space="preserve">). </w:t>
      </w:r>
      <w:r w:rsidRPr="00E657DA">
        <w:rPr>
          <w:lang w:val="en-GB" w:eastAsia="x-none"/>
        </w:rPr>
        <w:t xml:space="preserve"> </w:t>
      </w:r>
    </w:p>
    <w:p w14:paraId="5C6C18E5" w14:textId="77777777" w:rsidR="00CB1658" w:rsidRDefault="00CB1658">
      <w:pPr>
        <w:spacing w:before="0" w:after="0"/>
        <w:rPr>
          <w:lang w:val="en-GB" w:eastAsia="x-none"/>
        </w:rPr>
      </w:pPr>
      <w:r>
        <w:rPr>
          <w:lang w:val="en-GB" w:eastAsia="x-none"/>
        </w:rPr>
        <w:br w:type="page"/>
      </w:r>
    </w:p>
    <w:p w14:paraId="4006F900" w14:textId="20A1032A" w:rsidR="00616E66" w:rsidRPr="002E6686" w:rsidRDefault="00616E66" w:rsidP="00616E66">
      <w:pPr>
        <w:pStyle w:val="Caption"/>
      </w:pPr>
      <w:bookmarkStart w:id="406" w:name="_Ref440827355"/>
      <w:bookmarkStart w:id="407" w:name="_Toc467776203"/>
      <w:bookmarkStart w:id="408" w:name="_Ref515952806"/>
      <w:bookmarkStart w:id="409" w:name="_Toc31985685"/>
      <w:r w:rsidRPr="002E6686">
        <w:t xml:space="preserve">Table </w:t>
      </w:r>
      <w:r>
        <w:rPr>
          <w:noProof/>
        </w:rPr>
        <w:fldChar w:fldCharType="begin"/>
      </w:r>
      <w:r>
        <w:rPr>
          <w:noProof/>
        </w:rPr>
        <w:instrText xml:space="preserve"> SEQ Table \* ARABIC </w:instrText>
      </w:r>
      <w:r>
        <w:rPr>
          <w:noProof/>
        </w:rPr>
        <w:fldChar w:fldCharType="separate"/>
      </w:r>
      <w:r w:rsidR="007F7607">
        <w:rPr>
          <w:noProof/>
        </w:rPr>
        <w:t>18</w:t>
      </w:r>
      <w:r>
        <w:rPr>
          <w:noProof/>
        </w:rPr>
        <w:fldChar w:fldCharType="end"/>
      </w:r>
      <w:bookmarkEnd w:id="406"/>
      <w:r w:rsidRPr="002E6686">
        <w:t>.</w:t>
      </w:r>
      <w:r>
        <w:t xml:space="preserve"> </w:t>
      </w:r>
      <w:r w:rsidRPr="002E6686">
        <w:rPr>
          <w:lang w:val="en-GB"/>
        </w:rPr>
        <w:t>Capture summary of larval fish from sampling co</w:t>
      </w:r>
      <w:r>
        <w:rPr>
          <w:lang w:val="en-GB"/>
        </w:rPr>
        <w:t>nducted between mid-October to m</w:t>
      </w:r>
      <w:r w:rsidRPr="002E6686">
        <w:rPr>
          <w:lang w:val="en-GB"/>
        </w:rPr>
        <w:t>id</w:t>
      </w:r>
      <w:r>
        <w:rPr>
          <w:lang w:val="en-GB"/>
        </w:rPr>
        <w:t>-</w:t>
      </w:r>
      <w:r w:rsidRPr="002E6686">
        <w:rPr>
          <w:lang w:val="en-GB"/>
        </w:rPr>
        <w:t>December 201</w:t>
      </w:r>
      <w:r>
        <w:rPr>
          <w:lang w:val="en-GB"/>
        </w:rPr>
        <w:t>8</w:t>
      </w:r>
      <w:r w:rsidRPr="002E6686">
        <w:rPr>
          <w:lang w:val="en-GB"/>
        </w:rPr>
        <w:t xml:space="preserve"> in the Lower Lachlan </w:t>
      </w:r>
      <w:r>
        <w:rPr>
          <w:lang w:val="en-GB"/>
        </w:rPr>
        <w:t>River</w:t>
      </w:r>
      <w:r w:rsidRPr="002E6686">
        <w:rPr>
          <w:lang w:val="en-GB"/>
        </w:rPr>
        <w:t xml:space="preserve"> system Selected Area.</w:t>
      </w:r>
      <w:bookmarkEnd w:id="407"/>
      <w:bookmarkEnd w:id="408"/>
      <w:bookmarkEnd w:id="409"/>
      <w:r>
        <w:rPr>
          <w:lang w:val="en-GB"/>
        </w:rPr>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19"/>
        <w:gridCol w:w="1291"/>
        <w:gridCol w:w="1418"/>
        <w:gridCol w:w="1134"/>
      </w:tblGrid>
      <w:tr w:rsidR="00616E66" w:rsidRPr="00153C21" w14:paraId="6378F3B1" w14:textId="77777777" w:rsidTr="000F79CD">
        <w:trPr>
          <w:trHeight w:val="465"/>
          <w:jc w:val="center"/>
        </w:trPr>
        <w:tc>
          <w:tcPr>
            <w:tcW w:w="2219" w:type="dxa"/>
            <w:tcBorders>
              <w:top w:val="single" w:sz="8" w:space="0" w:color="FFFFFF"/>
              <w:left w:val="single" w:sz="8" w:space="0" w:color="FFFFFF"/>
              <w:bottom w:val="single" w:sz="24" w:space="0" w:color="FFFFFF"/>
              <w:right w:val="single" w:sz="8" w:space="0" w:color="FFFFFF"/>
            </w:tcBorders>
            <w:shd w:val="clear" w:color="auto" w:fill="9BBB59"/>
          </w:tcPr>
          <w:p w14:paraId="0700BAF1"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SPECIES</w:t>
            </w:r>
          </w:p>
        </w:tc>
        <w:tc>
          <w:tcPr>
            <w:tcW w:w="1291" w:type="dxa"/>
            <w:tcBorders>
              <w:top w:val="single" w:sz="8" w:space="0" w:color="FFFFFF"/>
              <w:left w:val="single" w:sz="8" w:space="0" w:color="FFFFFF"/>
              <w:bottom w:val="single" w:sz="24" w:space="0" w:color="FFFFFF"/>
              <w:right w:val="single" w:sz="8" w:space="0" w:color="FFFFFF"/>
            </w:tcBorders>
            <w:shd w:val="clear" w:color="auto" w:fill="9BBB59"/>
          </w:tcPr>
          <w:p w14:paraId="421051A5"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DRIFT NETS</w:t>
            </w:r>
          </w:p>
        </w:tc>
        <w:tc>
          <w:tcPr>
            <w:tcW w:w="1418" w:type="dxa"/>
            <w:tcBorders>
              <w:top w:val="single" w:sz="8" w:space="0" w:color="FFFFFF"/>
              <w:left w:val="single" w:sz="8" w:space="0" w:color="FFFFFF"/>
              <w:bottom w:val="single" w:sz="24" w:space="0" w:color="FFFFFF"/>
              <w:right w:val="single" w:sz="8" w:space="0" w:color="FFFFFF"/>
            </w:tcBorders>
            <w:shd w:val="clear" w:color="auto" w:fill="9BBB59"/>
          </w:tcPr>
          <w:p w14:paraId="0718F339"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LIGHT TRAPS</w:t>
            </w:r>
          </w:p>
        </w:tc>
        <w:tc>
          <w:tcPr>
            <w:tcW w:w="1134" w:type="dxa"/>
            <w:tcBorders>
              <w:top w:val="single" w:sz="8" w:space="0" w:color="FFFFFF"/>
              <w:left w:val="single" w:sz="8" w:space="0" w:color="FFFFFF"/>
              <w:bottom w:val="single" w:sz="24" w:space="0" w:color="FFFFFF"/>
              <w:right w:val="single" w:sz="8" w:space="0" w:color="FFFFFF"/>
            </w:tcBorders>
            <w:shd w:val="clear" w:color="auto" w:fill="9BBB59"/>
          </w:tcPr>
          <w:p w14:paraId="633781BC"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TOTAL</w:t>
            </w:r>
          </w:p>
        </w:tc>
      </w:tr>
      <w:tr w:rsidR="00616E66" w:rsidRPr="00153C21" w14:paraId="0025B2BC" w14:textId="77777777" w:rsidTr="000F79CD">
        <w:trPr>
          <w:jc w:val="center"/>
        </w:trPr>
        <w:tc>
          <w:tcPr>
            <w:tcW w:w="2219" w:type="dxa"/>
            <w:tcBorders>
              <w:top w:val="single" w:sz="24" w:space="0" w:color="FFFFFF"/>
              <w:left w:val="single" w:sz="8" w:space="0" w:color="FFFFFF"/>
              <w:bottom w:val="single" w:sz="6" w:space="0" w:color="FFFFFF"/>
              <w:right w:val="single" w:sz="24" w:space="0" w:color="FFFFFF"/>
            </w:tcBorders>
            <w:shd w:val="clear" w:color="auto" w:fill="9BBB59"/>
          </w:tcPr>
          <w:p w14:paraId="3229CACF"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Murray cod</w:t>
            </w:r>
          </w:p>
        </w:tc>
        <w:tc>
          <w:tcPr>
            <w:tcW w:w="1291" w:type="dxa"/>
            <w:tcBorders>
              <w:top w:val="single" w:sz="24" w:space="0" w:color="FFFFFF"/>
              <w:bottom w:val="single" w:sz="6" w:space="0" w:color="FFFFFF"/>
            </w:tcBorders>
            <w:shd w:val="clear" w:color="auto" w:fill="EAF1DD"/>
          </w:tcPr>
          <w:p w14:paraId="08562432"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224</w:t>
            </w:r>
          </w:p>
        </w:tc>
        <w:tc>
          <w:tcPr>
            <w:tcW w:w="1418" w:type="dxa"/>
            <w:tcBorders>
              <w:top w:val="single" w:sz="24" w:space="0" w:color="FFFFFF"/>
              <w:bottom w:val="single" w:sz="6" w:space="0" w:color="FFFFFF"/>
            </w:tcBorders>
            <w:shd w:val="clear" w:color="auto" w:fill="EAF1DD"/>
          </w:tcPr>
          <w:p w14:paraId="6BB74018"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74</w:t>
            </w:r>
          </w:p>
        </w:tc>
        <w:tc>
          <w:tcPr>
            <w:tcW w:w="1134" w:type="dxa"/>
            <w:tcBorders>
              <w:top w:val="single" w:sz="24" w:space="0" w:color="FFFFFF"/>
              <w:bottom w:val="single" w:sz="6" w:space="0" w:color="FFFFFF"/>
            </w:tcBorders>
            <w:shd w:val="clear" w:color="auto" w:fill="EAF1DD"/>
          </w:tcPr>
          <w:p w14:paraId="7022BFD1"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298</w:t>
            </w:r>
          </w:p>
        </w:tc>
      </w:tr>
      <w:tr w:rsidR="00616E66" w:rsidRPr="00153C21" w14:paraId="5D5EC5ED"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414688E0"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flat headed gudgeon</w:t>
            </w:r>
          </w:p>
        </w:tc>
        <w:tc>
          <w:tcPr>
            <w:tcW w:w="1291" w:type="dxa"/>
            <w:tcBorders>
              <w:top w:val="single" w:sz="6" w:space="0" w:color="FFFFFF"/>
              <w:bottom w:val="single" w:sz="6" w:space="0" w:color="FFFFFF"/>
            </w:tcBorders>
            <w:shd w:val="clear" w:color="auto" w:fill="EAF1DD"/>
          </w:tcPr>
          <w:p w14:paraId="49FDC428"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380</w:t>
            </w:r>
          </w:p>
        </w:tc>
        <w:tc>
          <w:tcPr>
            <w:tcW w:w="1418" w:type="dxa"/>
            <w:tcBorders>
              <w:top w:val="single" w:sz="6" w:space="0" w:color="FFFFFF"/>
              <w:bottom w:val="single" w:sz="6" w:space="0" w:color="FFFFFF"/>
            </w:tcBorders>
            <w:shd w:val="clear" w:color="auto" w:fill="EAF1DD"/>
          </w:tcPr>
          <w:p w14:paraId="275AFF09"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2432</w:t>
            </w:r>
          </w:p>
        </w:tc>
        <w:tc>
          <w:tcPr>
            <w:tcW w:w="1134" w:type="dxa"/>
            <w:tcBorders>
              <w:top w:val="single" w:sz="6" w:space="0" w:color="FFFFFF"/>
              <w:bottom w:val="single" w:sz="6" w:space="0" w:color="FFFFFF"/>
            </w:tcBorders>
            <w:shd w:val="clear" w:color="auto" w:fill="EAF1DD"/>
          </w:tcPr>
          <w:p w14:paraId="68F6C134"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2812</w:t>
            </w:r>
          </w:p>
        </w:tc>
      </w:tr>
      <w:tr w:rsidR="00616E66" w:rsidRPr="00153C21" w14:paraId="62D345E2"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17DBED5E"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Australian smelt</w:t>
            </w:r>
          </w:p>
        </w:tc>
        <w:tc>
          <w:tcPr>
            <w:tcW w:w="1291" w:type="dxa"/>
            <w:tcBorders>
              <w:top w:val="single" w:sz="6" w:space="0" w:color="FFFFFF"/>
              <w:bottom w:val="single" w:sz="6" w:space="0" w:color="FFFFFF"/>
            </w:tcBorders>
            <w:shd w:val="clear" w:color="auto" w:fill="EAF1DD"/>
          </w:tcPr>
          <w:p w14:paraId="6B2DE193"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76</w:t>
            </w:r>
          </w:p>
        </w:tc>
        <w:tc>
          <w:tcPr>
            <w:tcW w:w="1418" w:type="dxa"/>
            <w:tcBorders>
              <w:top w:val="single" w:sz="6" w:space="0" w:color="FFFFFF"/>
              <w:bottom w:val="single" w:sz="6" w:space="0" w:color="FFFFFF"/>
            </w:tcBorders>
            <w:shd w:val="clear" w:color="auto" w:fill="EAF1DD"/>
          </w:tcPr>
          <w:p w14:paraId="5A33A79B"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1449</w:t>
            </w:r>
          </w:p>
        </w:tc>
        <w:tc>
          <w:tcPr>
            <w:tcW w:w="1134" w:type="dxa"/>
            <w:tcBorders>
              <w:top w:val="single" w:sz="6" w:space="0" w:color="FFFFFF"/>
              <w:bottom w:val="single" w:sz="6" w:space="0" w:color="FFFFFF"/>
            </w:tcBorders>
            <w:shd w:val="clear" w:color="auto" w:fill="EAF1DD"/>
          </w:tcPr>
          <w:p w14:paraId="0AB1D208"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1525</w:t>
            </w:r>
          </w:p>
        </w:tc>
      </w:tr>
      <w:tr w:rsidR="00616E66" w:rsidRPr="00153C21" w14:paraId="61AB99D3"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E2CEC28"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carp gudgeon</w:t>
            </w:r>
          </w:p>
        </w:tc>
        <w:tc>
          <w:tcPr>
            <w:tcW w:w="1291" w:type="dxa"/>
            <w:tcBorders>
              <w:top w:val="single" w:sz="6" w:space="0" w:color="FFFFFF"/>
              <w:bottom w:val="single" w:sz="6" w:space="0" w:color="FFFFFF"/>
            </w:tcBorders>
            <w:shd w:val="clear" w:color="auto" w:fill="EAF1DD"/>
          </w:tcPr>
          <w:p w14:paraId="7C6C9A70"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3</w:t>
            </w:r>
          </w:p>
        </w:tc>
        <w:tc>
          <w:tcPr>
            <w:tcW w:w="1418" w:type="dxa"/>
            <w:tcBorders>
              <w:top w:val="single" w:sz="6" w:space="0" w:color="FFFFFF"/>
              <w:bottom w:val="single" w:sz="6" w:space="0" w:color="FFFFFF"/>
            </w:tcBorders>
            <w:shd w:val="clear" w:color="auto" w:fill="EAF1DD"/>
          </w:tcPr>
          <w:p w14:paraId="6D6DA7B5"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25</w:t>
            </w:r>
          </w:p>
        </w:tc>
        <w:tc>
          <w:tcPr>
            <w:tcW w:w="1134" w:type="dxa"/>
            <w:tcBorders>
              <w:top w:val="single" w:sz="6" w:space="0" w:color="FFFFFF"/>
              <w:bottom w:val="single" w:sz="6" w:space="0" w:color="FFFFFF"/>
            </w:tcBorders>
            <w:shd w:val="clear" w:color="auto" w:fill="EAF1DD"/>
          </w:tcPr>
          <w:p w14:paraId="22C7AFAF"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28</w:t>
            </w:r>
          </w:p>
        </w:tc>
      </w:tr>
      <w:tr w:rsidR="00616E66" w:rsidRPr="00153C21" w14:paraId="5A6AF4DB"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0F3917E9"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freshwater catfish</w:t>
            </w:r>
          </w:p>
        </w:tc>
        <w:tc>
          <w:tcPr>
            <w:tcW w:w="1291" w:type="dxa"/>
            <w:tcBorders>
              <w:top w:val="single" w:sz="6" w:space="0" w:color="FFFFFF"/>
              <w:bottom w:val="single" w:sz="6" w:space="0" w:color="FFFFFF"/>
            </w:tcBorders>
            <w:shd w:val="clear" w:color="auto" w:fill="EAF1DD"/>
          </w:tcPr>
          <w:p w14:paraId="1C56FA79"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4FD3A99B"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061E7B40"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0</w:t>
            </w:r>
          </w:p>
        </w:tc>
      </w:tr>
      <w:tr w:rsidR="00616E66" w:rsidRPr="00153C21" w14:paraId="363EC148"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4404EA6"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golden perch</w:t>
            </w:r>
          </w:p>
        </w:tc>
        <w:tc>
          <w:tcPr>
            <w:tcW w:w="1291" w:type="dxa"/>
            <w:tcBorders>
              <w:top w:val="single" w:sz="6" w:space="0" w:color="FFFFFF"/>
              <w:bottom w:val="single" w:sz="6" w:space="0" w:color="FFFFFF"/>
            </w:tcBorders>
            <w:shd w:val="clear" w:color="auto" w:fill="EAF1DD"/>
          </w:tcPr>
          <w:p w14:paraId="42160F05"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634B0F0D"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518D5690"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0</w:t>
            </w:r>
          </w:p>
        </w:tc>
      </w:tr>
      <w:tr w:rsidR="00616E66" w:rsidRPr="00153C21" w14:paraId="45F5ACBA"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2089C15F"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eastern gambusia</w:t>
            </w:r>
          </w:p>
        </w:tc>
        <w:tc>
          <w:tcPr>
            <w:tcW w:w="1291" w:type="dxa"/>
            <w:tcBorders>
              <w:top w:val="single" w:sz="6" w:space="0" w:color="FFFFFF"/>
              <w:bottom w:val="single" w:sz="6" w:space="0" w:color="FFFFFF"/>
            </w:tcBorders>
            <w:shd w:val="clear" w:color="auto" w:fill="EAF1DD"/>
          </w:tcPr>
          <w:p w14:paraId="5FCC27A9"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w:t>
            </w:r>
          </w:p>
        </w:tc>
        <w:tc>
          <w:tcPr>
            <w:tcW w:w="1418" w:type="dxa"/>
            <w:tcBorders>
              <w:top w:val="single" w:sz="6" w:space="0" w:color="FFFFFF"/>
              <w:bottom w:val="single" w:sz="6" w:space="0" w:color="FFFFFF"/>
            </w:tcBorders>
            <w:shd w:val="clear" w:color="auto" w:fill="EAF1DD"/>
          </w:tcPr>
          <w:p w14:paraId="361A698B"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45</w:t>
            </w:r>
          </w:p>
        </w:tc>
        <w:tc>
          <w:tcPr>
            <w:tcW w:w="1134" w:type="dxa"/>
            <w:tcBorders>
              <w:top w:val="single" w:sz="6" w:space="0" w:color="FFFFFF"/>
              <w:bottom w:val="single" w:sz="6" w:space="0" w:color="FFFFFF"/>
            </w:tcBorders>
            <w:shd w:val="clear" w:color="auto" w:fill="EAF1DD"/>
          </w:tcPr>
          <w:p w14:paraId="2E4FC999"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46</w:t>
            </w:r>
          </w:p>
        </w:tc>
      </w:tr>
      <w:tr w:rsidR="00616E66" w:rsidRPr="00153C21" w14:paraId="3D05CB59"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7CF0339C"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common carp</w:t>
            </w:r>
          </w:p>
        </w:tc>
        <w:tc>
          <w:tcPr>
            <w:tcW w:w="1291" w:type="dxa"/>
            <w:tcBorders>
              <w:top w:val="single" w:sz="6" w:space="0" w:color="FFFFFF"/>
              <w:bottom w:val="single" w:sz="6" w:space="0" w:color="FFFFFF"/>
            </w:tcBorders>
            <w:shd w:val="clear" w:color="auto" w:fill="EAF1DD"/>
          </w:tcPr>
          <w:p w14:paraId="25F8D1EC"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w:t>
            </w:r>
          </w:p>
        </w:tc>
        <w:tc>
          <w:tcPr>
            <w:tcW w:w="1418" w:type="dxa"/>
            <w:tcBorders>
              <w:top w:val="single" w:sz="6" w:space="0" w:color="FFFFFF"/>
              <w:bottom w:val="single" w:sz="6" w:space="0" w:color="FFFFFF"/>
            </w:tcBorders>
            <w:shd w:val="clear" w:color="auto" w:fill="EAF1DD"/>
          </w:tcPr>
          <w:p w14:paraId="559A1417"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13018987"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1</w:t>
            </w:r>
          </w:p>
        </w:tc>
      </w:tr>
      <w:tr w:rsidR="00616E66" w:rsidRPr="00153C21" w14:paraId="43EBAF20" w14:textId="77777777" w:rsidTr="000F79CD">
        <w:trPr>
          <w:jc w:val="center"/>
        </w:trPr>
        <w:tc>
          <w:tcPr>
            <w:tcW w:w="2219" w:type="dxa"/>
            <w:tcBorders>
              <w:top w:val="single" w:sz="6" w:space="0" w:color="FFFFFF"/>
              <w:left w:val="single" w:sz="8" w:space="0" w:color="FFFFFF"/>
              <w:bottom w:val="single" w:sz="8" w:space="0" w:color="FFFFFF"/>
              <w:right w:val="single" w:sz="24" w:space="0" w:color="FFFFFF"/>
            </w:tcBorders>
            <w:shd w:val="clear" w:color="auto" w:fill="9BBB59"/>
          </w:tcPr>
          <w:p w14:paraId="2256DDDD" w14:textId="77777777" w:rsidR="00616E66" w:rsidRPr="008A2DB2" w:rsidRDefault="00616E66" w:rsidP="000F79CD">
            <w:pPr>
              <w:spacing w:before="20" w:after="40"/>
              <w:rPr>
                <w:rFonts w:eastAsia="Times New Roman"/>
                <w:b/>
                <w:bCs/>
                <w:i/>
                <w:color w:val="FFFFFF"/>
                <w:sz w:val="18"/>
                <w:szCs w:val="18"/>
                <w:lang w:eastAsia="x-none"/>
              </w:rPr>
            </w:pPr>
            <w:r w:rsidRPr="008A2DB2">
              <w:rPr>
                <w:rFonts w:eastAsia="Times New Roman"/>
                <w:b/>
                <w:bCs/>
                <w:i/>
                <w:color w:val="FFFFFF"/>
                <w:sz w:val="18"/>
                <w:szCs w:val="18"/>
                <w:lang w:eastAsia="x-none"/>
              </w:rPr>
              <w:t>TOTAL</w:t>
            </w:r>
          </w:p>
        </w:tc>
        <w:tc>
          <w:tcPr>
            <w:tcW w:w="1291" w:type="dxa"/>
            <w:tcBorders>
              <w:top w:val="single" w:sz="6" w:space="0" w:color="FFFFFF"/>
              <w:bottom w:val="single" w:sz="8" w:space="0" w:color="FFFFFF"/>
            </w:tcBorders>
            <w:shd w:val="clear" w:color="auto" w:fill="EAF1DD"/>
          </w:tcPr>
          <w:p w14:paraId="798A3A87"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685</w:t>
            </w:r>
          </w:p>
        </w:tc>
        <w:tc>
          <w:tcPr>
            <w:tcW w:w="1418" w:type="dxa"/>
            <w:tcBorders>
              <w:top w:val="single" w:sz="6" w:space="0" w:color="FFFFFF"/>
              <w:bottom w:val="single" w:sz="8" w:space="0" w:color="FFFFFF"/>
            </w:tcBorders>
            <w:shd w:val="clear" w:color="auto" w:fill="EAF1DD"/>
          </w:tcPr>
          <w:p w14:paraId="46F445AD"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4025</w:t>
            </w:r>
          </w:p>
        </w:tc>
        <w:tc>
          <w:tcPr>
            <w:tcW w:w="1134" w:type="dxa"/>
            <w:tcBorders>
              <w:top w:val="single" w:sz="6" w:space="0" w:color="FFFFFF"/>
              <w:bottom w:val="single" w:sz="8" w:space="0" w:color="FFFFFF"/>
            </w:tcBorders>
            <w:shd w:val="clear" w:color="auto" w:fill="EAF1DD"/>
          </w:tcPr>
          <w:p w14:paraId="2421E8C6"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4710</w:t>
            </w:r>
          </w:p>
        </w:tc>
      </w:tr>
    </w:tbl>
    <w:p w14:paraId="43AA2522" w14:textId="77777777" w:rsidR="00616E66" w:rsidRDefault="00616E66" w:rsidP="00616E66">
      <w:pPr>
        <w:rPr>
          <w:lang w:val="en-GB" w:eastAsia="x-none"/>
        </w:rPr>
      </w:pPr>
    </w:p>
    <w:p w14:paraId="72FD0583" w14:textId="74BC2A09" w:rsidR="00616E66" w:rsidRDefault="00616E66" w:rsidP="00616E66">
      <w:pPr>
        <w:rPr>
          <w:lang w:val="en-GB" w:eastAsia="x-none"/>
        </w:rPr>
      </w:pPr>
      <w:r w:rsidRPr="002E6686">
        <w:rPr>
          <w:lang w:val="en-GB" w:eastAsia="x-none"/>
        </w:rPr>
        <w:t>Three opportunistic species were collected during larval sampling in 201</w:t>
      </w:r>
      <w:r>
        <w:rPr>
          <w:lang w:val="en-GB" w:eastAsia="x-none"/>
        </w:rPr>
        <w:t>8</w:t>
      </w:r>
      <w:r w:rsidRPr="002E6686">
        <w:rPr>
          <w:lang w:val="en-GB" w:eastAsia="x-none"/>
        </w:rPr>
        <w:t>,</w:t>
      </w:r>
      <w:r>
        <w:rPr>
          <w:lang w:val="en-GB" w:eastAsia="x-none"/>
        </w:rPr>
        <w:t xml:space="preserve"> these were Australian smelt, flat </w:t>
      </w:r>
      <w:r w:rsidRPr="002E6686">
        <w:rPr>
          <w:lang w:val="en-GB" w:eastAsia="x-none"/>
        </w:rPr>
        <w:t>headed gudg</w:t>
      </w:r>
      <w:r>
        <w:rPr>
          <w:lang w:val="en-GB" w:eastAsia="x-none"/>
        </w:rPr>
        <w:t>eons and a carp gudgeon. Australian smelt were captured in light traps during all five sampling events and in drift nets in four of the five sampling events.</w:t>
      </w:r>
      <w:r w:rsidRPr="00C84614">
        <w:rPr>
          <w:lang w:val="en-GB" w:eastAsia="x-none"/>
        </w:rPr>
        <w:t xml:space="preserve"> </w:t>
      </w:r>
      <w:r w:rsidRPr="002E6686">
        <w:rPr>
          <w:lang w:val="en-GB" w:eastAsia="x-none"/>
        </w:rPr>
        <w:t xml:space="preserve">Australian smelt larvae were detected on </w:t>
      </w:r>
      <w:r>
        <w:rPr>
          <w:lang w:val="en-GB" w:eastAsia="x-none"/>
        </w:rPr>
        <w:t>all sampling events, though were most abundant on sampling event 1 (70 % of individuals captured)</w:t>
      </w:r>
      <w:r w:rsidRPr="002E6686">
        <w:rPr>
          <w:lang w:val="en-GB" w:eastAsia="x-none"/>
        </w:rPr>
        <w:t xml:space="preserve"> (</w:t>
      </w:r>
      <w:r w:rsidRPr="002E6686">
        <w:rPr>
          <w:lang w:val="en-GB" w:eastAsia="x-none"/>
        </w:rPr>
        <w:fldChar w:fldCharType="begin"/>
      </w:r>
      <w:r w:rsidRPr="002E6686">
        <w:rPr>
          <w:lang w:val="en-GB" w:eastAsia="x-none"/>
        </w:rPr>
        <w:instrText xml:space="preserve"> REF _Ref440827355 \h  \* MERGEFORMAT </w:instrText>
      </w:r>
      <w:r w:rsidRPr="002E6686">
        <w:rPr>
          <w:lang w:val="en-GB" w:eastAsia="x-none"/>
        </w:rPr>
      </w:r>
      <w:r w:rsidRPr="002E6686">
        <w:rPr>
          <w:lang w:val="en-GB" w:eastAsia="x-none"/>
        </w:rPr>
        <w:fldChar w:fldCharType="separate"/>
      </w:r>
      <w:r w:rsidR="007F7607" w:rsidRPr="007F7607">
        <w:rPr>
          <w:lang w:val="en-GB" w:eastAsia="x-none"/>
        </w:rPr>
        <w:t>Table 18</w:t>
      </w:r>
      <w:r w:rsidRPr="002E6686">
        <w:rPr>
          <w:lang w:eastAsia="x-none"/>
        </w:rPr>
        <w:fldChar w:fldCharType="end"/>
      </w:r>
      <w:r w:rsidRPr="002E6686">
        <w:rPr>
          <w:lang w:val="en-GB" w:eastAsia="x-none"/>
        </w:rPr>
        <w:t xml:space="preserve"> and </w:t>
      </w:r>
      <w:r w:rsidRPr="002E6686">
        <w:rPr>
          <w:lang w:val="en-GB" w:eastAsia="x-none"/>
        </w:rPr>
        <w:fldChar w:fldCharType="begin"/>
      </w:r>
      <w:r w:rsidRPr="002E6686">
        <w:rPr>
          <w:lang w:val="en-GB" w:eastAsia="x-none"/>
        </w:rPr>
        <w:instrText xml:space="preserve"> REF _Ref428532182 \h  \* MERGEFORMAT </w:instrText>
      </w:r>
      <w:r w:rsidRPr="002E6686">
        <w:rPr>
          <w:lang w:val="en-GB" w:eastAsia="x-none"/>
        </w:rPr>
      </w:r>
      <w:r w:rsidRPr="002E6686">
        <w:rPr>
          <w:lang w:val="en-GB" w:eastAsia="x-none"/>
        </w:rPr>
        <w:fldChar w:fldCharType="separate"/>
      </w:r>
      <w:r w:rsidR="007F7607" w:rsidRPr="007F7607">
        <w:rPr>
          <w:lang w:val="en-GB" w:eastAsia="x-none"/>
        </w:rPr>
        <w:t>Figure 55</w:t>
      </w:r>
      <w:r w:rsidRPr="002E6686">
        <w:rPr>
          <w:lang w:eastAsia="x-none"/>
        </w:rPr>
        <w:fldChar w:fldCharType="end"/>
      </w:r>
      <w:r w:rsidRPr="002E6686">
        <w:rPr>
          <w:lang w:val="en-GB" w:eastAsia="x-none"/>
        </w:rPr>
        <w:t>). Australian smelt were captured at each site</w:t>
      </w:r>
      <w:r>
        <w:rPr>
          <w:lang w:val="en-GB" w:eastAsia="x-none"/>
        </w:rPr>
        <w:t>, though</w:t>
      </w:r>
      <w:r w:rsidRPr="002E6686">
        <w:rPr>
          <w:lang w:val="en-GB" w:eastAsia="x-none"/>
        </w:rPr>
        <w:t xml:space="preserve"> were most </w:t>
      </w:r>
      <w:r>
        <w:rPr>
          <w:lang w:val="en-GB" w:eastAsia="x-none"/>
        </w:rPr>
        <w:t>numerous at Hunthawang (69%)</w:t>
      </w:r>
      <w:r w:rsidRPr="002E6686">
        <w:rPr>
          <w:lang w:val="en-GB" w:eastAsia="x-none"/>
        </w:rPr>
        <w:t xml:space="preserve">. Australian smelt captured ranged in size from </w:t>
      </w:r>
      <w:r>
        <w:rPr>
          <w:lang w:val="en-GB" w:eastAsia="x-none"/>
        </w:rPr>
        <w:t>7.3</w:t>
      </w:r>
      <w:r w:rsidRPr="002E6686">
        <w:rPr>
          <w:lang w:val="en-GB" w:eastAsia="x-none"/>
        </w:rPr>
        <w:t xml:space="preserve"> – </w:t>
      </w:r>
      <w:r>
        <w:rPr>
          <w:lang w:val="en-GB" w:eastAsia="x-none"/>
        </w:rPr>
        <w:t>42</w:t>
      </w:r>
      <w:r w:rsidRPr="002E6686">
        <w:rPr>
          <w:lang w:val="en-GB" w:eastAsia="x-none"/>
        </w:rPr>
        <w:t xml:space="preserve"> mm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sidRPr="002E6686">
        <w:rPr>
          <w:lang w:val="en-GB" w:eastAsia="x-none"/>
        </w:rPr>
        <w:t xml:space="preserve">) and ranged in estimated age from </w:t>
      </w:r>
      <w:r>
        <w:rPr>
          <w:lang w:val="en-GB" w:eastAsia="x-none"/>
        </w:rPr>
        <w:t>0</w:t>
      </w:r>
      <w:r w:rsidRPr="002E6686">
        <w:rPr>
          <w:lang w:val="en-GB" w:eastAsia="x-none"/>
        </w:rPr>
        <w:t xml:space="preserve"> – </w:t>
      </w:r>
      <w:r>
        <w:rPr>
          <w:lang w:val="en-GB" w:eastAsia="x-none"/>
        </w:rPr>
        <w:t>121</w:t>
      </w:r>
      <w:r w:rsidRPr="002E6686">
        <w:rPr>
          <w:lang w:val="en-GB" w:eastAsia="x-none"/>
        </w:rPr>
        <w:t xml:space="preserve"> days</w:t>
      </w:r>
      <w:r>
        <w:rPr>
          <w:lang w:val="en-GB" w:eastAsia="x-none"/>
        </w:rPr>
        <w:t xml:space="preserve"> old</w:t>
      </w:r>
      <w:r w:rsidRPr="002E6686">
        <w:rPr>
          <w:lang w:val="en-GB" w:eastAsia="x-none"/>
        </w:rPr>
        <w:t xml:space="preserve">. Length frequency distribution and associated back calculation of estimated spawning dates indicate that Australian smelt </w:t>
      </w:r>
      <w:r>
        <w:rPr>
          <w:lang w:val="en-GB" w:eastAsia="x-none"/>
        </w:rPr>
        <w:t xml:space="preserve">had an extended </w:t>
      </w:r>
      <w:r w:rsidRPr="002E6686">
        <w:rPr>
          <w:lang w:val="en-GB" w:eastAsia="x-none"/>
        </w:rPr>
        <w:t>spawn</w:t>
      </w:r>
      <w:r>
        <w:rPr>
          <w:lang w:val="en-GB" w:eastAsia="x-none"/>
        </w:rPr>
        <w:t>ing window spanning</w:t>
      </w:r>
      <w:r w:rsidRPr="002E6686">
        <w:rPr>
          <w:lang w:val="en-GB" w:eastAsia="x-none"/>
        </w:rPr>
        <w:t xml:space="preserve"> </w:t>
      </w:r>
      <w:r>
        <w:rPr>
          <w:lang w:val="en-GB" w:eastAsia="x-none"/>
        </w:rPr>
        <w:t>early-August</w:t>
      </w:r>
      <w:r w:rsidRPr="002E6686">
        <w:rPr>
          <w:lang w:val="en-GB" w:eastAsia="x-none"/>
        </w:rPr>
        <w:t xml:space="preserve"> to </w:t>
      </w:r>
      <w:r>
        <w:rPr>
          <w:lang w:val="en-GB" w:eastAsia="x-none"/>
        </w:rPr>
        <w:t>mid</w:t>
      </w:r>
      <w:r w:rsidRPr="002E6686">
        <w:rPr>
          <w:lang w:val="en-GB" w:eastAsia="x-none"/>
        </w:rPr>
        <w:t>-</w:t>
      </w:r>
      <w:r>
        <w:rPr>
          <w:lang w:val="en-GB" w:eastAsia="x-none"/>
        </w:rPr>
        <w:t>November</w:t>
      </w:r>
      <w:r w:rsidRPr="002E6686">
        <w:rPr>
          <w:lang w:val="en-GB" w:eastAsia="x-none"/>
        </w:rPr>
        <w:t xml:space="preserve"> in 20</w:t>
      </w:r>
      <w:r>
        <w:rPr>
          <w:lang w:val="en-GB" w:eastAsia="x-none"/>
        </w:rPr>
        <w:t>18 (</w:t>
      </w:r>
      <w:r w:rsidRPr="002E6686">
        <w:rPr>
          <w:lang w:val="en-GB" w:eastAsia="x-none"/>
        </w:rPr>
        <w:t xml:space="preserve">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7F7607" w:rsidRPr="007F7607">
        <w:rPr>
          <w:lang w:val="en-GB" w:eastAsia="x-none"/>
        </w:rPr>
        <w:t>Figure 62</w:t>
      </w:r>
      <w:r w:rsidRPr="002E6686">
        <w:rPr>
          <w:lang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Pr>
          <w:lang w:val="en-GB" w:eastAsia="x-none"/>
        </w:rPr>
        <w:t>). P</w:t>
      </w:r>
      <w:r w:rsidRPr="002E6686">
        <w:rPr>
          <w:lang w:val="en-GB" w:eastAsia="x-none"/>
        </w:rPr>
        <w:t>eak</w:t>
      </w:r>
      <w:r>
        <w:rPr>
          <w:lang w:val="en-GB" w:eastAsia="x-none"/>
        </w:rPr>
        <w:t>s</w:t>
      </w:r>
      <w:r w:rsidRPr="002E6686">
        <w:rPr>
          <w:lang w:val="en-GB" w:eastAsia="x-none"/>
        </w:rPr>
        <w:t xml:space="preserve"> in spawning activity</w:t>
      </w:r>
      <w:r>
        <w:rPr>
          <w:lang w:val="en-GB" w:eastAsia="x-none"/>
        </w:rPr>
        <w:t xml:space="preserve"> occurred</w:t>
      </w:r>
      <w:r w:rsidRPr="002E6686">
        <w:rPr>
          <w:lang w:val="en-GB" w:eastAsia="x-none"/>
        </w:rPr>
        <w:t xml:space="preserve"> </w:t>
      </w:r>
      <w:r>
        <w:rPr>
          <w:lang w:val="en-GB" w:eastAsia="x-none"/>
        </w:rPr>
        <w:t>around</w:t>
      </w:r>
      <w:r w:rsidRPr="002E6686">
        <w:rPr>
          <w:lang w:val="en-GB" w:eastAsia="x-none"/>
        </w:rPr>
        <w:t xml:space="preserve"> </w:t>
      </w:r>
      <w:r>
        <w:rPr>
          <w:lang w:val="en-GB" w:eastAsia="x-none"/>
        </w:rPr>
        <w:t>late August / early September and late September / late October</w:t>
      </w:r>
      <w:r w:rsidRPr="002E6686">
        <w:rPr>
          <w:lang w:val="en-GB" w:eastAsia="x-none"/>
        </w:rPr>
        <w:t>, when water temperatures were around 1</w:t>
      </w:r>
      <w:r>
        <w:rPr>
          <w:lang w:val="en-GB" w:eastAsia="x-none"/>
        </w:rPr>
        <w:t>1</w:t>
      </w:r>
      <w:r w:rsidRPr="002E6686">
        <w:rPr>
          <w:lang w:val="en-GB" w:eastAsia="x-none"/>
        </w:rPr>
        <w:t xml:space="preserve"> – 1</w:t>
      </w:r>
      <w:r>
        <w:rPr>
          <w:lang w:val="en-GB" w:eastAsia="x-none"/>
        </w:rPr>
        <w:t>3</w:t>
      </w:r>
      <w:r w:rsidRPr="002E6686">
        <w:rPr>
          <w:lang w:val="en-GB" w:eastAsia="x-none"/>
        </w:rPr>
        <w:t xml:space="preserve"> °C </w:t>
      </w:r>
      <w:r>
        <w:rPr>
          <w:lang w:val="en-GB" w:eastAsia="x-none"/>
        </w:rPr>
        <w:t xml:space="preserve">and 17 – 22 </w:t>
      </w:r>
      <w:r w:rsidRPr="002E6686">
        <w:rPr>
          <w:lang w:val="en-GB" w:eastAsia="x-none"/>
        </w:rPr>
        <w:t>°C</w:t>
      </w:r>
      <w:r>
        <w:rPr>
          <w:lang w:val="en-GB" w:eastAsia="x-none"/>
        </w:rPr>
        <w:t xml:space="preserve">, respectively </w:t>
      </w:r>
      <w:r w:rsidRPr="002E6686">
        <w:rPr>
          <w:lang w:val="en-GB" w:eastAsia="x-none"/>
        </w:rPr>
        <w:t xml:space="preserve">(see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7F7607" w:rsidRPr="007F7607">
        <w:rPr>
          <w:lang w:val="en-GB" w:eastAsia="x-none"/>
        </w:rPr>
        <w:t>Figure 62</w:t>
      </w:r>
      <w:r w:rsidRPr="002E6686">
        <w:rPr>
          <w:lang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sidRPr="002E6686">
        <w:rPr>
          <w:lang w:val="en-GB" w:eastAsia="x-none"/>
        </w:rPr>
        <w:t xml:space="preserve">). </w:t>
      </w:r>
      <w:r>
        <w:rPr>
          <w:lang w:val="en-GB" w:eastAsia="x-none"/>
        </w:rPr>
        <w:t>Mean l</w:t>
      </w:r>
      <w:r w:rsidRPr="002E6686">
        <w:rPr>
          <w:lang w:val="en-GB" w:eastAsia="x-none"/>
        </w:rPr>
        <w:t xml:space="preserve">ength of Australian smelt </w:t>
      </w:r>
      <w:r>
        <w:rPr>
          <w:lang w:val="en-GB" w:eastAsia="x-none"/>
        </w:rPr>
        <w:t>was greatest in trips 4 and 5</w:t>
      </w:r>
      <w:r w:rsidRPr="002E6686">
        <w:rPr>
          <w:lang w:val="en-GB" w:eastAsia="x-none"/>
        </w:rPr>
        <w:t xml:space="preserve">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sidRPr="002E6686">
        <w:rPr>
          <w:lang w:val="en-GB" w:eastAsia="x-none"/>
        </w:rPr>
        <w:t>).</w:t>
      </w:r>
      <w:r>
        <w:rPr>
          <w:lang w:val="en-GB" w:eastAsia="x-none"/>
        </w:rPr>
        <w:t xml:space="preserve"> </w:t>
      </w:r>
    </w:p>
    <w:p w14:paraId="1F4E1B99" w14:textId="563EC498" w:rsidR="00616E66" w:rsidRPr="002E6686" w:rsidRDefault="00616E66" w:rsidP="00616E66">
      <w:pPr>
        <w:rPr>
          <w:lang w:val="en-GB" w:eastAsia="x-none"/>
        </w:rPr>
      </w:pPr>
      <w:r>
        <w:rPr>
          <w:lang w:val="en-GB" w:eastAsia="x-none"/>
        </w:rPr>
        <w:t xml:space="preserve">Flat headed gudgeon were captured in all sampling events in 2018, though were in highest abundance in trip 2 (46% of individuals). The majority (86%) of flat headed gudgeon were captured in light traps. Flat </w:t>
      </w:r>
      <w:r w:rsidRPr="002E6686">
        <w:rPr>
          <w:lang w:val="en-GB" w:eastAsia="x-none"/>
        </w:rPr>
        <w:t xml:space="preserve">headed gudgeon ranged in length from </w:t>
      </w:r>
      <w:r>
        <w:rPr>
          <w:lang w:val="en-GB" w:eastAsia="x-none"/>
        </w:rPr>
        <w:t>6.05</w:t>
      </w:r>
      <w:r w:rsidRPr="002E6686">
        <w:rPr>
          <w:lang w:val="en-GB" w:eastAsia="x-none"/>
        </w:rPr>
        <w:t xml:space="preserve"> – </w:t>
      </w:r>
      <w:r>
        <w:rPr>
          <w:lang w:val="en-GB" w:eastAsia="x-none"/>
        </w:rPr>
        <w:t>22.8</w:t>
      </w:r>
      <w:r w:rsidRPr="002E6686">
        <w:rPr>
          <w:lang w:val="en-GB" w:eastAsia="x-none"/>
        </w:rPr>
        <w:t xml:space="preserve"> mm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sidRPr="002E6686">
        <w:rPr>
          <w:lang w:val="en-GB" w:eastAsia="x-none"/>
        </w:rPr>
        <w:t>)</w:t>
      </w:r>
      <w:r>
        <w:rPr>
          <w:lang w:val="en-GB" w:eastAsia="x-none"/>
        </w:rPr>
        <w:t>,</w:t>
      </w:r>
      <w:r w:rsidRPr="002E6686">
        <w:rPr>
          <w:lang w:val="en-GB" w:eastAsia="x-none"/>
        </w:rPr>
        <w:t xml:space="preserve"> with an estimated age of </w:t>
      </w:r>
      <w:r>
        <w:rPr>
          <w:lang w:val="en-GB" w:eastAsia="x-none"/>
        </w:rPr>
        <w:t>23</w:t>
      </w:r>
      <w:r w:rsidRPr="002E6686">
        <w:rPr>
          <w:lang w:val="en-GB" w:eastAsia="x-none"/>
        </w:rPr>
        <w:t xml:space="preserve"> – </w:t>
      </w:r>
      <w:r>
        <w:rPr>
          <w:lang w:val="en-GB" w:eastAsia="x-none"/>
        </w:rPr>
        <w:t>124</w:t>
      </w:r>
      <w:r w:rsidRPr="002E6686">
        <w:rPr>
          <w:lang w:val="en-GB" w:eastAsia="x-none"/>
        </w:rPr>
        <w:t xml:space="preserve"> days</w:t>
      </w:r>
      <w:r>
        <w:rPr>
          <w:lang w:val="en-GB" w:eastAsia="x-none"/>
        </w:rPr>
        <w:t xml:space="preserve"> old</w:t>
      </w:r>
      <w:r w:rsidRPr="002E6686">
        <w:rPr>
          <w:lang w:val="en-GB" w:eastAsia="x-none"/>
        </w:rPr>
        <w:t xml:space="preserve">. This corresponds to an estimated spawning window from </w:t>
      </w:r>
      <w:r>
        <w:rPr>
          <w:lang w:val="en-GB" w:eastAsia="x-none"/>
        </w:rPr>
        <w:t>late</w:t>
      </w:r>
      <w:r w:rsidRPr="002E6686">
        <w:rPr>
          <w:lang w:val="en-GB" w:eastAsia="x-none"/>
        </w:rPr>
        <w:t xml:space="preserve"> </w:t>
      </w:r>
      <w:r>
        <w:rPr>
          <w:lang w:val="en-GB" w:eastAsia="x-none"/>
        </w:rPr>
        <w:t>July</w:t>
      </w:r>
      <w:r w:rsidRPr="002E6686">
        <w:rPr>
          <w:lang w:val="en-GB" w:eastAsia="x-none"/>
        </w:rPr>
        <w:t xml:space="preserve"> to late </w:t>
      </w:r>
      <w:r>
        <w:rPr>
          <w:lang w:val="en-GB" w:eastAsia="x-none"/>
        </w:rPr>
        <w:t>October</w:t>
      </w:r>
      <w:r w:rsidRPr="002E6686">
        <w:rPr>
          <w:lang w:val="en-GB" w:eastAsia="x-none"/>
        </w:rPr>
        <w:t xml:space="preserve">, with an extended peak between </w:t>
      </w:r>
      <w:r>
        <w:rPr>
          <w:lang w:val="en-GB" w:eastAsia="x-none"/>
        </w:rPr>
        <w:t>late</w:t>
      </w:r>
      <w:r w:rsidRPr="002E6686">
        <w:rPr>
          <w:lang w:val="en-GB" w:eastAsia="x-none"/>
        </w:rPr>
        <w:t>-</w:t>
      </w:r>
      <w:r>
        <w:rPr>
          <w:lang w:val="en-GB" w:eastAsia="x-none"/>
        </w:rPr>
        <w:t>August</w:t>
      </w:r>
      <w:r w:rsidRPr="002E6686">
        <w:rPr>
          <w:lang w:val="en-GB" w:eastAsia="x-none"/>
        </w:rPr>
        <w:t xml:space="preserve"> and </w:t>
      </w:r>
      <w:r>
        <w:rPr>
          <w:lang w:val="en-GB" w:eastAsia="x-none"/>
        </w:rPr>
        <w:t>late</w:t>
      </w:r>
      <w:r w:rsidRPr="002E6686">
        <w:rPr>
          <w:lang w:val="en-GB" w:eastAsia="x-none"/>
        </w:rPr>
        <w:t>-</w:t>
      </w:r>
      <w:r>
        <w:rPr>
          <w:lang w:val="en-GB" w:eastAsia="x-none"/>
        </w:rPr>
        <w:t>september</w:t>
      </w:r>
      <w:r w:rsidRPr="002E6686">
        <w:rPr>
          <w:lang w:val="en-GB" w:eastAsia="x-none"/>
        </w:rPr>
        <w:t xml:space="preserve"> 201</w:t>
      </w:r>
      <w:r>
        <w:rPr>
          <w:lang w:val="en-GB" w:eastAsia="x-none"/>
        </w:rPr>
        <w:t>8</w:t>
      </w:r>
      <w:r w:rsidRPr="002E6686">
        <w:rPr>
          <w:lang w:val="en-GB" w:eastAsia="x-none"/>
        </w:rPr>
        <w:t xml:space="preserve"> when water temperatures were </w:t>
      </w:r>
      <w:r>
        <w:rPr>
          <w:lang w:val="en-GB" w:eastAsia="x-none"/>
        </w:rPr>
        <w:t>~</w:t>
      </w:r>
      <w:r w:rsidRPr="002E6686">
        <w:rPr>
          <w:lang w:val="en-GB" w:eastAsia="x-none"/>
        </w:rPr>
        <w:t>1</w:t>
      </w:r>
      <w:r>
        <w:rPr>
          <w:lang w:val="en-GB" w:eastAsia="x-none"/>
        </w:rPr>
        <w:t>1</w:t>
      </w:r>
      <w:r w:rsidRPr="002E6686">
        <w:rPr>
          <w:lang w:val="en-GB" w:eastAsia="x-none"/>
        </w:rPr>
        <w:t xml:space="preserve"> – </w:t>
      </w:r>
      <w:r>
        <w:rPr>
          <w:lang w:val="en-GB" w:eastAsia="x-none"/>
        </w:rPr>
        <w:t>17</w:t>
      </w:r>
      <w:r w:rsidRPr="002E6686">
        <w:rPr>
          <w:lang w:val="en-GB" w:eastAsia="x-none"/>
        </w:rPr>
        <w:t xml:space="preserve"> °C</w:t>
      </w:r>
      <w:r>
        <w:rPr>
          <w:lang w:val="en-GB" w:eastAsia="x-none"/>
        </w:rPr>
        <w:t xml:space="preserve"> (</w:t>
      </w:r>
      <w:r w:rsidRPr="002E6686">
        <w:rPr>
          <w:lang w:val="en-GB" w:eastAsia="x-none"/>
        </w:rPr>
        <w:t xml:space="preserve">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7F7607" w:rsidRPr="007F7607">
        <w:rPr>
          <w:lang w:val="en-GB" w:eastAsia="x-none"/>
        </w:rPr>
        <w:t>Figure 62</w:t>
      </w:r>
      <w:r w:rsidRPr="002E6686">
        <w:rPr>
          <w:lang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Pr>
          <w:lang w:val="en-GB" w:eastAsia="x-none"/>
        </w:rPr>
        <w:t xml:space="preserve">). Mean length of flat </w:t>
      </w:r>
      <w:r w:rsidRPr="002E6686">
        <w:rPr>
          <w:lang w:val="en-GB" w:eastAsia="x-none"/>
        </w:rPr>
        <w:t>headed gudgeons increased between sampling events 2</w:t>
      </w:r>
      <w:r>
        <w:rPr>
          <w:lang w:val="en-GB" w:eastAsia="x-none"/>
        </w:rPr>
        <w:t xml:space="preserve"> and 4, then decreased slightly in trip 5</w:t>
      </w:r>
      <w:r w:rsidRPr="002E6686">
        <w:rPr>
          <w:lang w:val="en-GB" w:eastAsia="x-none"/>
        </w:rPr>
        <w:t xml:space="preserve">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sidRPr="002E6686">
        <w:rPr>
          <w:lang w:val="en-GB" w:eastAsia="x-none"/>
        </w:rPr>
        <w:t xml:space="preserve">). </w:t>
      </w:r>
    </w:p>
    <w:p w14:paraId="12857B26" w14:textId="77777777" w:rsidR="00616E66" w:rsidRPr="002E6686" w:rsidRDefault="00616E66" w:rsidP="00616E66">
      <w:pPr>
        <w:rPr>
          <w:lang w:val="en-GB" w:eastAsia="x-none"/>
        </w:rPr>
      </w:pPr>
    </w:p>
    <w:p w14:paraId="25D22DFC" w14:textId="77777777" w:rsidR="00616E66" w:rsidRDefault="00616E66" w:rsidP="00616E66">
      <w:pPr>
        <w:rPr>
          <w:lang w:val="en-GB" w:eastAsia="x-none"/>
        </w:rPr>
      </w:pPr>
    </w:p>
    <w:p w14:paraId="0B3AD379" w14:textId="77777777" w:rsidR="00616E66" w:rsidRPr="002E6686" w:rsidRDefault="00616E66" w:rsidP="00616E66">
      <w:pPr>
        <w:rPr>
          <w:lang w:val="en-GB" w:eastAsia="x-none"/>
        </w:rPr>
      </w:pPr>
    </w:p>
    <w:p w14:paraId="6ACF81E6" w14:textId="7CFF903E" w:rsidR="00616E66" w:rsidRPr="002E6686" w:rsidRDefault="00004B70" w:rsidP="00616E66">
      <w:pPr>
        <w:rPr>
          <w:lang w:eastAsia="x-none"/>
        </w:rPr>
      </w:pPr>
      <w:r>
        <w:rPr>
          <w:noProof/>
          <w:lang w:eastAsia="en-AU"/>
        </w:rPr>
        <w:drawing>
          <wp:inline distT="0" distB="0" distL="0" distR="0" wp14:anchorId="59D7127D" wp14:editId="2CEA7AA4">
            <wp:extent cx="5732145" cy="7421880"/>
            <wp:effectExtent l="0" t="0" r="190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732145" cy="7421880"/>
                    </a:xfrm>
                    <a:prstGeom prst="rect">
                      <a:avLst/>
                    </a:prstGeom>
                    <a:noFill/>
                    <a:ln>
                      <a:noFill/>
                    </a:ln>
                  </pic:spPr>
                </pic:pic>
              </a:graphicData>
            </a:graphic>
          </wp:inline>
        </w:drawing>
      </w:r>
    </w:p>
    <w:p w14:paraId="7887FDA9" w14:textId="32AC37F1" w:rsidR="002D2187" w:rsidRPr="002E6686" w:rsidRDefault="00616E66" w:rsidP="002D2187">
      <w:pPr>
        <w:pStyle w:val="Caption"/>
        <w:rPr>
          <w:lang w:val="en-GB"/>
        </w:rPr>
      </w:pPr>
      <w:bookmarkStart w:id="410" w:name="_Ref428532182"/>
      <w:bookmarkStart w:id="411" w:name="_Toc440827346"/>
      <w:bookmarkStart w:id="412" w:name="_Toc460335646"/>
      <w:bookmarkStart w:id="413" w:name="_Toc467776178"/>
      <w:bookmarkStart w:id="414" w:name="_Toc31985619"/>
      <w:r w:rsidRPr="002E6686">
        <w:t xml:space="preserve">Figure </w:t>
      </w:r>
      <w:r>
        <w:rPr>
          <w:noProof/>
        </w:rPr>
        <w:fldChar w:fldCharType="begin"/>
      </w:r>
      <w:r>
        <w:rPr>
          <w:noProof/>
        </w:rPr>
        <w:instrText xml:space="preserve"> SEQ Figure \* ARABIC </w:instrText>
      </w:r>
      <w:r>
        <w:rPr>
          <w:noProof/>
        </w:rPr>
        <w:fldChar w:fldCharType="separate"/>
      </w:r>
      <w:r w:rsidR="007F7607">
        <w:rPr>
          <w:noProof/>
        </w:rPr>
        <w:t>55</w:t>
      </w:r>
      <w:r>
        <w:rPr>
          <w:noProof/>
        </w:rPr>
        <w:fldChar w:fldCharType="end"/>
      </w:r>
      <w:bookmarkEnd w:id="410"/>
      <w:r w:rsidRPr="002E6686">
        <w:t xml:space="preserve">. </w:t>
      </w:r>
      <w:bookmarkEnd w:id="411"/>
      <w:bookmarkEnd w:id="412"/>
      <w:bookmarkEnd w:id="413"/>
      <w:r w:rsidR="002D2187" w:rsidRPr="002E6686">
        <w:rPr>
          <w:lang w:val="en-GB"/>
        </w:rPr>
        <w:t>Mean catch per unit effort (± standard error</w:t>
      </w:r>
      <w:r w:rsidR="002D2187">
        <w:rPr>
          <w:lang w:val="en-GB"/>
        </w:rPr>
        <w:t>)</w:t>
      </w:r>
      <w:r w:rsidR="002D2187" w:rsidRPr="002E6686">
        <w:rPr>
          <w:lang w:val="en-GB"/>
        </w:rPr>
        <w:t xml:space="preserve"> of the commonly caught larval native fish for drift nets (left axis, white bars</w:t>
      </w:r>
      <w:r w:rsidR="002D2187">
        <w:rPr>
          <w:lang w:val="en-GB"/>
        </w:rPr>
        <w:t>)</w:t>
      </w:r>
      <w:r w:rsidR="002D2187" w:rsidRPr="002E6686">
        <w:rPr>
          <w:lang w:val="en-GB"/>
        </w:rPr>
        <w:t xml:space="preserve"> and light traps (right axis, grey bars</w:t>
      </w:r>
      <w:r w:rsidR="002D2187">
        <w:rPr>
          <w:lang w:val="en-GB"/>
        </w:rPr>
        <w:t>)</w:t>
      </w:r>
      <w:r w:rsidR="002D2187" w:rsidRPr="002E6686">
        <w:rPr>
          <w:lang w:val="en-GB"/>
        </w:rPr>
        <w:t xml:space="preserve"> per sampling event in spring summer 201</w:t>
      </w:r>
      <w:r w:rsidR="002D2187">
        <w:rPr>
          <w:lang w:val="en-GB"/>
        </w:rPr>
        <w:t>8 in the lower Lachlan catchment</w:t>
      </w:r>
      <w:r w:rsidR="002D2187" w:rsidRPr="002E6686">
        <w:rPr>
          <w:lang w:val="en-GB"/>
        </w:rPr>
        <w:t>.</w:t>
      </w:r>
      <w:bookmarkEnd w:id="414"/>
    </w:p>
    <w:p w14:paraId="5580651E" w14:textId="734D9DB8" w:rsidR="00616E66" w:rsidRPr="002E6686" w:rsidRDefault="002D2187" w:rsidP="002D2187">
      <w:pPr>
        <w:pStyle w:val="Caption"/>
        <w:rPr>
          <w:lang w:eastAsia="x-none"/>
        </w:rPr>
      </w:pPr>
      <w:r>
        <w:rPr>
          <w:lang w:val="en-GB" w:eastAsia="x-none"/>
        </w:rPr>
        <w:br w:type="page"/>
      </w:r>
      <w:r w:rsidR="00004B70">
        <w:rPr>
          <w:noProof/>
          <w:lang w:eastAsia="en-AU"/>
        </w:rPr>
        <w:drawing>
          <wp:inline distT="0" distB="0" distL="0" distR="0" wp14:anchorId="6D3F2D7C" wp14:editId="7C60DD8C">
            <wp:extent cx="5732145" cy="7435850"/>
            <wp:effectExtent l="0" t="0" r="190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732145" cy="7435850"/>
                    </a:xfrm>
                    <a:prstGeom prst="rect">
                      <a:avLst/>
                    </a:prstGeom>
                    <a:noFill/>
                    <a:ln>
                      <a:noFill/>
                    </a:ln>
                  </pic:spPr>
                </pic:pic>
              </a:graphicData>
            </a:graphic>
          </wp:inline>
        </w:drawing>
      </w:r>
    </w:p>
    <w:p w14:paraId="39B42071" w14:textId="36A25D02" w:rsidR="00616E66" w:rsidRPr="002E6686" w:rsidRDefault="00616E66" w:rsidP="00616E66">
      <w:pPr>
        <w:pStyle w:val="Caption"/>
        <w:rPr>
          <w:lang w:val="en-GB"/>
        </w:rPr>
      </w:pPr>
      <w:bookmarkStart w:id="415" w:name="_Ref515976326"/>
      <w:bookmarkStart w:id="416" w:name="_Toc31985620"/>
      <w:r w:rsidRPr="002E6686">
        <w:t xml:space="preserve">Figure </w:t>
      </w:r>
      <w:r>
        <w:rPr>
          <w:noProof/>
        </w:rPr>
        <w:fldChar w:fldCharType="begin"/>
      </w:r>
      <w:r>
        <w:rPr>
          <w:noProof/>
        </w:rPr>
        <w:instrText xml:space="preserve"> SEQ Figure \* ARABIC </w:instrText>
      </w:r>
      <w:r>
        <w:rPr>
          <w:noProof/>
        </w:rPr>
        <w:fldChar w:fldCharType="separate"/>
      </w:r>
      <w:r w:rsidR="007F7607">
        <w:rPr>
          <w:noProof/>
        </w:rPr>
        <w:t>56</w:t>
      </w:r>
      <w:r>
        <w:rPr>
          <w:noProof/>
        </w:rPr>
        <w:fldChar w:fldCharType="end"/>
      </w:r>
      <w:bookmarkEnd w:id="415"/>
      <w:r w:rsidRPr="002E6686">
        <w:t xml:space="preserve">. </w:t>
      </w:r>
      <w:r w:rsidRPr="002E6686">
        <w:rPr>
          <w:lang w:val="en-GB"/>
        </w:rPr>
        <w:t>Length frequency histograms for each sampling event of commonly captured larval native fish species with site (n = 3</w:t>
      </w:r>
      <w:r>
        <w:rPr>
          <w:lang w:val="en-GB"/>
        </w:rPr>
        <w:t>)</w:t>
      </w:r>
      <w:r w:rsidRPr="002E6686">
        <w:rPr>
          <w:lang w:val="en-GB"/>
        </w:rPr>
        <w:t xml:space="preserve"> and sampling technique (n = 2</w:t>
      </w:r>
      <w:r>
        <w:rPr>
          <w:lang w:val="en-GB"/>
        </w:rPr>
        <w:t>)</w:t>
      </w:r>
      <w:r w:rsidRPr="002E6686">
        <w:rPr>
          <w:lang w:val="en-GB"/>
        </w:rPr>
        <w:t xml:space="preserve"> combined for 201</w:t>
      </w:r>
      <w:r>
        <w:rPr>
          <w:lang w:val="en-GB"/>
        </w:rPr>
        <w:t>8</w:t>
      </w:r>
      <w:r w:rsidRPr="002E6686">
        <w:rPr>
          <w:lang w:val="en-GB"/>
        </w:rPr>
        <w:t>.</w:t>
      </w:r>
      <w:bookmarkEnd w:id="416"/>
    </w:p>
    <w:p w14:paraId="4E4D6225" w14:textId="4C3B3B1F" w:rsidR="00616E66" w:rsidRDefault="00616E66" w:rsidP="00616E66">
      <w:pPr>
        <w:rPr>
          <w:lang w:val="en-GB" w:eastAsia="x-none"/>
        </w:rPr>
      </w:pPr>
      <w:r>
        <w:rPr>
          <w:lang w:val="en-GB" w:eastAsia="x-none"/>
        </w:rPr>
        <w:br w:type="page"/>
      </w:r>
      <w:r w:rsidRPr="002E6686">
        <w:rPr>
          <w:lang w:val="en-GB" w:eastAsia="x-none"/>
        </w:rPr>
        <w:t xml:space="preserve">A total of </w:t>
      </w:r>
      <w:r>
        <w:rPr>
          <w:lang w:val="en-GB" w:eastAsia="x-none"/>
        </w:rPr>
        <w:t>47</w:t>
      </w:r>
      <w:r w:rsidRPr="002E6686">
        <w:rPr>
          <w:lang w:val="en-GB" w:eastAsia="x-none"/>
        </w:rPr>
        <w:t xml:space="preserve"> alien fish larvae were captured in 201</w:t>
      </w:r>
      <w:r>
        <w:rPr>
          <w:lang w:val="en-GB" w:eastAsia="x-none"/>
        </w:rPr>
        <w:t>8 across the three sites,</w:t>
      </w:r>
      <w:r w:rsidRPr="002E6686">
        <w:rPr>
          <w:lang w:val="en-GB" w:eastAsia="x-none"/>
        </w:rPr>
        <w:t xml:space="preserve"> comprising </w:t>
      </w:r>
      <w:r>
        <w:rPr>
          <w:lang w:val="en-GB" w:eastAsia="x-none"/>
        </w:rPr>
        <w:t>1 common carp and 46</w:t>
      </w:r>
      <w:r w:rsidRPr="002E6686">
        <w:rPr>
          <w:lang w:val="en-GB" w:eastAsia="x-none"/>
        </w:rPr>
        <w:t xml:space="preserve"> eastern gambusia (</w:t>
      </w:r>
      <w:r w:rsidRPr="002E6686">
        <w:rPr>
          <w:lang w:val="en-GB" w:eastAsia="x-none"/>
        </w:rPr>
        <w:fldChar w:fldCharType="begin"/>
      </w:r>
      <w:r w:rsidRPr="002E6686">
        <w:rPr>
          <w:lang w:val="en-GB" w:eastAsia="x-none"/>
        </w:rPr>
        <w:instrText xml:space="preserve"> REF _Ref440827355 \h </w:instrText>
      </w:r>
      <w:r w:rsidRPr="002E6686">
        <w:rPr>
          <w:lang w:val="en-GB" w:eastAsia="x-none"/>
        </w:rPr>
      </w:r>
      <w:r w:rsidRPr="002E6686">
        <w:rPr>
          <w:lang w:val="en-GB" w:eastAsia="x-none"/>
        </w:rPr>
        <w:fldChar w:fldCharType="separate"/>
      </w:r>
      <w:r w:rsidR="007F7607" w:rsidRPr="002E6686">
        <w:t xml:space="preserve">Table </w:t>
      </w:r>
      <w:r w:rsidR="007F7607">
        <w:rPr>
          <w:noProof/>
        </w:rPr>
        <w:t>18</w:t>
      </w:r>
      <w:r w:rsidRPr="002E6686">
        <w:rPr>
          <w:lang w:eastAsia="x-none"/>
        </w:rPr>
        <w:fldChar w:fldCharType="end"/>
      </w:r>
      <w:r w:rsidRPr="002E6686">
        <w:rPr>
          <w:lang w:val="en-GB" w:eastAsia="x-none"/>
        </w:rPr>
        <w:t xml:space="preserve">). </w:t>
      </w:r>
      <w:r>
        <w:rPr>
          <w:lang w:val="en-GB" w:eastAsia="x-none"/>
        </w:rPr>
        <w:t xml:space="preserve">Most of the eastern gambusia (66%) were captured in sampling trips 1 and 2. Eastern gambusia ranged in size from 7 – 30 mm and were between 17 and 73 days old (based on estimated length vs age estimate equations presented in Humphries et al. 2008). Estimated spawning dates range for eastern gambusia was 25/8/18 – 4/10/18 (peak September). </w:t>
      </w:r>
    </w:p>
    <w:p w14:paraId="09BB1025" w14:textId="77777777" w:rsidR="00616E66" w:rsidRDefault="00616E66" w:rsidP="00616E66">
      <w:pPr>
        <w:rPr>
          <w:lang w:val="en-GB" w:eastAsia="x-none"/>
        </w:rPr>
      </w:pPr>
    </w:p>
    <w:p w14:paraId="52BA35CE" w14:textId="77777777" w:rsidR="00616E66" w:rsidRPr="002E6686" w:rsidRDefault="00616E66" w:rsidP="00616E66">
      <w:pPr>
        <w:pStyle w:val="Heading3"/>
      </w:pPr>
      <w:bookmarkStart w:id="417" w:name="_Toc467776109"/>
      <w:bookmarkStart w:id="418" w:name="_Toc31985505"/>
      <w:r>
        <w:t>201</w:t>
      </w:r>
      <w:r>
        <w:rPr>
          <w:lang w:val="en-AU"/>
        </w:rPr>
        <w:t>8</w:t>
      </w:r>
      <w:r w:rsidRPr="002E6686">
        <w:t xml:space="preserve"> vs </w:t>
      </w:r>
      <w:bookmarkEnd w:id="417"/>
      <w:r>
        <w:rPr>
          <w:lang w:val="en-AU"/>
        </w:rPr>
        <w:t>Previous years</w:t>
      </w:r>
      <w:bookmarkEnd w:id="418"/>
    </w:p>
    <w:p w14:paraId="4CAEF5A1" w14:textId="06669BFA" w:rsidR="00616E66" w:rsidRDefault="00616E66" w:rsidP="00616E66">
      <w:pPr>
        <w:rPr>
          <w:lang w:val="en-GB" w:eastAsia="x-none"/>
        </w:rPr>
      </w:pPr>
      <w:r>
        <w:rPr>
          <w:lang w:val="en-GB" w:eastAsia="x-none"/>
        </w:rPr>
        <w:t>There was a significant difference in the larval fish community between years in the lower Lachlan River selected area (</w:t>
      </w:r>
      <w:r>
        <w:rPr>
          <w:lang w:val="en-GB" w:eastAsia="x-none"/>
        </w:rPr>
        <w:fldChar w:fldCharType="begin"/>
      </w:r>
      <w:r>
        <w:rPr>
          <w:lang w:val="en-GB" w:eastAsia="x-none"/>
        </w:rPr>
        <w:instrText xml:space="preserve"> REF _Ref516063088 \h </w:instrText>
      </w:r>
      <w:r>
        <w:rPr>
          <w:lang w:val="en-GB" w:eastAsia="x-none"/>
        </w:rPr>
      </w:r>
      <w:r>
        <w:rPr>
          <w:lang w:val="en-GB" w:eastAsia="x-none"/>
        </w:rPr>
        <w:fldChar w:fldCharType="separate"/>
      </w:r>
      <w:r w:rsidR="007F7607" w:rsidRPr="00E4343A">
        <w:rPr>
          <w:lang w:val="en-GB"/>
        </w:rPr>
        <w:t xml:space="preserve">Table </w:t>
      </w:r>
      <w:r w:rsidR="007F7607">
        <w:rPr>
          <w:noProof/>
          <w:lang w:val="en-GB"/>
        </w:rPr>
        <w:t>19</w:t>
      </w:r>
      <w:r>
        <w:rPr>
          <w:lang w:val="en-GB" w:eastAsia="x-none"/>
        </w:rPr>
        <w:fldChar w:fldCharType="end"/>
      </w:r>
      <w:r>
        <w:rPr>
          <w:lang w:val="en-GB" w:eastAsia="x-none"/>
        </w:rPr>
        <w:t>). Although 2014 and 2015 were similar, differences between these two years are driven by higher abundances of flat headed gudgeon and common carp in 2015 (</w:t>
      </w:r>
      <w:r>
        <w:rPr>
          <w:lang w:val="en-GB" w:eastAsia="x-none"/>
        </w:rPr>
        <w:fldChar w:fldCharType="begin"/>
      </w:r>
      <w:r>
        <w:rPr>
          <w:lang w:val="en-GB" w:eastAsia="x-none"/>
        </w:rPr>
        <w:instrText xml:space="preserve"> REF _Ref454973446 \h </w:instrText>
      </w:r>
      <w:r>
        <w:rPr>
          <w:lang w:val="en-GB" w:eastAsia="x-none"/>
        </w:rPr>
      </w:r>
      <w:r>
        <w:rPr>
          <w:lang w:val="en-GB" w:eastAsia="x-none"/>
        </w:rPr>
        <w:fldChar w:fldCharType="separate"/>
      </w:r>
      <w:r w:rsidR="007F7607" w:rsidRPr="00FD284B">
        <w:t xml:space="preserve">Figure </w:t>
      </w:r>
      <w:r w:rsidR="007F7607">
        <w:rPr>
          <w:noProof/>
        </w:rPr>
        <w:t>57</w:t>
      </w:r>
      <w:r>
        <w:rPr>
          <w:lang w:val="en-GB" w:eastAsia="x-none"/>
        </w:rPr>
        <w:fldChar w:fldCharType="end"/>
      </w:r>
      <w:r>
        <w:rPr>
          <w:lang w:val="en-GB" w:eastAsia="x-none"/>
        </w:rPr>
        <w:t xml:space="preserve">, </w:t>
      </w:r>
      <w:r>
        <w:rPr>
          <w:lang w:val="en-GB" w:eastAsia="x-none"/>
        </w:rPr>
        <w:fldChar w:fldCharType="begin"/>
      </w:r>
      <w:r>
        <w:rPr>
          <w:lang w:val="en-GB" w:eastAsia="x-none"/>
        </w:rPr>
        <w:instrText xml:space="preserve"> REF _Ref515889305 \h </w:instrText>
      </w:r>
      <w:r>
        <w:rPr>
          <w:lang w:val="en-GB" w:eastAsia="x-none"/>
        </w:rPr>
      </w:r>
      <w:r>
        <w:rPr>
          <w:lang w:val="en-GB" w:eastAsia="x-none"/>
        </w:rPr>
        <w:fldChar w:fldCharType="separate"/>
      </w:r>
      <w:r w:rsidR="007F7607" w:rsidRPr="0005522C">
        <w:rPr>
          <w:lang w:val="en-GB"/>
        </w:rPr>
        <w:t xml:space="preserve">Figure </w:t>
      </w:r>
      <w:r w:rsidR="007F7607">
        <w:rPr>
          <w:noProof/>
          <w:lang w:val="en-GB"/>
        </w:rPr>
        <w:t>58</w:t>
      </w:r>
      <w:r>
        <w:rPr>
          <w:lang w:val="en-GB" w:eastAsia="x-none"/>
        </w:rPr>
        <w:fldChar w:fldCharType="end"/>
      </w:r>
      <w:r>
        <w:rPr>
          <w:lang w:val="en-GB" w:eastAsia="x-none"/>
        </w:rPr>
        <w:t xml:space="preserve"> and section </w:t>
      </w:r>
      <w:r>
        <w:rPr>
          <w:lang w:val="en-GB" w:eastAsia="x-none"/>
        </w:rPr>
        <w:fldChar w:fldCharType="begin"/>
      </w:r>
      <w:r>
        <w:rPr>
          <w:lang w:val="en-GB" w:eastAsia="x-none"/>
        </w:rPr>
        <w:instrText xml:space="preserve"> REF _Ref516063125 \r \h </w:instrText>
      </w:r>
      <w:r>
        <w:rPr>
          <w:lang w:val="en-GB" w:eastAsia="x-none"/>
        </w:rPr>
      </w:r>
      <w:r>
        <w:rPr>
          <w:lang w:val="en-GB" w:eastAsia="x-none"/>
        </w:rPr>
        <w:fldChar w:fldCharType="separate"/>
      </w:r>
      <w:r w:rsidR="007F7607">
        <w:rPr>
          <w:lang w:val="en-GB" w:eastAsia="x-none"/>
        </w:rPr>
        <w:t>7.8</w:t>
      </w:r>
      <w:r>
        <w:rPr>
          <w:lang w:val="en-GB" w:eastAsia="x-none"/>
        </w:rPr>
        <w:fldChar w:fldCharType="end"/>
      </w:r>
      <w:r>
        <w:rPr>
          <w:lang w:val="en-GB" w:eastAsia="x-none"/>
        </w:rPr>
        <w:t>). The large abundance of common carp was the discriminating factor between 2016 and all other years</w:t>
      </w:r>
      <w:r w:rsidR="00326634">
        <w:rPr>
          <w:lang w:val="en-GB" w:eastAsia="x-none"/>
        </w:rPr>
        <w:t>, contributing between 15 – 26% to dissimilarity estimates</w:t>
      </w:r>
      <w:r>
        <w:rPr>
          <w:lang w:val="en-GB" w:eastAsia="x-none"/>
        </w:rPr>
        <w:t xml:space="preserve"> (</w:t>
      </w:r>
      <w:r>
        <w:rPr>
          <w:lang w:val="en-GB" w:eastAsia="x-none"/>
        </w:rPr>
        <w:fldChar w:fldCharType="begin"/>
      </w:r>
      <w:r>
        <w:rPr>
          <w:lang w:val="en-GB" w:eastAsia="x-none"/>
        </w:rPr>
        <w:instrText xml:space="preserve"> REF _Ref454973446 \h </w:instrText>
      </w:r>
      <w:r>
        <w:rPr>
          <w:lang w:val="en-GB" w:eastAsia="x-none"/>
        </w:rPr>
      </w:r>
      <w:r>
        <w:rPr>
          <w:lang w:val="en-GB" w:eastAsia="x-none"/>
        </w:rPr>
        <w:fldChar w:fldCharType="separate"/>
      </w:r>
      <w:r w:rsidR="007F7607" w:rsidRPr="00FD284B">
        <w:t xml:space="preserve">Figure </w:t>
      </w:r>
      <w:r w:rsidR="007F7607">
        <w:rPr>
          <w:noProof/>
        </w:rPr>
        <w:t>57</w:t>
      </w:r>
      <w:r>
        <w:rPr>
          <w:lang w:val="en-GB" w:eastAsia="x-none"/>
        </w:rPr>
        <w:fldChar w:fldCharType="end"/>
      </w:r>
      <w:r>
        <w:rPr>
          <w:lang w:val="en-GB" w:eastAsia="x-none"/>
        </w:rPr>
        <w:t xml:space="preserve">, </w:t>
      </w:r>
      <w:r>
        <w:rPr>
          <w:lang w:val="en-GB" w:eastAsia="x-none"/>
        </w:rPr>
        <w:fldChar w:fldCharType="begin"/>
      </w:r>
      <w:r>
        <w:rPr>
          <w:lang w:val="en-GB" w:eastAsia="x-none"/>
        </w:rPr>
        <w:instrText xml:space="preserve"> REF _Ref515889305 \h </w:instrText>
      </w:r>
      <w:r>
        <w:rPr>
          <w:lang w:val="en-GB" w:eastAsia="x-none"/>
        </w:rPr>
      </w:r>
      <w:r>
        <w:rPr>
          <w:lang w:val="en-GB" w:eastAsia="x-none"/>
        </w:rPr>
        <w:fldChar w:fldCharType="separate"/>
      </w:r>
      <w:r w:rsidR="007F7607" w:rsidRPr="0005522C">
        <w:rPr>
          <w:lang w:val="en-GB"/>
        </w:rPr>
        <w:t xml:space="preserve">Figure </w:t>
      </w:r>
      <w:r w:rsidR="007F7607">
        <w:rPr>
          <w:noProof/>
          <w:lang w:val="en-GB"/>
        </w:rPr>
        <w:t>58</w:t>
      </w:r>
      <w:r>
        <w:rPr>
          <w:lang w:val="en-GB" w:eastAsia="x-none"/>
        </w:rPr>
        <w:fldChar w:fldCharType="end"/>
      </w:r>
      <w:r>
        <w:rPr>
          <w:lang w:val="en-GB" w:eastAsia="x-none"/>
        </w:rPr>
        <w:t xml:space="preserve"> and section </w:t>
      </w:r>
      <w:r>
        <w:rPr>
          <w:lang w:val="en-GB" w:eastAsia="x-none"/>
        </w:rPr>
        <w:fldChar w:fldCharType="begin"/>
      </w:r>
      <w:r>
        <w:rPr>
          <w:lang w:val="en-GB" w:eastAsia="x-none"/>
        </w:rPr>
        <w:instrText xml:space="preserve"> REF _Ref516063125 \r \h </w:instrText>
      </w:r>
      <w:r>
        <w:rPr>
          <w:lang w:val="en-GB" w:eastAsia="x-none"/>
        </w:rPr>
      </w:r>
      <w:r>
        <w:rPr>
          <w:lang w:val="en-GB" w:eastAsia="x-none"/>
        </w:rPr>
        <w:fldChar w:fldCharType="separate"/>
      </w:r>
      <w:r w:rsidR="007F7607">
        <w:rPr>
          <w:lang w:val="en-GB" w:eastAsia="x-none"/>
        </w:rPr>
        <w:t>7.8</w:t>
      </w:r>
      <w:r>
        <w:rPr>
          <w:lang w:val="en-GB" w:eastAsia="x-none"/>
        </w:rPr>
        <w:fldChar w:fldCharType="end"/>
      </w:r>
      <w:r>
        <w:rPr>
          <w:lang w:val="en-GB" w:eastAsia="x-none"/>
        </w:rPr>
        <w:t>). The larval fish community in 2017 was typified by far higher abundances of Australian smelt than all other years (</w:t>
      </w:r>
      <w:r>
        <w:rPr>
          <w:lang w:val="en-GB" w:eastAsia="x-none"/>
        </w:rPr>
        <w:fldChar w:fldCharType="begin"/>
      </w:r>
      <w:r>
        <w:rPr>
          <w:lang w:val="en-GB" w:eastAsia="x-none"/>
        </w:rPr>
        <w:instrText xml:space="preserve"> REF _Ref454973446 \h </w:instrText>
      </w:r>
      <w:r>
        <w:rPr>
          <w:lang w:val="en-GB" w:eastAsia="x-none"/>
        </w:rPr>
      </w:r>
      <w:r>
        <w:rPr>
          <w:lang w:val="en-GB" w:eastAsia="x-none"/>
        </w:rPr>
        <w:fldChar w:fldCharType="separate"/>
      </w:r>
      <w:r w:rsidR="007F7607" w:rsidRPr="00FD284B">
        <w:t xml:space="preserve">Figure </w:t>
      </w:r>
      <w:r w:rsidR="007F7607">
        <w:rPr>
          <w:noProof/>
        </w:rPr>
        <w:t>57</w:t>
      </w:r>
      <w:r>
        <w:rPr>
          <w:lang w:val="en-GB" w:eastAsia="x-none"/>
        </w:rPr>
        <w:fldChar w:fldCharType="end"/>
      </w:r>
      <w:r>
        <w:rPr>
          <w:lang w:val="en-GB" w:eastAsia="x-none"/>
        </w:rPr>
        <w:t xml:space="preserve">, </w:t>
      </w:r>
      <w:r>
        <w:rPr>
          <w:lang w:val="en-GB" w:eastAsia="x-none"/>
        </w:rPr>
        <w:fldChar w:fldCharType="begin"/>
      </w:r>
      <w:r>
        <w:rPr>
          <w:lang w:val="en-GB" w:eastAsia="x-none"/>
        </w:rPr>
        <w:instrText xml:space="preserve"> REF _Ref515889305 \h </w:instrText>
      </w:r>
      <w:r>
        <w:rPr>
          <w:lang w:val="en-GB" w:eastAsia="x-none"/>
        </w:rPr>
      </w:r>
      <w:r>
        <w:rPr>
          <w:lang w:val="en-GB" w:eastAsia="x-none"/>
        </w:rPr>
        <w:fldChar w:fldCharType="separate"/>
      </w:r>
      <w:r w:rsidR="007F7607" w:rsidRPr="0005522C">
        <w:rPr>
          <w:lang w:val="en-GB"/>
        </w:rPr>
        <w:t xml:space="preserve">Figure </w:t>
      </w:r>
      <w:r w:rsidR="007F7607">
        <w:rPr>
          <w:noProof/>
          <w:lang w:val="en-GB"/>
        </w:rPr>
        <w:t>58</w:t>
      </w:r>
      <w:r>
        <w:rPr>
          <w:lang w:val="en-GB" w:eastAsia="x-none"/>
        </w:rPr>
        <w:fldChar w:fldCharType="end"/>
      </w:r>
      <w:r>
        <w:rPr>
          <w:lang w:val="en-GB" w:eastAsia="x-none"/>
        </w:rPr>
        <w:t xml:space="preserve"> and section </w:t>
      </w:r>
      <w:r>
        <w:rPr>
          <w:lang w:val="en-GB" w:eastAsia="x-none"/>
        </w:rPr>
        <w:fldChar w:fldCharType="begin"/>
      </w:r>
      <w:r>
        <w:rPr>
          <w:lang w:val="en-GB" w:eastAsia="x-none"/>
        </w:rPr>
        <w:instrText xml:space="preserve"> REF _Ref516063125 \r \h </w:instrText>
      </w:r>
      <w:r>
        <w:rPr>
          <w:lang w:val="en-GB" w:eastAsia="x-none"/>
        </w:rPr>
      </w:r>
      <w:r>
        <w:rPr>
          <w:lang w:val="en-GB" w:eastAsia="x-none"/>
        </w:rPr>
        <w:fldChar w:fldCharType="separate"/>
      </w:r>
      <w:r w:rsidR="007F7607">
        <w:rPr>
          <w:lang w:val="en-GB" w:eastAsia="x-none"/>
        </w:rPr>
        <w:t>7.8</w:t>
      </w:r>
      <w:r>
        <w:rPr>
          <w:lang w:val="en-GB" w:eastAsia="x-none"/>
        </w:rPr>
        <w:fldChar w:fldCharType="end"/>
      </w:r>
      <w:r>
        <w:rPr>
          <w:lang w:val="en-GB" w:eastAsia="x-none"/>
        </w:rPr>
        <w:t>) whereas in 2018 the community was typified by far higher abundances of flat headed gudgeon than all other years (</w:t>
      </w:r>
      <w:r>
        <w:rPr>
          <w:lang w:val="en-GB" w:eastAsia="x-none"/>
        </w:rPr>
        <w:fldChar w:fldCharType="begin"/>
      </w:r>
      <w:r>
        <w:rPr>
          <w:lang w:val="en-GB" w:eastAsia="x-none"/>
        </w:rPr>
        <w:instrText xml:space="preserve"> REF _Ref454973446 \h </w:instrText>
      </w:r>
      <w:r>
        <w:rPr>
          <w:lang w:val="en-GB" w:eastAsia="x-none"/>
        </w:rPr>
      </w:r>
      <w:r>
        <w:rPr>
          <w:lang w:val="en-GB" w:eastAsia="x-none"/>
        </w:rPr>
        <w:fldChar w:fldCharType="separate"/>
      </w:r>
      <w:r w:rsidR="007F7607" w:rsidRPr="00FD284B">
        <w:t xml:space="preserve">Figure </w:t>
      </w:r>
      <w:r w:rsidR="007F7607">
        <w:rPr>
          <w:noProof/>
        </w:rPr>
        <w:t>57</w:t>
      </w:r>
      <w:r>
        <w:rPr>
          <w:lang w:val="en-GB" w:eastAsia="x-none"/>
        </w:rPr>
        <w:fldChar w:fldCharType="end"/>
      </w:r>
      <w:r>
        <w:rPr>
          <w:lang w:val="en-GB" w:eastAsia="x-none"/>
        </w:rPr>
        <w:t xml:space="preserve">, </w:t>
      </w:r>
      <w:r>
        <w:rPr>
          <w:lang w:val="en-GB" w:eastAsia="x-none"/>
        </w:rPr>
        <w:fldChar w:fldCharType="begin"/>
      </w:r>
      <w:r>
        <w:rPr>
          <w:lang w:val="en-GB" w:eastAsia="x-none"/>
        </w:rPr>
        <w:instrText xml:space="preserve"> REF _Ref515889305 \h </w:instrText>
      </w:r>
      <w:r>
        <w:rPr>
          <w:lang w:val="en-GB" w:eastAsia="x-none"/>
        </w:rPr>
      </w:r>
      <w:r>
        <w:rPr>
          <w:lang w:val="en-GB" w:eastAsia="x-none"/>
        </w:rPr>
        <w:fldChar w:fldCharType="separate"/>
      </w:r>
      <w:r w:rsidR="007F7607" w:rsidRPr="0005522C">
        <w:rPr>
          <w:lang w:val="en-GB"/>
        </w:rPr>
        <w:t xml:space="preserve">Figure </w:t>
      </w:r>
      <w:r w:rsidR="007F7607">
        <w:rPr>
          <w:noProof/>
          <w:lang w:val="en-GB"/>
        </w:rPr>
        <w:t>58</w:t>
      </w:r>
      <w:r>
        <w:rPr>
          <w:lang w:val="en-GB" w:eastAsia="x-none"/>
        </w:rPr>
        <w:fldChar w:fldCharType="end"/>
      </w:r>
      <w:r>
        <w:rPr>
          <w:lang w:val="en-GB" w:eastAsia="x-none"/>
        </w:rPr>
        <w:t xml:space="preserve"> and section </w:t>
      </w:r>
      <w:r>
        <w:rPr>
          <w:lang w:val="en-GB" w:eastAsia="x-none"/>
        </w:rPr>
        <w:fldChar w:fldCharType="begin"/>
      </w:r>
      <w:r>
        <w:rPr>
          <w:lang w:val="en-GB" w:eastAsia="x-none"/>
        </w:rPr>
        <w:instrText xml:space="preserve"> REF _Ref516063125 \r \h </w:instrText>
      </w:r>
      <w:r>
        <w:rPr>
          <w:lang w:val="en-GB" w:eastAsia="x-none"/>
        </w:rPr>
      </w:r>
      <w:r>
        <w:rPr>
          <w:lang w:val="en-GB" w:eastAsia="x-none"/>
        </w:rPr>
        <w:fldChar w:fldCharType="separate"/>
      </w:r>
      <w:r w:rsidR="007F7607">
        <w:rPr>
          <w:lang w:val="en-GB" w:eastAsia="x-none"/>
        </w:rPr>
        <w:t>7.8</w:t>
      </w:r>
      <w:r>
        <w:rPr>
          <w:lang w:val="en-GB" w:eastAsia="x-none"/>
        </w:rPr>
        <w:fldChar w:fldCharType="end"/>
      </w:r>
      <w:r>
        <w:rPr>
          <w:lang w:val="en-GB" w:eastAsia="x-none"/>
        </w:rPr>
        <w:t xml:space="preserve">).  </w:t>
      </w:r>
    </w:p>
    <w:p w14:paraId="6F11FA80" w14:textId="77777777" w:rsidR="00616E66" w:rsidRDefault="00616E66" w:rsidP="00616E66">
      <w:pPr>
        <w:rPr>
          <w:lang w:val="en-GB" w:eastAsia="x-none"/>
        </w:rPr>
      </w:pPr>
    </w:p>
    <w:p w14:paraId="1FC3F89D" w14:textId="6A4708D6" w:rsidR="00616E66" w:rsidRDefault="00616E66" w:rsidP="00616E66">
      <w:pPr>
        <w:pStyle w:val="Caption"/>
        <w:rPr>
          <w:lang w:val="en-GB"/>
        </w:rPr>
      </w:pPr>
      <w:bookmarkStart w:id="419" w:name="_Ref516063088"/>
      <w:bookmarkStart w:id="420" w:name="_Toc31985686"/>
      <w:r w:rsidRPr="00E4343A">
        <w:rPr>
          <w:lang w:val="en-GB"/>
        </w:rPr>
        <w:t xml:space="preserve">Table </w:t>
      </w:r>
      <w:r w:rsidRPr="00E4343A">
        <w:rPr>
          <w:lang w:val="en-GB"/>
        </w:rPr>
        <w:fldChar w:fldCharType="begin"/>
      </w:r>
      <w:r w:rsidRPr="00E4343A">
        <w:rPr>
          <w:lang w:val="en-GB"/>
        </w:rPr>
        <w:instrText xml:space="preserve"> SEQ Table \* ARABIC </w:instrText>
      </w:r>
      <w:r w:rsidRPr="00E4343A">
        <w:rPr>
          <w:lang w:val="en-GB"/>
        </w:rPr>
        <w:fldChar w:fldCharType="separate"/>
      </w:r>
      <w:r w:rsidR="007F7607">
        <w:rPr>
          <w:noProof/>
          <w:lang w:val="en-GB"/>
        </w:rPr>
        <w:t>19</w:t>
      </w:r>
      <w:r w:rsidRPr="00E4343A">
        <w:rPr>
          <w:lang w:val="en-GB"/>
        </w:rPr>
        <w:fldChar w:fldCharType="end"/>
      </w:r>
      <w:bookmarkEnd w:id="419"/>
      <w:r w:rsidRPr="00E4343A">
        <w:rPr>
          <w:lang w:val="en-GB"/>
        </w:rPr>
        <w:t xml:space="preserve">. Results of PERMANOVA analysis of </w:t>
      </w:r>
      <w:r>
        <w:rPr>
          <w:lang w:val="en-GB"/>
        </w:rPr>
        <w:t xml:space="preserve">larval fish captures (fourth-root transformed numerical data from drift net and light traps combined) in the </w:t>
      </w:r>
      <w:r w:rsidR="00FF0903">
        <w:rPr>
          <w:lang w:val="en-GB"/>
        </w:rPr>
        <w:t>L</w:t>
      </w:r>
      <w:r>
        <w:rPr>
          <w:lang w:val="en-GB"/>
        </w:rPr>
        <w:t>ower Lachlan River selected area 2014 – 201</w:t>
      </w:r>
      <w:r w:rsidR="00FF0903">
        <w:rPr>
          <w:lang w:val="en-GB"/>
        </w:rPr>
        <w:t>8</w:t>
      </w:r>
      <w:r>
        <w:rPr>
          <w:lang w:val="en-GB"/>
        </w:rPr>
        <w:t>.</w:t>
      </w:r>
      <w:bookmarkEnd w:id="420"/>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042"/>
        <w:gridCol w:w="1130"/>
        <w:gridCol w:w="1130"/>
        <w:gridCol w:w="1130"/>
        <w:gridCol w:w="1195"/>
        <w:gridCol w:w="1310"/>
        <w:gridCol w:w="1069"/>
      </w:tblGrid>
      <w:tr w:rsidR="00616E66" w:rsidRPr="00FF0903" w14:paraId="5DFAA7C1" w14:textId="77777777" w:rsidTr="000F79CD">
        <w:trPr>
          <w:trHeight w:val="465"/>
          <w:jc w:val="center"/>
        </w:trPr>
        <w:tc>
          <w:tcPr>
            <w:tcW w:w="2042" w:type="dxa"/>
            <w:tcBorders>
              <w:top w:val="single" w:sz="8" w:space="0" w:color="FFFFFF"/>
              <w:left w:val="single" w:sz="8" w:space="0" w:color="FFFFFF"/>
              <w:bottom w:val="single" w:sz="24" w:space="0" w:color="FFFFFF"/>
              <w:right w:val="single" w:sz="8" w:space="0" w:color="FFFFFF"/>
            </w:tcBorders>
            <w:shd w:val="clear" w:color="auto" w:fill="9BBB59"/>
          </w:tcPr>
          <w:p w14:paraId="3C25591B"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Source</w:t>
            </w:r>
          </w:p>
        </w:tc>
        <w:tc>
          <w:tcPr>
            <w:tcW w:w="1130" w:type="dxa"/>
            <w:tcBorders>
              <w:top w:val="single" w:sz="8" w:space="0" w:color="FFFFFF"/>
              <w:left w:val="single" w:sz="8" w:space="0" w:color="FFFFFF"/>
              <w:bottom w:val="single" w:sz="24" w:space="0" w:color="FFFFFF"/>
              <w:right w:val="single" w:sz="8" w:space="0" w:color="FFFFFF"/>
            </w:tcBorders>
            <w:shd w:val="clear" w:color="auto" w:fill="9BBB59"/>
          </w:tcPr>
          <w:p w14:paraId="7FD831E1"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df</w:t>
            </w:r>
          </w:p>
        </w:tc>
        <w:tc>
          <w:tcPr>
            <w:tcW w:w="1130" w:type="dxa"/>
            <w:tcBorders>
              <w:top w:val="single" w:sz="8" w:space="0" w:color="FFFFFF"/>
              <w:left w:val="single" w:sz="8" w:space="0" w:color="FFFFFF"/>
              <w:bottom w:val="single" w:sz="24" w:space="0" w:color="FFFFFF"/>
              <w:right w:val="single" w:sz="8" w:space="0" w:color="FFFFFF"/>
            </w:tcBorders>
            <w:shd w:val="clear" w:color="auto" w:fill="9BBB59"/>
          </w:tcPr>
          <w:p w14:paraId="23FE731C"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 xml:space="preserve">    SS</w:t>
            </w:r>
          </w:p>
        </w:tc>
        <w:tc>
          <w:tcPr>
            <w:tcW w:w="1130" w:type="dxa"/>
            <w:tcBorders>
              <w:top w:val="single" w:sz="8" w:space="0" w:color="FFFFFF"/>
              <w:left w:val="single" w:sz="8" w:space="0" w:color="FFFFFF"/>
              <w:bottom w:val="single" w:sz="24" w:space="0" w:color="FFFFFF"/>
              <w:right w:val="single" w:sz="8" w:space="0" w:color="FFFFFF"/>
            </w:tcBorders>
            <w:shd w:val="clear" w:color="auto" w:fill="9BBB59"/>
          </w:tcPr>
          <w:p w14:paraId="7392C213"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 xml:space="preserve">    MS</w:t>
            </w:r>
          </w:p>
        </w:tc>
        <w:tc>
          <w:tcPr>
            <w:tcW w:w="1195" w:type="dxa"/>
            <w:tcBorders>
              <w:top w:val="single" w:sz="8" w:space="0" w:color="FFFFFF"/>
              <w:left w:val="single" w:sz="8" w:space="0" w:color="FFFFFF"/>
              <w:bottom w:val="single" w:sz="24" w:space="0" w:color="FFFFFF"/>
              <w:right w:val="single" w:sz="8" w:space="0" w:color="FFFFFF"/>
            </w:tcBorders>
            <w:shd w:val="clear" w:color="auto" w:fill="9BBB59"/>
          </w:tcPr>
          <w:p w14:paraId="602C48FD"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Pseudo-F</w:t>
            </w:r>
          </w:p>
        </w:tc>
        <w:tc>
          <w:tcPr>
            <w:tcW w:w="1310" w:type="dxa"/>
            <w:tcBorders>
              <w:top w:val="single" w:sz="8" w:space="0" w:color="FFFFFF"/>
              <w:left w:val="single" w:sz="8" w:space="0" w:color="FFFFFF"/>
              <w:bottom w:val="single" w:sz="24" w:space="0" w:color="FFFFFF"/>
              <w:right w:val="single" w:sz="8" w:space="0" w:color="FFFFFF"/>
            </w:tcBorders>
            <w:shd w:val="clear" w:color="auto" w:fill="9BBB59"/>
          </w:tcPr>
          <w:p w14:paraId="1DF8F5F1"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P(perm)</w:t>
            </w:r>
          </w:p>
        </w:tc>
        <w:tc>
          <w:tcPr>
            <w:tcW w:w="1069" w:type="dxa"/>
            <w:tcBorders>
              <w:top w:val="single" w:sz="8" w:space="0" w:color="FFFFFF"/>
              <w:left w:val="single" w:sz="8" w:space="0" w:color="FFFFFF"/>
              <w:bottom w:val="single" w:sz="24" w:space="0" w:color="FFFFFF"/>
              <w:right w:val="single" w:sz="8" w:space="0" w:color="FFFFFF"/>
            </w:tcBorders>
            <w:shd w:val="clear" w:color="auto" w:fill="9BBB59"/>
          </w:tcPr>
          <w:p w14:paraId="72FFE4D5" w14:textId="77777777" w:rsidR="00616E66" w:rsidRPr="00FF0903" w:rsidRDefault="00616E66" w:rsidP="000F79CD">
            <w:pPr>
              <w:spacing w:before="20" w:after="40"/>
              <w:jc w:val="center"/>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 xml:space="preserve"> perms</w:t>
            </w:r>
          </w:p>
        </w:tc>
      </w:tr>
      <w:tr w:rsidR="00616E66" w:rsidRPr="00153C21" w14:paraId="47DA3258" w14:textId="77777777" w:rsidTr="000F79CD">
        <w:trPr>
          <w:jc w:val="center"/>
        </w:trPr>
        <w:tc>
          <w:tcPr>
            <w:tcW w:w="2042" w:type="dxa"/>
            <w:tcBorders>
              <w:top w:val="single" w:sz="24" w:space="0" w:color="FFFFFF"/>
              <w:left w:val="single" w:sz="8" w:space="0" w:color="FFFFFF"/>
              <w:bottom w:val="single" w:sz="6" w:space="0" w:color="FFFFFF"/>
              <w:right w:val="single" w:sz="24" w:space="0" w:color="FFFFFF"/>
            </w:tcBorders>
            <w:shd w:val="clear" w:color="auto" w:fill="9BBB59"/>
          </w:tcPr>
          <w:p w14:paraId="74027200" w14:textId="77777777" w:rsidR="00616E66" w:rsidRPr="00FF0903" w:rsidRDefault="00616E66" w:rsidP="00FF0903">
            <w:pPr>
              <w:spacing w:before="20" w:after="40"/>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Year</w:t>
            </w:r>
          </w:p>
        </w:tc>
        <w:tc>
          <w:tcPr>
            <w:tcW w:w="1130" w:type="dxa"/>
            <w:tcBorders>
              <w:top w:val="single" w:sz="24" w:space="0" w:color="FFFFFF"/>
              <w:bottom w:val="single" w:sz="6" w:space="0" w:color="FFFFFF"/>
            </w:tcBorders>
            <w:shd w:val="clear" w:color="auto" w:fill="EAF1DD"/>
          </w:tcPr>
          <w:p w14:paraId="1CDC5081"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4</w:t>
            </w:r>
          </w:p>
        </w:tc>
        <w:tc>
          <w:tcPr>
            <w:tcW w:w="1130" w:type="dxa"/>
            <w:tcBorders>
              <w:top w:val="single" w:sz="24" w:space="0" w:color="FFFFFF"/>
              <w:bottom w:val="single" w:sz="6" w:space="0" w:color="FFFFFF"/>
            </w:tcBorders>
            <w:shd w:val="clear" w:color="auto" w:fill="EAF1DD"/>
          </w:tcPr>
          <w:p w14:paraId="4B092AEC"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21580</w:t>
            </w:r>
          </w:p>
        </w:tc>
        <w:tc>
          <w:tcPr>
            <w:tcW w:w="1130" w:type="dxa"/>
            <w:tcBorders>
              <w:top w:val="single" w:sz="24" w:space="0" w:color="FFFFFF"/>
              <w:bottom w:val="single" w:sz="6" w:space="0" w:color="FFFFFF"/>
            </w:tcBorders>
            <w:shd w:val="clear" w:color="auto" w:fill="EAF1DD"/>
          </w:tcPr>
          <w:p w14:paraId="39C07335"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5395</w:t>
            </w:r>
          </w:p>
        </w:tc>
        <w:tc>
          <w:tcPr>
            <w:tcW w:w="1195" w:type="dxa"/>
            <w:tcBorders>
              <w:top w:val="single" w:sz="24" w:space="0" w:color="FFFFFF"/>
              <w:bottom w:val="single" w:sz="6" w:space="0" w:color="FFFFFF"/>
            </w:tcBorders>
            <w:shd w:val="clear" w:color="auto" w:fill="EAF1DD"/>
          </w:tcPr>
          <w:p w14:paraId="27107912"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16.85</w:t>
            </w:r>
          </w:p>
        </w:tc>
        <w:tc>
          <w:tcPr>
            <w:tcW w:w="1310" w:type="dxa"/>
            <w:tcBorders>
              <w:top w:val="single" w:sz="24" w:space="0" w:color="FFFFFF"/>
              <w:bottom w:val="single" w:sz="6" w:space="0" w:color="FFFFFF"/>
            </w:tcBorders>
            <w:shd w:val="clear" w:color="auto" w:fill="EAF1DD"/>
          </w:tcPr>
          <w:p w14:paraId="3E015F96"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0.0001</w:t>
            </w:r>
          </w:p>
        </w:tc>
        <w:tc>
          <w:tcPr>
            <w:tcW w:w="1069" w:type="dxa"/>
            <w:tcBorders>
              <w:top w:val="single" w:sz="24" w:space="0" w:color="FFFFFF"/>
              <w:bottom w:val="single" w:sz="6" w:space="0" w:color="FFFFFF"/>
            </w:tcBorders>
            <w:shd w:val="clear" w:color="auto" w:fill="EAF1DD"/>
          </w:tcPr>
          <w:p w14:paraId="55BCD23C" w14:textId="77777777" w:rsidR="00616E66" w:rsidRPr="003C5684" w:rsidRDefault="00616E66" w:rsidP="000F79CD">
            <w:pPr>
              <w:spacing w:before="20" w:after="40"/>
              <w:jc w:val="center"/>
              <w:rPr>
                <w:rFonts w:eastAsia="Times New Roman"/>
                <w:b/>
                <w:bCs/>
                <w:sz w:val="18"/>
                <w:szCs w:val="18"/>
                <w:lang w:eastAsia="x-none"/>
              </w:rPr>
            </w:pPr>
            <w:r w:rsidRPr="003C5684">
              <w:rPr>
                <w:rFonts w:eastAsia="Times New Roman"/>
                <w:b/>
                <w:bCs/>
                <w:sz w:val="18"/>
                <w:szCs w:val="18"/>
                <w:lang w:eastAsia="x-none"/>
              </w:rPr>
              <w:t xml:space="preserve">  9892</w:t>
            </w:r>
          </w:p>
        </w:tc>
      </w:tr>
      <w:tr w:rsidR="00616E66" w:rsidRPr="00153C21" w14:paraId="5232A0DA" w14:textId="77777777" w:rsidTr="000F79CD">
        <w:trPr>
          <w:jc w:val="center"/>
        </w:trPr>
        <w:tc>
          <w:tcPr>
            <w:tcW w:w="2042" w:type="dxa"/>
            <w:tcBorders>
              <w:top w:val="single" w:sz="6" w:space="0" w:color="FFFFFF"/>
              <w:left w:val="single" w:sz="8" w:space="0" w:color="FFFFFF"/>
              <w:bottom w:val="single" w:sz="6" w:space="0" w:color="FFFFFF"/>
              <w:right w:val="single" w:sz="24" w:space="0" w:color="FFFFFF"/>
            </w:tcBorders>
            <w:shd w:val="clear" w:color="auto" w:fill="9BBB59"/>
          </w:tcPr>
          <w:p w14:paraId="18CA3F0D" w14:textId="77777777" w:rsidR="00616E66" w:rsidRPr="00FF0903" w:rsidRDefault="00616E66" w:rsidP="00FF0903">
            <w:pPr>
              <w:spacing w:before="20" w:after="40"/>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Site(Year)</w:t>
            </w:r>
          </w:p>
        </w:tc>
        <w:tc>
          <w:tcPr>
            <w:tcW w:w="1130" w:type="dxa"/>
            <w:tcBorders>
              <w:top w:val="single" w:sz="6" w:space="0" w:color="FFFFFF"/>
              <w:bottom w:val="single" w:sz="6" w:space="0" w:color="FFFFFF"/>
            </w:tcBorders>
            <w:shd w:val="clear" w:color="auto" w:fill="EAF1DD"/>
          </w:tcPr>
          <w:p w14:paraId="21E18A79"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10</w:t>
            </w:r>
          </w:p>
        </w:tc>
        <w:tc>
          <w:tcPr>
            <w:tcW w:w="1130" w:type="dxa"/>
            <w:tcBorders>
              <w:top w:val="single" w:sz="6" w:space="0" w:color="FFFFFF"/>
              <w:bottom w:val="single" w:sz="6" w:space="0" w:color="FFFFFF"/>
            </w:tcBorders>
            <w:shd w:val="clear" w:color="auto" w:fill="EAF1DD"/>
          </w:tcPr>
          <w:p w14:paraId="648A1900"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3201.8</w:t>
            </w:r>
          </w:p>
        </w:tc>
        <w:tc>
          <w:tcPr>
            <w:tcW w:w="1130" w:type="dxa"/>
            <w:tcBorders>
              <w:top w:val="single" w:sz="6" w:space="0" w:color="FFFFFF"/>
              <w:bottom w:val="single" w:sz="6" w:space="0" w:color="FFFFFF"/>
            </w:tcBorders>
            <w:shd w:val="clear" w:color="auto" w:fill="EAF1DD"/>
          </w:tcPr>
          <w:p w14:paraId="20EDF50F"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320.18</w:t>
            </w:r>
          </w:p>
        </w:tc>
        <w:tc>
          <w:tcPr>
            <w:tcW w:w="1195" w:type="dxa"/>
            <w:tcBorders>
              <w:top w:val="single" w:sz="6" w:space="0" w:color="FFFFFF"/>
              <w:bottom w:val="single" w:sz="6" w:space="0" w:color="FFFFFF"/>
            </w:tcBorders>
            <w:shd w:val="clear" w:color="auto" w:fill="EAF1DD"/>
          </w:tcPr>
          <w:p w14:paraId="63DF150B" w14:textId="77777777" w:rsidR="00616E66" w:rsidRPr="008A2DB2"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No test</w:t>
            </w:r>
          </w:p>
        </w:tc>
        <w:tc>
          <w:tcPr>
            <w:tcW w:w="1310" w:type="dxa"/>
            <w:tcBorders>
              <w:top w:val="single" w:sz="6" w:space="0" w:color="FFFFFF"/>
              <w:bottom w:val="single" w:sz="6" w:space="0" w:color="FFFFFF"/>
            </w:tcBorders>
            <w:shd w:val="clear" w:color="auto" w:fill="EAF1DD"/>
          </w:tcPr>
          <w:p w14:paraId="0037239D" w14:textId="77777777" w:rsidR="00616E66" w:rsidRPr="008A2DB2"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c>
          <w:tcPr>
            <w:tcW w:w="1069" w:type="dxa"/>
            <w:tcBorders>
              <w:top w:val="single" w:sz="6" w:space="0" w:color="FFFFFF"/>
              <w:bottom w:val="single" w:sz="6" w:space="0" w:color="FFFFFF"/>
            </w:tcBorders>
            <w:shd w:val="clear" w:color="auto" w:fill="EAF1DD"/>
          </w:tcPr>
          <w:p w14:paraId="5E5DDEA1" w14:textId="77777777" w:rsidR="00616E66" w:rsidRPr="00E4343A"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r>
      <w:tr w:rsidR="00616E66" w:rsidRPr="00153C21" w14:paraId="36A87313" w14:textId="77777777" w:rsidTr="000F79CD">
        <w:trPr>
          <w:jc w:val="center"/>
        </w:trPr>
        <w:tc>
          <w:tcPr>
            <w:tcW w:w="2042" w:type="dxa"/>
            <w:tcBorders>
              <w:top w:val="single" w:sz="6" w:space="0" w:color="FFFFFF"/>
              <w:left w:val="single" w:sz="8" w:space="0" w:color="FFFFFF"/>
              <w:bottom w:val="single" w:sz="6" w:space="0" w:color="FFFFFF"/>
              <w:right w:val="single" w:sz="24" w:space="0" w:color="FFFFFF"/>
            </w:tcBorders>
            <w:shd w:val="clear" w:color="auto" w:fill="9BBB59"/>
          </w:tcPr>
          <w:p w14:paraId="7B51B5AA" w14:textId="77777777" w:rsidR="00616E66" w:rsidRPr="00FF0903" w:rsidRDefault="00616E66" w:rsidP="00FF0903">
            <w:pPr>
              <w:spacing w:before="20" w:after="40"/>
              <w:rPr>
                <w:rFonts w:eastAsia="Times New Roman"/>
                <w:b/>
                <w:bCs/>
                <w:color w:val="FFFFFF" w:themeColor="background1"/>
                <w:sz w:val="18"/>
                <w:szCs w:val="18"/>
                <w:lang w:eastAsia="x-none"/>
              </w:rPr>
            </w:pPr>
            <w:r w:rsidRPr="00FF0903">
              <w:rPr>
                <w:rFonts w:eastAsia="Times New Roman"/>
                <w:b/>
                <w:bCs/>
                <w:color w:val="FFFFFF" w:themeColor="background1"/>
                <w:sz w:val="18"/>
                <w:szCs w:val="18"/>
                <w:lang w:eastAsia="x-none"/>
              </w:rPr>
              <w:t>Total</w:t>
            </w:r>
          </w:p>
        </w:tc>
        <w:tc>
          <w:tcPr>
            <w:tcW w:w="1130" w:type="dxa"/>
            <w:tcBorders>
              <w:top w:val="single" w:sz="6" w:space="0" w:color="FFFFFF"/>
              <w:bottom w:val="single" w:sz="6" w:space="0" w:color="FFFFFF"/>
            </w:tcBorders>
            <w:shd w:val="clear" w:color="auto" w:fill="EAF1DD"/>
          </w:tcPr>
          <w:p w14:paraId="08B33F3C"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14</w:t>
            </w:r>
          </w:p>
        </w:tc>
        <w:tc>
          <w:tcPr>
            <w:tcW w:w="1130" w:type="dxa"/>
            <w:tcBorders>
              <w:top w:val="single" w:sz="6" w:space="0" w:color="FFFFFF"/>
              <w:bottom w:val="single" w:sz="6" w:space="0" w:color="FFFFFF"/>
            </w:tcBorders>
            <w:shd w:val="clear" w:color="auto" w:fill="EAF1DD"/>
          </w:tcPr>
          <w:p w14:paraId="5F8D99AA"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24782</w:t>
            </w:r>
          </w:p>
        </w:tc>
        <w:tc>
          <w:tcPr>
            <w:tcW w:w="1130" w:type="dxa"/>
            <w:tcBorders>
              <w:top w:val="single" w:sz="6" w:space="0" w:color="FFFFFF"/>
              <w:bottom w:val="single" w:sz="6" w:space="0" w:color="FFFFFF"/>
            </w:tcBorders>
            <w:shd w:val="clear" w:color="auto" w:fill="EAF1DD"/>
          </w:tcPr>
          <w:p w14:paraId="564D09CA" w14:textId="77777777" w:rsidR="00616E66"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c>
          <w:tcPr>
            <w:tcW w:w="1195" w:type="dxa"/>
            <w:tcBorders>
              <w:top w:val="single" w:sz="6" w:space="0" w:color="FFFFFF"/>
              <w:bottom w:val="single" w:sz="6" w:space="0" w:color="FFFFFF"/>
            </w:tcBorders>
            <w:shd w:val="clear" w:color="auto" w:fill="EAF1DD"/>
          </w:tcPr>
          <w:p w14:paraId="647D6DF6" w14:textId="77777777" w:rsidR="00616E66" w:rsidRPr="008A2DB2"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c>
          <w:tcPr>
            <w:tcW w:w="1310" w:type="dxa"/>
            <w:tcBorders>
              <w:top w:val="single" w:sz="6" w:space="0" w:color="FFFFFF"/>
              <w:bottom w:val="single" w:sz="6" w:space="0" w:color="FFFFFF"/>
            </w:tcBorders>
            <w:shd w:val="clear" w:color="auto" w:fill="EAF1DD"/>
          </w:tcPr>
          <w:p w14:paraId="3AF05F91" w14:textId="77777777" w:rsidR="00616E66" w:rsidRPr="008A2DB2"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c>
          <w:tcPr>
            <w:tcW w:w="1069" w:type="dxa"/>
            <w:tcBorders>
              <w:top w:val="single" w:sz="6" w:space="0" w:color="FFFFFF"/>
              <w:bottom w:val="single" w:sz="6" w:space="0" w:color="FFFFFF"/>
            </w:tcBorders>
            <w:shd w:val="clear" w:color="auto" w:fill="EAF1DD"/>
          </w:tcPr>
          <w:p w14:paraId="328F186A" w14:textId="77777777" w:rsidR="00616E66" w:rsidRPr="00E4343A" w:rsidRDefault="00616E66" w:rsidP="000F79CD">
            <w:pPr>
              <w:spacing w:before="20" w:after="40"/>
              <w:jc w:val="center"/>
              <w:rPr>
                <w:rFonts w:eastAsia="Times New Roman"/>
                <w:bCs/>
                <w:sz w:val="18"/>
                <w:szCs w:val="18"/>
                <w:lang w:eastAsia="x-none"/>
              </w:rPr>
            </w:pPr>
            <w:r w:rsidRPr="00110595">
              <w:rPr>
                <w:rFonts w:eastAsia="Times New Roman"/>
                <w:bCs/>
                <w:sz w:val="18"/>
                <w:szCs w:val="18"/>
                <w:lang w:eastAsia="x-none"/>
              </w:rPr>
              <w:t xml:space="preserve">      </w:t>
            </w:r>
          </w:p>
        </w:tc>
      </w:tr>
    </w:tbl>
    <w:p w14:paraId="77536E33" w14:textId="77777777" w:rsidR="00616E66" w:rsidRDefault="00616E66" w:rsidP="00616E66">
      <w:pPr>
        <w:rPr>
          <w:lang w:val="en-GB" w:eastAsia="x-none"/>
        </w:rPr>
      </w:pPr>
    </w:p>
    <w:p w14:paraId="56B7939C" w14:textId="77777777" w:rsidR="00616E66" w:rsidRPr="006603BC" w:rsidRDefault="00616E66" w:rsidP="00616E66">
      <w:pPr>
        <w:rPr>
          <w:lang w:val="en-GB" w:eastAsia="x-none"/>
        </w:rPr>
      </w:pPr>
    </w:p>
    <w:p w14:paraId="5BA6B5E4" w14:textId="03A89E26" w:rsidR="00616E66" w:rsidRPr="002E6686" w:rsidRDefault="00004B70" w:rsidP="00616E66">
      <w:pPr>
        <w:rPr>
          <w:lang w:val="en-GB" w:eastAsia="x-none"/>
        </w:rPr>
      </w:pPr>
      <w:r>
        <w:rPr>
          <w:noProof/>
          <w:lang w:eastAsia="en-AU"/>
        </w:rPr>
        <w:drawing>
          <wp:inline distT="0" distB="0" distL="0" distR="0" wp14:anchorId="7A98E108" wp14:editId="0E7AB087">
            <wp:extent cx="5732145" cy="7400290"/>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732145" cy="7400290"/>
                    </a:xfrm>
                    <a:prstGeom prst="rect">
                      <a:avLst/>
                    </a:prstGeom>
                    <a:noFill/>
                    <a:ln>
                      <a:noFill/>
                    </a:ln>
                  </pic:spPr>
                </pic:pic>
              </a:graphicData>
            </a:graphic>
          </wp:inline>
        </w:drawing>
      </w:r>
    </w:p>
    <w:p w14:paraId="6ABFF850" w14:textId="27A1F66F" w:rsidR="00AB17C9" w:rsidRDefault="00616E66" w:rsidP="00616E66">
      <w:pPr>
        <w:pStyle w:val="Caption"/>
      </w:pPr>
      <w:bookmarkStart w:id="421" w:name="_Ref454973446"/>
      <w:bookmarkStart w:id="422" w:name="_Toc460335648"/>
      <w:bookmarkStart w:id="423" w:name="_Toc467776180"/>
      <w:bookmarkStart w:id="424" w:name="_Toc31985621"/>
      <w:r w:rsidRPr="00FD284B">
        <w:t xml:space="preserve">Figure </w:t>
      </w:r>
      <w:r>
        <w:rPr>
          <w:noProof/>
        </w:rPr>
        <w:fldChar w:fldCharType="begin"/>
      </w:r>
      <w:r>
        <w:rPr>
          <w:noProof/>
        </w:rPr>
        <w:instrText xml:space="preserve"> SEQ Figure \* ARABIC </w:instrText>
      </w:r>
      <w:r>
        <w:rPr>
          <w:noProof/>
        </w:rPr>
        <w:fldChar w:fldCharType="separate"/>
      </w:r>
      <w:r w:rsidR="007F7607">
        <w:rPr>
          <w:noProof/>
        </w:rPr>
        <w:t>57</w:t>
      </w:r>
      <w:r>
        <w:rPr>
          <w:noProof/>
        </w:rPr>
        <w:fldChar w:fldCharType="end"/>
      </w:r>
      <w:bookmarkEnd w:id="421"/>
      <w:r w:rsidRPr="00FD284B">
        <w:t>. Mean catch per unit effort (± standard error) of larval fish species captured in light traps (CPUE = catch-per-hour, top) and drift nets (CPUE = individuals capture per m</w:t>
      </w:r>
      <w:r w:rsidRPr="00FD284B">
        <w:rPr>
          <w:vertAlign w:val="superscript"/>
        </w:rPr>
        <w:t>3</w:t>
      </w:r>
      <w:r w:rsidRPr="00FD284B">
        <w:t xml:space="preserve"> of water sampled; bottom) from spring</w:t>
      </w:r>
      <w:r>
        <w:t xml:space="preserve"> – summer 2014 – 2018</w:t>
      </w:r>
      <w:r w:rsidRPr="00FD284B">
        <w:t>.</w:t>
      </w:r>
      <w:bookmarkEnd w:id="422"/>
      <w:bookmarkEnd w:id="423"/>
      <w:bookmarkEnd w:id="424"/>
    </w:p>
    <w:p w14:paraId="259CCD16" w14:textId="33A8B8A2" w:rsidR="00616E66" w:rsidRDefault="00616E66" w:rsidP="00616E66">
      <w:pPr>
        <w:pStyle w:val="Caption"/>
      </w:pPr>
      <w:r>
        <w:t>Note: N/A indicates gear type was not used in that sampling year.</w:t>
      </w:r>
    </w:p>
    <w:p w14:paraId="0B7495FE" w14:textId="77777777" w:rsidR="00616E66" w:rsidRDefault="00616E66" w:rsidP="00616E66"/>
    <w:p w14:paraId="12AAF250" w14:textId="76C7C67B" w:rsidR="00616E66" w:rsidRDefault="00465688" w:rsidP="00616E66">
      <w:r>
        <w:rPr>
          <w:noProof/>
          <w:lang w:eastAsia="en-AU"/>
        </w:rPr>
        <w:drawing>
          <wp:inline distT="0" distB="0" distL="0" distR="0" wp14:anchorId="71A22264" wp14:editId="6DADFF29">
            <wp:extent cx="5732145" cy="3687445"/>
            <wp:effectExtent l="0" t="0" r="1905" b="825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732145" cy="3687445"/>
                    </a:xfrm>
                    <a:prstGeom prst="rect">
                      <a:avLst/>
                    </a:prstGeom>
                    <a:noFill/>
                    <a:ln>
                      <a:noFill/>
                    </a:ln>
                  </pic:spPr>
                </pic:pic>
              </a:graphicData>
            </a:graphic>
          </wp:inline>
        </w:drawing>
      </w:r>
    </w:p>
    <w:p w14:paraId="431EB404" w14:textId="047FD3B6" w:rsidR="00616E66" w:rsidRDefault="00616E66" w:rsidP="00616E66">
      <w:pPr>
        <w:pStyle w:val="Caption"/>
        <w:rPr>
          <w:lang w:val="en-GB"/>
        </w:rPr>
      </w:pPr>
      <w:bookmarkStart w:id="425" w:name="_Ref515889305"/>
      <w:bookmarkStart w:id="426" w:name="_Toc515888596"/>
      <w:bookmarkStart w:id="427" w:name="_Toc31985622"/>
      <w:r w:rsidRPr="0005522C">
        <w:rPr>
          <w:lang w:val="en-GB"/>
        </w:rPr>
        <w:t xml:space="preserve">Figure </w:t>
      </w:r>
      <w:r w:rsidRPr="0005522C">
        <w:rPr>
          <w:lang w:val="en-GB"/>
        </w:rPr>
        <w:fldChar w:fldCharType="begin"/>
      </w:r>
      <w:r w:rsidRPr="0005522C">
        <w:rPr>
          <w:lang w:val="en-GB"/>
        </w:rPr>
        <w:instrText xml:space="preserve"> SEQ Figure \* ARABIC </w:instrText>
      </w:r>
      <w:r w:rsidRPr="0005522C">
        <w:rPr>
          <w:lang w:val="en-GB"/>
        </w:rPr>
        <w:fldChar w:fldCharType="separate"/>
      </w:r>
      <w:r w:rsidR="007F7607">
        <w:rPr>
          <w:noProof/>
          <w:lang w:val="en-GB"/>
        </w:rPr>
        <w:t>58</w:t>
      </w:r>
      <w:r w:rsidRPr="0005522C">
        <w:rPr>
          <w:lang w:val="en-GB"/>
        </w:rPr>
        <w:fldChar w:fldCharType="end"/>
      </w:r>
      <w:bookmarkEnd w:id="425"/>
      <w:r w:rsidRPr="0005522C">
        <w:rPr>
          <w:lang w:val="en-GB"/>
        </w:rPr>
        <w:t xml:space="preserve">. </w:t>
      </w:r>
      <w:r>
        <w:rPr>
          <w:lang w:val="en-GB"/>
        </w:rPr>
        <w:t>Annual larval fish community composition per site (plotted in multidimensional space via</w:t>
      </w:r>
      <w:r w:rsidRPr="0005522C">
        <w:rPr>
          <w:lang w:val="en-GB"/>
        </w:rPr>
        <w:t xml:space="preserve"> principal component analysis ordination</w:t>
      </w:r>
      <w:r>
        <w:rPr>
          <w:lang w:val="en-GB"/>
        </w:rPr>
        <w:t>) captured from the lower Lachlan River Selected Area using drift nets and light traps from spring/summer 2014 – 2018</w:t>
      </w:r>
      <w:r w:rsidRPr="0005522C">
        <w:rPr>
          <w:lang w:val="en-GB"/>
        </w:rPr>
        <w:t>.</w:t>
      </w:r>
      <w:bookmarkEnd w:id="426"/>
      <w:bookmarkEnd w:id="427"/>
      <w:r>
        <w:rPr>
          <w:lang w:val="en-GB"/>
        </w:rPr>
        <w:t xml:space="preserve"> </w:t>
      </w:r>
    </w:p>
    <w:p w14:paraId="0BECC5D6" w14:textId="77777777" w:rsidR="00616E66" w:rsidRDefault="00616E66" w:rsidP="00616E66">
      <w:pPr>
        <w:rPr>
          <w:lang w:val="en-GB" w:eastAsia="x-none"/>
        </w:rPr>
      </w:pPr>
    </w:p>
    <w:p w14:paraId="156E680E" w14:textId="7C51AEE5" w:rsidR="00616E66" w:rsidRPr="00696B96" w:rsidRDefault="00616E66" w:rsidP="00AB17C9">
      <w:pPr>
        <w:pStyle w:val="Heading3"/>
      </w:pPr>
      <w:bookmarkStart w:id="428" w:name="_Toc31985506"/>
      <w:r>
        <w:t>Mid</w:t>
      </w:r>
      <w:r w:rsidR="00AB17C9">
        <w:rPr>
          <w:lang w:val="en-AU"/>
        </w:rPr>
        <w:t xml:space="preserve"> </w:t>
      </w:r>
      <w:r w:rsidRPr="00696B96">
        <w:t xml:space="preserve">Lachlan River </w:t>
      </w:r>
      <w:r>
        <w:t>short-term intervention monitoring: 2018</w:t>
      </w:r>
      <w:bookmarkEnd w:id="428"/>
    </w:p>
    <w:p w14:paraId="479A953C" w14:textId="1BD54379" w:rsidR="00616E66" w:rsidRDefault="00616E66" w:rsidP="00616E66">
      <w:pPr>
        <w:rPr>
          <w:lang w:val="en-GB" w:eastAsia="x-none"/>
        </w:rPr>
      </w:pPr>
      <w:r w:rsidRPr="00E657DA">
        <w:rPr>
          <w:lang w:val="en-GB" w:eastAsia="x-none"/>
        </w:rPr>
        <w:t xml:space="preserve">A total of </w:t>
      </w:r>
      <w:r>
        <w:rPr>
          <w:lang w:val="en-GB" w:eastAsia="x-none"/>
        </w:rPr>
        <w:t>473</w:t>
      </w:r>
      <w:r w:rsidRPr="00E657DA">
        <w:rPr>
          <w:lang w:val="en-GB" w:eastAsia="x-none"/>
        </w:rPr>
        <w:t xml:space="preserve"> larval fish were captured across the five sampling events of spring-summer 201</w:t>
      </w:r>
      <w:r>
        <w:rPr>
          <w:lang w:val="en-GB" w:eastAsia="x-none"/>
        </w:rPr>
        <w:t>8</w:t>
      </w:r>
      <w:r w:rsidRPr="00E657DA">
        <w:rPr>
          <w:lang w:val="en-GB" w:eastAsia="x-none"/>
        </w:rPr>
        <w:t xml:space="preserve"> comprising </w:t>
      </w:r>
      <w:r>
        <w:rPr>
          <w:lang w:val="en-GB" w:eastAsia="x-none"/>
        </w:rPr>
        <w:t>five</w:t>
      </w:r>
      <w:r w:rsidRPr="00E657DA">
        <w:rPr>
          <w:lang w:val="en-GB" w:eastAsia="x-none"/>
        </w:rPr>
        <w:t xml:space="preserve"> native species (Murray cod, </w:t>
      </w:r>
      <w:r>
        <w:rPr>
          <w:lang w:val="en-GB" w:eastAsia="x-none"/>
        </w:rPr>
        <w:t xml:space="preserve">freshwater catfish, </w:t>
      </w:r>
      <w:r w:rsidRPr="00E657DA">
        <w:rPr>
          <w:lang w:val="en-GB" w:eastAsia="x-none"/>
        </w:rPr>
        <w:t xml:space="preserve">flat headed gudgeon, Australian smelt and carp gudgeon) and </w:t>
      </w:r>
      <w:r>
        <w:rPr>
          <w:lang w:val="en-GB" w:eastAsia="x-none"/>
        </w:rPr>
        <w:t>one</w:t>
      </w:r>
      <w:r w:rsidRPr="00E657DA">
        <w:rPr>
          <w:lang w:val="en-GB" w:eastAsia="x-none"/>
        </w:rPr>
        <w:t xml:space="preserve"> alien fish species (eastern gambusia) (</w:t>
      </w:r>
      <w:r>
        <w:rPr>
          <w:lang w:val="en-GB" w:eastAsia="x-none"/>
        </w:rPr>
        <w:fldChar w:fldCharType="begin"/>
      </w:r>
      <w:r>
        <w:rPr>
          <w:lang w:val="en-GB" w:eastAsia="x-none"/>
        </w:rPr>
        <w:instrText xml:space="preserve"> REF _Ref15391002 \h </w:instrText>
      </w:r>
      <w:r>
        <w:rPr>
          <w:lang w:val="en-GB" w:eastAsia="x-none"/>
        </w:rPr>
      </w:r>
      <w:r>
        <w:rPr>
          <w:lang w:val="en-GB" w:eastAsia="x-none"/>
        </w:rPr>
        <w:fldChar w:fldCharType="separate"/>
      </w:r>
      <w:r w:rsidR="007F7607" w:rsidRPr="002E6686">
        <w:t xml:space="preserve">Table </w:t>
      </w:r>
      <w:r w:rsidR="007F7607">
        <w:rPr>
          <w:noProof/>
        </w:rPr>
        <w:t>20</w:t>
      </w:r>
      <w:r>
        <w:rPr>
          <w:lang w:val="en-GB" w:eastAsia="x-none"/>
        </w:rPr>
        <w:fldChar w:fldCharType="end"/>
      </w:r>
      <w:r w:rsidRPr="00E657DA">
        <w:rPr>
          <w:lang w:val="en-GB" w:eastAsia="x-none"/>
        </w:rPr>
        <w:t>). Light traps captured the majority of larval fish</w:t>
      </w:r>
      <w:r>
        <w:rPr>
          <w:lang w:val="en-GB" w:eastAsia="x-none"/>
        </w:rPr>
        <w:t xml:space="preserve"> (62%) </w:t>
      </w:r>
      <w:r w:rsidRPr="00E657DA">
        <w:rPr>
          <w:lang w:val="en-GB" w:eastAsia="x-none"/>
        </w:rPr>
        <w:t>(</w:t>
      </w:r>
      <w:r>
        <w:rPr>
          <w:lang w:val="en-GB" w:eastAsia="x-none"/>
        </w:rPr>
        <w:fldChar w:fldCharType="begin"/>
      </w:r>
      <w:r>
        <w:rPr>
          <w:lang w:val="en-GB" w:eastAsia="x-none"/>
        </w:rPr>
        <w:instrText xml:space="preserve"> REF _Ref15391002 \h </w:instrText>
      </w:r>
      <w:r>
        <w:rPr>
          <w:lang w:val="en-GB" w:eastAsia="x-none"/>
        </w:rPr>
      </w:r>
      <w:r>
        <w:rPr>
          <w:lang w:val="en-GB" w:eastAsia="x-none"/>
        </w:rPr>
        <w:fldChar w:fldCharType="separate"/>
      </w:r>
      <w:r w:rsidR="007F7607" w:rsidRPr="002E6686">
        <w:t xml:space="preserve">Table </w:t>
      </w:r>
      <w:r w:rsidR="007F7607">
        <w:rPr>
          <w:noProof/>
        </w:rPr>
        <w:t>20</w:t>
      </w:r>
      <w:r>
        <w:rPr>
          <w:lang w:val="en-GB" w:eastAsia="x-none"/>
        </w:rPr>
        <w:fldChar w:fldCharType="end"/>
      </w:r>
      <w:r w:rsidRPr="00E657DA">
        <w:rPr>
          <w:lang w:val="en-GB" w:eastAsia="x-none"/>
        </w:rPr>
        <w:t xml:space="preserve">). Numbers of larval fish were variable between sampling events, with trips </w:t>
      </w:r>
      <w:r>
        <w:rPr>
          <w:lang w:val="en-GB" w:eastAsia="x-none"/>
        </w:rPr>
        <w:t>2</w:t>
      </w:r>
      <w:r w:rsidRPr="00E657DA">
        <w:rPr>
          <w:lang w:val="en-GB" w:eastAsia="x-none"/>
        </w:rPr>
        <w:t xml:space="preserve">, 3 and </w:t>
      </w:r>
      <w:r>
        <w:rPr>
          <w:lang w:val="en-GB" w:eastAsia="x-none"/>
        </w:rPr>
        <w:t>4</w:t>
      </w:r>
      <w:r w:rsidRPr="00E657DA">
        <w:rPr>
          <w:lang w:val="en-GB" w:eastAsia="x-none"/>
        </w:rPr>
        <w:t xml:space="preserve"> capturing the majority of fish (</w:t>
      </w:r>
      <w:r>
        <w:rPr>
          <w:lang w:val="en-GB" w:eastAsia="x-none"/>
        </w:rPr>
        <w:t>88</w:t>
      </w:r>
      <w:r w:rsidRPr="00E657DA">
        <w:rPr>
          <w:lang w:val="en-GB" w:eastAsia="x-none"/>
        </w:rPr>
        <w:t xml:space="preserve">% of all trips) comprising </w:t>
      </w:r>
      <w:r>
        <w:rPr>
          <w:lang w:val="en-GB" w:eastAsia="x-none"/>
        </w:rPr>
        <w:t>46</w:t>
      </w:r>
      <w:r w:rsidRPr="00E657DA">
        <w:rPr>
          <w:lang w:val="en-GB" w:eastAsia="x-none"/>
        </w:rPr>
        <w:t xml:space="preserve">%, </w:t>
      </w:r>
      <w:r>
        <w:rPr>
          <w:lang w:val="en-GB" w:eastAsia="x-none"/>
        </w:rPr>
        <w:t>25</w:t>
      </w:r>
      <w:r w:rsidRPr="00E657DA">
        <w:rPr>
          <w:lang w:val="en-GB" w:eastAsia="x-none"/>
        </w:rPr>
        <w:t xml:space="preserve">% and </w:t>
      </w:r>
      <w:r>
        <w:rPr>
          <w:lang w:val="en-GB" w:eastAsia="x-none"/>
        </w:rPr>
        <w:t>17</w:t>
      </w:r>
      <w:r w:rsidRPr="00E657DA">
        <w:rPr>
          <w:lang w:val="en-GB" w:eastAsia="x-none"/>
        </w:rPr>
        <w:t xml:space="preserve">%, respectively. </w:t>
      </w:r>
      <w:r>
        <w:rPr>
          <w:lang w:val="en-GB" w:eastAsia="x-none"/>
        </w:rPr>
        <w:t>Murray cod</w:t>
      </w:r>
      <w:r w:rsidRPr="00E657DA">
        <w:rPr>
          <w:lang w:val="en-GB" w:eastAsia="x-none"/>
        </w:rPr>
        <w:t xml:space="preserve"> were by far the most numerous species caught, comprising </w:t>
      </w:r>
      <w:r>
        <w:rPr>
          <w:lang w:val="en-GB" w:eastAsia="x-none"/>
        </w:rPr>
        <w:t>76</w:t>
      </w:r>
      <w:r w:rsidRPr="00E657DA">
        <w:rPr>
          <w:lang w:val="en-GB" w:eastAsia="x-none"/>
        </w:rPr>
        <w:t>% of the total number of larval fish captured in 201</w:t>
      </w:r>
      <w:r>
        <w:rPr>
          <w:lang w:val="en-GB" w:eastAsia="x-none"/>
        </w:rPr>
        <w:t>8</w:t>
      </w:r>
      <w:r w:rsidRPr="00E657DA">
        <w:rPr>
          <w:lang w:val="en-GB" w:eastAsia="x-none"/>
        </w:rPr>
        <w:t xml:space="preserve"> (</w:t>
      </w:r>
      <w:r>
        <w:rPr>
          <w:lang w:val="en-GB" w:eastAsia="x-none"/>
        </w:rPr>
        <w:fldChar w:fldCharType="begin"/>
      </w:r>
      <w:r>
        <w:rPr>
          <w:lang w:val="en-GB" w:eastAsia="x-none"/>
        </w:rPr>
        <w:instrText xml:space="preserve"> REF _Ref15391002 \h </w:instrText>
      </w:r>
      <w:r>
        <w:rPr>
          <w:lang w:val="en-GB" w:eastAsia="x-none"/>
        </w:rPr>
      </w:r>
      <w:r>
        <w:rPr>
          <w:lang w:val="en-GB" w:eastAsia="x-none"/>
        </w:rPr>
        <w:fldChar w:fldCharType="separate"/>
      </w:r>
      <w:r w:rsidR="007F7607" w:rsidRPr="002E6686">
        <w:t xml:space="preserve">Table </w:t>
      </w:r>
      <w:r w:rsidR="007F7607">
        <w:rPr>
          <w:noProof/>
        </w:rPr>
        <w:t>20</w:t>
      </w:r>
      <w:r>
        <w:rPr>
          <w:lang w:val="en-GB" w:eastAsia="x-none"/>
        </w:rPr>
        <w:fldChar w:fldCharType="end"/>
      </w:r>
      <w:r w:rsidRPr="00E657DA">
        <w:rPr>
          <w:lang w:val="en-GB" w:eastAsia="x-none"/>
        </w:rPr>
        <w:t>).</w:t>
      </w:r>
      <w:r>
        <w:rPr>
          <w:lang w:val="en-GB" w:eastAsia="x-none"/>
        </w:rPr>
        <w:t xml:space="preserve"> </w:t>
      </w:r>
    </w:p>
    <w:p w14:paraId="105C08D3" w14:textId="4B378119" w:rsidR="00616E66" w:rsidRPr="00E657DA" w:rsidRDefault="00616E66" w:rsidP="00616E66">
      <w:pPr>
        <w:rPr>
          <w:lang w:val="en-GB" w:eastAsia="x-none"/>
        </w:rPr>
      </w:pPr>
      <w:r w:rsidRPr="002B4F7B">
        <w:rPr>
          <w:lang w:val="en-GB" w:eastAsia="x-none"/>
        </w:rPr>
        <w:t>Larval fish were captured for only t</w:t>
      </w:r>
      <w:r>
        <w:rPr>
          <w:lang w:val="en-GB" w:eastAsia="x-none"/>
        </w:rPr>
        <w:t>hree</w:t>
      </w:r>
      <w:r w:rsidRPr="002B4F7B">
        <w:rPr>
          <w:lang w:val="en-GB" w:eastAsia="x-none"/>
        </w:rPr>
        <w:t xml:space="preserve"> of the six target species in </w:t>
      </w:r>
      <w:r>
        <w:rPr>
          <w:lang w:val="en-GB" w:eastAsia="x-none"/>
        </w:rPr>
        <w:t xml:space="preserve">the mid-Lachlan in </w:t>
      </w:r>
      <w:r w:rsidRPr="002B4F7B">
        <w:rPr>
          <w:lang w:val="en-GB" w:eastAsia="x-none"/>
        </w:rPr>
        <w:t>201</w:t>
      </w:r>
      <w:r>
        <w:rPr>
          <w:lang w:val="en-GB" w:eastAsia="x-none"/>
        </w:rPr>
        <w:t>8</w:t>
      </w:r>
      <w:r w:rsidRPr="002B4F7B">
        <w:rPr>
          <w:lang w:val="en-GB" w:eastAsia="x-none"/>
        </w:rPr>
        <w:t xml:space="preserve">: </w:t>
      </w:r>
      <w:r>
        <w:rPr>
          <w:lang w:val="en-GB" w:eastAsia="x-none"/>
        </w:rPr>
        <w:t>two</w:t>
      </w:r>
      <w:r w:rsidRPr="002B4F7B">
        <w:rPr>
          <w:lang w:val="en-GB" w:eastAsia="x-none"/>
        </w:rPr>
        <w:t xml:space="preserve"> Equilibrium species, Murray Cod</w:t>
      </w:r>
      <w:r>
        <w:rPr>
          <w:lang w:val="en-GB" w:eastAsia="x-none"/>
        </w:rPr>
        <w:t xml:space="preserve"> and freshwater catfish</w:t>
      </w:r>
      <w:r w:rsidRPr="002B4F7B">
        <w:rPr>
          <w:lang w:val="en-GB" w:eastAsia="x-none"/>
        </w:rPr>
        <w:t>, and one Opportunistic species, carp gudgeon (albeit a single individual) (</w:t>
      </w:r>
      <w:r>
        <w:rPr>
          <w:lang w:val="en-GB" w:eastAsia="x-none"/>
        </w:rPr>
        <w:fldChar w:fldCharType="begin"/>
      </w:r>
      <w:r>
        <w:rPr>
          <w:lang w:val="en-GB" w:eastAsia="x-none"/>
        </w:rPr>
        <w:instrText xml:space="preserve"> REF _Ref15391002 \h </w:instrText>
      </w:r>
      <w:r>
        <w:rPr>
          <w:lang w:val="en-GB" w:eastAsia="x-none"/>
        </w:rPr>
      </w:r>
      <w:r>
        <w:rPr>
          <w:lang w:val="en-GB" w:eastAsia="x-none"/>
        </w:rPr>
        <w:fldChar w:fldCharType="separate"/>
      </w:r>
      <w:r w:rsidR="007F7607" w:rsidRPr="002E6686">
        <w:t xml:space="preserve">Table </w:t>
      </w:r>
      <w:r w:rsidR="007F7607">
        <w:rPr>
          <w:noProof/>
        </w:rPr>
        <w:t>20</w:t>
      </w:r>
      <w:r>
        <w:rPr>
          <w:lang w:val="en-GB" w:eastAsia="x-none"/>
        </w:rPr>
        <w:fldChar w:fldCharType="end"/>
      </w:r>
      <w:r w:rsidRPr="002B4F7B">
        <w:rPr>
          <w:lang w:val="en-GB" w:eastAsia="x-none"/>
        </w:rPr>
        <w:t>). No Periodic representative species (golden perch or bony herring) were collected during larval sampling in 201</w:t>
      </w:r>
      <w:r>
        <w:rPr>
          <w:lang w:val="en-GB" w:eastAsia="x-none"/>
        </w:rPr>
        <w:t>8</w:t>
      </w:r>
      <w:r w:rsidRPr="002B4F7B">
        <w:rPr>
          <w:lang w:val="en-GB" w:eastAsia="x-none"/>
        </w:rPr>
        <w:t xml:space="preserve"> (</w:t>
      </w:r>
      <w:r>
        <w:rPr>
          <w:lang w:val="en-GB" w:eastAsia="x-none"/>
        </w:rPr>
        <w:fldChar w:fldCharType="begin"/>
      </w:r>
      <w:r>
        <w:rPr>
          <w:lang w:val="en-GB" w:eastAsia="x-none"/>
        </w:rPr>
        <w:instrText xml:space="preserve"> REF _Ref15391002 \h </w:instrText>
      </w:r>
      <w:r>
        <w:rPr>
          <w:lang w:val="en-GB" w:eastAsia="x-none"/>
        </w:rPr>
      </w:r>
      <w:r>
        <w:rPr>
          <w:lang w:val="en-GB" w:eastAsia="x-none"/>
        </w:rPr>
        <w:fldChar w:fldCharType="separate"/>
      </w:r>
      <w:r w:rsidR="007F7607" w:rsidRPr="002E6686">
        <w:t xml:space="preserve">Table </w:t>
      </w:r>
      <w:r w:rsidR="007F7607">
        <w:rPr>
          <w:noProof/>
        </w:rPr>
        <w:t>20</w:t>
      </w:r>
      <w:r>
        <w:rPr>
          <w:lang w:val="en-GB" w:eastAsia="x-none"/>
        </w:rPr>
        <w:fldChar w:fldCharType="end"/>
      </w:r>
      <w:r w:rsidRPr="002B4F7B">
        <w:rPr>
          <w:lang w:val="en-GB" w:eastAsia="x-none"/>
        </w:rPr>
        <w:t xml:space="preserve">). Murray cod were captured in the </w:t>
      </w:r>
      <w:r>
        <w:rPr>
          <w:lang w:val="en-GB" w:eastAsia="x-none"/>
        </w:rPr>
        <w:t>la</w:t>
      </w:r>
      <w:r w:rsidRPr="002B4F7B">
        <w:rPr>
          <w:lang w:val="en-GB" w:eastAsia="x-none"/>
        </w:rPr>
        <w:t xml:space="preserve">st </w:t>
      </w:r>
      <w:r>
        <w:rPr>
          <w:lang w:val="en-GB" w:eastAsia="x-none"/>
        </w:rPr>
        <w:t>four</w:t>
      </w:r>
      <w:r w:rsidRPr="002B4F7B">
        <w:rPr>
          <w:lang w:val="en-GB" w:eastAsia="x-none"/>
        </w:rPr>
        <w:t xml:space="preserve"> </w:t>
      </w:r>
      <w:r>
        <w:rPr>
          <w:lang w:val="en-GB" w:eastAsia="x-none"/>
        </w:rPr>
        <w:t xml:space="preserve">sampling </w:t>
      </w:r>
      <w:r w:rsidRPr="002B4F7B">
        <w:rPr>
          <w:lang w:val="en-GB" w:eastAsia="x-none"/>
        </w:rPr>
        <w:t>trips, with the majority (</w:t>
      </w:r>
      <w:r>
        <w:rPr>
          <w:lang w:val="en-GB" w:eastAsia="x-none"/>
        </w:rPr>
        <w:t>88</w:t>
      </w:r>
      <w:r w:rsidRPr="002B4F7B">
        <w:rPr>
          <w:lang w:val="en-GB" w:eastAsia="x-none"/>
        </w:rPr>
        <w:t>%) of individuals captured from</w:t>
      </w:r>
      <w:r>
        <w:rPr>
          <w:lang w:val="en-GB" w:eastAsia="x-none"/>
        </w:rPr>
        <w:t xml:space="preserve"> sampling trips 2 and 3</w:t>
      </w:r>
      <w:r w:rsidRPr="002B4F7B">
        <w:rPr>
          <w:lang w:val="en-GB" w:eastAsia="x-none"/>
        </w:rPr>
        <w:t xml:space="preserve"> (</w:t>
      </w:r>
      <w:r>
        <w:rPr>
          <w:lang w:val="en-GB" w:eastAsia="x-none"/>
        </w:rPr>
        <w:fldChar w:fldCharType="begin"/>
      </w:r>
      <w:r>
        <w:rPr>
          <w:lang w:val="en-GB" w:eastAsia="x-none"/>
        </w:rPr>
        <w:instrText xml:space="preserve"> REF _Ref15396485 \h </w:instrText>
      </w:r>
      <w:r>
        <w:rPr>
          <w:lang w:val="en-GB" w:eastAsia="x-none"/>
        </w:rPr>
      </w:r>
      <w:r>
        <w:rPr>
          <w:lang w:val="en-GB" w:eastAsia="x-none"/>
        </w:rPr>
        <w:fldChar w:fldCharType="separate"/>
      </w:r>
      <w:r w:rsidR="007F7607" w:rsidRPr="002E6686">
        <w:t xml:space="preserve">Figure </w:t>
      </w:r>
      <w:r w:rsidR="007F7607">
        <w:rPr>
          <w:noProof/>
        </w:rPr>
        <w:t>59</w:t>
      </w:r>
      <w:r>
        <w:rPr>
          <w:lang w:val="en-GB" w:eastAsia="x-none"/>
        </w:rPr>
        <w:fldChar w:fldCharType="end"/>
      </w:r>
      <w:r w:rsidRPr="002B4F7B">
        <w:rPr>
          <w:lang w:val="en-GB" w:eastAsia="x-none"/>
        </w:rPr>
        <w:t xml:space="preserve">). Larval Murray cod ranged in length from </w:t>
      </w:r>
      <w:r>
        <w:rPr>
          <w:lang w:val="en-GB" w:eastAsia="x-none"/>
        </w:rPr>
        <w:t>5.9</w:t>
      </w:r>
      <w:r w:rsidRPr="002B4F7B">
        <w:rPr>
          <w:lang w:val="en-GB" w:eastAsia="x-none"/>
        </w:rPr>
        <w:t xml:space="preserve"> – </w:t>
      </w:r>
      <w:r>
        <w:rPr>
          <w:lang w:val="en-GB" w:eastAsia="x-none"/>
        </w:rPr>
        <w:t>16.5</w:t>
      </w:r>
      <w:r w:rsidRPr="002B4F7B">
        <w:rPr>
          <w:lang w:val="en-GB" w:eastAsia="x-none"/>
        </w:rPr>
        <w:t xml:space="preserve"> mm, corresponding to ages of </w:t>
      </w:r>
      <w:r>
        <w:rPr>
          <w:lang w:val="en-GB" w:eastAsia="x-none"/>
        </w:rPr>
        <w:t>0</w:t>
      </w:r>
      <w:r w:rsidRPr="002B4F7B">
        <w:rPr>
          <w:lang w:val="en-GB" w:eastAsia="x-none"/>
        </w:rPr>
        <w:t xml:space="preserve"> – </w:t>
      </w:r>
      <w:r>
        <w:rPr>
          <w:lang w:val="en-GB" w:eastAsia="x-none"/>
        </w:rPr>
        <w:t>65</w:t>
      </w:r>
      <w:r w:rsidRPr="002B4F7B">
        <w:rPr>
          <w:lang w:val="en-GB" w:eastAsia="x-none"/>
        </w:rPr>
        <w:t xml:space="preserve"> days</w:t>
      </w:r>
      <w:r>
        <w:rPr>
          <w:lang w:val="en-GB" w:eastAsia="x-none"/>
        </w:rPr>
        <w:t xml:space="preserve"> old</w:t>
      </w:r>
      <w:r w:rsidRPr="002B4F7B">
        <w:rPr>
          <w:lang w:val="en-GB" w:eastAsia="x-none"/>
        </w:rPr>
        <w:t xml:space="preserve"> (</w:t>
      </w:r>
      <w:r>
        <w:rPr>
          <w:lang w:val="en-GB" w:eastAsia="x-none"/>
        </w:rPr>
        <w:fldChar w:fldCharType="begin"/>
      </w:r>
      <w:r>
        <w:rPr>
          <w:lang w:val="en-GB" w:eastAsia="x-none"/>
        </w:rPr>
        <w:instrText xml:space="preserve"> REF _Ref15396497 \h </w:instrText>
      </w:r>
      <w:r>
        <w:rPr>
          <w:lang w:val="en-GB" w:eastAsia="x-none"/>
        </w:rPr>
      </w:r>
      <w:r>
        <w:rPr>
          <w:lang w:val="en-GB" w:eastAsia="x-none"/>
        </w:rPr>
        <w:fldChar w:fldCharType="separate"/>
      </w:r>
      <w:r w:rsidR="007F7607" w:rsidRPr="002E6686">
        <w:t xml:space="preserve">Figure </w:t>
      </w:r>
      <w:r w:rsidR="007F7607">
        <w:rPr>
          <w:noProof/>
        </w:rPr>
        <w:t>60</w:t>
      </w:r>
      <w:r>
        <w:rPr>
          <w:lang w:val="en-GB" w:eastAsia="x-none"/>
        </w:rPr>
        <w:fldChar w:fldCharType="end"/>
      </w:r>
      <w:r w:rsidRPr="002B4F7B">
        <w:rPr>
          <w:lang w:val="en-GB" w:eastAsia="x-none"/>
        </w:rPr>
        <w:t>). Estimated</w:t>
      </w:r>
      <w:r>
        <w:rPr>
          <w:lang w:val="en-GB" w:eastAsia="x-none"/>
        </w:rPr>
        <w:t xml:space="preserve"> spawning window for Murray cod in 2018 was between </w:t>
      </w:r>
      <w:bookmarkStart w:id="429" w:name="_Hlk18579831"/>
      <w:r>
        <w:rPr>
          <w:lang w:val="en-GB" w:eastAsia="x-none"/>
        </w:rPr>
        <w:t>12/9/18 – 30/11/18</w:t>
      </w:r>
      <w:bookmarkEnd w:id="429"/>
      <w:r>
        <w:rPr>
          <w:lang w:val="en-GB" w:eastAsia="x-none"/>
        </w:rPr>
        <w:t xml:space="preserve">, with two peaks between 6/10/18 – 21/10/18 and 31/10/18 – 15/11/18 when water temperatures were 17 -21 and 20 – 24 </w:t>
      </w:r>
      <w:r w:rsidRPr="002E6686">
        <w:rPr>
          <w:lang w:val="en-GB" w:eastAsia="x-none"/>
        </w:rPr>
        <w:t>°C</w:t>
      </w:r>
      <w:r>
        <w:rPr>
          <w:lang w:val="en-GB" w:eastAsia="x-none"/>
        </w:rPr>
        <w:t>, respectively (</w:t>
      </w:r>
      <w:r w:rsidRPr="002E6686">
        <w:rPr>
          <w:lang w:val="en-GB" w:eastAsia="x-none"/>
        </w:rPr>
        <w:t>see</w:t>
      </w:r>
      <w:r>
        <w:rPr>
          <w:lang w:val="en-GB" w:eastAsia="x-none"/>
        </w:rPr>
        <w:t xml:space="preserve"> </w:t>
      </w:r>
      <w:r>
        <w:rPr>
          <w:lang w:val="en-GB" w:eastAsia="x-none"/>
        </w:rPr>
        <w:fldChar w:fldCharType="begin"/>
      </w:r>
      <w:r>
        <w:rPr>
          <w:lang w:val="en-GB" w:eastAsia="x-none"/>
        </w:rPr>
        <w:instrText xml:space="preserve"> REF _Ref15396539 \h </w:instrText>
      </w:r>
      <w:r>
        <w:rPr>
          <w:lang w:val="en-GB" w:eastAsia="x-none"/>
        </w:rPr>
      </w:r>
      <w:r>
        <w:rPr>
          <w:lang w:val="en-GB" w:eastAsia="x-none"/>
        </w:rPr>
        <w:fldChar w:fldCharType="separate"/>
      </w:r>
      <w:r w:rsidR="007F7607" w:rsidRPr="00FD284B">
        <w:t xml:space="preserve">Figure </w:t>
      </w:r>
      <w:r w:rsidR="007F7607">
        <w:rPr>
          <w:noProof/>
        </w:rPr>
        <w:t>63</w:t>
      </w:r>
      <w:r>
        <w:rPr>
          <w:lang w:val="en-GB"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Pr>
          <w:lang w:val="en-GB" w:eastAsia="x-none"/>
        </w:rPr>
        <w:t>). Mean length of Murray cod was similar between sampling trips 2 and 3 but increased in trips 4 and 5 (</w:t>
      </w:r>
      <w:r>
        <w:rPr>
          <w:lang w:val="en-GB" w:eastAsia="x-none"/>
        </w:rPr>
        <w:fldChar w:fldCharType="begin"/>
      </w:r>
      <w:r>
        <w:rPr>
          <w:lang w:val="en-GB" w:eastAsia="x-none"/>
        </w:rPr>
        <w:instrText xml:space="preserve"> REF _Ref15396497 \h </w:instrText>
      </w:r>
      <w:r>
        <w:rPr>
          <w:lang w:val="en-GB" w:eastAsia="x-none"/>
        </w:rPr>
      </w:r>
      <w:r>
        <w:rPr>
          <w:lang w:val="en-GB" w:eastAsia="x-none"/>
        </w:rPr>
        <w:fldChar w:fldCharType="separate"/>
      </w:r>
      <w:r w:rsidR="007F7607" w:rsidRPr="002E6686">
        <w:t xml:space="preserve">Figure </w:t>
      </w:r>
      <w:r w:rsidR="007F7607">
        <w:rPr>
          <w:noProof/>
        </w:rPr>
        <w:t>60</w:t>
      </w:r>
      <w:r>
        <w:rPr>
          <w:lang w:val="en-GB" w:eastAsia="x-none"/>
        </w:rPr>
        <w:fldChar w:fldCharType="end"/>
      </w:r>
      <w:r>
        <w:rPr>
          <w:lang w:val="en-GB" w:eastAsia="x-none"/>
        </w:rPr>
        <w:t xml:space="preserve">). </w:t>
      </w:r>
    </w:p>
    <w:p w14:paraId="5CF51A94" w14:textId="3A7CF86D" w:rsidR="00616E66" w:rsidRPr="002E6686" w:rsidRDefault="00616E66" w:rsidP="00616E66">
      <w:pPr>
        <w:pStyle w:val="Caption"/>
      </w:pPr>
      <w:bookmarkStart w:id="430" w:name="_Ref15391002"/>
      <w:bookmarkStart w:id="431" w:name="_Toc31985687"/>
      <w:r w:rsidRPr="002E6686">
        <w:t xml:space="preserve">Table </w:t>
      </w:r>
      <w:r>
        <w:rPr>
          <w:noProof/>
        </w:rPr>
        <w:fldChar w:fldCharType="begin"/>
      </w:r>
      <w:r>
        <w:rPr>
          <w:noProof/>
        </w:rPr>
        <w:instrText xml:space="preserve"> SEQ Table \* ARABIC </w:instrText>
      </w:r>
      <w:r>
        <w:rPr>
          <w:noProof/>
        </w:rPr>
        <w:fldChar w:fldCharType="separate"/>
      </w:r>
      <w:r w:rsidR="007F7607">
        <w:rPr>
          <w:noProof/>
        </w:rPr>
        <w:t>20</w:t>
      </w:r>
      <w:r>
        <w:rPr>
          <w:noProof/>
        </w:rPr>
        <w:fldChar w:fldCharType="end"/>
      </w:r>
      <w:bookmarkEnd w:id="430"/>
      <w:r w:rsidRPr="002E6686">
        <w:t>.</w:t>
      </w:r>
      <w:r>
        <w:t xml:space="preserve"> </w:t>
      </w:r>
      <w:r w:rsidRPr="002E6686">
        <w:rPr>
          <w:lang w:val="en-GB"/>
        </w:rPr>
        <w:t>Capture summary of larval fish from sampling co</w:t>
      </w:r>
      <w:r>
        <w:rPr>
          <w:lang w:val="en-GB"/>
        </w:rPr>
        <w:t>nducted between mid-October to m</w:t>
      </w:r>
      <w:r w:rsidRPr="002E6686">
        <w:rPr>
          <w:lang w:val="en-GB"/>
        </w:rPr>
        <w:t>id</w:t>
      </w:r>
      <w:r>
        <w:rPr>
          <w:lang w:val="en-GB"/>
        </w:rPr>
        <w:t>-</w:t>
      </w:r>
      <w:r w:rsidRPr="002E6686">
        <w:rPr>
          <w:lang w:val="en-GB"/>
        </w:rPr>
        <w:t>December 201</w:t>
      </w:r>
      <w:r>
        <w:rPr>
          <w:lang w:val="en-GB"/>
        </w:rPr>
        <w:t>8</w:t>
      </w:r>
      <w:r w:rsidRPr="002E6686">
        <w:rPr>
          <w:lang w:val="en-GB"/>
        </w:rPr>
        <w:t xml:space="preserve"> in the </w:t>
      </w:r>
      <w:r>
        <w:rPr>
          <w:lang w:val="en-GB"/>
        </w:rPr>
        <w:t>mid-</w:t>
      </w:r>
      <w:r w:rsidRPr="002E6686">
        <w:rPr>
          <w:lang w:val="en-GB"/>
        </w:rPr>
        <w:t xml:space="preserve">Lachlan </w:t>
      </w:r>
      <w:r>
        <w:rPr>
          <w:lang w:val="en-GB"/>
        </w:rPr>
        <w:t>River</w:t>
      </w:r>
      <w:r w:rsidRPr="002E6686">
        <w:rPr>
          <w:lang w:val="en-GB"/>
        </w:rPr>
        <w:t xml:space="preserve"> system.</w:t>
      </w:r>
      <w:bookmarkEnd w:id="431"/>
      <w:r>
        <w:rPr>
          <w:lang w:val="en-GB"/>
        </w:rPr>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19"/>
        <w:gridCol w:w="1291"/>
        <w:gridCol w:w="1418"/>
        <w:gridCol w:w="1134"/>
      </w:tblGrid>
      <w:tr w:rsidR="00616E66" w:rsidRPr="00153C21" w14:paraId="7C5D0AF3" w14:textId="77777777" w:rsidTr="000F79CD">
        <w:trPr>
          <w:trHeight w:val="465"/>
          <w:jc w:val="center"/>
        </w:trPr>
        <w:tc>
          <w:tcPr>
            <w:tcW w:w="2219" w:type="dxa"/>
            <w:tcBorders>
              <w:top w:val="single" w:sz="8" w:space="0" w:color="FFFFFF"/>
              <w:left w:val="single" w:sz="8" w:space="0" w:color="FFFFFF"/>
              <w:bottom w:val="single" w:sz="24" w:space="0" w:color="FFFFFF"/>
              <w:right w:val="single" w:sz="8" w:space="0" w:color="FFFFFF"/>
            </w:tcBorders>
            <w:shd w:val="clear" w:color="auto" w:fill="9BBB59"/>
          </w:tcPr>
          <w:p w14:paraId="052B4BB4"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SPECIES</w:t>
            </w:r>
          </w:p>
        </w:tc>
        <w:tc>
          <w:tcPr>
            <w:tcW w:w="1291" w:type="dxa"/>
            <w:tcBorders>
              <w:top w:val="single" w:sz="8" w:space="0" w:color="FFFFFF"/>
              <w:left w:val="single" w:sz="8" w:space="0" w:color="FFFFFF"/>
              <w:bottom w:val="single" w:sz="24" w:space="0" w:color="FFFFFF"/>
              <w:right w:val="single" w:sz="8" w:space="0" w:color="FFFFFF"/>
            </w:tcBorders>
            <w:shd w:val="clear" w:color="auto" w:fill="9BBB59"/>
          </w:tcPr>
          <w:p w14:paraId="6903E186"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DRIFT NETS</w:t>
            </w:r>
          </w:p>
        </w:tc>
        <w:tc>
          <w:tcPr>
            <w:tcW w:w="1418" w:type="dxa"/>
            <w:tcBorders>
              <w:top w:val="single" w:sz="8" w:space="0" w:color="FFFFFF"/>
              <w:left w:val="single" w:sz="8" w:space="0" w:color="FFFFFF"/>
              <w:bottom w:val="single" w:sz="24" w:space="0" w:color="FFFFFF"/>
              <w:right w:val="single" w:sz="8" w:space="0" w:color="FFFFFF"/>
            </w:tcBorders>
            <w:shd w:val="clear" w:color="auto" w:fill="9BBB59"/>
          </w:tcPr>
          <w:p w14:paraId="54EFC72B"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LIGHT TRAPS</w:t>
            </w:r>
          </w:p>
        </w:tc>
        <w:tc>
          <w:tcPr>
            <w:tcW w:w="1134" w:type="dxa"/>
            <w:tcBorders>
              <w:top w:val="single" w:sz="8" w:space="0" w:color="FFFFFF"/>
              <w:left w:val="single" w:sz="8" w:space="0" w:color="FFFFFF"/>
              <w:bottom w:val="single" w:sz="24" w:space="0" w:color="FFFFFF"/>
              <w:right w:val="single" w:sz="8" w:space="0" w:color="FFFFFF"/>
            </w:tcBorders>
            <w:shd w:val="clear" w:color="auto" w:fill="9BBB59"/>
          </w:tcPr>
          <w:p w14:paraId="0DB88F45"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TOTAL</w:t>
            </w:r>
          </w:p>
        </w:tc>
      </w:tr>
      <w:tr w:rsidR="00616E66" w:rsidRPr="00153C21" w14:paraId="0BEBDB26" w14:textId="77777777" w:rsidTr="000F79CD">
        <w:trPr>
          <w:jc w:val="center"/>
        </w:trPr>
        <w:tc>
          <w:tcPr>
            <w:tcW w:w="2219" w:type="dxa"/>
            <w:tcBorders>
              <w:top w:val="single" w:sz="24" w:space="0" w:color="FFFFFF"/>
              <w:left w:val="single" w:sz="8" w:space="0" w:color="FFFFFF"/>
              <w:bottom w:val="single" w:sz="6" w:space="0" w:color="FFFFFF"/>
              <w:right w:val="single" w:sz="24" w:space="0" w:color="FFFFFF"/>
            </w:tcBorders>
            <w:shd w:val="clear" w:color="auto" w:fill="9BBB59"/>
          </w:tcPr>
          <w:p w14:paraId="187A1805"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Murray cod</w:t>
            </w:r>
          </w:p>
        </w:tc>
        <w:tc>
          <w:tcPr>
            <w:tcW w:w="1291" w:type="dxa"/>
            <w:tcBorders>
              <w:top w:val="single" w:sz="24" w:space="0" w:color="FFFFFF"/>
              <w:bottom w:val="single" w:sz="6" w:space="0" w:color="FFFFFF"/>
            </w:tcBorders>
            <w:shd w:val="clear" w:color="auto" w:fill="EAF1DD"/>
          </w:tcPr>
          <w:p w14:paraId="1EF84884"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150</w:t>
            </w:r>
          </w:p>
        </w:tc>
        <w:tc>
          <w:tcPr>
            <w:tcW w:w="1418" w:type="dxa"/>
            <w:tcBorders>
              <w:top w:val="single" w:sz="24" w:space="0" w:color="FFFFFF"/>
              <w:bottom w:val="single" w:sz="6" w:space="0" w:color="FFFFFF"/>
            </w:tcBorders>
            <w:shd w:val="clear" w:color="auto" w:fill="EAF1DD"/>
          </w:tcPr>
          <w:p w14:paraId="3602BB7B"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208</w:t>
            </w:r>
          </w:p>
        </w:tc>
        <w:tc>
          <w:tcPr>
            <w:tcW w:w="1134" w:type="dxa"/>
            <w:tcBorders>
              <w:top w:val="single" w:sz="24" w:space="0" w:color="FFFFFF"/>
              <w:bottom w:val="single" w:sz="6" w:space="0" w:color="FFFFFF"/>
            </w:tcBorders>
            <w:shd w:val="clear" w:color="auto" w:fill="EAF1DD"/>
          </w:tcPr>
          <w:p w14:paraId="21DF3B1F"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358</w:t>
            </w:r>
          </w:p>
        </w:tc>
      </w:tr>
      <w:tr w:rsidR="00616E66" w:rsidRPr="00153C21" w14:paraId="0C3E5BC0"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7242EDD5"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flat headed gudgeon</w:t>
            </w:r>
          </w:p>
        </w:tc>
        <w:tc>
          <w:tcPr>
            <w:tcW w:w="1291" w:type="dxa"/>
            <w:tcBorders>
              <w:top w:val="single" w:sz="6" w:space="0" w:color="FFFFFF"/>
              <w:bottom w:val="single" w:sz="6" w:space="0" w:color="FFFFFF"/>
            </w:tcBorders>
            <w:shd w:val="clear" w:color="auto" w:fill="EAF1DD"/>
          </w:tcPr>
          <w:p w14:paraId="0CAB0AF4"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18CFEED0"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13</w:t>
            </w:r>
          </w:p>
        </w:tc>
        <w:tc>
          <w:tcPr>
            <w:tcW w:w="1134" w:type="dxa"/>
            <w:tcBorders>
              <w:top w:val="single" w:sz="6" w:space="0" w:color="FFFFFF"/>
              <w:bottom w:val="single" w:sz="6" w:space="0" w:color="FFFFFF"/>
            </w:tcBorders>
            <w:shd w:val="clear" w:color="auto" w:fill="EAF1DD"/>
          </w:tcPr>
          <w:p w14:paraId="7C094F91"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13</w:t>
            </w:r>
          </w:p>
        </w:tc>
      </w:tr>
      <w:tr w:rsidR="00616E66" w:rsidRPr="00153C21" w14:paraId="71BC8250"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4F5281C8"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Australian smelt</w:t>
            </w:r>
          </w:p>
        </w:tc>
        <w:tc>
          <w:tcPr>
            <w:tcW w:w="1291" w:type="dxa"/>
            <w:tcBorders>
              <w:top w:val="single" w:sz="6" w:space="0" w:color="FFFFFF"/>
              <w:bottom w:val="single" w:sz="6" w:space="0" w:color="FFFFFF"/>
            </w:tcBorders>
            <w:shd w:val="clear" w:color="auto" w:fill="EAF1DD"/>
          </w:tcPr>
          <w:p w14:paraId="2B49B5DE"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45D2C1D1"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40</w:t>
            </w:r>
          </w:p>
        </w:tc>
        <w:tc>
          <w:tcPr>
            <w:tcW w:w="1134" w:type="dxa"/>
            <w:tcBorders>
              <w:top w:val="single" w:sz="6" w:space="0" w:color="FFFFFF"/>
              <w:bottom w:val="single" w:sz="6" w:space="0" w:color="FFFFFF"/>
            </w:tcBorders>
            <w:shd w:val="clear" w:color="auto" w:fill="EAF1DD"/>
          </w:tcPr>
          <w:p w14:paraId="4162434C"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40</w:t>
            </w:r>
          </w:p>
        </w:tc>
      </w:tr>
      <w:tr w:rsidR="00616E66" w:rsidRPr="00153C21" w14:paraId="4E74981C"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67E030BE"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carp gudgeon</w:t>
            </w:r>
          </w:p>
        </w:tc>
        <w:tc>
          <w:tcPr>
            <w:tcW w:w="1291" w:type="dxa"/>
            <w:tcBorders>
              <w:top w:val="single" w:sz="6" w:space="0" w:color="FFFFFF"/>
              <w:bottom w:val="single" w:sz="6" w:space="0" w:color="FFFFFF"/>
            </w:tcBorders>
            <w:shd w:val="clear" w:color="auto" w:fill="EAF1DD"/>
          </w:tcPr>
          <w:p w14:paraId="1EBAE8A1"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w:t>
            </w:r>
          </w:p>
        </w:tc>
        <w:tc>
          <w:tcPr>
            <w:tcW w:w="1418" w:type="dxa"/>
            <w:tcBorders>
              <w:top w:val="single" w:sz="6" w:space="0" w:color="FFFFFF"/>
              <w:bottom w:val="single" w:sz="6" w:space="0" w:color="FFFFFF"/>
            </w:tcBorders>
            <w:shd w:val="clear" w:color="auto" w:fill="EAF1DD"/>
          </w:tcPr>
          <w:p w14:paraId="037B28C8"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22</w:t>
            </w:r>
          </w:p>
        </w:tc>
        <w:tc>
          <w:tcPr>
            <w:tcW w:w="1134" w:type="dxa"/>
            <w:tcBorders>
              <w:top w:val="single" w:sz="6" w:space="0" w:color="FFFFFF"/>
              <w:bottom w:val="single" w:sz="6" w:space="0" w:color="FFFFFF"/>
            </w:tcBorders>
            <w:shd w:val="clear" w:color="auto" w:fill="EAF1DD"/>
          </w:tcPr>
          <w:p w14:paraId="26D82E4A"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24</w:t>
            </w:r>
          </w:p>
        </w:tc>
      </w:tr>
      <w:tr w:rsidR="00616E66" w:rsidRPr="00153C21" w14:paraId="4EA33385"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69FC5218"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freshwater catfish</w:t>
            </w:r>
          </w:p>
        </w:tc>
        <w:tc>
          <w:tcPr>
            <w:tcW w:w="1291" w:type="dxa"/>
            <w:tcBorders>
              <w:top w:val="single" w:sz="6" w:space="0" w:color="FFFFFF"/>
              <w:bottom w:val="single" w:sz="6" w:space="0" w:color="FFFFFF"/>
            </w:tcBorders>
            <w:shd w:val="clear" w:color="auto" w:fill="EAF1DD"/>
          </w:tcPr>
          <w:p w14:paraId="0FE66074"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26</w:t>
            </w:r>
          </w:p>
        </w:tc>
        <w:tc>
          <w:tcPr>
            <w:tcW w:w="1418" w:type="dxa"/>
            <w:tcBorders>
              <w:top w:val="single" w:sz="6" w:space="0" w:color="FFFFFF"/>
              <w:bottom w:val="single" w:sz="6" w:space="0" w:color="FFFFFF"/>
            </w:tcBorders>
            <w:shd w:val="clear" w:color="auto" w:fill="EAF1DD"/>
          </w:tcPr>
          <w:p w14:paraId="140EEDAD"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1BC0CDC8"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26</w:t>
            </w:r>
          </w:p>
        </w:tc>
      </w:tr>
      <w:tr w:rsidR="00616E66" w:rsidRPr="00153C21" w14:paraId="25787B85"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65FC4231"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golden perch</w:t>
            </w:r>
          </w:p>
        </w:tc>
        <w:tc>
          <w:tcPr>
            <w:tcW w:w="1291" w:type="dxa"/>
            <w:tcBorders>
              <w:top w:val="single" w:sz="6" w:space="0" w:color="FFFFFF"/>
              <w:bottom w:val="single" w:sz="6" w:space="0" w:color="FFFFFF"/>
            </w:tcBorders>
            <w:shd w:val="clear" w:color="auto" w:fill="EAF1DD"/>
          </w:tcPr>
          <w:p w14:paraId="19843994"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00A1AC33"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5557D44D"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0</w:t>
            </w:r>
          </w:p>
        </w:tc>
      </w:tr>
      <w:tr w:rsidR="00616E66" w:rsidRPr="00153C21" w14:paraId="30A0446B"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1A2771B0"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eastern gambusia</w:t>
            </w:r>
          </w:p>
        </w:tc>
        <w:tc>
          <w:tcPr>
            <w:tcW w:w="1291" w:type="dxa"/>
            <w:tcBorders>
              <w:top w:val="single" w:sz="6" w:space="0" w:color="FFFFFF"/>
              <w:bottom w:val="single" w:sz="6" w:space="0" w:color="FFFFFF"/>
            </w:tcBorders>
            <w:shd w:val="clear" w:color="auto" w:fill="EAF1DD"/>
          </w:tcPr>
          <w:p w14:paraId="764134A4"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3E8D7143"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12</w:t>
            </w:r>
          </w:p>
        </w:tc>
        <w:tc>
          <w:tcPr>
            <w:tcW w:w="1134" w:type="dxa"/>
            <w:tcBorders>
              <w:top w:val="single" w:sz="6" w:space="0" w:color="FFFFFF"/>
              <w:bottom w:val="single" w:sz="6" w:space="0" w:color="FFFFFF"/>
            </w:tcBorders>
            <w:shd w:val="clear" w:color="auto" w:fill="EAF1DD"/>
          </w:tcPr>
          <w:p w14:paraId="533EF094"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12</w:t>
            </w:r>
          </w:p>
        </w:tc>
      </w:tr>
      <w:tr w:rsidR="00616E66" w:rsidRPr="00153C21" w14:paraId="0D30D460" w14:textId="77777777" w:rsidTr="000F79CD">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0F6D90DE" w14:textId="77777777" w:rsidR="00616E66" w:rsidRPr="008A2DB2" w:rsidRDefault="00616E66" w:rsidP="000F79CD">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common carp</w:t>
            </w:r>
          </w:p>
        </w:tc>
        <w:tc>
          <w:tcPr>
            <w:tcW w:w="1291" w:type="dxa"/>
            <w:tcBorders>
              <w:top w:val="single" w:sz="6" w:space="0" w:color="FFFFFF"/>
              <w:bottom w:val="single" w:sz="6" w:space="0" w:color="FFFFFF"/>
            </w:tcBorders>
            <w:shd w:val="clear" w:color="auto" w:fill="EAF1DD"/>
          </w:tcPr>
          <w:p w14:paraId="795B5FE0"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4179FC4D" w14:textId="77777777" w:rsidR="00616E66" w:rsidRPr="008A2DB2" w:rsidRDefault="00616E66" w:rsidP="000F79CD">
            <w:pPr>
              <w:spacing w:before="20" w:after="40"/>
              <w:jc w:val="center"/>
              <w:rPr>
                <w:rFonts w:eastAsia="Times New Roman"/>
                <w:bCs/>
                <w:sz w:val="18"/>
                <w:szCs w:val="18"/>
                <w:lang w:eastAsia="x-none"/>
              </w:rPr>
            </w:pPr>
            <w:r>
              <w:rPr>
                <w:rFonts w:eastAsia="Times New Roman"/>
                <w:bCs/>
                <w:sz w:val="18"/>
                <w:szCs w:val="18"/>
                <w:lang w:eastAsia="x-none"/>
              </w:rPr>
              <w:t>0</w:t>
            </w:r>
          </w:p>
        </w:tc>
        <w:tc>
          <w:tcPr>
            <w:tcW w:w="1134" w:type="dxa"/>
            <w:tcBorders>
              <w:top w:val="single" w:sz="6" w:space="0" w:color="FFFFFF"/>
              <w:bottom w:val="single" w:sz="6" w:space="0" w:color="FFFFFF"/>
            </w:tcBorders>
            <w:shd w:val="clear" w:color="auto" w:fill="EAF1DD"/>
          </w:tcPr>
          <w:p w14:paraId="7FD0ED69"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0</w:t>
            </w:r>
          </w:p>
        </w:tc>
      </w:tr>
      <w:tr w:rsidR="00616E66" w:rsidRPr="00153C21" w14:paraId="6BCD1D5A" w14:textId="77777777" w:rsidTr="000F79CD">
        <w:trPr>
          <w:jc w:val="center"/>
        </w:trPr>
        <w:tc>
          <w:tcPr>
            <w:tcW w:w="2219" w:type="dxa"/>
            <w:tcBorders>
              <w:top w:val="single" w:sz="6" w:space="0" w:color="FFFFFF"/>
              <w:left w:val="single" w:sz="8" w:space="0" w:color="FFFFFF"/>
              <w:bottom w:val="single" w:sz="8" w:space="0" w:color="FFFFFF"/>
              <w:right w:val="single" w:sz="24" w:space="0" w:color="FFFFFF"/>
            </w:tcBorders>
            <w:shd w:val="clear" w:color="auto" w:fill="9BBB59"/>
          </w:tcPr>
          <w:p w14:paraId="25502AD6" w14:textId="77777777" w:rsidR="00616E66" w:rsidRPr="008A2DB2" w:rsidRDefault="00616E66" w:rsidP="000F79CD">
            <w:pPr>
              <w:spacing w:before="20" w:after="40"/>
              <w:rPr>
                <w:rFonts w:eastAsia="Times New Roman"/>
                <w:b/>
                <w:bCs/>
                <w:i/>
                <w:color w:val="FFFFFF"/>
                <w:sz w:val="18"/>
                <w:szCs w:val="18"/>
                <w:lang w:eastAsia="x-none"/>
              </w:rPr>
            </w:pPr>
            <w:r w:rsidRPr="008A2DB2">
              <w:rPr>
                <w:rFonts w:eastAsia="Times New Roman"/>
                <w:b/>
                <w:bCs/>
                <w:i/>
                <w:color w:val="FFFFFF"/>
                <w:sz w:val="18"/>
                <w:szCs w:val="18"/>
                <w:lang w:eastAsia="x-none"/>
              </w:rPr>
              <w:t>TOTAL</w:t>
            </w:r>
          </w:p>
        </w:tc>
        <w:tc>
          <w:tcPr>
            <w:tcW w:w="1291" w:type="dxa"/>
            <w:tcBorders>
              <w:top w:val="single" w:sz="6" w:space="0" w:color="FFFFFF"/>
              <w:bottom w:val="single" w:sz="8" w:space="0" w:color="FFFFFF"/>
            </w:tcBorders>
            <w:shd w:val="clear" w:color="auto" w:fill="EAF1DD"/>
          </w:tcPr>
          <w:p w14:paraId="0F8823EB"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178</w:t>
            </w:r>
          </w:p>
        </w:tc>
        <w:tc>
          <w:tcPr>
            <w:tcW w:w="1418" w:type="dxa"/>
            <w:tcBorders>
              <w:top w:val="single" w:sz="6" w:space="0" w:color="FFFFFF"/>
              <w:bottom w:val="single" w:sz="8" w:space="0" w:color="FFFFFF"/>
            </w:tcBorders>
            <w:shd w:val="clear" w:color="auto" w:fill="EAF1DD"/>
          </w:tcPr>
          <w:p w14:paraId="74D6AF7B"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295</w:t>
            </w:r>
          </w:p>
        </w:tc>
        <w:tc>
          <w:tcPr>
            <w:tcW w:w="1134" w:type="dxa"/>
            <w:tcBorders>
              <w:top w:val="single" w:sz="6" w:space="0" w:color="FFFFFF"/>
              <w:bottom w:val="single" w:sz="8" w:space="0" w:color="FFFFFF"/>
            </w:tcBorders>
            <w:shd w:val="clear" w:color="auto" w:fill="EAF1DD"/>
          </w:tcPr>
          <w:p w14:paraId="6B16FBF7" w14:textId="77777777" w:rsidR="00616E66" w:rsidRPr="008A2DB2" w:rsidRDefault="00616E66" w:rsidP="000F79CD">
            <w:pPr>
              <w:spacing w:before="20" w:after="40"/>
              <w:jc w:val="center"/>
              <w:rPr>
                <w:rFonts w:eastAsia="Times New Roman"/>
                <w:b/>
                <w:bCs/>
                <w:sz w:val="18"/>
                <w:szCs w:val="18"/>
                <w:lang w:eastAsia="x-none"/>
              </w:rPr>
            </w:pPr>
            <w:r>
              <w:rPr>
                <w:rFonts w:eastAsia="Times New Roman"/>
                <w:b/>
                <w:bCs/>
                <w:sz w:val="18"/>
                <w:szCs w:val="18"/>
                <w:lang w:eastAsia="x-none"/>
              </w:rPr>
              <w:t>473</w:t>
            </w:r>
          </w:p>
        </w:tc>
      </w:tr>
    </w:tbl>
    <w:p w14:paraId="36EBF1D1" w14:textId="77777777" w:rsidR="00616E66" w:rsidRDefault="00616E66" w:rsidP="00616E66">
      <w:pPr>
        <w:rPr>
          <w:lang w:val="en-GB" w:eastAsia="x-none"/>
        </w:rPr>
      </w:pPr>
    </w:p>
    <w:p w14:paraId="14A8BCF7" w14:textId="1DBBB04E" w:rsidR="00616E66" w:rsidRDefault="00616E66" w:rsidP="00616E66">
      <w:pPr>
        <w:rPr>
          <w:lang w:val="en-GB" w:eastAsia="x-none"/>
        </w:rPr>
      </w:pPr>
      <w:r w:rsidRPr="002E6686">
        <w:rPr>
          <w:lang w:val="en-GB" w:eastAsia="x-none"/>
        </w:rPr>
        <w:t xml:space="preserve">Three opportunistic species were collected during larval sampling in </w:t>
      </w:r>
      <w:r>
        <w:rPr>
          <w:lang w:val="en-GB" w:eastAsia="x-none"/>
        </w:rPr>
        <w:t xml:space="preserve">the mid-Lachlan STIM in </w:t>
      </w:r>
      <w:r w:rsidRPr="002E6686">
        <w:rPr>
          <w:lang w:val="en-GB" w:eastAsia="x-none"/>
        </w:rPr>
        <w:t>201</w:t>
      </w:r>
      <w:r>
        <w:rPr>
          <w:lang w:val="en-GB" w:eastAsia="x-none"/>
        </w:rPr>
        <w:t>8</w:t>
      </w:r>
      <w:r w:rsidRPr="002E6686">
        <w:rPr>
          <w:lang w:val="en-GB" w:eastAsia="x-none"/>
        </w:rPr>
        <w:t>,</w:t>
      </w:r>
      <w:r>
        <w:rPr>
          <w:lang w:val="en-GB" w:eastAsia="x-none"/>
        </w:rPr>
        <w:t xml:space="preserve"> these were Australian smelt, flat </w:t>
      </w:r>
      <w:r w:rsidRPr="002E6686">
        <w:rPr>
          <w:lang w:val="en-GB" w:eastAsia="x-none"/>
        </w:rPr>
        <w:t>headed gudg</w:t>
      </w:r>
      <w:r>
        <w:rPr>
          <w:lang w:val="en-GB" w:eastAsia="x-none"/>
        </w:rPr>
        <w:t>eons and a carp gudgeons. Australian smelt were captured in all five sampling events, though were most abundant during trips 1 and 2 (</w:t>
      </w:r>
      <w:r>
        <w:rPr>
          <w:lang w:val="en-GB" w:eastAsia="x-none"/>
        </w:rPr>
        <w:fldChar w:fldCharType="begin"/>
      </w:r>
      <w:r>
        <w:rPr>
          <w:lang w:val="en-GB" w:eastAsia="x-none"/>
        </w:rPr>
        <w:instrText xml:space="preserve"> REF _Ref15396485 \h </w:instrText>
      </w:r>
      <w:r>
        <w:rPr>
          <w:lang w:val="en-GB" w:eastAsia="x-none"/>
        </w:rPr>
      </w:r>
      <w:r>
        <w:rPr>
          <w:lang w:val="en-GB" w:eastAsia="x-none"/>
        </w:rPr>
        <w:fldChar w:fldCharType="separate"/>
      </w:r>
      <w:r w:rsidR="007F7607" w:rsidRPr="002E6686">
        <w:t xml:space="preserve">Figure </w:t>
      </w:r>
      <w:r w:rsidR="007F7607">
        <w:rPr>
          <w:noProof/>
        </w:rPr>
        <w:t>59</w:t>
      </w:r>
      <w:r>
        <w:rPr>
          <w:lang w:val="en-GB" w:eastAsia="x-none"/>
        </w:rPr>
        <w:fldChar w:fldCharType="end"/>
      </w:r>
      <w:r w:rsidRPr="002E6686">
        <w:rPr>
          <w:lang w:val="en-GB" w:eastAsia="x-none"/>
        </w:rPr>
        <w:t xml:space="preserve">). Australian smelt were captured at each site and were most </w:t>
      </w:r>
      <w:r>
        <w:rPr>
          <w:lang w:val="en-GB" w:eastAsia="x-none"/>
        </w:rPr>
        <w:t>numerous at Euabalong</w:t>
      </w:r>
      <w:r w:rsidRPr="002E6686">
        <w:rPr>
          <w:lang w:val="en-GB" w:eastAsia="x-none"/>
        </w:rPr>
        <w:t xml:space="preserve">. Australian smelt captured ranged in size from </w:t>
      </w:r>
      <w:r>
        <w:rPr>
          <w:lang w:val="en-GB" w:eastAsia="x-none"/>
        </w:rPr>
        <w:t>5.881</w:t>
      </w:r>
      <w:r w:rsidRPr="002E6686">
        <w:rPr>
          <w:lang w:val="en-GB" w:eastAsia="x-none"/>
        </w:rPr>
        <w:t xml:space="preserve"> – 2</w:t>
      </w:r>
      <w:r>
        <w:rPr>
          <w:lang w:val="en-GB" w:eastAsia="x-none"/>
        </w:rPr>
        <w:t>2</w:t>
      </w:r>
      <w:r w:rsidRPr="002E6686">
        <w:rPr>
          <w:lang w:val="en-GB" w:eastAsia="x-none"/>
        </w:rPr>
        <w:t>.</w:t>
      </w:r>
      <w:r>
        <w:rPr>
          <w:lang w:val="en-GB" w:eastAsia="x-none"/>
        </w:rPr>
        <w:t>96</w:t>
      </w:r>
      <w:r w:rsidRPr="002E6686">
        <w:rPr>
          <w:lang w:val="en-GB" w:eastAsia="x-none"/>
        </w:rPr>
        <w:t xml:space="preserve"> mm (</w:t>
      </w:r>
      <w:r>
        <w:rPr>
          <w:lang w:val="en-GB" w:eastAsia="x-none"/>
        </w:rPr>
        <w:fldChar w:fldCharType="begin"/>
      </w:r>
      <w:r>
        <w:rPr>
          <w:lang w:val="en-GB" w:eastAsia="x-none"/>
        </w:rPr>
        <w:instrText xml:space="preserve"> REF _Ref15396497 \h </w:instrText>
      </w:r>
      <w:r>
        <w:rPr>
          <w:lang w:val="en-GB" w:eastAsia="x-none"/>
        </w:rPr>
      </w:r>
      <w:r>
        <w:rPr>
          <w:lang w:val="en-GB" w:eastAsia="x-none"/>
        </w:rPr>
        <w:fldChar w:fldCharType="separate"/>
      </w:r>
      <w:r w:rsidR="007F7607" w:rsidRPr="002E6686">
        <w:t xml:space="preserve">Figure </w:t>
      </w:r>
      <w:r w:rsidR="007F7607">
        <w:rPr>
          <w:noProof/>
        </w:rPr>
        <w:t>60</w:t>
      </w:r>
      <w:r>
        <w:rPr>
          <w:lang w:val="en-GB" w:eastAsia="x-none"/>
        </w:rPr>
        <w:fldChar w:fldCharType="end"/>
      </w:r>
      <w:r w:rsidRPr="002E6686">
        <w:rPr>
          <w:lang w:val="en-GB" w:eastAsia="x-none"/>
        </w:rPr>
        <w:t xml:space="preserve">) and ranged in estimated age from </w:t>
      </w:r>
      <w:r>
        <w:rPr>
          <w:lang w:val="en-GB" w:eastAsia="x-none"/>
        </w:rPr>
        <w:t>8</w:t>
      </w:r>
      <w:r w:rsidRPr="002E6686">
        <w:rPr>
          <w:lang w:val="en-GB" w:eastAsia="x-none"/>
        </w:rPr>
        <w:t xml:space="preserve"> – </w:t>
      </w:r>
      <w:r>
        <w:rPr>
          <w:lang w:val="en-GB" w:eastAsia="x-none"/>
        </w:rPr>
        <w:t>68</w:t>
      </w:r>
      <w:r w:rsidRPr="002E6686">
        <w:rPr>
          <w:lang w:val="en-GB" w:eastAsia="x-none"/>
        </w:rPr>
        <w:t xml:space="preserve"> days</w:t>
      </w:r>
      <w:r>
        <w:rPr>
          <w:lang w:val="en-GB" w:eastAsia="x-none"/>
        </w:rPr>
        <w:t xml:space="preserve"> old</w:t>
      </w:r>
      <w:r w:rsidRPr="002E6686">
        <w:rPr>
          <w:lang w:val="en-GB" w:eastAsia="x-none"/>
        </w:rPr>
        <w:t xml:space="preserve">. Length frequency distribution and associated back calculation of estimated spawning dates indicate that Australian smelt </w:t>
      </w:r>
      <w:r>
        <w:rPr>
          <w:lang w:val="en-GB" w:eastAsia="x-none"/>
        </w:rPr>
        <w:t xml:space="preserve">had an extended </w:t>
      </w:r>
      <w:r w:rsidRPr="002E6686">
        <w:rPr>
          <w:lang w:val="en-GB" w:eastAsia="x-none"/>
        </w:rPr>
        <w:t>spawn</w:t>
      </w:r>
      <w:r>
        <w:rPr>
          <w:lang w:val="en-GB" w:eastAsia="x-none"/>
        </w:rPr>
        <w:t>ing window spanning</w:t>
      </w:r>
      <w:r w:rsidRPr="002E6686">
        <w:rPr>
          <w:lang w:val="en-GB" w:eastAsia="x-none"/>
        </w:rPr>
        <w:t xml:space="preserve"> late</w:t>
      </w:r>
      <w:r>
        <w:rPr>
          <w:lang w:val="en-GB" w:eastAsia="x-none"/>
        </w:rPr>
        <w:t>-</w:t>
      </w:r>
      <w:r w:rsidRPr="002E6686">
        <w:rPr>
          <w:lang w:val="en-GB" w:eastAsia="x-none"/>
        </w:rPr>
        <w:t xml:space="preserve">July to </w:t>
      </w:r>
      <w:r>
        <w:rPr>
          <w:lang w:val="en-GB" w:eastAsia="x-none"/>
        </w:rPr>
        <w:t>early</w:t>
      </w:r>
      <w:r w:rsidRPr="002E6686">
        <w:rPr>
          <w:lang w:val="en-GB" w:eastAsia="x-none"/>
        </w:rPr>
        <w:t>-</w:t>
      </w:r>
      <w:r>
        <w:rPr>
          <w:lang w:val="en-GB" w:eastAsia="x-none"/>
        </w:rPr>
        <w:t>December</w:t>
      </w:r>
      <w:r w:rsidRPr="002E6686">
        <w:rPr>
          <w:lang w:val="en-GB" w:eastAsia="x-none"/>
        </w:rPr>
        <w:t xml:space="preserve"> in 20</w:t>
      </w:r>
      <w:r>
        <w:rPr>
          <w:lang w:val="en-GB" w:eastAsia="x-none"/>
        </w:rPr>
        <w:t>18 (</w:t>
      </w:r>
      <w:r w:rsidRPr="002E6686">
        <w:rPr>
          <w:lang w:val="en-GB" w:eastAsia="x-none"/>
        </w:rPr>
        <w:t>see</w:t>
      </w:r>
      <w:r>
        <w:rPr>
          <w:lang w:val="en-GB" w:eastAsia="x-none"/>
        </w:rPr>
        <w:t xml:space="preserve"> </w:t>
      </w:r>
      <w:r>
        <w:rPr>
          <w:lang w:val="en-GB" w:eastAsia="x-none"/>
        </w:rPr>
        <w:fldChar w:fldCharType="begin"/>
      </w:r>
      <w:r>
        <w:rPr>
          <w:lang w:val="en-GB" w:eastAsia="x-none"/>
        </w:rPr>
        <w:instrText xml:space="preserve"> REF _Ref15396539 \h </w:instrText>
      </w:r>
      <w:r>
        <w:rPr>
          <w:lang w:val="en-GB" w:eastAsia="x-none"/>
        </w:rPr>
      </w:r>
      <w:r>
        <w:rPr>
          <w:lang w:val="en-GB" w:eastAsia="x-none"/>
        </w:rPr>
        <w:fldChar w:fldCharType="separate"/>
      </w:r>
      <w:r w:rsidR="007F7607" w:rsidRPr="00FD284B">
        <w:t xml:space="preserve">Figure </w:t>
      </w:r>
      <w:r w:rsidR="007F7607">
        <w:rPr>
          <w:noProof/>
        </w:rPr>
        <w:t>63</w:t>
      </w:r>
      <w:r>
        <w:rPr>
          <w:lang w:val="en-GB"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Pr>
          <w:lang w:val="en-GB" w:eastAsia="x-none"/>
        </w:rPr>
        <w:t>). P</w:t>
      </w:r>
      <w:r w:rsidRPr="002E6686">
        <w:rPr>
          <w:lang w:val="en-GB" w:eastAsia="x-none"/>
        </w:rPr>
        <w:t>eak</w:t>
      </w:r>
      <w:r>
        <w:rPr>
          <w:lang w:val="en-GB" w:eastAsia="x-none"/>
        </w:rPr>
        <w:t>s</w:t>
      </w:r>
      <w:r w:rsidRPr="002E6686">
        <w:rPr>
          <w:lang w:val="en-GB" w:eastAsia="x-none"/>
        </w:rPr>
        <w:t xml:space="preserve"> in spawning activity</w:t>
      </w:r>
      <w:r>
        <w:rPr>
          <w:lang w:val="en-GB" w:eastAsia="x-none"/>
        </w:rPr>
        <w:t xml:space="preserve"> occurred</w:t>
      </w:r>
      <w:r w:rsidRPr="002E6686">
        <w:rPr>
          <w:lang w:val="en-GB" w:eastAsia="x-none"/>
        </w:rPr>
        <w:t xml:space="preserve"> </w:t>
      </w:r>
      <w:r>
        <w:rPr>
          <w:lang w:val="en-GB" w:eastAsia="x-none"/>
        </w:rPr>
        <w:t>around</w:t>
      </w:r>
      <w:r w:rsidRPr="002E6686">
        <w:rPr>
          <w:lang w:val="en-GB" w:eastAsia="x-none"/>
        </w:rPr>
        <w:t xml:space="preserve"> </w:t>
      </w:r>
      <w:r>
        <w:rPr>
          <w:lang w:val="en-GB" w:eastAsia="x-none"/>
        </w:rPr>
        <w:t>mid-September and again around mid-October</w:t>
      </w:r>
      <w:r w:rsidRPr="002E6686">
        <w:rPr>
          <w:lang w:val="en-GB" w:eastAsia="x-none"/>
        </w:rPr>
        <w:t>, when water temperatures were around 1</w:t>
      </w:r>
      <w:r>
        <w:rPr>
          <w:lang w:val="en-GB" w:eastAsia="x-none"/>
        </w:rPr>
        <w:t>1</w:t>
      </w:r>
      <w:r w:rsidRPr="002E6686">
        <w:rPr>
          <w:lang w:val="en-GB" w:eastAsia="x-none"/>
        </w:rPr>
        <w:t xml:space="preserve"> – 1</w:t>
      </w:r>
      <w:r>
        <w:rPr>
          <w:lang w:val="en-GB" w:eastAsia="x-none"/>
        </w:rPr>
        <w:t>4</w:t>
      </w:r>
      <w:r w:rsidRPr="002E6686">
        <w:rPr>
          <w:lang w:val="en-GB" w:eastAsia="x-none"/>
        </w:rPr>
        <w:t xml:space="preserve"> °C </w:t>
      </w:r>
      <w:r>
        <w:rPr>
          <w:lang w:val="en-GB" w:eastAsia="x-none"/>
        </w:rPr>
        <w:t xml:space="preserve">and 19 – 21 </w:t>
      </w:r>
      <w:r w:rsidRPr="002E6686">
        <w:rPr>
          <w:lang w:val="en-GB" w:eastAsia="x-none"/>
        </w:rPr>
        <w:t>°C</w:t>
      </w:r>
      <w:r>
        <w:rPr>
          <w:lang w:val="en-GB" w:eastAsia="x-none"/>
        </w:rPr>
        <w:t xml:space="preserve">, respectively </w:t>
      </w:r>
      <w:r w:rsidRPr="002E6686">
        <w:rPr>
          <w:lang w:val="en-GB" w:eastAsia="x-none"/>
        </w:rPr>
        <w:t>(see</w:t>
      </w:r>
      <w:r>
        <w:rPr>
          <w:lang w:val="en-GB" w:eastAsia="x-none"/>
        </w:rPr>
        <w:t xml:space="preserve"> </w:t>
      </w:r>
      <w:r>
        <w:rPr>
          <w:lang w:val="en-GB" w:eastAsia="x-none"/>
        </w:rPr>
        <w:fldChar w:fldCharType="begin"/>
      </w:r>
      <w:r>
        <w:rPr>
          <w:lang w:val="en-GB" w:eastAsia="x-none"/>
        </w:rPr>
        <w:instrText xml:space="preserve"> REF _Ref15396539 \h </w:instrText>
      </w:r>
      <w:r>
        <w:rPr>
          <w:lang w:val="en-GB" w:eastAsia="x-none"/>
        </w:rPr>
      </w:r>
      <w:r>
        <w:rPr>
          <w:lang w:val="en-GB" w:eastAsia="x-none"/>
        </w:rPr>
        <w:fldChar w:fldCharType="separate"/>
      </w:r>
      <w:r w:rsidR="007F7607" w:rsidRPr="00FD284B">
        <w:t xml:space="preserve">Figure </w:t>
      </w:r>
      <w:r w:rsidR="007F7607">
        <w:rPr>
          <w:noProof/>
        </w:rPr>
        <w:t>63</w:t>
      </w:r>
      <w:r>
        <w:rPr>
          <w:lang w:val="en-GB" w:eastAsia="x-none"/>
        </w:rPr>
        <w:fldChar w:fldCharType="end"/>
      </w:r>
      <w:r w:rsidRPr="002E6686">
        <w:rPr>
          <w:lang w:val="en-GB" w:eastAsia="x-none"/>
        </w:rPr>
        <w:t>, section</w:t>
      </w:r>
      <w:r>
        <w:rPr>
          <w:lang w:val="en-GB" w:eastAsia="x-none"/>
        </w:rPr>
        <w:t xml:space="preserve"> </w:t>
      </w:r>
      <w:r>
        <w:rPr>
          <w:lang w:val="en-GB" w:eastAsia="x-none"/>
        </w:rPr>
        <w:fldChar w:fldCharType="begin"/>
      </w:r>
      <w:r>
        <w:rPr>
          <w:lang w:val="en-GB" w:eastAsia="x-none"/>
        </w:rPr>
        <w:instrText xml:space="preserve"> REF _Ref516045302 \r \h </w:instrText>
      </w:r>
      <w:r>
        <w:rPr>
          <w:lang w:val="en-GB" w:eastAsia="x-none"/>
        </w:rPr>
      </w:r>
      <w:r>
        <w:rPr>
          <w:lang w:val="en-GB" w:eastAsia="x-none"/>
        </w:rPr>
        <w:fldChar w:fldCharType="separate"/>
      </w:r>
      <w:r w:rsidR="007F7607">
        <w:rPr>
          <w:lang w:val="en-GB" w:eastAsia="x-none"/>
        </w:rPr>
        <w:t>7.7</w:t>
      </w:r>
      <w:r>
        <w:rPr>
          <w:lang w:val="en-GB" w:eastAsia="x-none"/>
        </w:rPr>
        <w:fldChar w:fldCharType="end"/>
      </w:r>
      <w:r w:rsidRPr="002E6686">
        <w:rPr>
          <w:lang w:val="en-GB" w:eastAsia="x-none"/>
        </w:rPr>
        <w:t xml:space="preserve">). </w:t>
      </w:r>
      <w:r>
        <w:rPr>
          <w:lang w:val="en-GB" w:eastAsia="x-none"/>
        </w:rPr>
        <w:t>Mean l</w:t>
      </w:r>
      <w:r w:rsidRPr="002E6686">
        <w:rPr>
          <w:lang w:val="en-GB" w:eastAsia="x-none"/>
        </w:rPr>
        <w:t xml:space="preserve">ength of Australian smelt </w:t>
      </w:r>
      <w:r>
        <w:rPr>
          <w:lang w:val="en-GB" w:eastAsia="x-none"/>
        </w:rPr>
        <w:t xml:space="preserve">generally </w:t>
      </w:r>
      <w:r w:rsidRPr="002E6686">
        <w:rPr>
          <w:lang w:val="en-GB" w:eastAsia="x-none"/>
        </w:rPr>
        <w:t>increased between</w:t>
      </w:r>
      <w:r>
        <w:rPr>
          <w:lang w:val="en-GB" w:eastAsia="x-none"/>
        </w:rPr>
        <w:t xml:space="preserve"> </w:t>
      </w:r>
      <w:r w:rsidRPr="002E6686">
        <w:rPr>
          <w:lang w:val="en-GB" w:eastAsia="x-none"/>
        </w:rPr>
        <w:t>sampling event</w:t>
      </w:r>
      <w:r>
        <w:rPr>
          <w:lang w:val="en-GB" w:eastAsia="x-none"/>
        </w:rPr>
        <w:t>s</w:t>
      </w:r>
      <w:r w:rsidRPr="002E6686">
        <w:rPr>
          <w:lang w:val="en-GB" w:eastAsia="x-none"/>
        </w:rPr>
        <w:t xml:space="preserve"> (</w:t>
      </w:r>
      <w:r>
        <w:rPr>
          <w:lang w:val="en-GB" w:eastAsia="x-none"/>
        </w:rPr>
        <w:fldChar w:fldCharType="begin"/>
      </w:r>
      <w:r>
        <w:rPr>
          <w:lang w:val="en-GB" w:eastAsia="x-none"/>
        </w:rPr>
        <w:instrText xml:space="preserve"> REF _Ref15396497 \h </w:instrText>
      </w:r>
      <w:r>
        <w:rPr>
          <w:lang w:val="en-GB" w:eastAsia="x-none"/>
        </w:rPr>
      </w:r>
      <w:r>
        <w:rPr>
          <w:lang w:val="en-GB" w:eastAsia="x-none"/>
        </w:rPr>
        <w:fldChar w:fldCharType="separate"/>
      </w:r>
      <w:r w:rsidR="007F7607" w:rsidRPr="002E6686">
        <w:t xml:space="preserve">Figure </w:t>
      </w:r>
      <w:r w:rsidR="007F7607">
        <w:rPr>
          <w:noProof/>
        </w:rPr>
        <w:t>60</w:t>
      </w:r>
      <w:r>
        <w:rPr>
          <w:lang w:val="en-GB" w:eastAsia="x-none"/>
        </w:rPr>
        <w:fldChar w:fldCharType="end"/>
      </w:r>
      <w:r w:rsidRPr="002E6686">
        <w:rPr>
          <w:lang w:val="en-GB" w:eastAsia="x-none"/>
        </w:rPr>
        <w:t>).</w:t>
      </w:r>
      <w:r>
        <w:rPr>
          <w:lang w:val="en-GB" w:eastAsia="x-none"/>
        </w:rPr>
        <w:t xml:space="preserve"> </w:t>
      </w:r>
    </w:p>
    <w:p w14:paraId="286601A2" w14:textId="4A87191A" w:rsidR="00616E66" w:rsidRPr="002E6686" w:rsidRDefault="00616E66" w:rsidP="00616E66">
      <w:pPr>
        <w:rPr>
          <w:lang w:val="en-GB" w:eastAsia="x-none"/>
        </w:rPr>
      </w:pPr>
      <w:r>
        <w:rPr>
          <w:lang w:val="en-GB" w:eastAsia="x-none"/>
        </w:rPr>
        <w:t xml:space="preserve">Flat headed gudgeon were only captured at a single site (Euabalong) on a single sampling trip (trip 1), and all were captured using light traps. Flat </w:t>
      </w:r>
      <w:r w:rsidRPr="002E6686">
        <w:rPr>
          <w:lang w:val="en-GB" w:eastAsia="x-none"/>
        </w:rPr>
        <w:t xml:space="preserve">headed gudgeon ranged in length from </w:t>
      </w:r>
      <w:r>
        <w:rPr>
          <w:lang w:val="en-GB" w:eastAsia="x-none"/>
        </w:rPr>
        <w:t>8.0</w:t>
      </w:r>
      <w:r w:rsidRPr="002E6686">
        <w:rPr>
          <w:lang w:val="en-GB" w:eastAsia="x-none"/>
        </w:rPr>
        <w:t xml:space="preserve"> – </w:t>
      </w:r>
      <w:r>
        <w:rPr>
          <w:lang w:val="en-GB" w:eastAsia="x-none"/>
        </w:rPr>
        <w:t>13.5</w:t>
      </w:r>
      <w:r w:rsidRPr="002E6686">
        <w:rPr>
          <w:lang w:val="en-GB" w:eastAsia="x-none"/>
        </w:rPr>
        <w:t xml:space="preserve"> mm (</w:t>
      </w:r>
      <w:r>
        <w:rPr>
          <w:lang w:val="en-GB" w:eastAsia="x-none"/>
        </w:rPr>
        <w:fldChar w:fldCharType="begin"/>
      </w:r>
      <w:r>
        <w:rPr>
          <w:lang w:val="en-GB" w:eastAsia="x-none"/>
        </w:rPr>
        <w:instrText xml:space="preserve"> REF _Ref515976326 \h </w:instrText>
      </w:r>
      <w:r>
        <w:rPr>
          <w:lang w:val="en-GB" w:eastAsia="x-none"/>
        </w:rPr>
      </w:r>
      <w:r>
        <w:rPr>
          <w:lang w:val="en-GB" w:eastAsia="x-none"/>
        </w:rPr>
        <w:fldChar w:fldCharType="separate"/>
      </w:r>
      <w:r w:rsidR="007F7607" w:rsidRPr="002E6686">
        <w:t xml:space="preserve">Figure </w:t>
      </w:r>
      <w:r w:rsidR="007F7607">
        <w:rPr>
          <w:noProof/>
        </w:rPr>
        <w:t>56</w:t>
      </w:r>
      <w:r>
        <w:rPr>
          <w:lang w:val="en-GB" w:eastAsia="x-none"/>
        </w:rPr>
        <w:fldChar w:fldCharType="end"/>
      </w:r>
      <w:r w:rsidRPr="002E6686">
        <w:rPr>
          <w:lang w:val="en-GB" w:eastAsia="x-none"/>
        </w:rPr>
        <w:t>)</w:t>
      </w:r>
      <w:r>
        <w:rPr>
          <w:lang w:val="en-GB" w:eastAsia="x-none"/>
        </w:rPr>
        <w:t>,</w:t>
      </w:r>
      <w:r w:rsidRPr="002E6686">
        <w:rPr>
          <w:lang w:val="en-GB" w:eastAsia="x-none"/>
        </w:rPr>
        <w:t xml:space="preserve"> with an estimated age of </w:t>
      </w:r>
      <w:r>
        <w:rPr>
          <w:lang w:val="en-GB" w:eastAsia="x-none"/>
        </w:rPr>
        <w:t>25</w:t>
      </w:r>
      <w:r w:rsidRPr="002E6686">
        <w:rPr>
          <w:lang w:val="en-GB" w:eastAsia="x-none"/>
        </w:rPr>
        <w:t xml:space="preserve"> – </w:t>
      </w:r>
      <w:r>
        <w:rPr>
          <w:lang w:val="en-GB" w:eastAsia="x-none"/>
        </w:rPr>
        <w:t>54</w:t>
      </w:r>
      <w:r w:rsidRPr="002E6686">
        <w:rPr>
          <w:lang w:val="en-GB" w:eastAsia="x-none"/>
        </w:rPr>
        <w:t xml:space="preserve"> days. This corresponds to an estimated spawning window from </w:t>
      </w:r>
      <w:r>
        <w:rPr>
          <w:lang w:val="en-GB" w:eastAsia="x-none"/>
        </w:rPr>
        <w:t xml:space="preserve">mid-October to early November </w:t>
      </w:r>
      <w:r w:rsidRPr="002E6686">
        <w:rPr>
          <w:lang w:val="en-GB" w:eastAsia="x-none"/>
        </w:rPr>
        <w:t xml:space="preserve">when water temperatures were </w:t>
      </w:r>
      <w:r>
        <w:rPr>
          <w:lang w:val="en-GB" w:eastAsia="x-none"/>
        </w:rPr>
        <w:t>~</w:t>
      </w:r>
      <w:r w:rsidRPr="002E6686">
        <w:rPr>
          <w:lang w:val="en-GB" w:eastAsia="x-none"/>
        </w:rPr>
        <w:t>1</w:t>
      </w:r>
      <w:r>
        <w:rPr>
          <w:lang w:val="en-GB" w:eastAsia="x-none"/>
        </w:rPr>
        <w:t>8</w:t>
      </w:r>
      <w:r w:rsidRPr="002E6686">
        <w:rPr>
          <w:lang w:val="en-GB" w:eastAsia="x-none"/>
        </w:rPr>
        <w:t xml:space="preserve"> – </w:t>
      </w:r>
      <w:r>
        <w:rPr>
          <w:lang w:val="en-GB" w:eastAsia="x-none"/>
        </w:rPr>
        <w:t>24</w:t>
      </w:r>
      <w:r w:rsidRPr="002E6686">
        <w:rPr>
          <w:lang w:val="en-GB" w:eastAsia="x-none"/>
        </w:rPr>
        <w:t xml:space="preserve"> °C</w:t>
      </w:r>
      <w:r>
        <w:rPr>
          <w:lang w:val="en-GB" w:eastAsia="x-none"/>
        </w:rPr>
        <w:t xml:space="preserve"> (</w:t>
      </w:r>
      <w:r w:rsidRPr="002E6686">
        <w:rPr>
          <w:lang w:val="en-GB" w:eastAsia="x-none"/>
        </w:rPr>
        <w:t xml:space="preserve">see </w:t>
      </w:r>
      <w:r w:rsidRPr="002E6686">
        <w:rPr>
          <w:lang w:val="en-GB" w:eastAsia="x-none"/>
        </w:rPr>
        <w:fldChar w:fldCharType="begin"/>
      </w:r>
      <w:r w:rsidRPr="002E6686">
        <w:rPr>
          <w:lang w:val="en-GB" w:eastAsia="x-none"/>
        </w:rPr>
        <w:instrText xml:space="preserve"> REF _Ref428444956 \h  \* MERGEFORMAT </w:instrText>
      </w:r>
      <w:r w:rsidRPr="002E6686">
        <w:rPr>
          <w:lang w:val="en-GB" w:eastAsia="x-none"/>
        </w:rPr>
      </w:r>
      <w:r w:rsidRPr="002E6686">
        <w:rPr>
          <w:lang w:val="en-GB" w:eastAsia="x-none"/>
        </w:rPr>
        <w:fldChar w:fldCharType="separate"/>
      </w:r>
      <w:r w:rsidR="007F7607" w:rsidRPr="007F7607">
        <w:rPr>
          <w:lang w:val="en-GB" w:eastAsia="x-none"/>
        </w:rPr>
        <w:t>Figure 62</w:t>
      </w:r>
      <w:r w:rsidRPr="002E6686">
        <w:rPr>
          <w:lang w:eastAsia="x-none"/>
        </w:rPr>
        <w:fldChar w:fldCharType="end"/>
      </w:r>
      <w:r w:rsidRPr="002E6686">
        <w:rPr>
          <w:lang w:val="en-GB" w:eastAsia="x-none"/>
        </w:rPr>
        <w:t>, section</w:t>
      </w:r>
      <w:r w:rsidR="00434525">
        <w:rPr>
          <w:lang w:val="en-GB" w:eastAsia="x-none"/>
        </w:rPr>
        <w:fldChar w:fldCharType="begin"/>
      </w:r>
      <w:r w:rsidR="00434525">
        <w:rPr>
          <w:lang w:val="en-GB" w:eastAsia="x-none"/>
        </w:rPr>
        <w:instrText xml:space="preserve"> REF _Ref17982696 \r \h </w:instrText>
      </w:r>
      <w:r w:rsidR="00434525">
        <w:rPr>
          <w:lang w:val="en-GB" w:eastAsia="x-none"/>
        </w:rPr>
      </w:r>
      <w:r w:rsidR="00434525">
        <w:rPr>
          <w:lang w:val="en-GB" w:eastAsia="x-none"/>
        </w:rPr>
        <w:fldChar w:fldCharType="separate"/>
      </w:r>
      <w:r w:rsidR="007F7607">
        <w:rPr>
          <w:lang w:val="en-GB" w:eastAsia="x-none"/>
        </w:rPr>
        <w:t>7.7</w:t>
      </w:r>
      <w:r w:rsidR="00434525">
        <w:rPr>
          <w:lang w:val="en-GB" w:eastAsia="x-none"/>
        </w:rPr>
        <w:fldChar w:fldCharType="end"/>
      </w:r>
      <w:r>
        <w:rPr>
          <w:lang w:val="en-GB" w:eastAsia="x-none"/>
        </w:rPr>
        <w:t xml:space="preserve">). </w:t>
      </w:r>
    </w:p>
    <w:p w14:paraId="6C597CA4" w14:textId="77777777" w:rsidR="00616E66" w:rsidRPr="002E6686" w:rsidRDefault="00616E66" w:rsidP="00616E66">
      <w:pPr>
        <w:rPr>
          <w:lang w:val="en-GB" w:eastAsia="x-none"/>
        </w:rPr>
      </w:pPr>
    </w:p>
    <w:p w14:paraId="400F82C9" w14:textId="77777777" w:rsidR="00616E66" w:rsidRDefault="00616E66" w:rsidP="00616E66">
      <w:pPr>
        <w:rPr>
          <w:lang w:val="en-GB" w:eastAsia="x-none"/>
        </w:rPr>
      </w:pPr>
    </w:p>
    <w:p w14:paraId="2E191F61" w14:textId="77777777" w:rsidR="00616E66" w:rsidRPr="002E6686" w:rsidRDefault="00616E66" w:rsidP="00616E66">
      <w:pPr>
        <w:rPr>
          <w:lang w:val="en-GB" w:eastAsia="x-none"/>
        </w:rPr>
      </w:pPr>
    </w:p>
    <w:p w14:paraId="14D59539" w14:textId="6916631A" w:rsidR="00616E66" w:rsidRPr="002E6686" w:rsidRDefault="00004B70" w:rsidP="00616E66">
      <w:pPr>
        <w:rPr>
          <w:lang w:eastAsia="x-none"/>
        </w:rPr>
      </w:pPr>
      <w:r>
        <w:rPr>
          <w:noProof/>
          <w:lang w:eastAsia="en-AU"/>
        </w:rPr>
        <w:drawing>
          <wp:inline distT="0" distB="0" distL="0" distR="0" wp14:anchorId="214019B5" wp14:editId="11DBDEDF">
            <wp:extent cx="5732145" cy="7421880"/>
            <wp:effectExtent l="0" t="0" r="1905" b="762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732145" cy="7421880"/>
                    </a:xfrm>
                    <a:prstGeom prst="rect">
                      <a:avLst/>
                    </a:prstGeom>
                    <a:noFill/>
                    <a:ln>
                      <a:noFill/>
                    </a:ln>
                  </pic:spPr>
                </pic:pic>
              </a:graphicData>
            </a:graphic>
          </wp:inline>
        </w:drawing>
      </w:r>
    </w:p>
    <w:p w14:paraId="60CA5C09" w14:textId="1CBBF734" w:rsidR="00616E66" w:rsidRPr="002E6686" w:rsidRDefault="00616E66" w:rsidP="00616E66">
      <w:pPr>
        <w:pStyle w:val="Caption"/>
        <w:rPr>
          <w:lang w:val="en-GB"/>
        </w:rPr>
      </w:pPr>
      <w:bookmarkStart w:id="432" w:name="_Ref15396485"/>
      <w:bookmarkStart w:id="433" w:name="_Toc31985623"/>
      <w:r w:rsidRPr="002E6686">
        <w:t xml:space="preserve">Figure </w:t>
      </w:r>
      <w:r>
        <w:rPr>
          <w:noProof/>
        </w:rPr>
        <w:fldChar w:fldCharType="begin"/>
      </w:r>
      <w:r>
        <w:rPr>
          <w:noProof/>
        </w:rPr>
        <w:instrText xml:space="preserve"> SEQ Figure \* ARABIC </w:instrText>
      </w:r>
      <w:r>
        <w:rPr>
          <w:noProof/>
        </w:rPr>
        <w:fldChar w:fldCharType="separate"/>
      </w:r>
      <w:r w:rsidR="007F7607">
        <w:rPr>
          <w:noProof/>
        </w:rPr>
        <w:t>59</w:t>
      </w:r>
      <w:r>
        <w:rPr>
          <w:noProof/>
        </w:rPr>
        <w:fldChar w:fldCharType="end"/>
      </w:r>
      <w:bookmarkEnd w:id="432"/>
      <w:r w:rsidRPr="002E6686">
        <w:t xml:space="preserve">. </w:t>
      </w:r>
      <w:r w:rsidRPr="002E6686">
        <w:rPr>
          <w:lang w:val="en-GB"/>
        </w:rPr>
        <w:t>Mean catch per unit effort (± standard error</w:t>
      </w:r>
      <w:r>
        <w:rPr>
          <w:lang w:val="en-GB"/>
        </w:rPr>
        <w:t>)</w:t>
      </w:r>
      <w:r w:rsidRPr="002E6686">
        <w:rPr>
          <w:lang w:val="en-GB"/>
        </w:rPr>
        <w:t xml:space="preserve"> of the commonly caught larval native fish for drift nets (left axis, white bars</w:t>
      </w:r>
      <w:r>
        <w:rPr>
          <w:lang w:val="en-GB"/>
        </w:rPr>
        <w:t>)</w:t>
      </w:r>
      <w:r w:rsidRPr="002E6686">
        <w:rPr>
          <w:lang w:val="en-GB"/>
        </w:rPr>
        <w:t xml:space="preserve"> and light traps (right axis, grey bars</w:t>
      </w:r>
      <w:r>
        <w:rPr>
          <w:lang w:val="en-GB"/>
        </w:rPr>
        <w:t>)</w:t>
      </w:r>
      <w:r w:rsidRPr="002E6686">
        <w:rPr>
          <w:lang w:val="en-GB"/>
        </w:rPr>
        <w:t xml:space="preserve"> per sampling event in spring summer 201</w:t>
      </w:r>
      <w:r>
        <w:rPr>
          <w:lang w:val="en-GB"/>
        </w:rPr>
        <w:t>8 in the mid-Lachlan River catchment</w:t>
      </w:r>
      <w:r w:rsidRPr="002E6686">
        <w:rPr>
          <w:lang w:val="en-GB"/>
        </w:rPr>
        <w:t>.</w:t>
      </w:r>
      <w:bookmarkEnd w:id="433"/>
    </w:p>
    <w:p w14:paraId="4E39A52D" w14:textId="1AE4D78E" w:rsidR="00616E66" w:rsidRPr="002E6686" w:rsidRDefault="00616E66" w:rsidP="00616E66">
      <w:pPr>
        <w:rPr>
          <w:lang w:eastAsia="x-none"/>
        </w:rPr>
      </w:pPr>
      <w:r>
        <w:rPr>
          <w:lang w:val="en-GB" w:eastAsia="x-none"/>
        </w:rPr>
        <w:br w:type="page"/>
      </w:r>
      <w:r w:rsidR="00004B70">
        <w:rPr>
          <w:noProof/>
          <w:lang w:eastAsia="en-AU"/>
        </w:rPr>
        <w:drawing>
          <wp:inline distT="0" distB="0" distL="0" distR="0" wp14:anchorId="2E4862E0" wp14:editId="1CB9FD68">
            <wp:extent cx="5732145" cy="7435850"/>
            <wp:effectExtent l="0" t="0" r="1905"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732145" cy="7435850"/>
                    </a:xfrm>
                    <a:prstGeom prst="rect">
                      <a:avLst/>
                    </a:prstGeom>
                    <a:noFill/>
                    <a:ln>
                      <a:noFill/>
                    </a:ln>
                  </pic:spPr>
                </pic:pic>
              </a:graphicData>
            </a:graphic>
          </wp:inline>
        </w:drawing>
      </w:r>
    </w:p>
    <w:p w14:paraId="14829C5F" w14:textId="01169B5B" w:rsidR="00616E66" w:rsidRPr="002E6686" w:rsidRDefault="00616E66" w:rsidP="00616E66">
      <w:pPr>
        <w:pStyle w:val="Caption"/>
        <w:rPr>
          <w:lang w:val="en-GB"/>
        </w:rPr>
      </w:pPr>
      <w:bookmarkStart w:id="434" w:name="_Ref15396497"/>
      <w:bookmarkStart w:id="435" w:name="_Toc31985624"/>
      <w:r w:rsidRPr="002E6686">
        <w:t xml:space="preserve">Figure </w:t>
      </w:r>
      <w:r>
        <w:rPr>
          <w:noProof/>
        </w:rPr>
        <w:fldChar w:fldCharType="begin"/>
      </w:r>
      <w:r>
        <w:rPr>
          <w:noProof/>
        </w:rPr>
        <w:instrText xml:space="preserve"> SEQ Figure \* ARABIC </w:instrText>
      </w:r>
      <w:r>
        <w:rPr>
          <w:noProof/>
        </w:rPr>
        <w:fldChar w:fldCharType="separate"/>
      </w:r>
      <w:r w:rsidR="007F7607">
        <w:rPr>
          <w:noProof/>
        </w:rPr>
        <w:t>60</w:t>
      </w:r>
      <w:r>
        <w:rPr>
          <w:noProof/>
        </w:rPr>
        <w:fldChar w:fldCharType="end"/>
      </w:r>
      <w:bookmarkEnd w:id="434"/>
      <w:r w:rsidRPr="002E6686">
        <w:t xml:space="preserve">. </w:t>
      </w:r>
      <w:r w:rsidRPr="002E6686">
        <w:rPr>
          <w:lang w:val="en-GB"/>
        </w:rPr>
        <w:t>Length frequency histograms for each sampling event of commonly captured larval native fish species with site (n = 3</w:t>
      </w:r>
      <w:r>
        <w:rPr>
          <w:lang w:val="en-GB"/>
        </w:rPr>
        <w:t>)</w:t>
      </w:r>
      <w:r w:rsidRPr="002E6686">
        <w:rPr>
          <w:lang w:val="en-GB"/>
        </w:rPr>
        <w:t xml:space="preserve"> and sampling technique (n = 2</w:t>
      </w:r>
      <w:r>
        <w:rPr>
          <w:lang w:val="en-GB"/>
        </w:rPr>
        <w:t>)</w:t>
      </w:r>
      <w:r w:rsidRPr="002E6686">
        <w:rPr>
          <w:lang w:val="en-GB"/>
        </w:rPr>
        <w:t xml:space="preserve"> combined for 201</w:t>
      </w:r>
      <w:r>
        <w:rPr>
          <w:lang w:val="en-GB"/>
        </w:rPr>
        <w:t>8</w:t>
      </w:r>
      <w:r w:rsidRPr="006E389E">
        <w:rPr>
          <w:lang w:val="en-GB"/>
        </w:rPr>
        <w:t xml:space="preserve"> </w:t>
      </w:r>
      <w:r>
        <w:rPr>
          <w:lang w:val="en-GB"/>
        </w:rPr>
        <w:t>in the mid-Lachlan River catchment</w:t>
      </w:r>
      <w:r w:rsidRPr="002E6686">
        <w:rPr>
          <w:lang w:val="en-GB"/>
        </w:rPr>
        <w:t>.</w:t>
      </w:r>
      <w:bookmarkEnd w:id="435"/>
    </w:p>
    <w:p w14:paraId="71B5A700" w14:textId="77777777" w:rsidR="00616E66" w:rsidRDefault="00616E66" w:rsidP="00616E66">
      <w:pPr>
        <w:rPr>
          <w:lang w:val="en-GB" w:eastAsia="x-none"/>
        </w:rPr>
      </w:pPr>
    </w:p>
    <w:p w14:paraId="42F2DD38" w14:textId="77777777" w:rsidR="00616E66" w:rsidRPr="002E6686" w:rsidRDefault="00616E66" w:rsidP="00616E66">
      <w:pPr>
        <w:pStyle w:val="Heading2"/>
      </w:pPr>
      <w:bookmarkStart w:id="436" w:name="_Toc440827295"/>
      <w:bookmarkStart w:id="437" w:name="_Toc467776110"/>
      <w:bookmarkStart w:id="438" w:name="_Toc31985507"/>
      <w:r w:rsidRPr="002E6686">
        <w:t>Discussion</w:t>
      </w:r>
      <w:bookmarkEnd w:id="436"/>
      <w:bookmarkEnd w:id="437"/>
      <w:bookmarkEnd w:id="438"/>
    </w:p>
    <w:p w14:paraId="695DFC70" w14:textId="77777777" w:rsidR="002D2187" w:rsidRPr="005C69FE" w:rsidRDefault="002D2187" w:rsidP="002E0631">
      <w:pPr>
        <w:pStyle w:val="Heading3"/>
      </w:pPr>
      <w:bookmarkStart w:id="439" w:name="_Toc31985508"/>
      <w:r w:rsidRPr="005C69FE">
        <w:t xml:space="preserve">Lower-Lachlan </w:t>
      </w:r>
      <w:r>
        <w:t>River s</w:t>
      </w:r>
      <w:r w:rsidRPr="005C69FE">
        <w:t>elected area</w:t>
      </w:r>
      <w:bookmarkEnd w:id="439"/>
    </w:p>
    <w:p w14:paraId="55AA35CB" w14:textId="56ACB391" w:rsidR="002D2187" w:rsidRPr="002E6686" w:rsidRDefault="002D2187" w:rsidP="002D2187">
      <w:pPr>
        <w:rPr>
          <w:lang w:val="en-GB" w:eastAsia="x-none"/>
        </w:rPr>
      </w:pPr>
      <w:r>
        <w:rPr>
          <w:lang w:val="en-US"/>
        </w:rPr>
        <w:t>In 2018, Commonwealth environmental watering actions aimed to provide suitable cues</w:t>
      </w:r>
      <w:r w:rsidRPr="00B76774">
        <w:rPr>
          <w:lang w:val="en-GB"/>
        </w:rPr>
        <w:t xml:space="preserve"> </w:t>
      </w:r>
      <w:r w:rsidRPr="002E6686">
        <w:rPr>
          <w:lang w:val="en-GB"/>
        </w:rPr>
        <w:t>and access to habitat for spawning as well as larval growth and survival</w:t>
      </w:r>
      <w:r>
        <w:rPr>
          <w:lang w:val="en-GB"/>
        </w:rPr>
        <w:t>. Larval fish monitoring in 2018 suggests that these objectives were met.</w:t>
      </w:r>
      <w:r w:rsidR="00915BD2">
        <w:rPr>
          <w:lang w:val="en-GB"/>
        </w:rPr>
        <w:t xml:space="preserve"> </w:t>
      </w:r>
      <w:r w:rsidRPr="002E6686">
        <w:rPr>
          <w:lang w:val="en-GB" w:eastAsia="x-none"/>
        </w:rPr>
        <w:t xml:space="preserve">Spawning was </w:t>
      </w:r>
      <w:r w:rsidR="00565B61">
        <w:rPr>
          <w:lang w:val="en-GB" w:eastAsia="x-none"/>
        </w:rPr>
        <w:t>evident</w:t>
      </w:r>
      <w:r w:rsidRPr="002E6686">
        <w:rPr>
          <w:lang w:val="en-GB" w:eastAsia="x-none"/>
        </w:rPr>
        <w:t xml:space="preserve"> for non-flow dependent species; however, there was no evidence</w:t>
      </w:r>
      <w:r w:rsidR="002053E5">
        <w:rPr>
          <w:lang w:val="en-GB" w:eastAsia="x-none"/>
        </w:rPr>
        <w:t xml:space="preserve"> in the larval monitoring</w:t>
      </w:r>
      <w:r w:rsidRPr="002E6686">
        <w:rPr>
          <w:lang w:val="en-GB" w:eastAsia="x-none"/>
        </w:rPr>
        <w:t xml:space="preserve"> (</w:t>
      </w:r>
      <w:r w:rsidR="002053E5">
        <w:rPr>
          <w:lang w:val="en-GB" w:eastAsia="x-none"/>
        </w:rPr>
        <w:t xml:space="preserve">in terms of </w:t>
      </w:r>
      <w:r w:rsidRPr="002E6686">
        <w:rPr>
          <w:lang w:val="en-GB" w:eastAsia="x-none"/>
        </w:rPr>
        <w:t>eggs or larvae) of flow dependent species (</w:t>
      </w:r>
      <w:r w:rsidR="00565B61">
        <w:rPr>
          <w:lang w:val="en-GB" w:eastAsia="x-none"/>
        </w:rPr>
        <w:t xml:space="preserve">i.e. </w:t>
      </w:r>
      <w:r w:rsidRPr="002E6686">
        <w:rPr>
          <w:lang w:val="en-GB" w:eastAsia="x-none"/>
        </w:rPr>
        <w:t>golden perch) or bony herring spawning in September-December 201</w:t>
      </w:r>
      <w:r>
        <w:rPr>
          <w:lang w:val="en-GB" w:eastAsia="x-none"/>
        </w:rPr>
        <w:t>8</w:t>
      </w:r>
      <w:r w:rsidR="002053E5">
        <w:rPr>
          <w:lang w:val="en-GB" w:eastAsia="x-none"/>
        </w:rPr>
        <w:t xml:space="preserve">. Subsequent sampling in autumn 2019 detected </w:t>
      </w:r>
      <w:r w:rsidRPr="002E6686">
        <w:rPr>
          <w:lang w:val="en-GB" w:eastAsia="x-none"/>
        </w:rPr>
        <w:t xml:space="preserve">young-of-year </w:t>
      </w:r>
      <w:r w:rsidR="002053E5">
        <w:rPr>
          <w:lang w:val="en-GB" w:eastAsia="x-none"/>
        </w:rPr>
        <w:t>bony herring indicating that spawning of this species occurred</w:t>
      </w:r>
      <w:r w:rsidRPr="002E6686">
        <w:rPr>
          <w:lang w:val="en-GB" w:eastAsia="x-none"/>
        </w:rPr>
        <w:t xml:space="preserve"> – </w:t>
      </w:r>
      <w:r w:rsidR="002053E5">
        <w:rPr>
          <w:lang w:val="en-GB" w:eastAsia="x-none"/>
        </w:rPr>
        <w:t>(</w:t>
      </w:r>
      <w:r>
        <w:rPr>
          <w:lang w:val="en-GB" w:eastAsia="x-none"/>
        </w:rPr>
        <w:t xml:space="preserve">see section </w:t>
      </w:r>
      <w:r w:rsidR="002E0631">
        <w:rPr>
          <w:highlight w:val="yellow"/>
          <w:lang w:val="en-GB" w:eastAsia="x-none"/>
        </w:rPr>
        <w:fldChar w:fldCharType="begin"/>
      </w:r>
      <w:r w:rsidR="002E0631">
        <w:rPr>
          <w:lang w:val="en-GB" w:eastAsia="x-none"/>
        </w:rPr>
        <w:instrText xml:space="preserve"> REF _Ref428441481 \r \h </w:instrText>
      </w:r>
      <w:r w:rsidR="002E0631">
        <w:rPr>
          <w:highlight w:val="yellow"/>
          <w:lang w:val="en-GB" w:eastAsia="x-none"/>
        </w:rPr>
      </w:r>
      <w:r w:rsidR="002E0631">
        <w:rPr>
          <w:highlight w:val="yellow"/>
          <w:lang w:val="en-GB" w:eastAsia="x-none"/>
        </w:rPr>
        <w:fldChar w:fldCharType="separate"/>
      </w:r>
      <w:r w:rsidR="007F7607">
        <w:rPr>
          <w:lang w:val="en-GB" w:eastAsia="x-none"/>
        </w:rPr>
        <w:t>6</w:t>
      </w:r>
      <w:r w:rsidR="002E0631">
        <w:rPr>
          <w:highlight w:val="yellow"/>
          <w:lang w:val="en-GB" w:eastAsia="x-none"/>
        </w:rPr>
        <w:fldChar w:fldCharType="end"/>
      </w:r>
      <w:r w:rsidRPr="002E6686">
        <w:rPr>
          <w:lang w:val="en-GB" w:eastAsia="x-none"/>
        </w:rPr>
        <w:t xml:space="preserve">). </w:t>
      </w:r>
    </w:p>
    <w:p w14:paraId="7DDE962B" w14:textId="3664863A" w:rsidR="002D2187" w:rsidRDefault="002D2187" w:rsidP="002D2187">
      <w:pPr>
        <w:rPr>
          <w:lang w:val="en-GB" w:eastAsia="x-none"/>
        </w:rPr>
      </w:pPr>
      <w:r>
        <w:rPr>
          <w:lang w:val="en-GB" w:eastAsia="x-none"/>
        </w:rPr>
        <w:t>The spring pulse appears to have been ideally delivered to promote spawning movement behaviour of adult Murray cod. This pulse was followed by relatively stable flow which coincided with the estimate</w:t>
      </w:r>
      <w:r w:rsidR="002053E5">
        <w:rPr>
          <w:lang w:val="en-GB" w:eastAsia="x-none"/>
        </w:rPr>
        <w:t>d</w:t>
      </w:r>
      <w:r>
        <w:rPr>
          <w:lang w:val="en-GB" w:eastAsia="x-none"/>
        </w:rPr>
        <w:t xml:space="preserve"> peak spawning timing of Murray cod in the lower Lachlan River selected area (appendix 1). The combination of a pulse to promote movement and stable water levels appears to have been suitable to promote a relatively strong recruitment year for Murray cod, at least to early juvenile stages. This is ideal timing as it follows two relatively poor recruitment years following the 2016 floods and associated demise of the adult Murray cod in the target reach (see </w:t>
      </w:r>
      <w:r w:rsidR="002E0631">
        <w:rPr>
          <w:lang w:val="en-GB" w:eastAsia="x-none"/>
        </w:rPr>
        <w:t xml:space="preserve">Section </w:t>
      </w:r>
      <w:r w:rsidR="002E0631">
        <w:rPr>
          <w:highlight w:val="yellow"/>
          <w:lang w:val="en-GB" w:eastAsia="x-none"/>
        </w:rPr>
        <w:fldChar w:fldCharType="begin"/>
      </w:r>
      <w:r w:rsidR="002E0631">
        <w:rPr>
          <w:lang w:val="en-GB" w:eastAsia="x-none"/>
        </w:rPr>
        <w:instrText xml:space="preserve"> REF _Ref428441481 \r \h </w:instrText>
      </w:r>
      <w:r w:rsidR="002E0631">
        <w:rPr>
          <w:highlight w:val="yellow"/>
          <w:lang w:val="en-GB" w:eastAsia="x-none"/>
        </w:rPr>
      </w:r>
      <w:r w:rsidR="002E0631">
        <w:rPr>
          <w:highlight w:val="yellow"/>
          <w:lang w:val="en-GB" w:eastAsia="x-none"/>
        </w:rPr>
        <w:fldChar w:fldCharType="separate"/>
      </w:r>
      <w:r w:rsidR="007F7607">
        <w:rPr>
          <w:lang w:val="en-GB" w:eastAsia="x-none"/>
        </w:rPr>
        <w:t>6</w:t>
      </w:r>
      <w:r w:rsidR="002E0631">
        <w:rPr>
          <w:highlight w:val="yellow"/>
          <w:lang w:val="en-GB" w:eastAsia="x-none"/>
        </w:rPr>
        <w:fldChar w:fldCharType="end"/>
      </w:r>
      <w:r>
        <w:rPr>
          <w:lang w:val="en-GB" w:eastAsia="x-none"/>
        </w:rPr>
        <w:t xml:space="preserve">). </w:t>
      </w:r>
    </w:p>
    <w:p w14:paraId="5F33DF43" w14:textId="4697B5B7" w:rsidR="002D2187" w:rsidRDefault="002D2187" w:rsidP="002D2187">
      <w:pPr>
        <w:rPr>
          <w:lang w:eastAsia="x-none"/>
        </w:rPr>
      </w:pPr>
      <w:r>
        <w:t xml:space="preserve">As for the first four years of monitoring, there was no evidence of natural recruitment of golden perch in the selected area (either larval fish or 0+ recruits in the fish community sampling). The reasons behind lack of golden perch spawning since monitoring began in 2014 remain largely unresolved. This is despite </w:t>
      </w:r>
      <w:r>
        <w:rPr>
          <w:lang w:eastAsia="x-none"/>
        </w:rPr>
        <w:t>g</w:t>
      </w:r>
      <w:r w:rsidRPr="002E6686">
        <w:rPr>
          <w:lang w:eastAsia="x-none"/>
        </w:rPr>
        <w:t xml:space="preserve">olden perch </w:t>
      </w:r>
      <w:r>
        <w:rPr>
          <w:lang w:eastAsia="x-none"/>
        </w:rPr>
        <w:t>being</w:t>
      </w:r>
      <w:r w:rsidRPr="002E6686">
        <w:rPr>
          <w:lang w:eastAsia="x-none"/>
        </w:rPr>
        <w:t xml:space="preserve"> noted for the ability to display opportunistic spawning behaviour </w:t>
      </w:r>
      <w:r w:rsidRPr="002E6686">
        <w:rPr>
          <w:lang w:eastAsia="x-none"/>
        </w:rPr>
        <w:fldChar w:fldCharType="begin"/>
      </w:r>
      <w:r w:rsidR="00CE55E9">
        <w:rPr>
          <w:lang w:eastAsia="x-none"/>
        </w:rPr>
        <w:instrText xml:space="preserve"> ADDIN EN.CITE &lt;EndNote&gt;&lt;Cite&gt;&lt;Author&gt;Ebner&lt;/Author&gt;&lt;Year&gt;2009&lt;/Year&gt;&lt;RecNum&gt;125&lt;/RecNum&gt;&lt;DisplayText&gt;(Ebner et al. 2009)&lt;/DisplayText&gt;&lt;record&gt;&lt;rec-number&gt;125&lt;/rec-number&gt;&lt;foreign-keys&gt;&lt;key app="EN" db-id="0a0zttz0gewd9befav559p5osxw5sftwfpdv" timestamp="1472614882"&gt;125&lt;/key&gt;&lt;/foreign-keys&gt;&lt;ref-type name="Journal Article"&gt;17&lt;/ref-type&gt;&lt;contributors&gt;&lt;authors&gt;&lt;author&gt;Ebner, B.C.&lt;/author&gt;&lt;author&gt;Scholz, O.&lt;/author&gt;&lt;author&gt;Gawne, B.&lt;/author&gt;&lt;/authors&gt;&lt;/contributors&gt;&lt;titles&gt;&lt;title&gt;&lt;style face="normal" font="default" size="100%"&gt;Golden perch &lt;/style&gt;&lt;style face="italic" font="default" size="100%"&gt;Macquaria ambigua&lt;/style&gt;&lt;style face="normal" font="default" size="100%"&gt; are flexible spawners in the Darling River, Australia&lt;/style&gt;&lt;/title&gt;&lt;secondary-title&gt;New Zealand Journal of Marine and Freshwater Research&lt;/secondary-title&gt;&lt;/titles&gt;&lt;periodical&gt;&lt;full-title&gt;New Zealand Journal of Marine and Freshwater Research&lt;/full-title&gt;&lt;/periodical&gt;&lt;pages&gt;571-578&lt;/pages&gt;&lt;volume&gt;43&lt;/volume&gt;&lt;number&gt;2&lt;/number&gt;&lt;dates&gt;&lt;year&gt;2009&lt;/year&gt;&lt;/dates&gt;&lt;urls&gt;&lt;/urls&gt;&lt;/record&gt;&lt;/Cite&gt;&lt;/EndNote&gt;</w:instrText>
      </w:r>
      <w:r w:rsidRPr="002E6686">
        <w:rPr>
          <w:lang w:eastAsia="x-none"/>
        </w:rPr>
        <w:fldChar w:fldCharType="separate"/>
      </w:r>
      <w:r w:rsidR="00CE55E9">
        <w:rPr>
          <w:noProof/>
          <w:lang w:eastAsia="x-none"/>
        </w:rPr>
        <w:t>(Ebner et al. 2009)</w:t>
      </w:r>
      <w:r w:rsidRPr="002E6686">
        <w:rPr>
          <w:lang w:eastAsia="x-none"/>
        </w:rPr>
        <w:fldChar w:fldCharType="end"/>
      </w:r>
      <w:r>
        <w:rPr>
          <w:lang w:eastAsia="x-none"/>
        </w:rPr>
        <w:t xml:space="preserve">. Previous studies suggest </w:t>
      </w:r>
      <w:r w:rsidRPr="002E6686">
        <w:rPr>
          <w:lang w:eastAsia="x-none"/>
        </w:rPr>
        <w:t xml:space="preserve">that </w:t>
      </w:r>
      <w:r>
        <w:rPr>
          <w:lang w:eastAsia="x-none"/>
        </w:rPr>
        <w:t>golden perch</w:t>
      </w:r>
      <w:r w:rsidRPr="002E6686">
        <w:rPr>
          <w:lang w:eastAsia="x-none"/>
        </w:rPr>
        <w:t xml:space="preserve"> require water temperatures of greater than 19</w:t>
      </w:r>
      <w:r>
        <w:rPr>
          <w:lang w:eastAsia="x-none"/>
        </w:rPr>
        <w:t> </w:t>
      </w:r>
      <w:r>
        <w:rPr>
          <w:lang w:val="en-GB" w:eastAsia="x-none"/>
        </w:rPr>
        <w:t>°</w:t>
      </w:r>
      <w:r w:rsidRPr="002E6686">
        <w:rPr>
          <w:lang w:eastAsia="x-none"/>
        </w:rPr>
        <w:t xml:space="preserve">C </w:t>
      </w:r>
      <w:r w:rsidRPr="002E6686">
        <w:rPr>
          <w:lang w:eastAsia="x-none"/>
        </w:rPr>
        <w:fldChar w:fldCharType="begin"/>
      </w:r>
      <w:r w:rsidR="00CE55E9">
        <w:rPr>
          <w:lang w:eastAsia="x-none"/>
        </w:rPr>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 timestamp="1477618504"&gt;167&lt;/key&gt;&lt;/foreign-keys&gt;&lt;ref-type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2E6686">
        <w:rPr>
          <w:lang w:eastAsia="x-none"/>
        </w:rPr>
        <w:fldChar w:fldCharType="separate"/>
      </w:r>
      <w:r w:rsidR="00CE55E9">
        <w:rPr>
          <w:noProof/>
          <w:lang w:eastAsia="x-none"/>
        </w:rPr>
        <w:t>(King et al. 2005, Stuart and Jones 2006)</w:t>
      </w:r>
      <w:r w:rsidRPr="002E6686">
        <w:rPr>
          <w:lang w:eastAsia="x-none"/>
        </w:rPr>
        <w:fldChar w:fldCharType="end"/>
      </w:r>
      <w:r w:rsidRPr="002E6686">
        <w:rPr>
          <w:lang w:eastAsia="x-none"/>
        </w:rPr>
        <w:t xml:space="preserve"> in the southern Murray-Darli</w:t>
      </w:r>
      <w:r>
        <w:rPr>
          <w:lang w:eastAsia="x-none"/>
        </w:rPr>
        <w:t>ng Basin</w:t>
      </w:r>
      <w:r w:rsidR="002053E5">
        <w:rPr>
          <w:lang w:eastAsia="x-none"/>
        </w:rPr>
        <w:t xml:space="preserve"> to initiate spawning</w:t>
      </w:r>
      <w:r>
        <w:rPr>
          <w:lang w:eastAsia="x-none"/>
        </w:rPr>
        <w:t xml:space="preserve"> and</w:t>
      </w:r>
      <w:r w:rsidR="002053E5">
        <w:rPr>
          <w:lang w:eastAsia="x-none"/>
        </w:rPr>
        <w:t xml:space="preserve"> that</w:t>
      </w:r>
      <w:r>
        <w:rPr>
          <w:lang w:eastAsia="x-none"/>
        </w:rPr>
        <w:t xml:space="preserve"> temperatures of 23</w:t>
      </w:r>
      <w:r>
        <w:rPr>
          <w:vertAlign w:val="superscript"/>
          <w:lang w:eastAsia="x-none"/>
        </w:rPr>
        <w:t xml:space="preserve"> </w:t>
      </w:r>
      <w:r>
        <w:rPr>
          <w:lang w:val="en-GB" w:eastAsia="x-none"/>
        </w:rPr>
        <w:t>°</w:t>
      </w:r>
      <w:r w:rsidRPr="002E6686">
        <w:rPr>
          <w:lang w:eastAsia="x-none"/>
        </w:rPr>
        <w:t xml:space="preserve">C are often </w:t>
      </w:r>
      <w:r w:rsidR="002053E5">
        <w:rPr>
          <w:lang w:eastAsia="x-none"/>
        </w:rPr>
        <w:t>regarded</w:t>
      </w:r>
      <w:r w:rsidRPr="002E6686">
        <w:rPr>
          <w:lang w:eastAsia="x-none"/>
        </w:rPr>
        <w:t xml:space="preserve"> as optimal for spawning</w:t>
      </w:r>
      <w:r>
        <w:rPr>
          <w:lang w:eastAsia="x-none"/>
        </w:rPr>
        <w:t xml:space="preserve"> associated with an increase in discharge</w:t>
      </w:r>
      <w:r w:rsidRPr="002E6686">
        <w:rPr>
          <w:lang w:eastAsia="x-none"/>
        </w:rPr>
        <w:t xml:space="preserve"> </w:t>
      </w:r>
      <w:r w:rsidRPr="002E6686">
        <w:rPr>
          <w:lang w:eastAsia="x-none"/>
        </w:rPr>
        <w:fldChar w:fldCharType="begin"/>
      </w:r>
      <w:r w:rsidR="00CE55E9">
        <w:rPr>
          <w:lang w:eastAsia="x-none"/>
        </w:rPr>
        <w:instrText xml:space="preserve"> ADDIN EN.CITE &lt;EndNote&gt;&lt;Cite&gt;&lt;Author&gt;Lake&lt;/Author&gt;&lt;Year&gt;1967&lt;/Year&gt;&lt;RecNum&gt;132&lt;/RecNum&gt;&lt;DisplayText&gt;(Lake 1967, Roberts et al. 2008)&lt;/DisplayText&gt;&lt;record&gt;&lt;rec-number&gt;132&lt;/rec-number&gt;&lt;foreign-keys&gt;&lt;key app="EN" db-id="0a0zttz0gewd9befav559p5osxw5sftwfpdv" timestamp="1472615787"&gt;132&lt;/key&gt;&lt;/foreign-keys&gt;&lt;ref-type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spawning&lt;/title&gt;&lt;secondary-title&gt;Australian Journal for Marine and Freshwater Research&lt;/secondary-title&gt;&lt;/titles&gt;&lt;periodical&gt;&lt;full-title&gt;Australian Journal for Marine and Freshwater Research&lt;/full-title&gt;&lt;/periodical&gt;&lt;pages&gt;155-173&lt;/pages&gt;&lt;volume&gt;18&lt;/volume&gt;&lt;dates&gt;&lt;year&gt;1967&lt;/year&gt;&lt;/dates&gt;&lt;urls&gt;&lt;/urls&gt;&lt;/record&gt;&lt;/Cite&gt;&lt;Cite&gt;&lt;Author&gt;Roberts&lt;/Author&gt;&lt;Year&gt;2008&lt;/Year&gt;&lt;RecNum&gt;168&lt;/RecNum&gt;&lt;record&gt;&lt;rec-number&gt;168&lt;/rec-number&gt;&lt;foreign-keys&gt;&lt;key app="EN" db-id="0a0zttz0gewd9befav559p5osxw5sftwfpdv" timestamp="1477618584"&gt;168&lt;/key&gt;&lt;/foreign-keys&gt;&lt;ref-type name="Journal Article"&gt;17&lt;/ref-type&gt;&lt;contributors&gt;&lt;authors&gt;&lt;author&gt;Roberts, D. T.&lt;/author&gt;&lt;author&gt;Duivenvoorden, L. J.&lt;/author&gt;&lt;author&gt;Stuart, I. G.&lt;/author&gt;&lt;/authors&gt;&lt;/contributors&gt;&lt;titles&gt;&lt;title&gt;&lt;style face="normal" font="default" size="100%"&gt;Factors influencing recruitment patterns of Golden Perch (&lt;/style&gt;&lt;style face="italic" font="default" size="100%"&gt;Macquaria ambigua oriens&lt;/style&gt;&lt;style face="normal" font="default" size="100%"&gt;) within a hydrologically variable and regulated Australian tropical river system&lt;/style&gt;&lt;/title&gt;&lt;secondary-title&gt;Ecology of Freshwater Fish&lt;/secondary-title&gt;&lt;/titles&gt;&lt;periodical&gt;&lt;full-title&gt;Ecology of Freshwater Fish&lt;/full-title&gt;&lt;/periodical&gt;&lt;pages&gt;577-589&lt;/pages&gt;&lt;volume&gt;17&lt;/volume&gt;&lt;number&gt;4&lt;/number&gt;&lt;dates&gt;&lt;year&gt;2008&lt;/year&gt;&lt;/dates&gt;&lt;urls&gt;&lt;/urls&gt;&lt;/record&gt;&lt;/Cite&gt;&lt;/EndNote&gt;</w:instrText>
      </w:r>
      <w:r w:rsidRPr="002E6686">
        <w:rPr>
          <w:lang w:eastAsia="x-none"/>
        </w:rPr>
        <w:fldChar w:fldCharType="separate"/>
      </w:r>
      <w:r w:rsidR="00CE55E9">
        <w:rPr>
          <w:noProof/>
          <w:lang w:eastAsia="x-none"/>
        </w:rPr>
        <w:t>(Lake 1967, Roberts et al. 2008)</w:t>
      </w:r>
      <w:r w:rsidRPr="002E6686">
        <w:rPr>
          <w:lang w:eastAsia="x-none"/>
        </w:rPr>
        <w:fldChar w:fldCharType="end"/>
      </w:r>
      <w:r w:rsidRPr="002E6686">
        <w:rPr>
          <w:lang w:eastAsia="x-none"/>
        </w:rPr>
        <w:t xml:space="preserve">. </w:t>
      </w:r>
    </w:p>
    <w:p w14:paraId="6409000E" w14:textId="350BD127" w:rsidR="002D2187" w:rsidRDefault="002D2187" w:rsidP="002D2187">
      <w:pPr>
        <w:rPr>
          <w:lang w:eastAsia="x-none"/>
        </w:rPr>
      </w:pPr>
      <w:r>
        <w:rPr>
          <w:lang w:eastAsia="x-none"/>
        </w:rPr>
        <w:t xml:space="preserve">The spawning season of 2018 did see spikes in discharge in mid-September, late October and mid-November, with water temperatures exceeding 21 </w:t>
      </w:r>
      <w:r>
        <w:rPr>
          <w:lang w:val="en-GB" w:eastAsia="x-none"/>
        </w:rPr>
        <w:t>°</w:t>
      </w:r>
      <w:r w:rsidRPr="002E6686">
        <w:rPr>
          <w:lang w:eastAsia="x-none"/>
        </w:rPr>
        <w:t>C</w:t>
      </w:r>
      <w:r>
        <w:rPr>
          <w:lang w:eastAsia="x-none"/>
        </w:rPr>
        <w:t xml:space="preserve"> in the latter two peaks (ideal range based on previous literature). Despite suitable temperature ranges, the latter rises failed to result in a detectable spawning event of golden perch in the target reach. </w:t>
      </w:r>
      <w:r w:rsidRPr="002E6686">
        <w:rPr>
          <w:lang w:eastAsia="x-none"/>
        </w:rPr>
        <w:t xml:space="preserve">A </w:t>
      </w:r>
      <w:r>
        <w:rPr>
          <w:lang w:eastAsia="x-none"/>
        </w:rPr>
        <w:t>potential</w:t>
      </w:r>
      <w:r w:rsidRPr="002E6686">
        <w:rPr>
          <w:lang w:eastAsia="x-none"/>
        </w:rPr>
        <w:t xml:space="preserve"> factor contributing to the lack of golden perch spawning may be </w:t>
      </w:r>
      <w:r>
        <w:rPr>
          <w:lang w:eastAsia="x-none"/>
        </w:rPr>
        <w:t xml:space="preserve">that </w:t>
      </w:r>
      <w:r w:rsidRPr="002E6686">
        <w:rPr>
          <w:lang w:eastAsia="x-none"/>
        </w:rPr>
        <w:t xml:space="preserve">suitable hydraulic conditions for golden perch spawning </w:t>
      </w:r>
      <w:r>
        <w:rPr>
          <w:lang w:eastAsia="x-none"/>
        </w:rPr>
        <w:t xml:space="preserve">were </w:t>
      </w:r>
      <w:r w:rsidRPr="002E6686">
        <w:rPr>
          <w:lang w:eastAsia="x-none"/>
        </w:rPr>
        <w:t xml:space="preserve">not </w:t>
      </w:r>
      <w:r>
        <w:rPr>
          <w:lang w:eastAsia="x-none"/>
        </w:rPr>
        <w:t>created with the flows provided</w:t>
      </w:r>
      <w:r w:rsidRPr="002E6686">
        <w:rPr>
          <w:lang w:eastAsia="x-none"/>
        </w:rPr>
        <w:t>. There is a growing belief that hydraulics, and in particular flow velocity, is important in native fish spawning and recruitment</w:t>
      </w:r>
      <w:r w:rsidR="00E14E19">
        <w:rPr>
          <w:lang w:eastAsia="x-none"/>
        </w:rPr>
        <w:t xml:space="preserve"> </w:t>
      </w:r>
      <w:r w:rsidR="00333CDB">
        <w:rPr>
          <w:lang w:eastAsia="x-none"/>
        </w:rPr>
        <w:fldChar w:fldCharType="begin"/>
      </w:r>
      <w:r w:rsidR="00333CDB">
        <w:rPr>
          <w:lang w:eastAsia="x-none"/>
        </w:rPr>
        <w:instrText xml:space="preserve"> ADDIN EN.CITE &lt;EndNote&gt;&lt;Cite&gt;&lt;Author&gt;Mallen-Cooper&lt;/Author&gt;&lt;Year&gt;2018&lt;/Year&gt;&lt;RecNum&gt;391&lt;/RecNum&gt;&lt;DisplayText&gt;(Mallen-Cooper and Zampatti 2018)&lt;/DisplayText&gt;&lt;record&gt;&lt;rec-number&gt;391&lt;/rec-number&gt;&lt;foreign-keys&gt;&lt;key app="EN" db-id="0a0zttz0gewd9befav559p5osxw5sftwfpdv" timestamp="1573529615"&gt;391&lt;/key&gt;&lt;/foreign-keys&gt;&lt;ref-type name="Journal Article"&gt;17&lt;/ref-type&gt;&lt;contributors&gt;&lt;authors&gt;&lt;author&gt;Mallen-Cooper, M.&lt;/author&gt;&lt;author&gt;Zampatti, B.P.&lt;/author&gt;&lt;/authors&gt;&lt;/contributors&gt;&lt;titles&gt;&lt;title&gt;History, hydrology and hydraulics: Rethinking the ecological management of large rivers&lt;/title&gt;&lt;secondary-title&gt;Ecohydrology&lt;/secondary-title&gt;&lt;/titles&gt;&lt;periodical&gt;&lt;full-title&gt;Ecohydrology&lt;/full-title&gt;&lt;/periodical&gt;&lt;pages&gt;23&lt;/pages&gt;&lt;volume&gt;11&lt;/volume&gt;&lt;number&gt;5&lt;/number&gt;&lt;section&gt;e.1965&lt;/section&gt;&lt;dates&gt;&lt;year&gt;2018&lt;/year&gt;&lt;/dates&gt;&lt;urls&gt;&lt;/urls&gt;&lt;/record&gt;&lt;/Cite&gt;&lt;/EndNote&gt;</w:instrText>
      </w:r>
      <w:r w:rsidR="00333CDB">
        <w:rPr>
          <w:lang w:eastAsia="x-none"/>
        </w:rPr>
        <w:fldChar w:fldCharType="separate"/>
      </w:r>
      <w:r w:rsidR="00333CDB">
        <w:rPr>
          <w:noProof/>
          <w:lang w:eastAsia="x-none"/>
        </w:rPr>
        <w:t>(Mallen-Cooper and Zampatti 2018)</w:t>
      </w:r>
      <w:r w:rsidR="00333CDB">
        <w:rPr>
          <w:lang w:eastAsia="x-none"/>
        </w:rPr>
        <w:fldChar w:fldCharType="end"/>
      </w:r>
      <w:r w:rsidRPr="002E6686">
        <w:rPr>
          <w:lang w:eastAsia="x-none"/>
        </w:rPr>
        <w:t>. However, relationships at this stage are not well established.</w:t>
      </w:r>
      <w:r>
        <w:rPr>
          <w:lang w:eastAsia="x-none"/>
        </w:rPr>
        <w:t xml:space="preserve"> Currently</w:t>
      </w:r>
      <w:r w:rsidRPr="002E6686">
        <w:rPr>
          <w:lang w:eastAsia="x-none"/>
        </w:rPr>
        <w:t xml:space="preserve"> a degree of uncertainty </w:t>
      </w:r>
      <w:r>
        <w:rPr>
          <w:lang w:eastAsia="x-none"/>
        </w:rPr>
        <w:t xml:space="preserve">exists regarding </w:t>
      </w:r>
      <w:r w:rsidRPr="002E6686">
        <w:rPr>
          <w:lang w:eastAsia="x-none"/>
        </w:rPr>
        <w:t xml:space="preserve">the lack of spawning response of golden perch </w:t>
      </w:r>
      <w:r>
        <w:rPr>
          <w:lang w:eastAsia="x-none"/>
        </w:rPr>
        <w:t xml:space="preserve">specific to </w:t>
      </w:r>
      <w:r w:rsidRPr="002E6686">
        <w:rPr>
          <w:lang w:eastAsia="x-none"/>
        </w:rPr>
        <w:t>the Lachlan River</w:t>
      </w:r>
      <w:r>
        <w:rPr>
          <w:lang w:eastAsia="x-none"/>
        </w:rPr>
        <w:t xml:space="preserve">. </w:t>
      </w:r>
    </w:p>
    <w:p w14:paraId="4853F672" w14:textId="58B76352" w:rsidR="002D2187" w:rsidRDefault="002D2187" w:rsidP="002D2187">
      <w:pPr>
        <w:rPr>
          <w:lang w:val="en-GB" w:eastAsia="x-none"/>
        </w:rPr>
      </w:pPr>
      <w:r>
        <w:rPr>
          <w:lang w:val="en-GB" w:eastAsia="x-none"/>
        </w:rPr>
        <w:t>As for all other monitoring years, b</w:t>
      </w:r>
      <w:r w:rsidRPr="002E6686">
        <w:rPr>
          <w:lang w:val="en-GB" w:eastAsia="x-none"/>
        </w:rPr>
        <w:t xml:space="preserve">ony </w:t>
      </w:r>
      <w:r>
        <w:rPr>
          <w:lang w:val="en-GB" w:eastAsia="x-none"/>
        </w:rPr>
        <w:t>h</w:t>
      </w:r>
      <w:r w:rsidRPr="002E6686">
        <w:rPr>
          <w:lang w:val="en-GB" w:eastAsia="x-none"/>
        </w:rPr>
        <w:t>erring were again not detected during larval monitoring in 201</w:t>
      </w:r>
      <w:r>
        <w:rPr>
          <w:lang w:val="en-GB" w:eastAsia="x-none"/>
        </w:rPr>
        <w:t xml:space="preserve">8. This continues to be </w:t>
      </w:r>
      <w:r w:rsidRPr="002E6686">
        <w:rPr>
          <w:lang w:val="en-GB" w:eastAsia="x-none"/>
        </w:rPr>
        <w:t>surprising given that recruits were detected at the majority of sites in the fish community monitoring in early 201</w:t>
      </w:r>
      <w:r>
        <w:rPr>
          <w:lang w:val="en-GB" w:eastAsia="x-none"/>
        </w:rPr>
        <w:t>9</w:t>
      </w:r>
      <w:r w:rsidRPr="002E6686">
        <w:rPr>
          <w:lang w:val="en-GB" w:eastAsia="x-none"/>
        </w:rPr>
        <w:t xml:space="preserve"> (see</w:t>
      </w:r>
      <w:r>
        <w:rPr>
          <w:lang w:val="en-GB" w:eastAsia="x-none"/>
        </w:rPr>
        <w:t xml:space="preserve"> </w:t>
      </w:r>
      <w:r w:rsidR="002E0631">
        <w:rPr>
          <w:lang w:val="en-GB" w:eastAsia="x-none"/>
        </w:rPr>
        <w:t xml:space="preserve">Chapter </w:t>
      </w:r>
      <w:r w:rsidR="002E0631">
        <w:rPr>
          <w:lang w:val="en-GB" w:eastAsia="x-none"/>
        </w:rPr>
        <w:fldChar w:fldCharType="begin"/>
      </w:r>
      <w:r w:rsidR="002E0631">
        <w:rPr>
          <w:lang w:val="en-GB" w:eastAsia="x-none"/>
        </w:rPr>
        <w:instrText xml:space="preserve"> REF _Ref428441481 \r \h </w:instrText>
      </w:r>
      <w:r w:rsidR="002E0631">
        <w:rPr>
          <w:lang w:val="en-GB" w:eastAsia="x-none"/>
        </w:rPr>
      </w:r>
      <w:r w:rsidR="002E0631">
        <w:rPr>
          <w:lang w:val="en-GB" w:eastAsia="x-none"/>
        </w:rPr>
        <w:fldChar w:fldCharType="separate"/>
      </w:r>
      <w:r w:rsidR="007F7607">
        <w:rPr>
          <w:lang w:val="en-GB" w:eastAsia="x-none"/>
        </w:rPr>
        <w:t>6</w:t>
      </w:r>
      <w:r w:rsidR="002E0631">
        <w:rPr>
          <w:lang w:val="en-GB" w:eastAsia="x-none"/>
        </w:rPr>
        <w:fldChar w:fldCharType="end"/>
      </w:r>
      <w:r w:rsidRPr="002E6686">
        <w:rPr>
          <w:lang w:val="en-GB" w:eastAsia="x-none"/>
        </w:rPr>
        <w:t xml:space="preserve">). This species </w:t>
      </w:r>
      <w:r>
        <w:rPr>
          <w:lang w:val="en-GB" w:eastAsia="x-none"/>
        </w:rPr>
        <w:t>i</w:t>
      </w:r>
      <w:r w:rsidRPr="002E6686">
        <w:rPr>
          <w:lang w:val="en-GB" w:eastAsia="x-none"/>
        </w:rPr>
        <w:t xml:space="preserve">s </w:t>
      </w:r>
      <w:r>
        <w:rPr>
          <w:lang w:val="en-GB" w:eastAsia="x-none"/>
        </w:rPr>
        <w:t>known</w:t>
      </w:r>
      <w:r w:rsidRPr="002E6686">
        <w:rPr>
          <w:lang w:val="en-GB" w:eastAsia="x-none"/>
        </w:rPr>
        <w:t xml:space="preserve"> to spawn in December and January when w</w:t>
      </w:r>
      <w:r>
        <w:rPr>
          <w:lang w:val="en-GB" w:eastAsia="x-none"/>
        </w:rPr>
        <w:t>ater temperatures reached 21</w:t>
      </w:r>
      <w:r w:rsidRPr="002E6686">
        <w:rPr>
          <w:lang w:val="en-GB" w:eastAsia="x-none"/>
        </w:rPr>
        <w:t>–</w:t>
      </w:r>
      <w:r>
        <w:rPr>
          <w:lang w:val="en-GB" w:eastAsia="x-none"/>
        </w:rPr>
        <w:t>23 °</w:t>
      </w:r>
      <w:r w:rsidRPr="002E6686">
        <w:rPr>
          <w:lang w:val="en-GB" w:eastAsia="x-none"/>
        </w:rPr>
        <w:t>C in the lower Murray River</w:t>
      </w:r>
      <w:r w:rsidR="0025324B">
        <w:rPr>
          <w:lang w:val="en-GB" w:eastAsia="x-none"/>
        </w:rPr>
        <w:t xml:space="preserve"> </w:t>
      </w:r>
      <w:r w:rsidR="0025324B">
        <w:rPr>
          <w:lang w:val="en-GB" w:eastAsia="x-none"/>
        </w:rPr>
        <w:fldChar w:fldCharType="begin"/>
      </w:r>
      <w:r w:rsidR="0025324B">
        <w:rPr>
          <w:lang w:val="en-GB" w:eastAsia="x-none"/>
        </w:rPr>
        <w:instrText xml:space="preserve"> ADDIN EN.CITE &lt;EndNote&gt;&lt;Cite&gt;&lt;Author&gt;Puckridge&lt;/Author&gt;&lt;Year&gt;1990&lt;/Year&gt;&lt;RecNum&gt;250&lt;/RecNum&gt;&lt;DisplayText&gt;(Puckridge and Walker 1990)&lt;/DisplayText&gt;&lt;record&gt;&lt;rec-number&gt;250&lt;/rec-number&gt;&lt;foreign-keys&gt;&lt;key app="EN" db-id="0a0zttz0gewd9befav559p5osxw5sftwfpdv" timestamp="1542669778"&gt;250&lt;/key&gt;&lt;/foreign-keys&gt;&lt;ref-type name="Journal Article"&gt;17&lt;/ref-type&gt;&lt;contributors&gt;&lt;authors&gt;&lt;author&gt;Puckridge, J. T.&lt;/author&gt;&lt;author&gt;Walker, K. F.&lt;/author&gt;&lt;/authors&gt;&lt;/contributors&gt;&lt;auth-address&gt;River Murray Lab, Dept Zoology, Univ of Adelaide, GPO Box 498, Adelaide, SA 5001, Australia&lt;/auth-address&gt;&lt;titles&gt;&lt;title&gt;&lt;style face="normal" font="default" size="100%"&gt;Reproductive biology and larval development of a gizzard shad, &lt;/style&gt;&lt;style face="italic" font="default" size="100%"&gt;Nematalosa erebi &lt;/style&gt;&lt;style face="normal" font="default" size="100%"&gt;(Günther) (Dorosomatinae: Teleostei), in the River Murray, South Australia&lt;/style&gt;&lt;/title&gt;&lt;secondary-title&gt;Australian Journal of Marine &amp;amp; Freshwater Research&lt;/secondary-title&gt;&lt;/titles&gt;&lt;periodical&gt;&lt;full-title&gt;Australian Journal of Marine &amp;amp; Freshwater Research&lt;/full-title&gt;&lt;/periodical&gt;&lt;pages&gt;695-712&lt;/pages&gt;&lt;volume&gt;41&lt;/volume&gt;&lt;number&gt;6&lt;/number&gt;&lt;keywords&gt;&lt;keyword&gt;bony bream&lt;/keyword&gt;&lt;keyword&gt;gizzard shad&lt;/keyword&gt;&lt;keyword&gt;reproduction&lt;/keyword&gt;&lt;keyword&gt;Australia, South Australia, Murray River&lt;/keyword&gt;&lt;keyword&gt;Dorosomatinae&lt;/keyword&gt;&lt;keyword&gt;Nematalosa erebi&lt;/keyword&gt;&lt;/keywords&gt;&lt;dates&gt;&lt;year&gt;1990&lt;/year&gt;&lt;/dates&gt;&lt;label&gt;&lt;style face="italic" font="default" size="100%"&gt;Nematalosa&lt;/style&gt;&lt;/label&gt;&lt;urls&gt;&lt;related-urls&gt;&lt;url&gt;http://www.scopus.com/inward/record.url?eid=2-s2.0-0025597409&amp;amp;partnerID=40&lt;/url&gt;&lt;/related-urls&gt;&lt;/urls&gt;&lt;remote-database-name&gt;Scopus&lt;/remote-database-name&gt;&lt;language&gt;Australia&lt;/language&gt;&lt;/record&gt;&lt;/Cite&gt;&lt;/EndNote&gt;</w:instrText>
      </w:r>
      <w:r w:rsidR="0025324B">
        <w:rPr>
          <w:lang w:val="en-GB" w:eastAsia="x-none"/>
        </w:rPr>
        <w:fldChar w:fldCharType="separate"/>
      </w:r>
      <w:r w:rsidR="0025324B">
        <w:rPr>
          <w:noProof/>
          <w:lang w:val="en-GB" w:eastAsia="x-none"/>
        </w:rPr>
        <w:t>(Puckridge and Walker 1990)</w:t>
      </w:r>
      <w:r w:rsidR="0025324B">
        <w:rPr>
          <w:lang w:val="en-GB" w:eastAsia="x-none"/>
        </w:rPr>
        <w:fldChar w:fldCharType="end"/>
      </w:r>
      <w:r w:rsidR="0025324B">
        <w:rPr>
          <w:lang w:val="en-GB" w:eastAsia="x-none"/>
        </w:rPr>
        <w:t xml:space="preserve">. </w:t>
      </w:r>
      <w:r w:rsidRPr="002E6686">
        <w:rPr>
          <w:lang w:val="en-GB" w:eastAsia="x-none"/>
        </w:rPr>
        <w:t>The last sampling event was in early December, which may have preceded the onset of spawning (even thou</w:t>
      </w:r>
      <w:r>
        <w:rPr>
          <w:lang w:val="en-GB" w:eastAsia="x-none"/>
        </w:rPr>
        <w:t>gh temperatures had reached ~28 °</w:t>
      </w:r>
      <w:r w:rsidRPr="002E6686">
        <w:rPr>
          <w:lang w:val="en-GB" w:eastAsia="x-none"/>
        </w:rPr>
        <w:t>C). Certainly</w:t>
      </w:r>
      <w:r>
        <w:rPr>
          <w:lang w:val="en-GB" w:eastAsia="x-none"/>
        </w:rPr>
        <w:t>,</w:t>
      </w:r>
      <w:r w:rsidRPr="002E6686">
        <w:rPr>
          <w:lang w:val="en-GB" w:eastAsia="x-none"/>
        </w:rPr>
        <w:t xml:space="preserve"> the detection of young-of-year in the fish community sampling component of the monitoring program (</w:t>
      </w:r>
      <w:r w:rsidR="002E0631" w:rsidRPr="002E6686">
        <w:rPr>
          <w:lang w:val="en-GB" w:eastAsia="x-none"/>
        </w:rPr>
        <w:t>see</w:t>
      </w:r>
      <w:r w:rsidR="002E0631">
        <w:rPr>
          <w:lang w:val="en-GB" w:eastAsia="x-none"/>
        </w:rPr>
        <w:t xml:space="preserve"> Chapter </w:t>
      </w:r>
      <w:r w:rsidR="002E0631">
        <w:rPr>
          <w:lang w:val="en-GB" w:eastAsia="x-none"/>
        </w:rPr>
        <w:fldChar w:fldCharType="begin"/>
      </w:r>
      <w:r w:rsidR="002E0631">
        <w:rPr>
          <w:lang w:val="en-GB" w:eastAsia="x-none"/>
        </w:rPr>
        <w:instrText xml:space="preserve"> REF _Ref428441481 \r \h </w:instrText>
      </w:r>
      <w:r w:rsidR="002E0631">
        <w:rPr>
          <w:lang w:val="en-GB" w:eastAsia="x-none"/>
        </w:rPr>
      </w:r>
      <w:r w:rsidR="002E0631">
        <w:rPr>
          <w:lang w:val="en-GB" w:eastAsia="x-none"/>
        </w:rPr>
        <w:fldChar w:fldCharType="separate"/>
      </w:r>
      <w:r w:rsidR="007F7607">
        <w:rPr>
          <w:lang w:val="en-GB" w:eastAsia="x-none"/>
        </w:rPr>
        <w:t>6</w:t>
      </w:r>
      <w:r w:rsidR="002E0631">
        <w:rPr>
          <w:lang w:val="en-GB" w:eastAsia="x-none"/>
        </w:rPr>
        <w:fldChar w:fldCharType="end"/>
      </w:r>
      <w:r w:rsidRPr="002E6686">
        <w:rPr>
          <w:lang w:val="en-GB" w:eastAsia="x-none"/>
        </w:rPr>
        <w:t>) suggests that spawning of bony herring occurred outside the temporal or spatial range of the sampling program</w:t>
      </w:r>
      <w:r>
        <w:rPr>
          <w:lang w:val="en-GB" w:eastAsia="x-none"/>
        </w:rPr>
        <w:t>.</w:t>
      </w:r>
    </w:p>
    <w:p w14:paraId="582259B1" w14:textId="77777777" w:rsidR="002D2187" w:rsidRDefault="002D2187" w:rsidP="002D2187">
      <w:r>
        <w:t xml:space="preserve">As in 2017, small bodied native species dominated larval fish captures in 2018, suggesting that conditions were suitable for a range of small bodied species to spawn. Flat headed gudgeon were especially abundant in 2018, which may still be related to the flood event of late 2016 – early 2017. The main mechanisms by which flooding could contribute to elevated abundances of larval native small bodied fish would be inundation of new off channel habitats and / or boosts to productivity (resulting in increased food resources for Australian smelt). King et al. (2003) found that Australian Smelt utilised inundated floodplain habitats to recruit. </w:t>
      </w:r>
    </w:p>
    <w:p w14:paraId="38D7B2D1" w14:textId="263F3310" w:rsidR="002D2187" w:rsidRDefault="002D2187" w:rsidP="002D2187">
      <w:r>
        <w:t>Relative abundance of larval flatheaded gudgeon in 2018 were the highest of the five years of monitoring to date (nearly 8-fold more than the next highest year 2015). Spawning of this species was found to be initiated by increases in food resources in earthen ponds</w:t>
      </w:r>
      <w:r w:rsidR="00CE55E9">
        <w:t xml:space="preserve"> </w:t>
      </w:r>
      <w:r w:rsidR="00CE55E9">
        <w:fldChar w:fldCharType="begin"/>
      </w:r>
      <w:r w:rsidR="00CE55E9">
        <w:instrText xml:space="preserve"> ADDIN EN.CITE &lt;EndNote&gt;&lt;Cite&gt;&lt;Author&gt;Llewellyn&lt;/Author&gt;&lt;Year&gt;2007&lt;/Year&gt;&lt;RecNum&gt;171&lt;/RecNum&gt;&lt;DisplayText&gt;(Llewellyn 2007)&lt;/DisplayText&gt;&lt;record&gt;&lt;rec-number&gt;171&lt;/rec-number&gt;&lt;foreign-keys&gt;&lt;key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rsidR="00CE55E9">
        <w:fldChar w:fldCharType="separate"/>
      </w:r>
      <w:r w:rsidR="00CE55E9">
        <w:rPr>
          <w:noProof/>
        </w:rPr>
        <w:t>(Llewellyn 2007)</w:t>
      </w:r>
      <w:r w:rsidR="00CE55E9">
        <w:fldChar w:fldCharType="end"/>
      </w:r>
      <w:r w:rsidR="00CE55E9">
        <w:t xml:space="preserve">, </w:t>
      </w:r>
      <w:r>
        <w:t>which is somewhat congruent with the results of the current monitoring program. The two years with the highest abundance of larval flatheaded gudgeon (2015 and 2018) were years in which spring pulses were delivered in mid-September. It appears as though spawning and survival to early juvenile stage of flatheaded gudgeon may be related to whether or not a spring pulse was delivered just prior to the estimated spawning window.</w:t>
      </w:r>
    </w:p>
    <w:p w14:paraId="45F3DBC2" w14:textId="77777777" w:rsidR="002D2187" w:rsidRDefault="002D2187" w:rsidP="002D2187">
      <w:r>
        <w:t xml:space="preserve">As for 2017, larval Australian smelt abundances were high in 2018. The spring pulse delivered in mid-September followed the estimated peak spawning time of Australian smelt in the lower Lachlan River selected area. </w:t>
      </w:r>
      <w:r w:rsidRPr="008C46EC">
        <w:t xml:space="preserve">The timing of the pulse and likely associated increase in food resources appear to have been suitable for survival and growth of Australian smelt in 2018. </w:t>
      </w:r>
    </w:p>
    <w:p w14:paraId="37428788" w14:textId="17DD5712" w:rsidR="002D2187" w:rsidRDefault="002D2187" w:rsidP="002D2187">
      <w:r>
        <w:t xml:space="preserve">Larval carp gudgeon were again rare in 2018, which is surprising as fish community data </w:t>
      </w:r>
      <w:r w:rsidRPr="0025324B">
        <w:t>from autumn 2018</w:t>
      </w:r>
      <w:r w:rsidR="00B92239" w:rsidRPr="0025324B">
        <w:t xml:space="preserve"> </w:t>
      </w:r>
      <w:r w:rsidR="0025324B">
        <w:fldChar w:fldCharType="begin"/>
      </w:r>
      <w:r w:rsidR="00333CDB">
        <w:instrText xml:space="preserve"> ADDIN EN.CITE &lt;EndNote&gt;&lt;Cite&gt;&lt;Author&gt;Dyer&lt;/Author&gt;&lt;Year&gt;2018&lt;/Year&gt;&lt;RecNum&gt;254&lt;/RecNum&gt;&lt;DisplayText&gt;(Dyer et al. 2018)&lt;/DisplayText&gt;&lt;record&gt;&lt;rec-number&gt;254&lt;/rec-number&gt;&lt;foreign-keys&gt;&lt;key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25324B">
        <w:fldChar w:fldCharType="separate"/>
      </w:r>
      <w:r w:rsidR="00333CDB">
        <w:rPr>
          <w:noProof/>
        </w:rPr>
        <w:t>(Dyer et al. 2018)</w:t>
      </w:r>
      <w:r w:rsidR="0025324B">
        <w:fldChar w:fldCharType="end"/>
      </w:r>
      <w:r w:rsidRPr="0025324B">
        <w:t xml:space="preserve"> recorded</w:t>
      </w:r>
      <w:r>
        <w:t xml:space="preserve"> large numbers of juveniles that may have been expected to have spawned in late 2018. This species has been observed to have enhanced recruitment during flooding (associated with wetland inundation)</w:t>
      </w:r>
      <w:r w:rsidR="0025324B">
        <w:t xml:space="preserve"> </w:t>
      </w:r>
      <w:r w:rsidR="0025324B">
        <w:fldChar w:fldCharType="begin"/>
      </w:r>
      <w:r w:rsidR="0025324B">
        <w:instrText xml:space="preserve"> ADDIN EN.CITE &lt;EndNote&gt;&lt;Cite&gt;&lt;Author&gt;Beesley&lt;/Author&gt;&lt;Year&gt;2012&lt;/Year&gt;&lt;RecNum&gt;193&lt;/RecNum&gt;&lt;DisplayText&gt;(Beesley et al. 2012)&lt;/DisplayText&gt;&lt;record&gt;&lt;rec-number&gt;193&lt;/rec-number&gt;&lt;foreign-keys&gt;&lt;key app="EN" db-id="0a0zttz0gewd9befav559p5osxw5sftwfpdv" timestamp="1505096716"&gt;193&lt;/key&gt;&lt;/foreign-keys&gt;&lt;ref-type name="Journal Article"&gt;17&lt;/ref-type&gt;&lt;contributors&gt;&lt;authors&gt;&lt;author&gt;Beesley, L.&lt;/author&gt;&lt;author&gt;King, A.J.&lt;/author&gt;&lt;author&gt;Amtstaetter, F.&lt;/author&gt;&lt;author&gt;Koehn, J.D.&lt;/author&gt;&lt;author&gt;Gawne, B.E.N.&lt;/author&gt;&lt;author&gt;Price, A.&lt;/author&gt;&lt;author&gt;Nielsen, D.L.&lt;/author&gt;&lt;author&gt;Vilizzi, L.&lt;/author&gt;&lt;author&gt;Meredith, S.N.&lt;/author&gt;&lt;/authors&gt;&lt;/contributors&gt;&lt;titles&gt;&lt;title&gt;Does flooding affect spatiotemporal variation of fish assemblages in temperate floodplain wetlands?&lt;/title&gt;&lt;secondary-title&gt;Freshwater Biology&lt;/secondary-title&gt;&lt;/titles&gt;&lt;periodical&gt;&lt;full-title&gt;Freshwater Biology&lt;/full-title&gt;&lt;/periodical&gt;&lt;pages&gt;2230-2246&lt;/pages&gt;&lt;volume&gt;57&lt;/volume&gt;&lt;dates&gt;&lt;year&gt;2012&lt;/year&gt;&lt;/dates&gt;&lt;urls&gt;&lt;/urls&gt;&lt;/record&gt;&lt;/Cite&gt;&lt;/EndNote&gt;</w:instrText>
      </w:r>
      <w:r w:rsidR="0025324B">
        <w:fldChar w:fldCharType="separate"/>
      </w:r>
      <w:r w:rsidR="0025324B">
        <w:rPr>
          <w:noProof/>
        </w:rPr>
        <w:t>(Beesley et al. 2012)</w:t>
      </w:r>
      <w:r w:rsidR="0025324B">
        <w:fldChar w:fldCharType="end"/>
      </w:r>
      <w:r w:rsidR="0025324B">
        <w:t xml:space="preserve"> </w:t>
      </w:r>
      <w:r>
        <w:t xml:space="preserve">or used floodplain inundation for recruitment (King et al. 2003), which may partially explain the high numbers of juveniles found in autumn the previous year (following significant flooding in the catchment in 2016 – 2017). So it may have been expected that the floods of late 2016 and early 2017 would have increased the abundances of carp gudgeon in the system for the prevailing few years. Fish community sampling conducted in autumn 2019 detected low relative abundances of young-of-year carp gudgeon, which is congruent with the findings of the larval fish monitoring that 2018 spawning was not a significant event. At this stage, it is unclear why captures of larval carp gudgeon were rare in 2017 and 2018. </w:t>
      </w:r>
    </w:p>
    <w:p w14:paraId="53346F8A" w14:textId="45230599" w:rsidR="00616E66" w:rsidRDefault="002D2187" w:rsidP="00616E66">
      <w:r>
        <w:t>Only one common carp was captured in 2018. This suggests common carp spawning (as detected in the larval fish monitoring) in the targeted area was minimal. This is despite several peaks in flow during the possible carp spawning window, which indicates that in channel rises can be released with low risk of creating suitable conditions for a large common carp spawning event.</w:t>
      </w:r>
      <w:r w:rsidR="001E6A43">
        <w:t xml:space="preserve"> It must be noted that young-of-year carp were common in all years of sampling during fish community monitoring (see section 6).</w:t>
      </w:r>
    </w:p>
    <w:p w14:paraId="4C90C83B" w14:textId="77777777" w:rsidR="00616E66" w:rsidRPr="00872FB7" w:rsidRDefault="00616E66" w:rsidP="00500567">
      <w:pPr>
        <w:pStyle w:val="Heading2"/>
      </w:pPr>
      <w:bookmarkStart w:id="440" w:name="_Toc467776112"/>
      <w:bookmarkStart w:id="441" w:name="_Toc31985509"/>
      <w:bookmarkStart w:id="442" w:name="_Toc440827296"/>
      <w:r w:rsidRPr="00872FB7">
        <w:t>Evaluation</w:t>
      </w:r>
      <w:bookmarkEnd w:id="440"/>
      <w:bookmarkEnd w:id="441"/>
    </w:p>
    <w:p w14:paraId="699B7032" w14:textId="77777777" w:rsidR="002D2187" w:rsidRPr="005C69FE" w:rsidRDefault="002D2187" w:rsidP="00500567">
      <w:pPr>
        <w:pStyle w:val="Heading3"/>
      </w:pPr>
      <w:bookmarkStart w:id="443" w:name="_Toc31985510"/>
      <w:r w:rsidRPr="005C69FE">
        <w:t>Lower-Lachlan</w:t>
      </w:r>
      <w:r>
        <w:t xml:space="preserve"> River s</w:t>
      </w:r>
      <w:r w:rsidRPr="005C69FE">
        <w:t>elected area</w:t>
      </w:r>
      <w:bookmarkEnd w:id="443"/>
    </w:p>
    <w:p w14:paraId="0B2C2D3F" w14:textId="719EFDF9" w:rsidR="002D2187" w:rsidRDefault="002D2187" w:rsidP="002D2187">
      <w:pPr>
        <w:rPr>
          <w:lang w:val="en-GB" w:eastAsia="x-none"/>
        </w:rPr>
      </w:pPr>
      <w:r>
        <w:rPr>
          <w:lang w:val="en-GB" w:eastAsia="x-none"/>
        </w:rPr>
        <w:t xml:space="preserve">There were two Commonwealth environmental watering actions in the lower Lachlan River system that targeted outcomes for native fish reproduction in 2018 </w:t>
      </w:r>
      <w:r w:rsidR="00500567">
        <w:rPr>
          <w:lang w:val="en-GB" w:eastAsia="x-none"/>
        </w:rPr>
        <w:t>–</w:t>
      </w:r>
      <w:r>
        <w:rPr>
          <w:lang w:val="en-GB" w:eastAsia="x-none"/>
        </w:rPr>
        <w:t xml:space="preserve"> 2019</w:t>
      </w:r>
      <w:r w:rsidR="0051472C">
        <w:rPr>
          <w:lang w:val="en-GB" w:eastAsia="x-none"/>
        </w:rPr>
        <w:t xml:space="preserve"> (</w:t>
      </w:r>
      <w:r w:rsidR="0051472C">
        <w:rPr>
          <w:lang w:val="en-GB" w:eastAsia="x-none"/>
        </w:rPr>
        <w:fldChar w:fldCharType="begin"/>
      </w:r>
      <w:r w:rsidR="0051472C">
        <w:rPr>
          <w:lang w:val="en-GB" w:eastAsia="x-none"/>
        </w:rPr>
        <w:instrText xml:space="preserve"> REF _Ref31876974 \r \h </w:instrText>
      </w:r>
      <w:r w:rsidR="0051472C">
        <w:rPr>
          <w:lang w:val="en-GB" w:eastAsia="x-none"/>
        </w:rPr>
      </w:r>
      <w:r w:rsidR="0051472C">
        <w:rPr>
          <w:lang w:val="en-GB" w:eastAsia="x-none"/>
        </w:rPr>
        <w:fldChar w:fldCharType="separate"/>
      </w:r>
      <w:r w:rsidR="007F7607">
        <w:rPr>
          <w:lang w:val="en-GB" w:eastAsia="x-none"/>
        </w:rPr>
        <w:t>4.3.1</w:t>
      </w:r>
      <w:r w:rsidR="0051472C">
        <w:rPr>
          <w:lang w:val="en-GB" w:eastAsia="x-none"/>
        </w:rPr>
        <w:fldChar w:fldCharType="end"/>
      </w:r>
      <w:r w:rsidR="0051472C">
        <w:rPr>
          <w:lang w:val="en-GB" w:eastAsia="x-none"/>
        </w:rPr>
        <w:t xml:space="preserve"> </w:t>
      </w:r>
      <w:r w:rsidR="0051472C">
        <w:rPr>
          <w:lang w:val="en-GB" w:eastAsia="x-none"/>
        </w:rPr>
        <w:fldChar w:fldCharType="begin"/>
      </w:r>
      <w:r w:rsidR="0051472C">
        <w:rPr>
          <w:lang w:val="en-GB" w:eastAsia="x-none"/>
        </w:rPr>
        <w:instrText xml:space="preserve"> REF _Ref31876978 \h </w:instrText>
      </w:r>
      <w:r w:rsidR="0051472C">
        <w:rPr>
          <w:lang w:val="en-GB" w:eastAsia="x-none"/>
        </w:rPr>
      </w:r>
      <w:r w:rsidR="0051472C">
        <w:rPr>
          <w:lang w:val="en-GB" w:eastAsia="x-none"/>
        </w:rPr>
        <w:fldChar w:fldCharType="separate"/>
      </w:r>
      <w:r w:rsidR="007F7607">
        <w:t>Watering Action</w:t>
      </w:r>
      <w:r w:rsidR="007F7607">
        <w:rPr>
          <w:lang w:val="en-US"/>
        </w:rPr>
        <w:t>s</w:t>
      </w:r>
      <w:r w:rsidR="007F7607">
        <w:t xml:space="preserve"> 1</w:t>
      </w:r>
      <w:r w:rsidR="007F7607">
        <w:rPr>
          <w:lang w:val="en-US"/>
        </w:rPr>
        <w:t xml:space="preserve"> and 2</w:t>
      </w:r>
      <w:r w:rsidR="007F7607">
        <w:t>:  Supporting native fish outcomes</w:t>
      </w:r>
      <w:r w:rsidR="0051472C">
        <w:rPr>
          <w:lang w:val="en-GB" w:eastAsia="x-none"/>
        </w:rPr>
        <w:fldChar w:fldCharType="end"/>
      </w:r>
      <w:r w:rsidR="0051472C">
        <w:rPr>
          <w:lang w:val="en-GB" w:eastAsia="x-none"/>
        </w:rPr>
        <w:t>)</w:t>
      </w:r>
      <w:r w:rsidR="00500567">
        <w:rPr>
          <w:lang w:val="en-GB" w:eastAsia="x-none"/>
        </w:rPr>
        <w:t>:</w:t>
      </w:r>
    </w:p>
    <w:p w14:paraId="38D07FC3" w14:textId="77777777" w:rsidR="002D2187" w:rsidRDefault="002D2187" w:rsidP="009C66BE">
      <w:pPr>
        <w:pStyle w:val="ListParagraph"/>
        <w:numPr>
          <w:ilvl w:val="0"/>
          <w:numId w:val="57"/>
        </w:numPr>
        <w:spacing w:before="120" w:after="120"/>
        <w:rPr>
          <w:lang w:val="en-GB" w:eastAsia="x-none"/>
        </w:rPr>
      </w:pPr>
      <w:r>
        <w:rPr>
          <w:lang w:val="en-GB" w:eastAsia="x-none"/>
        </w:rPr>
        <w:t>Watering action 1: Large spring pulse (mid-late September 2018)</w:t>
      </w:r>
    </w:p>
    <w:p w14:paraId="31C22652" w14:textId="77777777" w:rsidR="002D2187" w:rsidRPr="00811E38" w:rsidRDefault="002D2187" w:rsidP="009C66BE">
      <w:pPr>
        <w:pStyle w:val="ListParagraph"/>
        <w:numPr>
          <w:ilvl w:val="0"/>
          <w:numId w:val="57"/>
        </w:numPr>
        <w:spacing w:before="120" w:after="120"/>
        <w:rPr>
          <w:lang w:val="en-GB" w:eastAsia="x-none"/>
        </w:rPr>
      </w:pPr>
      <w:r>
        <w:rPr>
          <w:lang w:val="en-GB" w:eastAsia="x-none"/>
        </w:rPr>
        <w:t>Re-release from watering action 1: Smaller spring pulse (late October 2018)</w:t>
      </w:r>
    </w:p>
    <w:p w14:paraId="0044E066" w14:textId="77777777" w:rsidR="002D2187" w:rsidRDefault="002D2187" w:rsidP="002D2187">
      <w:pPr>
        <w:rPr>
          <w:lang w:val="en-GB" w:eastAsia="x-none"/>
        </w:rPr>
      </w:pPr>
      <w:r>
        <w:rPr>
          <w:lang w:val="en-GB" w:eastAsia="x-none"/>
        </w:rPr>
        <w:t>These watering actions had the following expected outcomes relating to reproduction of native fish:</w:t>
      </w:r>
    </w:p>
    <w:p w14:paraId="6D615CE7" w14:textId="77777777" w:rsidR="002D2187" w:rsidRPr="00576BA9" w:rsidRDefault="002D2187" w:rsidP="00D437E3">
      <w:pPr>
        <w:pStyle w:val="ListParagraph"/>
        <w:numPr>
          <w:ilvl w:val="0"/>
          <w:numId w:val="23"/>
        </w:numPr>
      </w:pPr>
      <w:r>
        <w:t>To support n</w:t>
      </w:r>
      <w:r w:rsidRPr="00576BA9">
        <w:t xml:space="preserve">ative fish condition, </w:t>
      </w:r>
      <w:r>
        <w:t xml:space="preserve">movement, </w:t>
      </w:r>
      <w:r w:rsidRPr="00576BA9">
        <w:t>reproduction, larval abundance and recruitment opportunities</w:t>
      </w:r>
    </w:p>
    <w:p w14:paraId="4B35FE6F" w14:textId="40CD14FF" w:rsidR="002D2187" w:rsidRDefault="002D2187" w:rsidP="002D2187">
      <w:r>
        <w:t xml:space="preserve">The first pulse appears to have been delivered with ideal timing to promote spawning movements of Murray cod, based on estimated spawning dates of larval Murray cod captured in 2018 (see </w:t>
      </w:r>
      <w:r w:rsidR="00434525">
        <w:fldChar w:fldCharType="begin"/>
      </w:r>
      <w:r w:rsidR="00434525">
        <w:instrText xml:space="preserve"> REF _Ref17982696 \h </w:instrText>
      </w:r>
      <w:r w:rsidR="00434525">
        <w:fldChar w:fldCharType="separate"/>
      </w:r>
      <w:r w:rsidR="007F7607" w:rsidRPr="00F0371D">
        <w:t>Appendix 1: Estimating fish spawning dates 201</w:t>
      </w:r>
      <w:r w:rsidR="007F7607">
        <w:t>8</w:t>
      </w:r>
      <w:r w:rsidR="00434525">
        <w:fldChar w:fldCharType="end"/>
      </w:r>
      <w:r w:rsidR="00434525">
        <w:t xml:space="preserve">, p. </w:t>
      </w:r>
      <w:r w:rsidR="00434525">
        <w:fldChar w:fldCharType="begin"/>
      </w:r>
      <w:r w:rsidR="00434525">
        <w:instrText xml:space="preserve"> PAGEREF _Ref17982696 \h </w:instrText>
      </w:r>
      <w:r w:rsidR="00434525">
        <w:fldChar w:fldCharType="separate"/>
      </w:r>
      <w:r w:rsidR="007F7607">
        <w:rPr>
          <w:noProof/>
        </w:rPr>
        <w:t>135</w:t>
      </w:r>
      <w:r w:rsidR="00434525">
        <w:fldChar w:fldCharType="end"/>
      </w:r>
      <w:r>
        <w:t xml:space="preserve">). Murray cod have been found to undertake movements immediately prior to spawning </w:t>
      </w:r>
      <w:r>
        <w:fldChar w:fldCharType="begin"/>
      </w:r>
      <w:r w:rsidR="00CE55E9">
        <w:instrText xml:space="preserve"> ADDIN EN.CITE &lt;EndNote&gt;&lt;Cite&gt;&lt;Author&gt;Koehn&lt;/Author&gt;&lt;Year&gt;2009&lt;/Year&gt;&lt;RecNum&gt;369&lt;/RecNum&gt;&lt;DisplayText&gt;(Koehn et al. 2009)&lt;/DisplayText&gt;&lt;record&gt;&lt;rec-number&gt;369&lt;/rec-number&gt;&lt;foreign-keys&gt;&lt;key app="EN" db-id="0a0zttz0gewd9befav559p5osxw5sftwfpdv" timestamp="1567054199"&gt;369&lt;/key&gt;&lt;/foreign-keys&gt;&lt;ref-type name="Journal Article"&gt;17&lt;/ref-type&gt;&lt;contributors&gt;&lt;authors&gt;&lt;author&gt;Koehn, J. D.&lt;/author&gt;&lt;author&gt;McKenzie, J. A.&lt;/author&gt;&lt;author&gt;O&amp;apos;Mahony, D. J.&lt;/author&gt;&lt;author&gt;Nicol, S. J.&lt;/author&gt;&lt;author&gt;O&amp;apos;Connor, J. P.&lt;/author&gt;&lt;author&gt;O&amp;apos;Connor, W. G.&lt;/author&gt;&lt;/authors&gt;&lt;/contributors&gt;&lt;titles&gt;&lt;title&gt;Movements of Murray cod (Maccullochella peelii peelii) in a large Australian lowland river&lt;/title&gt;&lt;secondary-title&gt;Ecology of Freshwater Fish&lt;/secondary-title&gt;&lt;/titles&gt;&lt;periodical&gt;&lt;full-title&gt;Ecology of Freshwater Fish&lt;/full-title&gt;&lt;/periodical&gt;&lt;pages&gt;594-602&lt;/pages&gt;&lt;volume&gt;18&lt;/volume&gt;&lt;number&gt;4&lt;/number&gt;&lt;dates&gt;&lt;year&gt;2009&lt;/year&gt;&lt;/dates&gt;&lt;urls&gt;&lt;/urls&gt;&lt;/record&gt;&lt;/Cite&gt;&lt;/EndNote&gt;</w:instrText>
      </w:r>
      <w:r>
        <w:fldChar w:fldCharType="separate"/>
      </w:r>
      <w:r w:rsidR="00CE55E9">
        <w:rPr>
          <w:noProof/>
        </w:rPr>
        <w:t>(Koehn et al. 2009)</w:t>
      </w:r>
      <w:r>
        <w:fldChar w:fldCharType="end"/>
      </w:r>
      <w:r>
        <w:t xml:space="preserve">, likely to find a mate or suitable spawning habitat. Larval Murray cod abundances in 2019 were similar to those before the 2016 flood, indicating that hydrological conditions of the spawning season of 2018 </w:t>
      </w:r>
      <w:r w:rsidR="001E6A43">
        <w:t xml:space="preserve">were </w:t>
      </w:r>
      <w:r>
        <w:t>suitable for recruitment to early juvenile stage of Murray cod in the lower Lachlan River selected area.</w:t>
      </w:r>
    </w:p>
    <w:p w14:paraId="401EA250" w14:textId="5CCF4467" w:rsidR="002D2187" w:rsidRDefault="002D2187" w:rsidP="002D2187">
      <w:r>
        <w:t>The first spring pulse also occurred during and just after the peak estimated spawning of flatheaded gudgeon and Australian smelt, respectively. This pulse, which resulted in a river rise of greater than 1 m, would have inundated new habitat (potentially spawning habitat for flatheaded gudgeon) and likely boosted food resources at an ideal time for these two species.</w:t>
      </w:r>
      <w:r w:rsidR="00C7551A">
        <w:t xml:space="preserve"> Results from the stream metabolism component of this study</w:t>
      </w:r>
      <w:r w:rsidR="0012028A">
        <w:t xml:space="preserve"> </w:t>
      </w:r>
      <w:r w:rsidR="00C7551A">
        <w:t>are congruent with this and found that this watering event resulted in measurable increases in gross primary productivity</w:t>
      </w:r>
      <w:r w:rsidR="0012028A">
        <w:t xml:space="preserve"> (GPP)</w:t>
      </w:r>
      <w:r w:rsidR="00C7551A">
        <w:t xml:space="preserve"> and ecosystem respiration</w:t>
      </w:r>
      <w:r w:rsidR="0012028A">
        <w:t xml:space="preserve"> (ER)</w:t>
      </w:r>
      <w:r w:rsidR="00C7551A">
        <w:t xml:space="preserve"> (basal food production).</w:t>
      </w:r>
      <w:r>
        <w:t xml:space="preserve"> A previous study of captive bred flatheaded gudgeon revealed that an abundant food supply was essential for initiating spawning </w:t>
      </w:r>
      <w:r>
        <w:fldChar w:fldCharType="begin"/>
      </w:r>
      <w:r w:rsidR="00CE55E9">
        <w:instrText xml:space="preserve"> ADDIN EN.CITE &lt;EndNote&gt;&lt;Cite&gt;&lt;Author&gt;Llewellyn&lt;/Author&gt;&lt;Year&gt;2007&lt;/Year&gt;&lt;RecNum&gt;171&lt;/RecNum&gt;&lt;DisplayText&gt;(Llewellyn 2007)&lt;/DisplayText&gt;&lt;record&gt;&lt;rec-number&gt;171&lt;/rec-number&gt;&lt;foreign-keys&gt;&lt;key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fldChar w:fldCharType="separate"/>
      </w:r>
      <w:r>
        <w:rPr>
          <w:noProof/>
        </w:rPr>
        <w:t>(Llewellyn 2007)</w:t>
      </w:r>
      <w:r>
        <w:fldChar w:fldCharType="end"/>
      </w:r>
      <w:r>
        <w:t>. Conditions brought about by the first spring pulse appear to have been well suited to spawning and early recruitment of opportunistic small bodied native fish species in the lower Lachlan River.</w:t>
      </w:r>
    </w:p>
    <w:p w14:paraId="73700451" w14:textId="0FCD0D38" w:rsidR="002D2187" w:rsidRDefault="002D2187" w:rsidP="002D2187">
      <w:r>
        <w:t xml:space="preserve">The second spring pulse (which was a </w:t>
      </w:r>
      <w:r w:rsidR="00500567">
        <w:t>component of</w:t>
      </w:r>
      <w:r>
        <w:t xml:space="preserve"> Watering action 1) was delivered during the estimated spawning window of Murray cod in the lower Lachlan River selected area. It must be noted that this pulse was delivered following a relatively stable flow period and after the estimated spawning peak. </w:t>
      </w:r>
      <w:r w:rsidR="00C7551A">
        <w:t xml:space="preserve">Similarly to the first watering action, this second pulse mobilised nutrients and resulted in localised increases in </w:t>
      </w:r>
      <w:r w:rsidR="0012028A">
        <w:t>ER</w:t>
      </w:r>
      <w:r w:rsidR="00C7551A">
        <w:t xml:space="preserve"> and there was some evidence of a</w:t>
      </w:r>
      <w:r w:rsidR="0012028A">
        <w:t xml:space="preserve"> small</w:t>
      </w:r>
      <w:r w:rsidR="00C7551A">
        <w:t xml:space="preserve"> increase in GPP, which would likely result in increases to food availability for larval Murray cod. Furthermore,</w:t>
      </w:r>
      <w:r>
        <w:t xml:space="preserve"> it is likely that the second spring pulse provided </w:t>
      </w:r>
      <w:r w:rsidR="00C7551A">
        <w:t>op</w:t>
      </w:r>
      <w:r>
        <w:t>portunities for larval Murray cod to disperse.</w:t>
      </w:r>
    </w:p>
    <w:p w14:paraId="7D7FEE57" w14:textId="28E5850E" w:rsidR="002D2187" w:rsidRDefault="002D2187" w:rsidP="002D2187">
      <w:r>
        <w:t>The second spring pulse resulted in a rise in river level of approximately 1.1 m</w:t>
      </w:r>
      <w:r w:rsidR="009C66BE">
        <w:t>etre</w:t>
      </w:r>
      <w:r>
        <w:t xml:space="preserve"> (based on gauge downstream of Ganowlia Weir) and was delivered when water temperatures were approximately 21 </w:t>
      </w:r>
      <w:r>
        <w:rPr>
          <w:rFonts w:cs="Calibri"/>
        </w:rPr>
        <w:t>⁰</w:t>
      </w:r>
      <w:r>
        <w:t xml:space="preserve">C. Although not an expected outcome from the watering actions, based on timing of the river rise associated with this pulse, it may have been expected that golden perch may have spawned. </w:t>
      </w:r>
      <w:r>
        <w:rPr>
          <w:lang w:eastAsia="x-none"/>
        </w:rPr>
        <w:t xml:space="preserve">Previous studies suggest </w:t>
      </w:r>
      <w:r w:rsidRPr="002E6686">
        <w:rPr>
          <w:lang w:eastAsia="x-none"/>
        </w:rPr>
        <w:t xml:space="preserve">that </w:t>
      </w:r>
      <w:r>
        <w:rPr>
          <w:lang w:eastAsia="x-none"/>
        </w:rPr>
        <w:t>golden perch</w:t>
      </w:r>
      <w:r w:rsidRPr="002E6686">
        <w:rPr>
          <w:lang w:eastAsia="x-none"/>
        </w:rPr>
        <w:t xml:space="preserve"> require water temperatures of greater than 19</w:t>
      </w:r>
      <w:r>
        <w:rPr>
          <w:lang w:eastAsia="x-none"/>
        </w:rPr>
        <w:t> </w:t>
      </w:r>
      <w:r>
        <w:rPr>
          <w:lang w:val="en-GB" w:eastAsia="x-none"/>
        </w:rPr>
        <w:t>°</w:t>
      </w:r>
      <w:r w:rsidRPr="002E6686">
        <w:rPr>
          <w:lang w:eastAsia="x-none"/>
        </w:rPr>
        <w:t xml:space="preserve">C </w:t>
      </w:r>
      <w:r w:rsidRPr="002E6686">
        <w:rPr>
          <w:lang w:eastAsia="x-none"/>
        </w:rPr>
        <w:fldChar w:fldCharType="begin"/>
      </w:r>
      <w:r w:rsidR="00CE55E9">
        <w:rPr>
          <w:lang w:eastAsia="x-none"/>
        </w:rPr>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 timestamp="1477618504"&gt;167&lt;/key&gt;&lt;/foreign-keys&gt;&lt;ref-type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2E6686">
        <w:rPr>
          <w:lang w:eastAsia="x-none"/>
        </w:rPr>
        <w:fldChar w:fldCharType="separate"/>
      </w:r>
      <w:r w:rsidR="00CE55E9">
        <w:rPr>
          <w:noProof/>
          <w:lang w:eastAsia="x-none"/>
        </w:rPr>
        <w:t>(King et al. 2005, Stuart and Jones 2006)</w:t>
      </w:r>
      <w:r w:rsidRPr="002E6686">
        <w:rPr>
          <w:lang w:eastAsia="x-none"/>
        </w:rPr>
        <w:fldChar w:fldCharType="end"/>
      </w:r>
      <w:r w:rsidRPr="002E6686">
        <w:rPr>
          <w:lang w:eastAsia="x-none"/>
        </w:rPr>
        <w:t xml:space="preserve"> in the southern Murray-Darli</w:t>
      </w:r>
      <w:r>
        <w:rPr>
          <w:lang w:eastAsia="x-none"/>
        </w:rPr>
        <w:t>ng Basin and temperatures of 23</w:t>
      </w:r>
      <w:r>
        <w:rPr>
          <w:vertAlign w:val="superscript"/>
          <w:lang w:eastAsia="x-none"/>
        </w:rPr>
        <w:t xml:space="preserve"> </w:t>
      </w:r>
      <w:r>
        <w:rPr>
          <w:lang w:val="en-GB" w:eastAsia="x-none"/>
        </w:rPr>
        <w:t>°</w:t>
      </w:r>
      <w:r w:rsidRPr="002E6686">
        <w:rPr>
          <w:lang w:eastAsia="x-none"/>
        </w:rPr>
        <w:t>C are often quoted as optimal for spawning</w:t>
      </w:r>
      <w:r>
        <w:rPr>
          <w:lang w:eastAsia="x-none"/>
        </w:rPr>
        <w:t xml:space="preserve"> associated with an increase in discharge</w:t>
      </w:r>
      <w:r w:rsidRPr="002E6686">
        <w:rPr>
          <w:lang w:eastAsia="x-none"/>
        </w:rPr>
        <w:t xml:space="preserve"> </w:t>
      </w:r>
      <w:r w:rsidRPr="002E6686">
        <w:rPr>
          <w:lang w:eastAsia="x-none"/>
        </w:rPr>
        <w:fldChar w:fldCharType="begin"/>
      </w:r>
      <w:r w:rsidR="00CE55E9">
        <w:rPr>
          <w:lang w:eastAsia="x-none"/>
        </w:rPr>
        <w:instrText xml:space="preserve"> ADDIN EN.CITE &lt;EndNote&gt;&lt;Cite&gt;&lt;Author&gt;Lake&lt;/Author&gt;&lt;Year&gt;1967&lt;/Year&gt;&lt;RecNum&gt;132&lt;/RecNum&gt;&lt;DisplayText&gt;(Lake 1967, Roberts et al. 2008)&lt;/DisplayText&gt;&lt;record&gt;&lt;rec-number&gt;132&lt;/rec-number&gt;&lt;foreign-keys&gt;&lt;key app="EN" db-id="0a0zttz0gewd9befav559p5osxw5sftwfpdv" timestamp="1472615787"&gt;132&lt;/key&gt;&lt;/foreign-keys&gt;&lt;ref-type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spawning&lt;/title&gt;&lt;secondary-title&gt;Australian Journal for Marine and Freshwater Research&lt;/secondary-title&gt;&lt;/titles&gt;&lt;periodical&gt;&lt;full-title&gt;Australian Journal for Marine and Freshwater Research&lt;/full-title&gt;&lt;/periodical&gt;&lt;pages&gt;155-173&lt;/pages&gt;&lt;volume&gt;18&lt;/volume&gt;&lt;dates&gt;&lt;year&gt;1967&lt;/year&gt;&lt;/dates&gt;&lt;urls&gt;&lt;/urls&gt;&lt;/record&gt;&lt;/Cite&gt;&lt;Cite&gt;&lt;Author&gt;Roberts&lt;/Author&gt;&lt;Year&gt;2008&lt;/Year&gt;&lt;RecNum&gt;168&lt;/RecNum&gt;&lt;record&gt;&lt;rec-number&gt;168&lt;/rec-number&gt;&lt;foreign-keys&gt;&lt;key app="EN" db-id="0a0zttz0gewd9befav559p5osxw5sftwfpdv" timestamp="1477618584"&gt;168&lt;/key&gt;&lt;/foreign-keys&gt;&lt;ref-type name="Journal Article"&gt;17&lt;/ref-type&gt;&lt;contributors&gt;&lt;authors&gt;&lt;author&gt;Roberts, D. T.&lt;/author&gt;&lt;author&gt;Duivenvoorden, L. J.&lt;/author&gt;&lt;author&gt;Stuart, I. G.&lt;/author&gt;&lt;/authors&gt;&lt;/contributors&gt;&lt;titles&gt;&lt;title&gt;&lt;style face="normal" font="default" size="100%"&gt;Factors influencing recruitment patterns of Golden Perch (&lt;/style&gt;&lt;style face="italic" font="default" size="100%"&gt;Macquaria ambigua oriens&lt;/style&gt;&lt;style face="normal" font="default" size="100%"&gt;) within a hydrologically variable and regulated Australian tropical river system&lt;/style&gt;&lt;/title&gt;&lt;secondary-title&gt;Ecology of Freshwater Fish&lt;/secondary-title&gt;&lt;/titles&gt;&lt;periodical&gt;&lt;full-title&gt;Ecology of Freshwater Fish&lt;/full-title&gt;&lt;/periodical&gt;&lt;pages&gt;577-589&lt;/pages&gt;&lt;volume&gt;17&lt;/volume&gt;&lt;number&gt;4&lt;/number&gt;&lt;dates&gt;&lt;year&gt;2008&lt;/year&gt;&lt;/dates&gt;&lt;urls&gt;&lt;/urls&gt;&lt;/record&gt;&lt;/Cite&gt;&lt;/EndNote&gt;</w:instrText>
      </w:r>
      <w:r w:rsidRPr="002E6686">
        <w:rPr>
          <w:lang w:eastAsia="x-none"/>
        </w:rPr>
        <w:fldChar w:fldCharType="separate"/>
      </w:r>
      <w:r w:rsidR="00CE55E9">
        <w:rPr>
          <w:noProof/>
          <w:lang w:eastAsia="x-none"/>
        </w:rPr>
        <w:t>(Lake 1967, Roberts et al. 2008)</w:t>
      </w:r>
      <w:r w:rsidRPr="002E6686">
        <w:rPr>
          <w:lang w:eastAsia="x-none"/>
        </w:rPr>
        <w:fldChar w:fldCharType="end"/>
      </w:r>
      <w:r w:rsidRPr="002E6686">
        <w:rPr>
          <w:lang w:eastAsia="x-none"/>
        </w:rPr>
        <w:t>.</w:t>
      </w:r>
      <w:r>
        <w:rPr>
          <w:lang w:eastAsia="x-none"/>
        </w:rPr>
        <w:t xml:space="preserve"> Water temperatures during the spring 2018 pulse appeared to be within suitable range for golden perch spawning, so the lack of spawning response is more likely related to other factors (such as antecedent flow conditions, hydraulics or population connectivity). </w:t>
      </w:r>
    </w:p>
    <w:p w14:paraId="7E00D7F1" w14:textId="77777777" w:rsidR="00500567" w:rsidRDefault="00500567" w:rsidP="002D2187">
      <w:pPr>
        <w:rPr>
          <w:lang w:val="en-GB"/>
        </w:rPr>
      </w:pPr>
    </w:p>
    <w:p w14:paraId="5D392FE0" w14:textId="1C838E8F" w:rsidR="002D2187" w:rsidRPr="002E6686" w:rsidRDefault="002D2187" w:rsidP="002D2187">
      <w:pPr>
        <w:rPr>
          <w:lang w:val="en-GB"/>
        </w:rPr>
      </w:pPr>
      <w:r w:rsidRPr="002E6686">
        <w:rPr>
          <w:lang w:val="en-GB"/>
        </w:rPr>
        <w:t>To assess the contribution of Commonwealth environmental water to native fish spawning and recruitment, the relevant short</w:t>
      </w:r>
      <w:r>
        <w:rPr>
          <w:lang w:val="en-GB"/>
        </w:rPr>
        <w:t>-</w:t>
      </w:r>
      <w:r w:rsidRPr="002E6686">
        <w:rPr>
          <w:lang w:val="en-GB"/>
        </w:rPr>
        <w:t>term and long</w:t>
      </w:r>
      <w:r>
        <w:rPr>
          <w:lang w:val="en-GB"/>
        </w:rPr>
        <w:t>-</w:t>
      </w:r>
      <w:r w:rsidRPr="002E6686">
        <w:rPr>
          <w:lang w:val="en-GB"/>
        </w:rPr>
        <w:t>term questions to be evaluated are:</w:t>
      </w:r>
    </w:p>
    <w:p w14:paraId="75EE919E" w14:textId="77777777" w:rsidR="002D2187" w:rsidRPr="00872FB7" w:rsidRDefault="002D2187" w:rsidP="002D2187">
      <w:pPr>
        <w:rPr>
          <w:i/>
          <w:lang w:val="en-GB"/>
        </w:rPr>
      </w:pPr>
      <w:r w:rsidRPr="00872FB7">
        <w:rPr>
          <w:i/>
          <w:lang w:val="en-GB"/>
        </w:rPr>
        <w:t>Short-term (one year</w:t>
      </w:r>
      <w:r>
        <w:rPr>
          <w:i/>
          <w:lang w:val="en-GB"/>
        </w:rPr>
        <w:t>)</w:t>
      </w:r>
      <w:r w:rsidRPr="00872FB7">
        <w:rPr>
          <w:i/>
          <w:lang w:val="en-GB"/>
        </w:rPr>
        <w:t xml:space="preserve"> evaluation questions:</w:t>
      </w:r>
    </w:p>
    <w:p w14:paraId="5C555428" w14:textId="77777777" w:rsidR="002D2187" w:rsidRDefault="002D2187" w:rsidP="00D437E3">
      <w:pPr>
        <w:numPr>
          <w:ilvl w:val="0"/>
          <w:numId w:val="22"/>
        </w:numPr>
      </w:pPr>
      <w:r w:rsidRPr="002E6686">
        <w:t xml:space="preserve">What did Commonwealth environmental water contribute to native fish reproduction in the Lower Lachlan </w:t>
      </w:r>
      <w:r>
        <w:t>River</w:t>
      </w:r>
      <w:r w:rsidRPr="002E6686">
        <w:t xml:space="preserve"> system?</w:t>
      </w:r>
    </w:p>
    <w:p w14:paraId="508A62D0" w14:textId="77777777" w:rsidR="002D2187" w:rsidRDefault="002D2187" w:rsidP="002D2187">
      <w:r>
        <w:t xml:space="preserve">In 2018 – 2019 </w:t>
      </w:r>
      <w:r>
        <w:rPr>
          <w:lang w:val="en-US"/>
        </w:rPr>
        <w:t>Commonwealth environmental water made a positive contribution to the spawning of Murray cod, flat headed gudgeon and Australian Smelt in the lower Lachlan River system</w:t>
      </w:r>
      <w:r>
        <w:t>. Based on the evidence at hand (strong relative abundances of larval fish in 2018, especially small bodied species), the spring pulse delivered in mid-late September was successful in achieving expected outcomes for fish reproduction in the lower Lachlan selected area. In the absence of Commonwealth environmental water (specifically the first spring pulse), it is likely that such a magnitude in spawning response to flatheaded gudgeon would not have been observed.</w:t>
      </w:r>
    </w:p>
    <w:p w14:paraId="0A31C910" w14:textId="77777777" w:rsidR="002D2187" w:rsidRDefault="002D2187" w:rsidP="00D437E3">
      <w:pPr>
        <w:numPr>
          <w:ilvl w:val="0"/>
          <w:numId w:val="22"/>
        </w:numPr>
      </w:pPr>
      <w:r w:rsidRPr="002E6686">
        <w:t xml:space="preserve">What did Commonwealth environmental water contribute to native larval fish growth in the Lower Lachlan </w:t>
      </w:r>
      <w:r>
        <w:t>River</w:t>
      </w:r>
      <w:r w:rsidRPr="002E6686">
        <w:t xml:space="preserve"> system?</w:t>
      </w:r>
    </w:p>
    <w:p w14:paraId="32FB32E5" w14:textId="77777777" w:rsidR="002D2187" w:rsidRDefault="002D2187" w:rsidP="002D2187">
      <w:r>
        <w:t xml:space="preserve">Without knowledge of age (independent of estimates based on size) it is impossible to accurately determine growth of larval fish in response to Commonwealth environmental flow releases in the targeted area. A subsample of larval fish have been sent for aging, but results have not yet been received. However, increases in mean length of larval fish captures were observed per sampling trip for Australian smelt and flatheaded gudgeon indicating that conditions during early development of these species were suitable for survival and growth. </w:t>
      </w:r>
      <w:r w:rsidRPr="006B4AD4">
        <w:t xml:space="preserve">Furthermore, the presence of 0+ individuals (Australian smelt, flatheaded gudgeon, carp gudgeon, Murray cod and bony herring) in the fish community monitoring (see Section Fish Community) provides an indication that growth and survival did occur for small bodied native fish, one medium bodied native fish and one large-bodied native fish in the selected area. </w:t>
      </w:r>
    </w:p>
    <w:p w14:paraId="69DC4AFD" w14:textId="77777777" w:rsidR="002D2187" w:rsidRDefault="002D2187" w:rsidP="002D2187">
      <w:pPr>
        <w:rPr>
          <w:i/>
          <w:lang w:val="en-GB"/>
        </w:rPr>
      </w:pPr>
    </w:p>
    <w:p w14:paraId="4335B6E8" w14:textId="77777777" w:rsidR="002D2187" w:rsidRPr="00872FB7" w:rsidRDefault="002D2187" w:rsidP="002D2187">
      <w:pPr>
        <w:rPr>
          <w:i/>
          <w:lang w:val="en-GB"/>
        </w:rPr>
      </w:pPr>
      <w:r w:rsidRPr="00872FB7">
        <w:rPr>
          <w:i/>
          <w:lang w:val="en-GB"/>
        </w:rPr>
        <w:t>Long-term (five year</w:t>
      </w:r>
      <w:r>
        <w:rPr>
          <w:i/>
          <w:lang w:val="en-GB"/>
        </w:rPr>
        <w:t>)</w:t>
      </w:r>
      <w:r w:rsidRPr="00872FB7">
        <w:rPr>
          <w:i/>
          <w:lang w:val="en-GB"/>
        </w:rPr>
        <w:t xml:space="preserve"> evaluation questions:</w:t>
      </w:r>
    </w:p>
    <w:p w14:paraId="7EB6CACD" w14:textId="77777777" w:rsidR="002D2187" w:rsidRPr="002E6686" w:rsidRDefault="002D2187" w:rsidP="00D437E3">
      <w:pPr>
        <w:numPr>
          <w:ilvl w:val="0"/>
          <w:numId w:val="22"/>
        </w:numPr>
      </w:pPr>
      <w:r w:rsidRPr="002E6686">
        <w:t xml:space="preserve">What did Commonwealth environmental water contribute to native fish populations in the Lower Lachlan </w:t>
      </w:r>
      <w:r>
        <w:t>River</w:t>
      </w:r>
      <w:r w:rsidRPr="002E6686">
        <w:t xml:space="preserve"> system?</w:t>
      </w:r>
    </w:p>
    <w:p w14:paraId="203B36F0" w14:textId="3524EA76" w:rsidR="002D2187" w:rsidRDefault="002D2187" w:rsidP="002D2187">
      <w:pPr>
        <w:rPr>
          <w:lang w:val="en-GB" w:eastAsia="x-none"/>
        </w:rPr>
      </w:pPr>
      <w:r>
        <w:rPr>
          <w:lang w:val="en-GB" w:eastAsia="x-none"/>
        </w:rPr>
        <w:t xml:space="preserve">When undertaking long-term (5 year) evaluation of the contribution of Commonwealth environmental water to native fish in the lower Lachlan River it is important to set the evaluation in the context of the greater hydrological regime of the river system. The five years of monitoring undertaken thus far have been hydrologically vastly different, with two years being very dry (2014 – 2015 and 2018 – 2019), one being wet (2015 – 2016), one being somewhat dry (2017 – 2018) and one containing the second largest flood on record in the catchment (2016 – 2017). This makes disentangling responses of native fish populations to environmental water difficult, with responses potentially masked or overwhelmed by natural hydrological variation and a longer-time frame is required to begin to understand population responses. </w:t>
      </w:r>
    </w:p>
    <w:p w14:paraId="1AB747B1" w14:textId="77777777" w:rsidR="002D2187" w:rsidRDefault="002D2187" w:rsidP="002D2187">
      <w:pPr>
        <w:rPr>
          <w:lang w:val="en-GB" w:eastAsia="x-none"/>
        </w:rPr>
      </w:pPr>
      <w:r>
        <w:rPr>
          <w:lang w:val="en-GB" w:eastAsia="x-none"/>
        </w:rPr>
        <w:t>Across the five years of the monitoring program, seven Commonwealth environmental watering actions have been released that have had expected outcomes for native fish. The majority of these flows were aimed at promoting spawning activity (movement, spawning) and / or providing a productivity pulse to increase food resources. So far, Commonwealth environmental water has failed to produce a detectable spawning response of golden perch within the lower Lachlan River selected area, though it appears as though other factors may be reducing the likelihood of success (e.g. hydraulic conditions, barriers to movement). How to achieve a spawning response from golden perch in the lower Lachlan river selected area is still an outstanding knowledge gap, and one that warrants further attention in the coming years</w:t>
      </w:r>
    </w:p>
    <w:p w14:paraId="0446151D" w14:textId="77777777" w:rsidR="002D2187" w:rsidRDefault="002D2187" w:rsidP="002D2187">
      <w:pPr>
        <w:rPr>
          <w:lang w:val="en-GB" w:eastAsia="x-none"/>
        </w:rPr>
      </w:pPr>
      <w:r>
        <w:rPr>
          <w:lang w:val="en-GB" w:eastAsia="x-none"/>
        </w:rPr>
        <w:t xml:space="preserve">The hydrological floor set to provide Murray cod with ideal spawning conditions in 2017 was successfully delivered, but the response of larval Murray cod abundances were limited by low adult stock remaining following depletion during the 2016 floods and resultant blackwater event. Hydrological variability during the spawning window of Murray cod was relatively low, and the relative abundance of Murray cod larvae increased from 2017, which indicates that recovery of this population is underway and environmental flows will likely have a role in expediting this recovery. </w:t>
      </w:r>
    </w:p>
    <w:p w14:paraId="0FA4BBC6" w14:textId="09ED124E" w:rsidR="002D2187" w:rsidRDefault="002D2187" w:rsidP="002D2187">
      <w:pPr>
        <w:rPr>
          <w:lang w:val="en-GB" w:eastAsia="x-none"/>
        </w:rPr>
      </w:pPr>
      <w:r>
        <w:rPr>
          <w:lang w:val="en-GB" w:eastAsia="x-none"/>
        </w:rPr>
        <w:t>The spring pulse delivered in spring 2018 appears to have driven a large spawning response in flatheaded gudegon, with larval abundances in 2018 nearly 8-fold the next most abundant year. This follows on from a relatively large spawning response in 2015 (a years where high spring flows were also observed). Although being recognised as a flow dependent spawner, increased food resources that accompan</w:t>
      </w:r>
      <w:r w:rsidR="00C7551A">
        <w:rPr>
          <w:lang w:val="en-GB" w:eastAsia="x-none"/>
        </w:rPr>
        <w:t>ied</w:t>
      </w:r>
      <w:r>
        <w:rPr>
          <w:lang w:val="en-GB" w:eastAsia="x-none"/>
        </w:rPr>
        <w:t xml:space="preserve"> an increase</w:t>
      </w:r>
      <w:r w:rsidR="00C7551A">
        <w:rPr>
          <w:lang w:val="en-GB" w:eastAsia="x-none"/>
        </w:rPr>
        <w:t>s</w:t>
      </w:r>
      <w:r>
        <w:rPr>
          <w:lang w:val="en-GB" w:eastAsia="x-none"/>
        </w:rPr>
        <w:t xml:space="preserve"> in flow during spring looks to be a likely driver of spawning and early recruitment intensity in the lower Lachlan River selected area.</w:t>
      </w:r>
    </w:p>
    <w:p w14:paraId="3DC46449" w14:textId="54B1ACE6" w:rsidR="002D2187" w:rsidRDefault="002D2187" w:rsidP="002D2187">
      <w:pPr>
        <w:rPr>
          <w:lang w:val="en-GB" w:eastAsia="x-none"/>
        </w:rPr>
      </w:pPr>
      <w:r>
        <w:rPr>
          <w:lang w:val="en-GB" w:eastAsia="x-none"/>
        </w:rPr>
        <w:t xml:space="preserve">One watering action was delivered to provide water quality improvements </w:t>
      </w:r>
      <w:r w:rsidR="00070E83">
        <w:rPr>
          <w:lang w:val="en-GB" w:eastAsia="x-none"/>
        </w:rPr>
        <w:t>on the recession of</w:t>
      </w:r>
      <w:r>
        <w:rPr>
          <w:lang w:val="en-GB" w:eastAsia="x-none"/>
        </w:rPr>
        <w:t xml:space="preserve"> the 2016 flood</w:t>
      </w:r>
      <w:r w:rsidR="00070E83">
        <w:rPr>
          <w:lang w:val="en-GB" w:eastAsia="x-none"/>
        </w:rPr>
        <w:t>, though this was primarily focussed on the mid-Lachlan and recognised that there were few if any improvement options available to the lower-Lachlan</w:t>
      </w:r>
      <w:r w:rsidR="00333CDB">
        <w:rPr>
          <w:lang w:val="en-GB" w:eastAsia="x-none"/>
        </w:rPr>
        <w:t xml:space="preserve"> </w:t>
      </w:r>
      <w:r w:rsidR="00333CDB">
        <w:rPr>
          <w:lang w:val="en-GB" w:eastAsia="x-none"/>
        </w:rPr>
        <w:fldChar w:fldCharType="begin"/>
      </w:r>
      <w:r w:rsidR="00333CDB">
        <w:rPr>
          <w:lang w:val="en-GB" w:eastAsia="x-none"/>
        </w:rPr>
        <w:instrText xml:space="preserve"> ADDIN EN.CITE &lt;EndNote&gt;&lt;Cite&gt;&lt;Author&gt;Symes&lt;/Author&gt;&lt;Year&gt;2017&lt;/Year&gt;&lt;RecNum&gt;392&lt;/RecNum&gt;&lt;DisplayText&gt;(Symes 2017)&lt;/DisplayText&gt;&lt;record&gt;&lt;rec-number&gt;392&lt;/rec-number&gt;&lt;foreign-keys&gt;&lt;key app="EN" db-id="0a0zttz0gewd9befav559p5osxw5sftwfpdv" timestamp="1573530778"&gt;392&lt;/key&gt;&lt;/foreign-keys&gt;&lt;ref-type name="Report"&gt;27&lt;/ref-type&gt;&lt;contributors&gt;&lt;authors&gt;&lt;author&gt;Symes, L.&lt;/author&gt;&lt;/authors&gt;&lt;/contributors&gt;&lt;titles&gt;&lt;title&gt;Blackwater review: Environmental water used to moderate low dissolved oxygen levels in the southern Murray-Darling Basin during 2016/2017&lt;/title&gt;&lt;/titles&gt;&lt;dates&gt;&lt;year&gt;2017&lt;/year&gt;&lt;/dates&gt;&lt;pub-location&gt;Canberra&lt;/pub-location&gt;&lt;publisher&gt;Commonwealth Environmental Water Office&lt;/publisher&gt;&lt;urls&gt;&lt;/urls&gt;&lt;/record&gt;&lt;/Cite&gt;&lt;/EndNote&gt;</w:instrText>
      </w:r>
      <w:r w:rsidR="00333CDB">
        <w:rPr>
          <w:lang w:val="en-GB" w:eastAsia="x-none"/>
        </w:rPr>
        <w:fldChar w:fldCharType="separate"/>
      </w:r>
      <w:r w:rsidR="00333CDB">
        <w:rPr>
          <w:noProof/>
          <w:lang w:val="en-GB" w:eastAsia="x-none"/>
        </w:rPr>
        <w:t>(Symes 2017)</w:t>
      </w:r>
      <w:r w:rsidR="00333CDB">
        <w:rPr>
          <w:lang w:val="en-GB" w:eastAsia="x-none"/>
        </w:rPr>
        <w:fldChar w:fldCharType="end"/>
      </w:r>
      <w:r w:rsidR="00333CDB">
        <w:rPr>
          <w:lang w:val="en-GB" w:eastAsia="x-none"/>
        </w:rPr>
        <w:t xml:space="preserve">. </w:t>
      </w:r>
      <w:r w:rsidR="00070E83">
        <w:rPr>
          <w:lang w:val="en-GB" w:eastAsia="x-none"/>
        </w:rPr>
        <w:t>Any w</w:t>
      </w:r>
      <w:r>
        <w:rPr>
          <w:lang w:val="en-GB" w:eastAsia="x-none"/>
        </w:rPr>
        <w:t>ater quality improvements (primarily dissolved oxygen)</w:t>
      </w:r>
      <w:r w:rsidR="00070E83">
        <w:rPr>
          <w:lang w:val="en-GB" w:eastAsia="x-none"/>
        </w:rPr>
        <w:t xml:space="preserve"> that many have occurred</w:t>
      </w:r>
      <w:r>
        <w:rPr>
          <w:lang w:val="en-GB" w:eastAsia="x-none"/>
        </w:rPr>
        <w:t xml:space="preserve">, </w:t>
      </w:r>
      <w:r w:rsidR="001E6A43">
        <w:rPr>
          <w:lang w:val="en-GB" w:eastAsia="x-none"/>
        </w:rPr>
        <w:t>may</w:t>
      </w:r>
      <w:r w:rsidR="00070E83">
        <w:rPr>
          <w:lang w:val="en-GB" w:eastAsia="x-none"/>
        </w:rPr>
        <w:t xml:space="preserve"> </w:t>
      </w:r>
      <w:r>
        <w:rPr>
          <w:lang w:val="en-GB" w:eastAsia="x-none"/>
        </w:rPr>
        <w:t>have provided some respite for native fish (especially Murray cod) during this time, and would have increased chances of survival and ability of the population to recover.</w:t>
      </w:r>
    </w:p>
    <w:p w14:paraId="324817B1" w14:textId="77777777" w:rsidR="002D2187" w:rsidRDefault="002D2187" w:rsidP="002D2187">
      <w:pPr>
        <w:rPr>
          <w:lang w:val="en-GB" w:eastAsia="x-none"/>
        </w:rPr>
      </w:pPr>
    </w:p>
    <w:p w14:paraId="12C1AC9B" w14:textId="77777777" w:rsidR="002D2187" w:rsidRPr="002E6686" w:rsidRDefault="002D2187" w:rsidP="00D437E3">
      <w:pPr>
        <w:numPr>
          <w:ilvl w:val="0"/>
          <w:numId w:val="22"/>
        </w:numPr>
      </w:pPr>
      <w:r w:rsidRPr="002E6686">
        <w:t xml:space="preserve">What did Commonwealth environmental water contribute to native fish species diversity in the Lower Lachlan </w:t>
      </w:r>
      <w:r>
        <w:t>River</w:t>
      </w:r>
      <w:r w:rsidRPr="002E6686">
        <w:t xml:space="preserve"> system?</w:t>
      </w:r>
    </w:p>
    <w:p w14:paraId="5999D159" w14:textId="77777777" w:rsidR="002D2187" w:rsidRDefault="002D2187" w:rsidP="002D2187">
      <w:pPr>
        <w:rPr>
          <w:lang w:val="en-GB" w:eastAsia="x-none"/>
        </w:rPr>
      </w:pPr>
      <w:r>
        <w:rPr>
          <w:lang w:val="en-GB" w:eastAsia="x-none"/>
        </w:rPr>
        <w:t>The contribution of Commonwealth environmental water to native species diversity in the lower Lachlan River selected area is marginal over the five years of the program thus far. Certainly, there has been no evidence of a reduction in native fish diversity since the program commenced in 2014, but likewise, there is no evidence of increased native fish species diversity. The potential of Commonwealth environmental water to increase native species diversity in the lower Lachlan River is somewhat minimal with other factors such as barriers to movement (caused by weirs) and regional extirpation of species likely to be greater factors in contributing to native species diversity change.</w:t>
      </w:r>
    </w:p>
    <w:p w14:paraId="7D013BF7" w14:textId="77777777" w:rsidR="002D2187" w:rsidRDefault="002D2187" w:rsidP="002D2187">
      <w:pPr>
        <w:rPr>
          <w:lang w:val="en-GB" w:eastAsia="x-none"/>
        </w:rPr>
      </w:pPr>
      <w:r>
        <w:rPr>
          <w:lang w:val="en-GB" w:eastAsia="x-none"/>
        </w:rPr>
        <w:t xml:space="preserve">This is the fifth year of the monitoring program and it is well recognised that environmental water is only one intervention that may contribute to the long-term rehabilitation of native fish communities across the Murray Darling Basin (MDBC 2004, Lintermans 2007). This includes the objectives above of improving native fish populations and species diversity in the Lachlan catchment. While the objectives above define ‘long term’ as being 5 years, for some species and populations, the long-term rehabilitation process may take decades (e.g. Murray cod reach sexual maturity at 4-7 years of age (Humphries &amp; Walker 2013)). The recommendations below reflect the potential for the CEWO to </w:t>
      </w:r>
      <w:r w:rsidRPr="00531306">
        <w:t>progress</w:t>
      </w:r>
      <w:r>
        <w:rPr>
          <w:lang w:val="en-GB" w:eastAsia="x-none"/>
        </w:rPr>
        <w:t xml:space="preserve"> the longer-term fish objectives further.</w:t>
      </w:r>
    </w:p>
    <w:p w14:paraId="33665D81" w14:textId="77777777" w:rsidR="002D2187" w:rsidRDefault="002D2187" w:rsidP="002D2187">
      <w:pPr>
        <w:rPr>
          <w:lang w:val="en-GB" w:eastAsia="x-none"/>
        </w:rPr>
      </w:pPr>
    </w:p>
    <w:p w14:paraId="791DF18E" w14:textId="77777777" w:rsidR="002D2187" w:rsidRPr="006B7043" w:rsidRDefault="002D2187" w:rsidP="00500567">
      <w:pPr>
        <w:pStyle w:val="Heading3"/>
      </w:pPr>
      <w:bookmarkStart w:id="444" w:name="_Toc31985511"/>
      <w:r>
        <w:t>Mid</w:t>
      </w:r>
      <w:r w:rsidRPr="005C69FE">
        <w:t xml:space="preserve">-Lachlan </w:t>
      </w:r>
      <w:r>
        <w:t>River short-term intervention monitoring</w:t>
      </w:r>
      <w:bookmarkEnd w:id="444"/>
    </w:p>
    <w:p w14:paraId="0CC8D0AC" w14:textId="454B1A75" w:rsidR="002D2187" w:rsidRDefault="002D2187" w:rsidP="002D2187">
      <w:pPr>
        <w:rPr>
          <w:lang w:val="en-GB" w:eastAsia="x-none"/>
        </w:rPr>
      </w:pPr>
      <w:r>
        <w:rPr>
          <w:lang w:val="en-GB" w:eastAsia="x-none"/>
        </w:rPr>
        <w:t xml:space="preserve">There were two Commonwealth environmental watering actions in the mid- Lachlan River system that targeted outcomes for native fish reproduction in 2018 </w:t>
      </w:r>
      <w:r w:rsidR="00500567">
        <w:rPr>
          <w:lang w:val="en-GB" w:eastAsia="x-none"/>
        </w:rPr>
        <w:t>–</w:t>
      </w:r>
      <w:r>
        <w:rPr>
          <w:lang w:val="en-GB" w:eastAsia="x-none"/>
        </w:rPr>
        <w:t xml:space="preserve"> 2019</w:t>
      </w:r>
      <w:r w:rsidR="00500567">
        <w:rPr>
          <w:lang w:val="en-GB" w:eastAsia="x-none"/>
        </w:rPr>
        <w:t>:</w:t>
      </w:r>
    </w:p>
    <w:p w14:paraId="0EFA022C" w14:textId="77777777" w:rsidR="002D2187" w:rsidRDefault="002D2187" w:rsidP="00D437E3">
      <w:pPr>
        <w:pStyle w:val="ListParagraph"/>
        <w:numPr>
          <w:ilvl w:val="0"/>
          <w:numId w:val="42"/>
        </w:numPr>
        <w:rPr>
          <w:lang w:val="en-GB" w:eastAsia="x-none"/>
        </w:rPr>
      </w:pPr>
      <w:r>
        <w:rPr>
          <w:lang w:val="en-GB" w:eastAsia="x-none"/>
        </w:rPr>
        <w:t>Large spring pulse (mid-late September 2018)</w:t>
      </w:r>
    </w:p>
    <w:p w14:paraId="2832017E" w14:textId="77777777" w:rsidR="002D2187" w:rsidRPr="00811E38" w:rsidRDefault="002D2187" w:rsidP="00D437E3">
      <w:pPr>
        <w:pStyle w:val="ListParagraph"/>
        <w:numPr>
          <w:ilvl w:val="0"/>
          <w:numId w:val="42"/>
        </w:numPr>
        <w:rPr>
          <w:lang w:val="en-GB" w:eastAsia="x-none"/>
        </w:rPr>
      </w:pPr>
      <w:r>
        <w:rPr>
          <w:lang w:val="en-GB" w:eastAsia="x-none"/>
        </w:rPr>
        <w:t>Hydrological ‘floor’ from mid-October until end of November to prevent water level drops that may lead to Murray cod nest abandonment.</w:t>
      </w:r>
    </w:p>
    <w:p w14:paraId="216FF865" w14:textId="77777777" w:rsidR="002D2187" w:rsidRDefault="002D2187" w:rsidP="002D2187">
      <w:pPr>
        <w:rPr>
          <w:lang w:val="en-GB" w:eastAsia="x-none"/>
        </w:rPr>
      </w:pPr>
      <w:r>
        <w:rPr>
          <w:lang w:val="en-GB" w:eastAsia="x-none"/>
        </w:rPr>
        <w:t>These watering actions had the following expected outcomes relating to reproduction of native fish:</w:t>
      </w:r>
    </w:p>
    <w:p w14:paraId="5F990851" w14:textId="77777777" w:rsidR="002D2187" w:rsidRPr="00576BA9" w:rsidRDefault="002D2187" w:rsidP="00D437E3">
      <w:pPr>
        <w:pStyle w:val="ListParagraph"/>
        <w:numPr>
          <w:ilvl w:val="0"/>
          <w:numId w:val="24"/>
        </w:numPr>
      </w:pPr>
      <w:r>
        <w:t>To support n</w:t>
      </w:r>
      <w:r w:rsidRPr="00576BA9">
        <w:t xml:space="preserve">ative fish condition, </w:t>
      </w:r>
      <w:r>
        <w:t xml:space="preserve">movement, </w:t>
      </w:r>
      <w:r w:rsidRPr="00576BA9">
        <w:t>reproduction, larval abundance and recruitment opportunities</w:t>
      </w:r>
    </w:p>
    <w:p w14:paraId="0CE0EC29" w14:textId="4461CEAD" w:rsidR="002D2187" w:rsidRDefault="002D2187" w:rsidP="002D2187">
      <w:bookmarkStart w:id="445" w:name="_Hlk22912903"/>
      <w:r>
        <w:t xml:space="preserve">As for the lower Lachlan selected area, the first pulse appears to have been delivered with ideal timing to promote spawning movements of Murray cod, based on estimated spawning dates of larval Murray cod captured in 2018 (see appendix 1). Murray cod have been found to undertake movements immediately prior to spawning </w:t>
      </w:r>
      <w:r>
        <w:fldChar w:fldCharType="begin"/>
      </w:r>
      <w:r w:rsidR="00CE55E9">
        <w:instrText xml:space="preserve"> ADDIN EN.CITE &lt;EndNote&gt;&lt;Cite&gt;&lt;Author&gt;Koehn&lt;/Author&gt;&lt;Year&gt;2009&lt;/Year&gt;&lt;RecNum&gt;369&lt;/RecNum&gt;&lt;DisplayText&gt;(Koehn et al. 2009)&lt;/DisplayText&gt;&lt;record&gt;&lt;rec-number&gt;369&lt;/rec-number&gt;&lt;foreign-keys&gt;&lt;key app="EN" db-id="0a0zttz0gewd9befav559p5osxw5sftwfpdv" timestamp="1567054199"&gt;369&lt;/key&gt;&lt;/foreign-keys&gt;&lt;ref-type name="Journal Article"&gt;17&lt;/ref-type&gt;&lt;contributors&gt;&lt;authors&gt;&lt;author&gt;Koehn, J. D.&lt;/author&gt;&lt;author&gt;McKenzie, J. A.&lt;/author&gt;&lt;author&gt;O&amp;apos;Mahony, D. J.&lt;/author&gt;&lt;author&gt;Nicol, S. J.&lt;/author&gt;&lt;author&gt;O&amp;apos;Connor, J. P.&lt;/author&gt;&lt;author&gt;O&amp;apos;Connor, W. G.&lt;/author&gt;&lt;/authors&gt;&lt;/contributors&gt;&lt;titles&gt;&lt;title&gt;Movements of Murray cod (Maccullochella peelii peelii) in a large Australian lowland river&lt;/title&gt;&lt;secondary-title&gt;Ecology of Freshwater Fish&lt;/secondary-title&gt;&lt;/titles&gt;&lt;periodical&gt;&lt;full-title&gt;Ecology of Freshwater Fish&lt;/full-title&gt;&lt;/periodical&gt;&lt;pages&gt;594-602&lt;/pages&gt;&lt;volume&gt;18&lt;/volume&gt;&lt;number&gt;4&lt;/number&gt;&lt;dates&gt;&lt;year&gt;2009&lt;/year&gt;&lt;/dates&gt;&lt;urls&gt;&lt;/urls&gt;&lt;/record&gt;&lt;/Cite&gt;&lt;/EndNote&gt;</w:instrText>
      </w:r>
      <w:r>
        <w:fldChar w:fldCharType="separate"/>
      </w:r>
      <w:r w:rsidR="00CE55E9">
        <w:rPr>
          <w:noProof/>
        </w:rPr>
        <w:t>(Koehn et al. 2009)</w:t>
      </w:r>
      <w:r>
        <w:fldChar w:fldCharType="end"/>
      </w:r>
      <w:r>
        <w:t xml:space="preserve">, likely to find a mate or suitable spawning habitat. The spring pulse also coincided with the peak estimated spawning season of Australian smelt. </w:t>
      </w:r>
      <w:r w:rsidR="0012028A">
        <w:t>Stream metabolism monitoring as part of this study found that this</w:t>
      </w:r>
      <w:r>
        <w:t xml:space="preserve"> peak </w:t>
      </w:r>
      <w:r w:rsidR="0012028A">
        <w:t>increased in algal biomass and had measurable increase in both GPP and ER (</w:t>
      </w:r>
      <w:r w:rsidR="0012028A" w:rsidRPr="00A860D2">
        <w:t xml:space="preserve">see </w:t>
      </w:r>
      <w:r w:rsidR="00A860D2" w:rsidRPr="00A860D2">
        <w:t>Chapter</w:t>
      </w:r>
      <w:r w:rsidR="00A860D2">
        <w:t xml:space="preserve"> </w:t>
      </w:r>
      <w:r w:rsidR="00A860D2">
        <w:rPr>
          <w:highlight w:val="yellow"/>
        </w:rPr>
        <w:fldChar w:fldCharType="begin"/>
      </w:r>
      <w:r w:rsidR="00A860D2">
        <w:instrText xml:space="preserve"> REF _Ref23973764 \r \h </w:instrText>
      </w:r>
      <w:r w:rsidR="00A860D2">
        <w:rPr>
          <w:highlight w:val="yellow"/>
        </w:rPr>
      </w:r>
      <w:r w:rsidR="00A860D2">
        <w:rPr>
          <w:highlight w:val="yellow"/>
        </w:rPr>
        <w:fldChar w:fldCharType="separate"/>
      </w:r>
      <w:r w:rsidR="007F7607">
        <w:t>5</w:t>
      </w:r>
      <w:r w:rsidR="00A860D2">
        <w:rPr>
          <w:highlight w:val="yellow"/>
        </w:rPr>
        <w:fldChar w:fldCharType="end"/>
      </w:r>
      <w:r w:rsidR="0012028A">
        <w:t xml:space="preserve">) which would have resulted in a </w:t>
      </w:r>
      <w:r>
        <w:t xml:space="preserve">pulse in food resources at the same time as larval Australian smelt would have been hatching in the mid-Lachlan in 2018. </w:t>
      </w:r>
    </w:p>
    <w:bookmarkEnd w:id="445"/>
    <w:p w14:paraId="2BD0A77B" w14:textId="31456FCB" w:rsidR="002D2187" w:rsidRDefault="002D2187" w:rsidP="002D2187">
      <w:r>
        <w:t xml:space="preserve">The second watering action which commenced in mid-October 2018 aimed to maintain a hydrological ‘floor’ of 800 ML </w:t>
      </w:r>
      <w:r w:rsidR="001E6A43">
        <w:t>d</w:t>
      </w:r>
      <w:r>
        <w:t>ay</w:t>
      </w:r>
      <w:r w:rsidRPr="00C34A2F">
        <w:rPr>
          <w:vertAlign w:val="superscript"/>
        </w:rPr>
        <w:t>-1</w:t>
      </w:r>
      <w:r>
        <w:t xml:space="preserve"> at Forbes (Cottons Weir) until the early December 2018. In terms of delivery, this action was successful, with only a small drop below 800 ML day</w:t>
      </w:r>
      <w:r w:rsidRPr="005A4D90">
        <w:rPr>
          <w:vertAlign w:val="superscript"/>
        </w:rPr>
        <w:t>-1</w:t>
      </w:r>
      <w:r>
        <w:t xml:space="preserve"> recorded (still &gt; 730 ML </w:t>
      </w:r>
      <w:r w:rsidR="001E6A43">
        <w:t>d</w:t>
      </w:r>
      <w:r>
        <w:t>ay</w:t>
      </w:r>
      <w:r w:rsidRPr="00C34A2F">
        <w:rPr>
          <w:vertAlign w:val="superscript"/>
        </w:rPr>
        <w:t>-1</w:t>
      </w:r>
      <w:r>
        <w:t>) for only four days (</w:t>
      </w:r>
      <w:r>
        <w:fldChar w:fldCharType="begin"/>
      </w:r>
      <w:r>
        <w:instrText xml:space="preserve"> REF _Ref17204396 \h </w:instrText>
      </w:r>
      <w:r>
        <w:fldChar w:fldCharType="separate"/>
      </w:r>
      <w:r w:rsidR="007F7607" w:rsidRPr="002E6686">
        <w:t xml:space="preserve">Figure </w:t>
      </w:r>
      <w:r w:rsidR="007F7607">
        <w:rPr>
          <w:noProof/>
        </w:rPr>
        <w:t>61</w:t>
      </w:r>
      <w:r>
        <w:fldChar w:fldCharType="end"/>
      </w:r>
      <w:r>
        <w:t>). Given the estimated peak spawning of Murray cod commenced in early October in the mid-Lachlan River (see appendix 1), setting of this floor in future should be undertaken from the start of October to ensure that the peak spawning and nesting times are covered by the floor. The combination of spring pulse to promote movement, then the hydrological floor to protect Murray cod nests appears to have been successful, with raw abundances of Murray cod present, similar to those recorded in the lower Lachlan selected area in 2014 and 2018.</w:t>
      </w:r>
    </w:p>
    <w:p w14:paraId="7757AA4E" w14:textId="6EEB3AA3" w:rsidR="00616E66" w:rsidRDefault="002D2187" w:rsidP="002D2187">
      <w:bookmarkStart w:id="446" w:name="_Hlk23973959"/>
      <w:r>
        <w:t xml:space="preserve">Over the past two spawning seasons, discharge </w:t>
      </w:r>
      <w:r w:rsidR="001E6A43">
        <w:t>h</w:t>
      </w:r>
      <w:r w:rsidR="002B2ECC">
        <w:t>as</w:t>
      </w:r>
      <w:r w:rsidR="001E6A43">
        <w:t xml:space="preserve"> </w:t>
      </w:r>
      <w:r>
        <w:t xml:space="preserve">been manipulated in the mid-Lachlan to prevent sudden decreases in water levels during Murray cod spawning season (to prevent nest abandonment and egg desiccation). To achieve this, two different watering actions have been employed. In the 2017 Murray cod spawning season, a hydrological ‘roof’ was employed to maintain river level greater than the expected demand for irrigation, and stock and domestic orders. This strategy was successful in preventing sudden decreases in water levels, but was costly in water use (total use 31, 500 ML). For the 2018 Murray cod spawning season, a hydrological ‘floor’ was set where a minimum discharge was to be maintained (likely below that of irrigation and stock and domestic orders). This strategy proved to be somewhat successful, that some small peaks were still experienced associated with increases in water orders, but was very efficient in terms of water use requiring only 2, 032 ML to complete. Unfortunately, larval fish monitoring was not employed in 2017, so a like for like comparison cannot be made to determine which strategy had the best outcome for Murray cod spawning and recruitment. Our data (and that from </w:t>
      </w:r>
      <w:r w:rsidRPr="00A860D2">
        <w:t>the mid-Lachlan fish community sampling) can c</w:t>
      </w:r>
      <w:r>
        <w:t>onfidently conclude that water level conditions experienced in 2018 (during the hydrological ‘floor’) were suitable for Murray cod spawning and recruitment to juveniles.</w:t>
      </w:r>
    </w:p>
    <w:bookmarkEnd w:id="446"/>
    <w:p w14:paraId="792D7682" w14:textId="77777777" w:rsidR="00616E66" w:rsidRDefault="00616E66" w:rsidP="00616E66">
      <w:pPr>
        <w:rPr>
          <w:lang w:val="en-GB" w:eastAsia="x-none"/>
        </w:rPr>
      </w:pPr>
    </w:p>
    <w:p w14:paraId="602842F3" w14:textId="77777777" w:rsidR="00616E66" w:rsidRDefault="00616E66" w:rsidP="00616E66">
      <w:pPr>
        <w:rPr>
          <w:lang w:val="en-GB" w:eastAsia="x-none"/>
        </w:rPr>
      </w:pPr>
      <w:r w:rsidRPr="00021A06">
        <w:rPr>
          <w:noProof/>
          <w:lang w:eastAsia="en-AU"/>
        </w:rPr>
        <w:drawing>
          <wp:inline distT="0" distB="0" distL="0" distR="0" wp14:anchorId="00CD47DA" wp14:editId="0D0B580D">
            <wp:extent cx="5731510" cy="3140710"/>
            <wp:effectExtent l="0" t="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731510" cy="3140710"/>
                    </a:xfrm>
                    <a:prstGeom prst="rect">
                      <a:avLst/>
                    </a:prstGeom>
                    <a:noFill/>
                    <a:ln>
                      <a:noFill/>
                    </a:ln>
                  </pic:spPr>
                </pic:pic>
              </a:graphicData>
            </a:graphic>
          </wp:inline>
        </w:drawing>
      </w:r>
    </w:p>
    <w:p w14:paraId="039D4982" w14:textId="1569EAE5" w:rsidR="00616E66" w:rsidRPr="002E6686" w:rsidRDefault="00616E66" w:rsidP="00616E66">
      <w:pPr>
        <w:pStyle w:val="Caption"/>
        <w:rPr>
          <w:lang w:val="en-GB"/>
        </w:rPr>
      </w:pPr>
      <w:bookmarkStart w:id="447" w:name="_Ref17204396"/>
      <w:bookmarkStart w:id="448" w:name="_Toc31985625"/>
      <w:r w:rsidRPr="002E6686">
        <w:t xml:space="preserve">Figure </w:t>
      </w:r>
      <w:r>
        <w:rPr>
          <w:noProof/>
        </w:rPr>
        <w:fldChar w:fldCharType="begin"/>
      </w:r>
      <w:r>
        <w:rPr>
          <w:noProof/>
        </w:rPr>
        <w:instrText xml:space="preserve"> SEQ Figure \* ARABIC </w:instrText>
      </w:r>
      <w:r>
        <w:rPr>
          <w:noProof/>
        </w:rPr>
        <w:fldChar w:fldCharType="separate"/>
      </w:r>
      <w:r w:rsidR="007F7607">
        <w:rPr>
          <w:noProof/>
        </w:rPr>
        <w:t>61</w:t>
      </w:r>
      <w:r>
        <w:rPr>
          <w:noProof/>
        </w:rPr>
        <w:fldChar w:fldCharType="end"/>
      </w:r>
      <w:bookmarkEnd w:id="447"/>
      <w:r w:rsidRPr="002E6686">
        <w:t xml:space="preserve">. </w:t>
      </w:r>
      <w:r>
        <w:rPr>
          <w:lang w:val="en-GB"/>
        </w:rPr>
        <w:t>Discharge at Cottons Weir Forbes (solid black line) measured against the minimum discharge target of 800 ML Day</w:t>
      </w:r>
      <w:r w:rsidRPr="00021A06">
        <w:rPr>
          <w:vertAlign w:val="superscript"/>
          <w:lang w:val="en-GB"/>
        </w:rPr>
        <w:t>-1</w:t>
      </w:r>
      <w:r>
        <w:rPr>
          <w:lang w:val="en-GB"/>
        </w:rPr>
        <w:t xml:space="preserve"> (dashed grey line) from the 17</w:t>
      </w:r>
      <w:r w:rsidRPr="0081038C">
        <w:rPr>
          <w:vertAlign w:val="superscript"/>
          <w:lang w:val="en-GB"/>
        </w:rPr>
        <w:t>th</w:t>
      </w:r>
      <w:r>
        <w:rPr>
          <w:lang w:val="en-GB"/>
        </w:rPr>
        <w:t xml:space="preserve"> October to the 3</w:t>
      </w:r>
      <w:r w:rsidRPr="0081038C">
        <w:rPr>
          <w:vertAlign w:val="superscript"/>
          <w:lang w:val="en-GB"/>
        </w:rPr>
        <w:t>rd</w:t>
      </w:r>
      <w:r>
        <w:rPr>
          <w:lang w:val="en-GB"/>
        </w:rPr>
        <w:t xml:space="preserve"> December.</w:t>
      </w:r>
      <w:bookmarkEnd w:id="448"/>
      <w:r>
        <w:rPr>
          <w:lang w:val="en-GB"/>
        </w:rPr>
        <w:t xml:space="preserve"> </w:t>
      </w:r>
    </w:p>
    <w:p w14:paraId="20C764F2" w14:textId="4775A3C0" w:rsidR="003E0E3E" w:rsidRPr="002E6686" w:rsidRDefault="003E0E3E" w:rsidP="003E0E3E">
      <w:pPr>
        <w:rPr>
          <w:lang w:val="en-GB"/>
        </w:rPr>
      </w:pPr>
      <w:bookmarkStart w:id="449" w:name="_Hlk24379925"/>
      <w:r w:rsidRPr="002E6686">
        <w:rPr>
          <w:lang w:val="en-GB"/>
        </w:rPr>
        <w:t>To assess the contribution of Commonwealth environmental water to native fish spawning and recruitment</w:t>
      </w:r>
      <w:r>
        <w:rPr>
          <w:lang w:val="en-GB"/>
        </w:rPr>
        <w:t xml:space="preserve"> in the mid-Lachlan</w:t>
      </w:r>
      <w:r w:rsidRPr="002E6686">
        <w:rPr>
          <w:lang w:val="en-GB"/>
        </w:rPr>
        <w:t>, the relevant short</w:t>
      </w:r>
      <w:r>
        <w:rPr>
          <w:lang w:val="en-GB"/>
        </w:rPr>
        <w:t>-</w:t>
      </w:r>
      <w:r w:rsidRPr="002E6686">
        <w:rPr>
          <w:lang w:val="en-GB"/>
        </w:rPr>
        <w:t xml:space="preserve">term question to be evaluated </w:t>
      </w:r>
      <w:r w:rsidR="00B7606F">
        <w:rPr>
          <w:lang w:val="en-GB"/>
        </w:rPr>
        <w:t>is</w:t>
      </w:r>
      <w:r w:rsidRPr="002E6686">
        <w:rPr>
          <w:lang w:val="en-GB"/>
        </w:rPr>
        <w:t>:</w:t>
      </w:r>
    </w:p>
    <w:p w14:paraId="1C785F53" w14:textId="77777777" w:rsidR="003E0E3E" w:rsidRPr="00872FB7" w:rsidRDefault="003E0E3E" w:rsidP="003E0E3E">
      <w:pPr>
        <w:rPr>
          <w:i/>
          <w:lang w:val="en-GB"/>
        </w:rPr>
      </w:pPr>
      <w:r w:rsidRPr="00872FB7">
        <w:rPr>
          <w:i/>
          <w:lang w:val="en-GB"/>
        </w:rPr>
        <w:t>Short-term (one year</w:t>
      </w:r>
      <w:r>
        <w:rPr>
          <w:i/>
          <w:lang w:val="en-GB"/>
        </w:rPr>
        <w:t>)</w:t>
      </w:r>
      <w:r w:rsidRPr="00872FB7">
        <w:rPr>
          <w:i/>
          <w:lang w:val="en-GB"/>
        </w:rPr>
        <w:t xml:space="preserve"> evaluation questions:</w:t>
      </w:r>
    </w:p>
    <w:p w14:paraId="50EDAA99" w14:textId="77777777" w:rsidR="003E0E3E" w:rsidRDefault="003E0E3E" w:rsidP="00A370F4">
      <w:pPr>
        <w:numPr>
          <w:ilvl w:val="0"/>
          <w:numId w:val="46"/>
        </w:numPr>
      </w:pPr>
      <w:r w:rsidRPr="002E6686">
        <w:t xml:space="preserve">What did Commonwealth environmental water contribute to native fish reproduction in the Lower Lachlan </w:t>
      </w:r>
      <w:r>
        <w:t>River</w:t>
      </w:r>
      <w:r w:rsidRPr="002E6686">
        <w:t xml:space="preserve"> system?</w:t>
      </w:r>
    </w:p>
    <w:p w14:paraId="3F7F212A" w14:textId="7E369678" w:rsidR="003E0E3E" w:rsidRDefault="003E0E3E" w:rsidP="003E0E3E">
      <w:r w:rsidRPr="00B7606F">
        <w:t xml:space="preserve">In 2018 – 2019 </w:t>
      </w:r>
      <w:r w:rsidRPr="00B7606F">
        <w:rPr>
          <w:lang w:val="en-US"/>
        </w:rPr>
        <w:t xml:space="preserve">Commonwealth environmental water made a positive contribution to the spawning of Murray cod, flat headed gudgeon and </w:t>
      </w:r>
      <w:r w:rsidR="00B7606F" w:rsidRPr="00B7606F">
        <w:rPr>
          <w:lang w:val="en-US"/>
        </w:rPr>
        <w:t xml:space="preserve">carp gudgeon </w:t>
      </w:r>
      <w:r w:rsidRPr="00B7606F">
        <w:rPr>
          <w:lang w:val="en-US"/>
        </w:rPr>
        <w:t xml:space="preserve">in the </w:t>
      </w:r>
      <w:r w:rsidR="00B7606F" w:rsidRPr="00B7606F">
        <w:rPr>
          <w:lang w:val="en-US"/>
        </w:rPr>
        <w:t xml:space="preserve">mid </w:t>
      </w:r>
      <w:r w:rsidRPr="00B7606F">
        <w:rPr>
          <w:lang w:val="en-US"/>
        </w:rPr>
        <w:t>Lachlan River system</w:t>
      </w:r>
      <w:r w:rsidRPr="00B7606F">
        <w:t xml:space="preserve">. </w:t>
      </w:r>
      <w:r w:rsidR="00B7606F">
        <w:t xml:space="preserve">Thus the two watering actions delivered in the mid Lachlan have been </w:t>
      </w:r>
      <w:r w:rsidRPr="00B7606F">
        <w:t xml:space="preserve">successful in </w:t>
      </w:r>
      <w:r w:rsidR="00B7606F">
        <w:t xml:space="preserve">supporting native </w:t>
      </w:r>
      <w:r w:rsidRPr="00B7606F">
        <w:t>fish reproduction</w:t>
      </w:r>
      <w:r w:rsidR="00B7606F">
        <w:t>.</w:t>
      </w:r>
      <w:r w:rsidRPr="00B7606F">
        <w:t xml:space="preserve"> </w:t>
      </w:r>
    </w:p>
    <w:bookmarkEnd w:id="449"/>
    <w:p w14:paraId="4419C2EA" w14:textId="77777777" w:rsidR="00616E66" w:rsidRDefault="00616E66" w:rsidP="00616E66">
      <w:pPr>
        <w:rPr>
          <w:lang w:val="en-GB" w:eastAsia="x-none"/>
        </w:rPr>
      </w:pPr>
    </w:p>
    <w:p w14:paraId="2B5757D0" w14:textId="77777777" w:rsidR="00616E66" w:rsidRDefault="00616E66" w:rsidP="00616E66">
      <w:pPr>
        <w:rPr>
          <w:lang w:val="en-GB" w:eastAsia="x-none"/>
        </w:rPr>
      </w:pPr>
    </w:p>
    <w:p w14:paraId="50D08102" w14:textId="77777777" w:rsidR="00616E66" w:rsidRDefault="00616E66" w:rsidP="00616E66">
      <w:pPr>
        <w:pStyle w:val="Heading2"/>
        <w:rPr>
          <w:lang w:val="en-AU"/>
        </w:rPr>
      </w:pPr>
      <w:bookmarkStart w:id="450" w:name="_Toc467776113"/>
      <w:bookmarkStart w:id="451" w:name="_Toc31985512"/>
      <w:r>
        <w:rPr>
          <w:lang w:val="en-AU"/>
        </w:rPr>
        <w:t xml:space="preserve">Final Comments and </w:t>
      </w:r>
      <w:r w:rsidRPr="002E6686">
        <w:t>Recommendations</w:t>
      </w:r>
      <w:bookmarkEnd w:id="442"/>
      <w:bookmarkEnd w:id="450"/>
      <w:bookmarkEnd w:id="451"/>
    </w:p>
    <w:p w14:paraId="3566E3B3" w14:textId="0A04990A" w:rsidR="005B5A1F" w:rsidRDefault="005B5A1F" w:rsidP="00D437E3">
      <w:pPr>
        <w:numPr>
          <w:ilvl w:val="0"/>
          <w:numId w:val="20"/>
        </w:numPr>
        <w:rPr>
          <w:lang w:val="en-GB" w:eastAsia="x-none"/>
        </w:rPr>
      </w:pPr>
      <w:bookmarkStart w:id="452" w:name="_Ref428444912"/>
      <w:bookmarkStart w:id="453" w:name="_Ref428444990"/>
      <w:bookmarkStart w:id="454" w:name="_Ref428444997"/>
      <w:bookmarkStart w:id="455" w:name="_Toc440827297"/>
      <w:r>
        <w:rPr>
          <w:lang w:val="en-GB" w:eastAsia="x-none"/>
        </w:rPr>
        <w:t xml:space="preserve">Small bodied species, especially flatheaded gudgeon and Australian smelt, appear to have benefitted (in terms of increased recruitment) from </w:t>
      </w:r>
      <w:r w:rsidR="002B2ECC">
        <w:rPr>
          <w:lang w:val="en-GB" w:eastAsia="x-none"/>
        </w:rPr>
        <w:t>watering action 1</w:t>
      </w:r>
      <w:r>
        <w:rPr>
          <w:lang w:val="en-GB" w:eastAsia="x-none"/>
        </w:rPr>
        <w:t xml:space="preserve"> </w:t>
      </w:r>
      <w:r w:rsidR="002B2ECC">
        <w:rPr>
          <w:lang w:val="en-GB" w:eastAsia="x-none"/>
        </w:rPr>
        <w:t>in</w:t>
      </w:r>
      <w:r>
        <w:rPr>
          <w:lang w:val="en-GB" w:eastAsia="x-none"/>
        </w:rPr>
        <w:t xml:space="preserve"> mid-September 2018. This is likely because of the productivity pulse generated by the flow pulse.</w:t>
      </w:r>
    </w:p>
    <w:p w14:paraId="473A1EC5" w14:textId="77777777" w:rsidR="005B5A1F" w:rsidRPr="005C0B96" w:rsidRDefault="005B5A1F" w:rsidP="00D437E3">
      <w:pPr>
        <w:numPr>
          <w:ilvl w:val="0"/>
          <w:numId w:val="20"/>
        </w:numPr>
        <w:rPr>
          <w:lang w:val="en-GB" w:eastAsia="x-none"/>
        </w:rPr>
      </w:pPr>
      <w:r>
        <w:rPr>
          <w:lang w:val="en-GB" w:eastAsia="x-none"/>
        </w:rPr>
        <w:t>Flathead gudgeon larval abundances seem to be positively related to early spring pulses.  This likely to be caused by increased spawning initiated by increases in food abundances.</w:t>
      </w:r>
    </w:p>
    <w:p w14:paraId="1BBB561E" w14:textId="77777777" w:rsidR="005B5A1F" w:rsidRDefault="005B5A1F" w:rsidP="00D437E3">
      <w:pPr>
        <w:numPr>
          <w:ilvl w:val="0"/>
          <w:numId w:val="20"/>
        </w:numPr>
        <w:rPr>
          <w:lang w:val="en-GB" w:eastAsia="x-none"/>
        </w:rPr>
      </w:pPr>
      <w:r>
        <w:rPr>
          <w:lang w:val="en-GB" w:eastAsia="x-none"/>
        </w:rPr>
        <w:t xml:space="preserve">Murray cod larval abundances have increased from a post flood low in 2016 and 2017.  Based on estimated spawning dates, the timing of the spring pulse appears to have been ideal for promoting adult movements in 2018. </w:t>
      </w:r>
    </w:p>
    <w:p w14:paraId="7CE37B9C" w14:textId="2617F6C1" w:rsidR="005B5A1F" w:rsidRDefault="005B5A1F" w:rsidP="00D437E3">
      <w:pPr>
        <w:numPr>
          <w:ilvl w:val="0"/>
          <w:numId w:val="20"/>
        </w:numPr>
        <w:rPr>
          <w:lang w:val="en-GB" w:eastAsia="x-none"/>
        </w:rPr>
      </w:pPr>
      <w:r>
        <w:rPr>
          <w:lang w:val="en-GB" w:eastAsia="x-none"/>
        </w:rPr>
        <w:t>Murray cod are in a state of recovery following the blackwater events associated with the 2016 flood. Future environmental watering should aim to provide conditions that support spawning and early development of this species, including</w:t>
      </w:r>
      <w:r w:rsidR="0025324B">
        <w:rPr>
          <w:lang w:val="en-GB" w:eastAsia="x-none"/>
        </w:rPr>
        <w:t xml:space="preserve"> </w:t>
      </w:r>
      <w:r w:rsidR="0025324B">
        <w:rPr>
          <w:lang w:val="en-GB" w:eastAsia="x-none"/>
        </w:rPr>
        <w:fldChar w:fldCharType="begin"/>
      </w:r>
      <w:r w:rsidR="0025324B">
        <w:rPr>
          <w:lang w:val="en-GB" w:eastAsia="x-none"/>
        </w:rPr>
        <w:instrText xml:space="preserve"> ADDIN EN.CITE &lt;EndNote&gt;&lt;Cite&gt;&lt;Author&gt;Ellis&lt;/Author&gt;&lt;Year&gt;2016&lt;/Year&gt;&lt;RecNum&gt;149&lt;/RecNum&gt;&lt;Prefix&gt;following &lt;/Prefix&gt;&lt;DisplayText&gt;(following Ellis et al. 2016)&lt;/DisplayText&gt;&lt;record&gt;&lt;rec-number&gt;149&lt;/rec-number&gt;&lt;foreign-keys&gt;&lt;key app="EN" db-id="0a0zttz0gewd9befav559p5osxw5sftwfpdv" timestamp="1476147514"&gt;149&lt;/key&gt;&lt;/foreign-keys&gt;&lt;ref-type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25324B">
        <w:rPr>
          <w:lang w:val="en-GB" w:eastAsia="x-none"/>
        </w:rPr>
        <w:fldChar w:fldCharType="separate"/>
      </w:r>
      <w:r w:rsidR="0025324B">
        <w:rPr>
          <w:noProof/>
          <w:lang w:val="en-GB" w:eastAsia="x-none"/>
        </w:rPr>
        <w:t>(following Ellis et al. 2016)</w:t>
      </w:r>
      <w:r w:rsidR="0025324B">
        <w:rPr>
          <w:lang w:val="en-GB" w:eastAsia="x-none"/>
        </w:rPr>
        <w:fldChar w:fldCharType="end"/>
      </w:r>
      <w:r w:rsidR="0025324B">
        <w:rPr>
          <w:lang w:val="en-GB" w:eastAsia="x-none"/>
        </w:rPr>
        <w:t>:</w:t>
      </w:r>
    </w:p>
    <w:p w14:paraId="3E0A1126" w14:textId="77777777" w:rsidR="005B5A1F" w:rsidRDefault="005B5A1F" w:rsidP="00D437E3">
      <w:pPr>
        <w:numPr>
          <w:ilvl w:val="1"/>
          <w:numId w:val="20"/>
        </w:numPr>
        <w:rPr>
          <w:lang w:val="en-GB" w:eastAsia="x-none"/>
        </w:rPr>
      </w:pPr>
      <w:r>
        <w:rPr>
          <w:lang w:val="en-GB" w:eastAsia="x-none"/>
        </w:rPr>
        <w:t>Flow pulse in late-winter early-spring (recession complete by mid-September)</w:t>
      </w:r>
    </w:p>
    <w:p w14:paraId="2340B3DA" w14:textId="77777777" w:rsidR="005B5A1F" w:rsidRDefault="005B5A1F" w:rsidP="00D437E3">
      <w:pPr>
        <w:numPr>
          <w:ilvl w:val="1"/>
          <w:numId w:val="20"/>
        </w:numPr>
        <w:rPr>
          <w:lang w:val="en-GB" w:eastAsia="x-none"/>
        </w:rPr>
      </w:pPr>
      <w:r>
        <w:rPr>
          <w:lang w:val="en-GB" w:eastAsia="x-none"/>
        </w:rPr>
        <w:t>Stable water levels during the nesting period in the lower Lachlan Selected area (mid-September – early November) and mid-Lachlan River (late-September to early December)</w:t>
      </w:r>
    </w:p>
    <w:p w14:paraId="04406BE5" w14:textId="77777777" w:rsidR="005B5A1F" w:rsidRDefault="005B5A1F" w:rsidP="00D437E3">
      <w:pPr>
        <w:numPr>
          <w:ilvl w:val="1"/>
          <w:numId w:val="20"/>
        </w:numPr>
        <w:rPr>
          <w:lang w:val="en-GB" w:eastAsia="x-none"/>
        </w:rPr>
      </w:pPr>
      <w:r>
        <w:rPr>
          <w:lang w:val="en-GB" w:eastAsia="x-none"/>
        </w:rPr>
        <w:t>Dispersal and productivity pulse at the end of the nesting period (mid-November)</w:t>
      </w:r>
    </w:p>
    <w:p w14:paraId="3677DE6C" w14:textId="77777777" w:rsidR="005B5A1F" w:rsidRDefault="005B5A1F" w:rsidP="00D437E3">
      <w:pPr>
        <w:numPr>
          <w:ilvl w:val="0"/>
          <w:numId w:val="20"/>
        </w:numPr>
        <w:rPr>
          <w:lang w:val="en-GB" w:eastAsia="x-none"/>
        </w:rPr>
      </w:pPr>
      <w:r>
        <w:rPr>
          <w:lang w:val="en-GB" w:eastAsia="x-none"/>
        </w:rPr>
        <w:t xml:space="preserve">To </w:t>
      </w:r>
      <w:r w:rsidRPr="00AB2472">
        <w:t>progress</w:t>
      </w:r>
      <w:r>
        <w:rPr>
          <w:lang w:val="en-GB" w:eastAsia="x-none"/>
        </w:rPr>
        <w:t xml:space="preserve"> the longer-term fish objectives further it is recommended that the CEWO continues to consider:</w:t>
      </w:r>
    </w:p>
    <w:p w14:paraId="2F9CB1D9" w14:textId="77777777" w:rsidR="005B5A1F" w:rsidRDefault="005B5A1F" w:rsidP="00D437E3">
      <w:pPr>
        <w:numPr>
          <w:ilvl w:val="1"/>
          <w:numId w:val="20"/>
        </w:numPr>
      </w:pPr>
      <w:r>
        <w:rPr>
          <w:lang w:val="en-GB" w:eastAsia="x-none"/>
        </w:rPr>
        <w:t xml:space="preserve">how it may participate in other intervention options (water quality </w:t>
      </w:r>
      <w:r w:rsidRPr="00AB2472">
        <w:t>monitoring, habitat rehabilitation, removal of barriers to movement, use of fish screens on irrigation intakes) that complement the use of environmental water</w:t>
      </w:r>
    </w:p>
    <w:p w14:paraId="295F98CA" w14:textId="77777777" w:rsidR="005B5A1F" w:rsidRDefault="005B5A1F" w:rsidP="00D437E3">
      <w:pPr>
        <w:numPr>
          <w:ilvl w:val="0"/>
          <w:numId w:val="20"/>
        </w:numPr>
      </w:pPr>
      <w:r>
        <w:t xml:space="preserve">The hydrological ‘floor’ set in 2018 in the mid-Lachlan appears to have supported Murray cod spawning and recruitment to juveniles. A hydrological ‘floor’ is a much less water intensive strategy than the hydrological ‘roof’ employed in 2017. At this stage, our data suggests that a hydrological ‘floor’ is suitable strategy to help reduce sudden decreases in water level during Murray cod spawning season. </w:t>
      </w:r>
    </w:p>
    <w:p w14:paraId="6EE5CA1E" w14:textId="4AB9E24D" w:rsidR="00616E66" w:rsidRPr="00AB2472" w:rsidRDefault="005B5A1F" w:rsidP="00D437E3">
      <w:pPr>
        <w:numPr>
          <w:ilvl w:val="0"/>
          <w:numId w:val="20"/>
        </w:numPr>
      </w:pPr>
      <w:r>
        <w:t>Despite an intentional watering action (in 2015) and apparently suitable conditions for spawning in 2018, a spawning or recruitment event for golden perch has not been detected in the lower Lachlan River during this five-year monitoring program. We recommend against trying to achieve a spawning response from golden perch using a single flow pulse in spring</w:t>
      </w:r>
      <w:r w:rsidR="0012028A">
        <w:t>, as this has yet to elicit a spawning response.</w:t>
      </w:r>
      <w:r>
        <w:t xml:space="preserve"> </w:t>
      </w:r>
      <w:r w:rsidR="00616E66">
        <w:t xml:space="preserve"> </w:t>
      </w:r>
    </w:p>
    <w:p w14:paraId="0087CBFA" w14:textId="77777777" w:rsidR="00616E66" w:rsidRPr="002E6686" w:rsidRDefault="00616E66" w:rsidP="00616E66">
      <w:pPr>
        <w:pStyle w:val="Heading2"/>
      </w:pPr>
      <w:r>
        <w:br w:type="page"/>
      </w:r>
      <w:bookmarkStart w:id="456" w:name="_Toc467776114"/>
      <w:bookmarkStart w:id="457" w:name="_Ref516045302"/>
      <w:bookmarkStart w:id="458" w:name="_Ref17982696"/>
      <w:bookmarkStart w:id="459" w:name="_Ref17982697"/>
      <w:bookmarkStart w:id="460" w:name="_Toc31985513"/>
      <w:r w:rsidRPr="00F0371D">
        <w:rPr>
          <w:lang w:val="en-AU"/>
        </w:rPr>
        <w:t>Appendix 1: Estimating fish spawning dates 201</w:t>
      </w:r>
      <w:bookmarkEnd w:id="452"/>
      <w:bookmarkEnd w:id="453"/>
      <w:bookmarkEnd w:id="454"/>
      <w:bookmarkEnd w:id="455"/>
      <w:bookmarkEnd w:id="456"/>
      <w:bookmarkEnd w:id="457"/>
      <w:r>
        <w:rPr>
          <w:lang w:val="en-AU"/>
        </w:rPr>
        <w:t>8</w:t>
      </w:r>
      <w:bookmarkEnd w:id="458"/>
      <w:bookmarkEnd w:id="459"/>
      <w:bookmarkEnd w:id="460"/>
    </w:p>
    <w:p w14:paraId="74A8D8A9" w14:textId="192E07AC" w:rsidR="00616E66" w:rsidRDefault="00616E66" w:rsidP="00616E66">
      <w:pPr>
        <w:rPr>
          <w:lang w:eastAsia="x-none"/>
        </w:rPr>
      </w:pPr>
      <w:r w:rsidRPr="002E6686">
        <w:rPr>
          <w:lang w:eastAsia="x-none"/>
        </w:rPr>
        <w:t xml:space="preserve">The most accurate and precise method of estimating larval fish age and hence deriving </w:t>
      </w:r>
      <w:r>
        <w:rPr>
          <w:lang w:eastAsia="x-none"/>
        </w:rPr>
        <w:t xml:space="preserve">a </w:t>
      </w:r>
      <w:r w:rsidRPr="002E6686">
        <w:rPr>
          <w:lang w:eastAsia="x-none"/>
        </w:rPr>
        <w:t>spawning date is by direct daily aging using otoliths of larval fish</w:t>
      </w:r>
      <w:r>
        <w:rPr>
          <w:lang w:eastAsia="x-none"/>
        </w:rPr>
        <w:t xml:space="preserve"> </w:t>
      </w:r>
      <w:r>
        <w:rPr>
          <w:lang w:eastAsia="x-none"/>
        </w:rPr>
        <w:fldChar w:fldCharType="begin"/>
      </w:r>
      <w:r w:rsidR="007163E8">
        <w:rPr>
          <w:lang w:eastAsia="x-none"/>
        </w:rPr>
        <w:instrText xml:space="preserve"> ADDIN EN.CITE &lt;EndNote&gt;&lt;Cite&gt;&lt;Author&gt;Anderson&lt;/Author&gt;&lt;Year&gt;1992&lt;/Year&gt;&lt;RecNum&gt;105&lt;/RecNum&gt;&lt;DisplayText&gt;(Anderson et al. 1992, Campana and Thorrold 2001)&lt;/DisplayText&gt;&lt;record&gt;&lt;rec-number&gt;105&lt;/rec-number&gt;&lt;foreign-keys&gt;&lt;key app="EN" db-id="0a0zttz0gewd9befav559p5osxw5sftwfpdv" timestamp="1472610433"&gt;105&lt;/key&gt;&lt;/foreign-keys&gt;&lt;ref-type name="Journal Article"&gt;17&lt;/ref-type&gt;&lt;contributors&gt;&lt;authors&gt;&lt;author&gt;Anderson, J.R.&lt;/author&gt;&lt;author&gt;Morison, A.K.&lt;/author&gt;&lt;author&gt;Ray, D.J&lt;/author&gt;&lt;/authors&gt;&lt;/contributors&gt;&lt;titles&gt;&lt;title&gt;Validation of the use of thin-sectioned Otoliths for determining the age and growth of Golden Perch, Macquaria ambigua (Perciformes: Percichthyidae), in the Lower Murray-Darling Basin, Australia&lt;/title&gt;&lt;secondary-title&gt;Australian Journal for Marine and Freshwater Research&lt;/secondary-title&gt;&lt;/titles&gt;&lt;periodical&gt;&lt;full-title&gt;Australian Journal for Marine and Freshwater Research&lt;/full-title&gt;&lt;/periodical&gt;&lt;pages&gt;1103-1128&lt;/pages&gt;&lt;volume&gt;43&lt;/volume&gt;&lt;dates&gt;&lt;year&gt;1992&lt;/year&gt;&lt;/dates&gt;&lt;urls&gt;&lt;/urls&gt;&lt;/record&gt;&lt;/Cite&gt;&lt;Cite&gt;&lt;Author&gt;Campana&lt;/Author&gt;&lt;Year&gt;2001&lt;/Year&gt;&lt;RecNum&gt;116&lt;/RecNum&gt;&lt;record&gt;&lt;rec-number&gt;116&lt;/rec-number&gt;&lt;foreign-keys&gt;&lt;key app="EN" db-id="0a0zttz0gewd9befav559p5osxw5sftwfpdv" timestamp="1472612789"&gt;116&lt;/key&gt;&lt;/foreign-keys&gt;&lt;ref-type name="Journal Article"&gt;17&lt;/ref-type&gt;&lt;contributors&gt;&lt;authors&gt;&lt;author&gt;Campana, S.E.&lt;/author&gt;&lt;author&gt;Thorrold, S.R.&lt;/author&gt;&lt;/authors&gt;&lt;/contributors&gt;&lt;titles&gt;&lt;title&gt;Otoliths, increments, and elements: keys to a comprehensive understanding of fish populations?&lt;/title&gt;&lt;secondary-title&gt;Canadian Journal of Fisheries and Aquatic Sciences&lt;/secondary-title&gt;&lt;/titles&gt;&lt;periodical&gt;&lt;full-title&gt;Canadian Journal of Fisheries and Aquatic Sciences&lt;/full-title&gt;&lt;/periodical&gt;&lt;pages&gt;30-38&lt;/pages&gt;&lt;volume&gt;58&lt;/volume&gt;&lt;number&gt;1&lt;/number&gt;&lt;dates&gt;&lt;year&gt;2001&lt;/year&gt;&lt;/dates&gt;&lt;urls&gt;&lt;/urls&gt;&lt;/record&gt;&lt;/Cite&gt;&lt;/EndNote&gt;</w:instrText>
      </w:r>
      <w:r>
        <w:rPr>
          <w:lang w:eastAsia="x-none"/>
        </w:rPr>
        <w:fldChar w:fldCharType="separate"/>
      </w:r>
      <w:r w:rsidR="007163E8">
        <w:rPr>
          <w:noProof/>
          <w:lang w:eastAsia="x-none"/>
        </w:rPr>
        <w:t>(Anderson et al. 1992, Campana and Thorrold 2001)</w:t>
      </w:r>
      <w:r>
        <w:rPr>
          <w:lang w:eastAsia="x-none"/>
        </w:rPr>
        <w:fldChar w:fldCharType="end"/>
      </w:r>
      <w:r w:rsidRPr="002E6686">
        <w:rPr>
          <w:lang w:eastAsia="x-none"/>
        </w:rPr>
        <w:t xml:space="preserve">. Resource constraints meant direct aging was not currently feasible for this project (although larvae captured in 2014 </w:t>
      </w:r>
      <w:r>
        <w:rPr>
          <w:lang w:eastAsia="x-none"/>
        </w:rPr>
        <w:t>– 2018</w:t>
      </w:r>
      <w:r w:rsidRPr="002E6686">
        <w:rPr>
          <w:lang w:eastAsia="x-none"/>
        </w:rPr>
        <w:t xml:space="preserve"> have been stored for potential otolith analysis should funds be available), and this forced the use of less accurate indirect methods of aging and spawning date estimation.</w:t>
      </w:r>
    </w:p>
    <w:p w14:paraId="789994E8" w14:textId="543B3982" w:rsidR="00AB17C9" w:rsidRDefault="00616E66" w:rsidP="00616E66">
      <w:pPr>
        <w:rPr>
          <w:lang w:val="en-GB" w:eastAsia="x-none"/>
        </w:rPr>
      </w:pPr>
      <w:r w:rsidRPr="002E6686">
        <w:rPr>
          <w:lang w:val="en-GB" w:eastAsia="x-none"/>
        </w:rPr>
        <w:t>Ages of small bodied species (carp gud</w:t>
      </w:r>
      <w:r>
        <w:rPr>
          <w:lang w:val="en-GB" w:eastAsia="x-none"/>
        </w:rPr>
        <w:t xml:space="preserve">geon, Australian smelt and flat </w:t>
      </w:r>
      <w:r w:rsidRPr="002E6686">
        <w:rPr>
          <w:lang w:val="en-GB" w:eastAsia="x-none"/>
        </w:rPr>
        <w:t xml:space="preserve">headed gudgeon) ages were estimated from length-age equations for each species for a site on the Lower Murray floodplain (Lindsay Island), provided in Humphries </w:t>
      </w:r>
      <w:r w:rsidR="000A630A">
        <w:rPr>
          <w:lang w:val="en-GB" w:eastAsia="x-none"/>
        </w:rPr>
        <w:t>et al.</w:t>
      </w:r>
      <w:r w:rsidRPr="002E6686">
        <w:rPr>
          <w:lang w:val="en-GB" w:eastAsia="x-none"/>
        </w:rPr>
        <w:t xml:space="preserve"> </w:t>
      </w:r>
      <w:r w:rsidRPr="002E6686">
        <w:rPr>
          <w:lang w:val="en-GB" w:eastAsia="x-none"/>
        </w:rPr>
        <w:fldChar w:fldCharType="begin"/>
      </w:r>
      <w:r w:rsidR="00D16F44">
        <w:rPr>
          <w:lang w:val="en-GB" w:eastAsia="x-none"/>
        </w:rPr>
        <w:instrText xml:space="preserve"> ADDIN EN.CITE &lt;EndNote&gt;&lt;Cite ExcludeAuth="1"&gt;&lt;Author&gt;Humphries&lt;/Author&gt;&lt;Year&gt;2008&lt;/Year&gt;&lt;RecNum&gt;129&lt;/RecNum&gt;&lt;DisplayText&gt;(2008)&lt;/DisplayText&gt;&lt;record&gt;&lt;rec-number&gt;129&lt;/rec-number&gt;&lt;foreign-keys&gt;&lt;key app="EN" db-id="0a0zttz0gewd9befav559p5osxw5sftwfpdv" timestamp="1472615447"&gt;129&lt;/key&gt;&lt;/foreign-keys&gt;&lt;ref-type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Centre&lt;/publisher&gt;&lt;urls&gt;&lt;/urls&gt;&lt;/record&gt;&lt;/Cite&gt;&lt;/EndNote&gt;</w:instrText>
      </w:r>
      <w:r w:rsidRPr="002E6686">
        <w:rPr>
          <w:lang w:val="en-GB" w:eastAsia="x-none"/>
        </w:rPr>
        <w:fldChar w:fldCharType="separate"/>
      </w:r>
      <w:r>
        <w:rPr>
          <w:noProof/>
          <w:lang w:val="en-GB" w:eastAsia="x-none"/>
        </w:rPr>
        <w:t>(2008)</w:t>
      </w:r>
      <w:r w:rsidRPr="002E6686">
        <w:rPr>
          <w:lang w:eastAsia="x-none"/>
        </w:rPr>
        <w:fldChar w:fldCharType="end"/>
      </w:r>
      <w:r w:rsidRPr="002E6686">
        <w:rPr>
          <w:lang w:val="en-GB" w:eastAsia="x-none"/>
        </w:rPr>
        <w:t xml:space="preserve"> and matched to capture month. Hatching times for small bodied species were taken from Lintermans </w:t>
      </w:r>
      <w:r w:rsidRPr="002E6686">
        <w:rPr>
          <w:lang w:val="en-GB" w:eastAsia="x-none"/>
        </w:rPr>
        <w:fldChar w:fldCharType="begin"/>
      </w:r>
      <w:r w:rsidR="00D16F44">
        <w:rPr>
          <w:lang w:val="en-GB" w:eastAsia="x-none"/>
        </w:rPr>
        <w:instrText xml:space="preserve"> ADDIN EN.CITE &lt;EndNote&gt;&lt;Cite ExcludeAuth="1"&gt;&lt;Author&gt;Lintermans&lt;/Author&gt;&lt;Year&gt;2007&lt;/Year&gt;&lt;RecNum&gt;196&lt;/RecNum&gt;&lt;DisplayText&gt;(2007)&lt;/DisplayText&gt;&lt;record&gt;&lt;rec-number&gt;196&lt;/rec-number&gt;&lt;foreign-keys&gt;&lt;key app="EN" db-id="0a0zttz0gewd9befav559p5osxw5sftwfpdv" timestamp="1505097117"&gt;196&lt;/key&gt;&lt;/foreign-keys&gt;&lt;ref-type name="Book"&gt;6&lt;/ref-type&gt;&lt;contributors&gt;&lt;authors&gt;&lt;author&gt;Lintermans, M.&lt;/author&gt;&lt;/authors&gt;&lt;/contributors&gt;&lt;titles&gt;&lt;title&gt;Fishes of the Murray-Darling Basin: an introductory guide&lt;/title&gt;&lt;/titles&gt;&lt;pages&gt;157&lt;/pages&gt;&lt;dates&gt;&lt;year&gt;2007&lt;/year&gt;&lt;/dates&gt;&lt;pub-location&gt;Canberra&lt;/pub-location&gt;&lt;publisher&gt;Murray-Darling Basin Commission&lt;/publisher&gt;&lt;label&gt;3530&lt;/label&gt;&lt;urls&gt;&lt;/urls&gt;&lt;/record&gt;&lt;/Cite&gt;&lt;/EndNote&gt;</w:instrText>
      </w:r>
      <w:r w:rsidRPr="002E6686">
        <w:rPr>
          <w:lang w:val="en-GB" w:eastAsia="x-none"/>
        </w:rPr>
        <w:fldChar w:fldCharType="separate"/>
      </w:r>
      <w:r>
        <w:rPr>
          <w:noProof/>
          <w:lang w:val="en-GB" w:eastAsia="x-none"/>
        </w:rPr>
        <w:t>(2007)</w:t>
      </w:r>
      <w:r w:rsidRPr="002E6686">
        <w:rPr>
          <w:lang w:eastAsia="x-none"/>
        </w:rPr>
        <w:fldChar w:fldCharType="end"/>
      </w:r>
      <w:r w:rsidRPr="002E6686">
        <w:rPr>
          <w:lang w:val="en-GB" w:eastAsia="x-none"/>
        </w:rPr>
        <w:t>.</w:t>
      </w:r>
    </w:p>
    <w:p w14:paraId="0C8CB6FF" w14:textId="0BE73BC0" w:rsidR="00616E66" w:rsidRPr="002E6686" w:rsidRDefault="00616E66" w:rsidP="00616E66">
      <w:pPr>
        <w:rPr>
          <w:lang w:val="en-GB" w:eastAsia="x-none"/>
        </w:rPr>
      </w:pPr>
      <w:r w:rsidRPr="002E6686">
        <w:rPr>
          <w:lang w:val="en-GB" w:eastAsia="x-none"/>
        </w:rPr>
        <w:t xml:space="preserve">Murray cod larval age were estimated by multiplying length by 1.372 (a factor to compensate for shrinkage in ethanol) matched against linear length age equation derived from length-age data in Serafini and Humphries </w:t>
      </w:r>
      <w:r w:rsidRPr="002E6686">
        <w:rPr>
          <w:lang w:val="en-GB" w:eastAsia="x-none"/>
        </w:rPr>
        <w:fldChar w:fldCharType="begin"/>
      </w:r>
      <w:r w:rsidR="00D16F44">
        <w:rPr>
          <w:lang w:val="en-GB" w:eastAsia="x-none"/>
        </w:rPr>
        <w:instrText xml:space="preserve"> ADDIN EN.CITE &lt;EndNote&gt;&lt;Cite ExcludeAuth="1"&gt;&lt;Author&gt;Serafini&lt;/Author&gt;&lt;Year&gt;2004&lt;/Year&gt;&lt;RecNum&gt;248&lt;/RecNum&gt;&lt;DisplayText&gt;(2004)&lt;/DisplayText&gt;&lt;record&gt;&lt;rec-number&gt;248&lt;/rec-number&gt;&lt;foreign-keys&gt;&lt;key app="EN" db-id="0a0zttz0gewd9befav559p5osxw5sftwfpdv" timestamp="1542669311"&gt;248&lt;/key&gt;&lt;/foreign-keys&gt;&lt;ref-type name="Report"&gt;27&lt;/ref-type&gt;&lt;contributors&gt;&lt;authors&gt;&lt;author&gt;Serafini, L. G.&lt;/author&gt;&lt;author&gt;Humphries, P.&lt;/author&gt;&lt;/authors&gt;&lt;tertiary-authors&gt;&lt;author&gt;Cooperative Centre for Freshwater Ecology&lt;/author&gt;&lt;/tertiary-authors&gt;&lt;/contributors&gt;&lt;titles&gt;&lt;title&gt;Preliminary Guide to the Identification of Larvae of Fish, with a bibliography of their studies, from the Murray-Darling Basin&lt;/title&gt;&lt;secondary-title&gt;Cooperative Centre for Freshwater Ecology Identification &amp;amp; Ecology Guide No. 48&lt;/secondary-title&gt;&lt;/titles&gt;&lt;dates&gt;&lt;year&gt;2004&lt;/year&gt;&lt;/dates&gt;&lt;pub-location&gt;Thurgoona&lt;/pub-location&gt;&lt;publisher&gt;Cooperative Centre for Freshwater Ecology&lt;/publisher&gt;&lt;urls&gt;&lt;/urls&gt;&lt;/record&gt;&lt;/Cite&gt;&lt;/EndNote&gt;</w:instrText>
      </w:r>
      <w:r w:rsidRPr="002E6686">
        <w:rPr>
          <w:lang w:val="en-GB" w:eastAsia="x-none"/>
        </w:rPr>
        <w:fldChar w:fldCharType="separate"/>
      </w:r>
      <w:r w:rsidRPr="002E6686">
        <w:rPr>
          <w:noProof/>
          <w:lang w:val="en-GB" w:eastAsia="x-none"/>
        </w:rPr>
        <w:t>(</w:t>
      </w:r>
      <w:r w:rsidRPr="00002264">
        <w:rPr>
          <w:noProof/>
          <w:lang w:val="en-GB" w:eastAsia="x-none"/>
        </w:rPr>
        <w:t>2004</w:t>
      </w:r>
      <w:r w:rsidRPr="002E6686">
        <w:rPr>
          <w:noProof/>
          <w:lang w:val="en-GB" w:eastAsia="x-none"/>
        </w:rPr>
        <w:t>)</w:t>
      </w:r>
      <w:r w:rsidRPr="002E6686">
        <w:rPr>
          <w:lang w:eastAsia="x-none"/>
        </w:rPr>
        <w:fldChar w:fldCharType="end"/>
      </w:r>
      <w:r w:rsidRPr="002E6686">
        <w:rPr>
          <w:lang w:val="en-GB" w:eastAsia="x-none"/>
        </w:rPr>
        <w:t xml:space="preserve"> (Age = 6.6302ln-48.104). This age along with estimated incubation period (= 20.67-0.667*[WaterTemp(°C)</w:t>
      </w:r>
      <w:r>
        <w:rPr>
          <w:lang w:val="en-GB" w:eastAsia="x-none"/>
        </w:rPr>
        <w:t>]</w:t>
      </w:r>
      <w:r w:rsidRPr="002E6686">
        <w:rPr>
          <w:lang w:val="en-GB" w:eastAsia="x-none"/>
        </w:rPr>
        <w:t xml:space="preserve"> taken from Ryan </w:t>
      </w:r>
      <w:r w:rsidR="00233224">
        <w:rPr>
          <w:lang w:val="en-GB" w:eastAsia="x-none"/>
        </w:rPr>
        <w:t xml:space="preserve">et al. </w:t>
      </w:r>
      <w:r w:rsidR="00233224">
        <w:rPr>
          <w:lang w:val="en-GB"/>
        </w:rPr>
        <w:fldChar w:fldCharType="begin"/>
      </w:r>
      <w:r w:rsidR="00233224">
        <w:rPr>
          <w:lang w:val="en-GB"/>
        </w:rPr>
        <w:instrText xml:space="preserve"> ADDIN EN.CITE &lt;EndNote&gt;&lt;Cite ExcludeAuth="1"&gt;&lt;Author&gt;Ryan&lt;/Author&gt;&lt;Year&gt;2003&lt;/Year&gt;&lt;RecNum&gt;246&lt;/RecNum&gt;&lt;DisplayText&gt;(2003)&lt;/DisplayText&gt;&lt;record&gt;&lt;rec-number&gt;246&lt;/rec-number&gt;&lt;foreign-keys&gt;&lt;key app="EN" db-id="0a0zttz0gewd9befav559p5osxw5sftwfpdv" timestamp="1542668929"&gt;246&lt;/key&gt;&lt;/foreign-keys&gt;&lt;ref-type name="Report"&gt;27&lt;/ref-type&gt;&lt;contributors&gt;&lt;authors&gt;&lt;author&gt;Ryan, T.&lt;/author&gt;&lt;author&gt;Lennie, R.&lt;/author&gt;&lt;author&gt;Lyon, J.&lt;/author&gt;&lt;/authors&gt;&lt;/contributors&gt;&lt;titles&gt;&lt;title&gt;Thermal rehabilitation of the southern Murray-Darling Basin&lt;/title&gt;&lt;secondary-title&gt;Final Report to Agriculture, Forestry, Fisheries Australia. MD 2001 Fish Rehab Program&lt;/secondary-title&gt;&lt;/titles&gt;&lt;pages&gt;82&lt;/pages&gt;&lt;dates&gt;&lt;year&gt;2003&lt;/year&gt;&lt;/dates&gt;&lt;publisher&gt;Arthur Rylayh Institute for Environmental Research, Victorian Department of Natural Resources and Environment&lt;/publisher&gt;&lt;urls&gt;&lt;/urls&gt;&lt;/record&gt;&lt;/Cite&gt;&lt;/EndNote&gt;</w:instrText>
      </w:r>
      <w:r w:rsidR="00233224">
        <w:rPr>
          <w:lang w:val="en-GB"/>
        </w:rPr>
        <w:fldChar w:fldCharType="separate"/>
      </w:r>
      <w:r w:rsidR="00233224">
        <w:rPr>
          <w:noProof/>
          <w:lang w:val="en-GB"/>
        </w:rPr>
        <w:t>(2003)</w:t>
      </w:r>
      <w:r w:rsidR="00233224">
        <w:rPr>
          <w:lang w:val="en-GB"/>
        </w:rPr>
        <w:fldChar w:fldCharType="end"/>
      </w:r>
      <w:r w:rsidR="00233224">
        <w:rPr>
          <w:lang w:val="en-GB"/>
        </w:rPr>
        <w:t xml:space="preserve"> </w:t>
      </w:r>
      <w:r w:rsidRPr="002E6686">
        <w:rPr>
          <w:lang w:val="en-GB" w:eastAsia="x-none"/>
        </w:rPr>
        <w:t>– where water temperature was for the five days prior to the estimated spawning date was subtracted from the capture date to provide an estimate of spawning date.</w:t>
      </w:r>
      <w:r>
        <w:rPr>
          <w:lang w:val="en-GB" w:eastAsia="x-none"/>
        </w:rPr>
        <w:t xml:space="preserve"> </w:t>
      </w:r>
    </w:p>
    <w:p w14:paraId="0D550D5C" w14:textId="77777777" w:rsidR="00616E66" w:rsidRDefault="00616E66" w:rsidP="00616E66">
      <w:pPr>
        <w:rPr>
          <w:lang w:val="en-GB" w:eastAsia="x-none"/>
        </w:rPr>
      </w:pPr>
    </w:p>
    <w:p w14:paraId="12EE4928" w14:textId="6D6FC5EF" w:rsidR="00616E66" w:rsidRPr="002E6686" w:rsidRDefault="00465688" w:rsidP="00616E66">
      <w:pPr>
        <w:rPr>
          <w:lang w:val="en-GB" w:eastAsia="x-none"/>
        </w:rPr>
      </w:pPr>
      <w:r>
        <w:rPr>
          <w:noProof/>
          <w:lang w:eastAsia="en-AU"/>
        </w:rPr>
        <w:drawing>
          <wp:inline distT="0" distB="0" distL="0" distR="0" wp14:anchorId="36B2B3DD" wp14:editId="3884595A">
            <wp:extent cx="5732145" cy="7400290"/>
            <wp:effectExtent l="0" t="0" r="190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732145" cy="7400290"/>
                    </a:xfrm>
                    <a:prstGeom prst="rect">
                      <a:avLst/>
                    </a:prstGeom>
                    <a:noFill/>
                    <a:ln>
                      <a:noFill/>
                    </a:ln>
                  </pic:spPr>
                </pic:pic>
              </a:graphicData>
            </a:graphic>
          </wp:inline>
        </w:drawing>
      </w:r>
    </w:p>
    <w:p w14:paraId="14A65B23" w14:textId="4743E8AE" w:rsidR="00AB17C9" w:rsidRDefault="00616E66" w:rsidP="00616E66">
      <w:pPr>
        <w:pStyle w:val="Caption"/>
        <w:rPr>
          <w:lang w:val="en-GB"/>
        </w:rPr>
      </w:pPr>
      <w:bookmarkStart w:id="461" w:name="_Ref428444956"/>
      <w:bookmarkStart w:id="462" w:name="_Toc467776181"/>
      <w:bookmarkStart w:id="463" w:name="_Toc31985626"/>
      <w:bookmarkStart w:id="464" w:name="_Ref428444925"/>
      <w:bookmarkStart w:id="465" w:name="_Toc440827348"/>
      <w:bookmarkStart w:id="466" w:name="_Toc460335649"/>
      <w:r w:rsidRPr="00FD284B">
        <w:t xml:space="preserve">Figure </w:t>
      </w:r>
      <w:r>
        <w:rPr>
          <w:noProof/>
        </w:rPr>
        <w:fldChar w:fldCharType="begin"/>
      </w:r>
      <w:r>
        <w:rPr>
          <w:noProof/>
        </w:rPr>
        <w:instrText xml:space="preserve"> SEQ Figure \* ARABIC </w:instrText>
      </w:r>
      <w:r>
        <w:rPr>
          <w:noProof/>
        </w:rPr>
        <w:fldChar w:fldCharType="separate"/>
      </w:r>
      <w:r w:rsidR="007F7607">
        <w:rPr>
          <w:noProof/>
        </w:rPr>
        <w:t>62</w:t>
      </w:r>
      <w:r>
        <w:rPr>
          <w:noProof/>
        </w:rPr>
        <w:fldChar w:fldCharType="end"/>
      </w:r>
      <w:bookmarkEnd w:id="461"/>
      <w:r w:rsidRPr="00FD284B">
        <w:t xml:space="preserve">. </w:t>
      </w:r>
      <w:r w:rsidRPr="00FD284B">
        <w:rPr>
          <w:lang w:val="en-GB"/>
        </w:rPr>
        <w:t xml:space="preserve">Estimated spawning date frequency (grey bars) and associated discharge </w:t>
      </w:r>
      <w:r>
        <w:rPr>
          <w:lang w:val="en-GB"/>
        </w:rPr>
        <w:t>and temperature for larval native fish species captured in the lower-Lachlan River in 201</w:t>
      </w:r>
      <w:bookmarkEnd w:id="462"/>
      <w:r>
        <w:rPr>
          <w:lang w:val="en-GB"/>
        </w:rPr>
        <w:t>8.</w:t>
      </w:r>
      <w:bookmarkEnd w:id="463"/>
    </w:p>
    <w:p w14:paraId="5A7948FD" w14:textId="612759EC" w:rsidR="00616E66" w:rsidRDefault="00616E66" w:rsidP="00616E66">
      <w:pPr>
        <w:pStyle w:val="Caption"/>
        <w:rPr>
          <w:lang w:val="en-GB"/>
        </w:rPr>
      </w:pPr>
      <w:r>
        <w:rPr>
          <w:lang w:val="en-GB"/>
        </w:rPr>
        <w:t xml:space="preserve">Mean daily discharge (blue line) and mean daily temperature (green line) </w:t>
      </w:r>
      <w:r w:rsidRPr="00FD284B">
        <w:rPr>
          <w:lang w:val="en-GB"/>
        </w:rPr>
        <w:t>from Lachlan River at Willandra Weir</w:t>
      </w:r>
      <w:r>
        <w:rPr>
          <w:lang w:val="en-GB"/>
        </w:rPr>
        <w:t xml:space="preserve"> (412038). Data are from </w:t>
      </w:r>
      <w:r w:rsidRPr="00FD284B">
        <w:rPr>
          <w:lang w:val="en-GB"/>
        </w:rPr>
        <w:t>all sites and methods combined.</w:t>
      </w:r>
      <w:bookmarkEnd w:id="464"/>
      <w:bookmarkEnd w:id="465"/>
      <w:bookmarkEnd w:id="466"/>
      <w:r w:rsidRPr="00FD284B">
        <w:rPr>
          <w:lang w:val="en-GB"/>
        </w:rPr>
        <w:t xml:space="preserve"> </w:t>
      </w:r>
    </w:p>
    <w:p w14:paraId="79F1FA5B" w14:textId="77777777" w:rsidR="00616E66" w:rsidRPr="006D241D" w:rsidRDefault="00616E66" w:rsidP="00616E66">
      <w:pPr>
        <w:rPr>
          <w:lang w:val="en-GB"/>
        </w:rPr>
      </w:pPr>
    </w:p>
    <w:p w14:paraId="531E7D34" w14:textId="74094F97" w:rsidR="00616E66" w:rsidRDefault="00465688" w:rsidP="00616E66">
      <w:r>
        <w:rPr>
          <w:noProof/>
          <w:lang w:eastAsia="en-AU"/>
        </w:rPr>
        <w:drawing>
          <wp:inline distT="0" distB="0" distL="0" distR="0" wp14:anchorId="36C1CB04" wp14:editId="21E67DF8">
            <wp:extent cx="5732145" cy="7400290"/>
            <wp:effectExtent l="0" t="0" r="190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732145" cy="7400290"/>
                    </a:xfrm>
                    <a:prstGeom prst="rect">
                      <a:avLst/>
                    </a:prstGeom>
                    <a:noFill/>
                    <a:ln>
                      <a:noFill/>
                    </a:ln>
                  </pic:spPr>
                </pic:pic>
              </a:graphicData>
            </a:graphic>
          </wp:inline>
        </w:drawing>
      </w:r>
    </w:p>
    <w:p w14:paraId="2429AA77" w14:textId="3D13CF15" w:rsidR="00AB17C9" w:rsidRDefault="00616E66" w:rsidP="00616E66">
      <w:pPr>
        <w:pStyle w:val="Caption"/>
        <w:rPr>
          <w:lang w:val="en-GB"/>
        </w:rPr>
      </w:pPr>
      <w:bookmarkStart w:id="467" w:name="_Ref15396539"/>
      <w:bookmarkStart w:id="468" w:name="_Toc31985627"/>
      <w:r w:rsidRPr="00FD284B">
        <w:t xml:space="preserve">Figure </w:t>
      </w:r>
      <w:r>
        <w:rPr>
          <w:noProof/>
        </w:rPr>
        <w:fldChar w:fldCharType="begin"/>
      </w:r>
      <w:r>
        <w:rPr>
          <w:noProof/>
        </w:rPr>
        <w:instrText xml:space="preserve"> SEQ Figure \* ARABIC </w:instrText>
      </w:r>
      <w:r>
        <w:rPr>
          <w:noProof/>
        </w:rPr>
        <w:fldChar w:fldCharType="separate"/>
      </w:r>
      <w:r w:rsidR="007F7607">
        <w:rPr>
          <w:noProof/>
        </w:rPr>
        <w:t>63</w:t>
      </w:r>
      <w:r>
        <w:rPr>
          <w:noProof/>
        </w:rPr>
        <w:fldChar w:fldCharType="end"/>
      </w:r>
      <w:bookmarkEnd w:id="467"/>
      <w:r w:rsidRPr="00FD284B">
        <w:t xml:space="preserve">. </w:t>
      </w:r>
      <w:r w:rsidRPr="00FD284B">
        <w:rPr>
          <w:lang w:val="en-GB"/>
        </w:rPr>
        <w:t xml:space="preserve">Estimated spawning date frequency (grey bars) and associated discharge </w:t>
      </w:r>
      <w:r>
        <w:rPr>
          <w:lang w:val="en-GB"/>
        </w:rPr>
        <w:t>and temperature for larval native fish species capture in the mid-Lachlan River in 2018.</w:t>
      </w:r>
      <w:bookmarkEnd w:id="468"/>
    </w:p>
    <w:p w14:paraId="53B60F61" w14:textId="3DB18F59" w:rsidR="00616E66" w:rsidRDefault="00616E66" w:rsidP="00616E66">
      <w:pPr>
        <w:pStyle w:val="Caption"/>
        <w:rPr>
          <w:lang w:val="en-GB"/>
        </w:rPr>
      </w:pPr>
      <w:r>
        <w:rPr>
          <w:lang w:val="en-GB"/>
        </w:rPr>
        <w:t xml:space="preserve">Mean daily discharge (blue line) and mean daily temperature (green line) </w:t>
      </w:r>
      <w:r w:rsidRPr="00FD284B">
        <w:rPr>
          <w:lang w:val="en-GB"/>
        </w:rPr>
        <w:t xml:space="preserve">from Lachlan River at </w:t>
      </w:r>
      <w:r>
        <w:rPr>
          <w:lang w:val="en-GB"/>
        </w:rPr>
        <w:t>Condobolin B</w:t>
      </w:r>
      <w:r w:rsidR="00AB17C9">
        <w:rPr>
          <w:lang w:val="en-GB"/>
        </w:rPr>
        <w:t>ridge</w:t>
      </w:r>
      <w:r>
        <w:rPr>
          <w:lang w:val="en-GB"/>
        </w:rPr>
        <w:t xml:space="preserve"> (412006). Data are from </w:t>
      </w:r>
      <w:r w:rsidRPr="00FD284B">
        <w:rPr>
          <w:lang w:val="en-GB"/>
        </w:rPr>
        <w:t xml:space="preserve">all sites and methods combined. </w:t>
      </w:r>
    </w:p>
    <w:p w14:paraId="0A78CDC4" w14:textId="77777777" w:rsidR="00616E66" w:rsidRDefault="00616E66" w:rsidP="00616E66"/>
    <w:p w14:paraId="577A7D4B" w14:textId="40C70CE6" w:rsidR="00616E66" w:rsidRDefault="00616E66" w:rsidP="00616E66">
      <w:pPr>
        <w:pStyle w:val="Heading2"/>
        <w:rPr>
          <w:lang w:val="en-AU"/>
        </w:rPr>
      </w:pPr>
      <w:bookmarkStart w:id="469" w:name="_Ref516063125"/>
      <w:bookmarkStart w:id="470" w:name="_Toc31985514"/>
      <w:r w:rsidRPr="00F0371D">
        <w:rPr>
          <w:lang w:val="en-AU"/>
        </w:rPr>
        <w:t xml:space="preserve">Appendix </w:t>
      </w:r>
      <w:r w:rsidRPr="00121FEC">
        <w:rPr>
          <w:lang w:val="en-AU"/>
        </w:rPr>
        <w:t>2</w:t>
      </w:r>
      <w:r w:rsidRPr="00F0371D">
        <w:rPr>
          <w:lang w:val="en-AU"/>
        </w:rPr>
        <w:t xml:space="preserve">: </w:t>
      </w:r>
      <w:r w:rsidRPr="00121FEC">
        <w:rPr>
          <w:lang w:val="en-AU"/>
        </w:rPr>
        <w:t xml:space="preserve">Results of </w:t>
      </w:r>
      <w:r>
        <w:rPr>
          <w:lang w:val="en-AU"/>
        </w:rPr>
        <w:t>Similarity percentage analysis (</w:t>
      </w:r>
      <w:r w:rsidRPr="00121FEC">
        <w:rPr>
          <w:lang w:val="en-AU"/>
        </w:rPr>
        <w:t>SIMPER</w:t>
      </w:r>
      <w:r>
        <w:rPr>
          <w:lang w:val="en-AU"/>
        </w:rPr>
        <w:t>)</w:t>
      </w:r>
      <w:r w:rsidRPr="00121FEC">
        <w:rPr>
          <w:lang w:val="en-AU"/>
        </w:rPr>
        <w:t xml:space="preserve"> of annual differences in </w:t>
      </w:r>
      <w:r w:rsidR="004E69F3">
        <w:rPr>
          <w:lang w:val="en-AU"/>
        </w:rPr>
        <w:t>t</w:t>
      </w:r>
      <w:r w:rsidRPr="00121FEC">
        <w:rPr>
          <w:lang w:val="en-AU"/>
        </w:rPr>
        <w:t>he larval fish community in the lower Lachlan River selected area.</w:t>
      </w:r>
      <w:bookmarkEnd w:id="469"/>
      <w:bookmarkEnd w:id="470"/>
    </w:p>
    <w:p w14:paraId="576CB9FF" w14:textId="77777777" w:rsidR="006E0321" w:rsidRDefault="006E0321" w:rsidP="006E0321"/>
    <w:p w14:paraId="1FB18818" w14:textId="7CC28F08" w:rsidR="002B2ECC" w:rsidRPr="002B2ECC" w:rsidRDefault="006E0321" w:rsidP="002B2ECC">
      <w:pPr>
        <w:pStyle w:val="Caption"/>
      </w:pPr>
      <w:bookmarkStart w:id="471" w:name="_Ref24464954"/>
      <w:bookmarkStart w:id="472" w:name="_Toc4574925"/>
      <w:bookmarkStart w:id="473" w:name="_Toc31985688"/>
      <w:r w:rsidRPr="003C1511">
        <w:t xml:space="preserve">Table </w:t>
      </w:r>
      <w:r>
        <w:rPr>
          <w:noProof/>
        </w:rPr>
        <w:fldChar w:fldCharType="begin"/>
      </w:r>
      <w:r>
        <w:rPr>
          <w:noProof/>
        </w:rPr>
        <w:instrText xml:space="preserve"> SEQ Table \* ARABIC </w:instrText>
      </w:r>
      <w:r>
        <w:rPr>
          <w:noProof/>
        </w:rPr>
        <w:fldChar w:fldCharType="separate"/>
      </w:r>
      <w:r w:rsidR="007F7607">
        <w:rPr>
          <w:noProof/>
        </w:rPr>
        <w:t>21</w:t>
      </w:r>
      <w:r>
        <w:rPr>
          <w:noProof/>
        </w:rPr>
        <w:fldChar w:fldCharType="end"/>
      </w:r>
      <w:bookmarkEnd w:id="471"/>
      <w:r w:rsidR="0018699C">
        <w:rPr>
          <w:noProof/>
        </w:rPr>
        <w:t>.</w:t>
      </w:r>
      <w:r w:rsidRPr="003C1511">
        <w:t xml:space="preserve"> Results of Similarity percentage analysis (SI</w:t>
      </w:r>
      <w:r>
        <w:t>MPER) of annual differences in t</w:t>
      </w:r>
      <w:r w:rsidRPr="003C1511">
        <w:t xml:space="preserve">he larval fish community in the </w:t>
      </w:r>
      <w:r>
        <w:t>Lower Lachlan</w:t>
      </w:r>
      <w:r w:rsidRPr="003C1511">
        <w:t xml:space="preserve"> River selected area.</w:t>
      </w:r>
      <w:bookmarkEnd w:id="472"/>
      <w:bookmarkEnd w:id="473"/>
    </w:p>
    <w:p w14:paraId="056D97EA" w14:textId="77777777" w:rsidR="006E0321" w:rsidRDefault="006E0321" w:rsidP="006E0321">
      <w:pPr>
        <w:spacing w:before="40" w:after="40"/>
        <w:rPr>
          <w:sz w:val="22"/>
        </w:rPr>
      </w:pPr>
    </w:p>
    <w:p w14:paraId="58698E7A" w14:textId="77777777" w:rsidR="006E0321" w:rsidRPr="00FB37C2" w:rsidRDefault="006E0321" w:rsidP="006E0321">
      <w:pPr>
        <w:spacing w:before="40" w:after="40"/>
        <w:rPr>
          <w:sz w:val="22"/>
        </w:rPr>
      </w:pPr>
      <w:r w:rsidRPr="00FB37C2">
        <w:rPr>
          <w:sz w:val="22"/>
        </w:rPr>
        <w:t>Groups 2014 &amp; 2015</w:t>
      </w:r>
    </w:p>
    <w:p w14:paraId="648BB292" w14:textId="77777777" w:rsidR="006E0321" w:rsidRPr="00C95492" w:rsidRDefault="006E0321" w:rsidP="006E0321">
      <w:pPr>
        <w:spacing w:before="40" w:after="40"/>
        <w:rPr>
          <w:sz w:val="22"/>
          <w:szCs w:val="18"/>
        </w:rPr>
      </w:pPr>
      <w:r w:rsidRPr="00C95492">
        <w:rPr>
          <w:sz w:val="22"/>
          <w:szCs w:val="18"/>
          <w:lang w:val="en-US"/>
        </w:rPr>
        <w:t>Average dissimilarity = 29.37</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517365F2"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5E4E7A3B"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3B4188E"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2014</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F1EC160"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2015</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9ED45C8"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E9AF58E"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9CB11A5"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E709E3D"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416BFF2B"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531AE24F" w14:textId="77777777" w:rsidR="006E0321" w:rsidRPr="00C95492" w:rsidRDefault="006E0321" w:rsidP="00720A6F">
            <w:pPr>
              <w:spacing w:before="40" w:after="40"/>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4968D208" w14:textId="0ACDAC60"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554E54DF" w14:textId="23C3D4CE"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391AD24B"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55025492"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55735043"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43DAF168"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Cum.%</w:t>
            </w:r>
          </w:p>
        </w:tc>
      </w:tr>
      <w:tr w:rsidR="006E0321" w:rsidRPr="00C95492" w14:paraId="00BB316C"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728ED09" w14:textId="2C3B6B5A" w:rsidR="006E0321" w:rsidRPr="00C95492" w:rsidRDefault="00FB69E7" w:rsidP="00E12DBE">
            <w:pPr>
              <w:spacing w:before="40" w:after="40"/>
              <w:rPr>
                <w:b/>
                <w:bCs/>
                <w:color w:val="FFFFFF" w:themeColor="background1"/>
                <w:sz w:val="18"/>
                <w:szCs w:val="18"/>
                <w:lang w:val="en-US"/>
              </w:rPr>
            </w:pPr>
            <w:r w:rsidRPr="00FB69E7">
              <w:rPr>
                <w:b/>
                <w:bCs/>
                <w:color w:val="FFFFFF" w:themeColor="background1"/>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281A58FF" w14:textId="77777777" w:rsidR="006E0321" w:rsidRPr="00C95492" w:rsidRDefault="006E0321" w:rsidP="00E12DBE">
            <w:pPr>
              <w:spacing w:before="40" w:after="40"/>
              <w:rPr>
                <w:sz w:val="18"/>
                <w:szCs w:val="18"/>
                <w:lang w:val="en-US"/>
              </w:rPr>
            </w:pPr>
            <w:r w:rsidRPr="00C95492">
              <w:rPr>
                <w:sz w:val="18"/>
                <w:szCs w:val="18"/>
                <w:lang w:val="en-US"/>
              </w:rPr>
              <w:t>1.75</w:t>
            </w:r>
          </w:p>
        </w:tc>
        <w:tc>
          <w:tcPr>
            <w:tcW w:w="1158" w:type="dxa"/>
            <w:tcBorders>
              <w:top w:val="nil"/>
              <w:left w:val="nil"/>
              <w:bottom w:val="single" w:sz="4" w:space="0" w:color="FFFFFF"/>
              <w:right w:val="single" w:sz="4" w:space="0" w:color="FFFFFF"/>
            </w:tcBorders>
            <w:shd w:val="clear" w:color="000000" w:fill="EAF0E0"/>
            <w:noWrap/>
            <w:vAlign w:val="bottom"/>
            <w:hideMark/>
          </w:tcPr>
          <w:p w14:paraId="15D5099A" w14:textId="77777777" w:rsidR="006E0321" w:rsidRPr="00C95492" w:rsidRDefault="006E0321" w:rsidP="00E12DBE">
            <w:pPr>
              <w:spacing w:before="40" w:after="40"/>
              <w:rPr>
                <w:sz w:val="18"/>
                <w:szCs w:val="18"/>
                <w:lang w:val="en-US"/>
              </w:rPr>
            </w:pPr>
            <w:r w:rsidRPr="00C95492">
              <w:rPr>
                <w:sz w:val="18"/>
                <w:szCs w:val="18"/>
                <w:lang w:val="en-US"/>
              </w:rPr>
              <w:t>3.14</w:t>
            </w:r>
          </w:p>
        </w:tc>
        <w:tc>
          <w:tcPr>
            <w:tcW w:w="1158" w:type="dxa"/>
            <w:tcBorders>
              <w:top w:val="nil"/>
              <w:left w:val="nil"/>
              <w:bottom w:val="single" w:sz="4" w:space="0" w:color="FFFFFF"/>
              <w:right w:val="single" w:sz="4" w:space="0" w:color="FFFFFF"/>
            </w:tcBorders>
            <w:shd w:val="clear" w:color="000000" w:fill="EAF0E0"/>
            <w:noWrap/>
            <w:vAlign w:val="bottom"/>
            <w:hideMark/>
          </w:tcPr>
          <w:p w14:paraId="28DE200E" w14:textId="77777777" w:rsidR="006E0321" w:rsidRPr="00C95492" w:rsidRDefault="006E0321" w:rsidP="00E12DBE">
            <w:pPr>
              <w:spacing w:before="40" w:after="40"/>
              <w:rPr>
                <w:sz w:val="18"/>
                <w:szCs w:val="18"/>
                <w:lang w:val="en-US"/>
              </w:rPr>
            </w:pPr>
            <w:r w:rsidRPr="00C95492">
              <w:rPr>
                <w:sz w:val="18"/>
                <w:szCs w:val="18"/>
                <w:lang w:val="en-US"/>
              </w:rPr>
              <w:t>6.63</w:t>
            </w:r>
          </w:p>
        </w:tc>
        <w:tc>
          <w:tcPr>
            <w:tcW w:w="1157" w:type="dxa"/>
            <w:tcBorders>
              <w:top w:val="nil"/>
              <w:left w:val="nil"/>
              <w:bottom w:val="single" w:sz="4" w:space="0" w:color="FFFFFF"/>
              <w:right w:val="single" w:sz="4" w:space="0" w:color="FFFFFF"/>
            </w:tcBorders>
            <w:shd w:val="clear" w:color="000000" w:fill="EAF0E0"/>
            <w:noWrap/>
            <w:vAlign w:val="bottom"/>
            <w:hideMark/>
          </w:tcPr>
          <w:p w14:paraId="6C807B05" w14:textId="77777777" w:rsidR="006E0321" w:rsidRPr="00C95492" w:rsidRDefault="006E0321" w:rsidP="00E12DBE">
            <w:pPr>
              <w:spacing w:before="40" w:after="40"/>
              <w:rPr>
                <w:sz w:val="18"/>
                <w:szCs w:val="18"/>
                <w:lang w:val="en-US"/>
              </w:rPr>
            </w:pPr>
            <w:r w:rsidRPr="00C95492">
              <w:rPr>
                <w:sz w:val="18"/>
                <w:szCs w:val="18"/>
                <w:lang w:val="en-US"/>
              </w:rPr>
              <w:t>1.58</w:t>
            </w:r>
          </w:p>
        </w:tc>
        <w:tc>
          <w:tcPr>
            <w:tcW w:w="1158" w:type="dxa"/>
            <w:tcBorders>
              <w:top w:val="nil"/>
              <w:left w:val="nil"/>
              <w:bottom w:val="single" w:sz="4" w:space="0" w:color="FFFFFF"/>
              <w:right w:val="single" w:sz="4" w:space="0" w:color="FFFFFF"/>
            </w:tcBorders>
            <w:shd w:val="clear" w:color="000000" w:fill="EAF0E0"/>
            <w:noWrap/>
            <w:vAlign w:val="bottom"/>
            <w:hideMark/>
          </w:tcPr>
          <w:p w14:paraId="17FC6907" w14:textId="77777777" w:rsidR="006E0321" w:rsidRPr="00C95492" w:rsidRDefault="006E0321" w:rsidP="00E12DBE">
            <w:pPr>
              <w:spacing w:before="40" w:after="40"/>
              <w:rPr>
                <w:sz w:val="18"/>
                <w:szCs w:val="18"/>
                <w:lang w:val="en-US"/>
              </w:rPr>
            </w:pPr>
            <w:r w:rsidRPr="00C95492">
              <w:rPr>
                <w:sz w:val="18"/>
                <w:szCs w:val="18"/>
                <w:lang w:val="en-US"/>
              </w:rPr>
              <w:t>22.57</w:t>
            </w:r>
          </w:p>
        </w:tc>
        <w:tc>
          <w:tcPr>
            <w:tcW w:w="1158" w:type="dxa"/>
            <w:tcBorders>
              <w:top w:val="nil"/>
              <w:left w:val="nil"/>
              <w:bottom w:val="single" w:sz="4" w:space="0" w:color="FFFFFF"/>
              <w:right w:val="single" w:sz="4" w:space="0" w:color="FFFFFF"/>
            </w:tcBorders>
            <w:shd w:val="clear" w:color="000000" w:fill="EAF0E0"/>
            <w:noWrap/>
            <w:vAlign w:val="bottom"/>
            <w:hideMark/>
          </w:tcPr>
          <w:p w14:paraId="4955EEE9" w14:textId="77777777" w:rsidR="006E0321" w:rsidRPr="00C95492" w:rsidRDefault="006E0321" w:rsidP="00E12DBE">
            <w:pPr>
              <w:spacing w:before="40" w:after="40"/>
              <w:rPr>
                <w:sz w:val="18"/>
                <w:szCs w:val="18"/>
                <w:lang w:val="en-US"/>
              </w:rPr>
            </w:pPr>
            <w:r w:rsidRPr="00C95492">
              <w:rPr>
                <w:sz w:val="18"/>
                <w:szCs w:val="18"/>
                <w:lang w:val="en-US"/>
              </w:rPr>
              <w:t>22.57</w:t>
            </w:r>
          </w:p>
        </w:tc>
      </w:tr>
      <w:tr w:rsidR="006E0321" w:rsidRPr="00C95492" w14:paraId="1BA7AD03"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2863A85E" w14:textId="6F802BE3"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common carp</w:t>
            </w:r>
          </w:p>
        </w:tc>
        <w:tc>
          <w:tcPr>
            <w:tcW w:w="1157" w:type="dxa"/>
            <w:tcBorders>
              <w:top w:val="nil"/>
              <w:left w:val="nil"/>
              <w:bottom w:val="single" w:sz="4" w:space="0" w:color="FFFFFF"/>
              <w:right w:val="single" w:sz="4" w:space="0" w:color="FFFFFF"/>
            </w:tcBorders>
            <w:shd w:val="clear" w:color="000000" w:fill="EAF0E0"/>
            <w:noWrap/>
            <w:vAlign w:val="bottom"/>
            <w:hideMark/>
          </w:tcPr>
          <w:p w14:paraId="123EF778"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14A862FE" w14:textId="77777777" w:rsidR="006E0321" w:rsidRPr="00C95492" w:rsidRDefault="006E0321" w:rsidP="00E12DBE">
            <w:pPr>
              <w:spacing w:before="40" w:after="40"/>
              <w:rPr>
                <w:sz w:val="18"/>
                <w:szCs w:val="18"/>
                <w:lang w:val="en-US"/>
              </w:rPr>
            </w:pPr>
            <w:r w:rsidRPr="00C95492">
              <w:rPr>
                <w:sz w:val="18"/>
                <w:szCs w:val="18"/>
                <w:lang w:val="en-US"/>
              </w:rPr>
              <w:t>1.14</w:t>
            </w:r>
          </w:p>
        </w:tc>
        <w:tc>
          <w:tcPr>
            <w:tcW w:w="1158" w:type="dxa"/>
            <w:tcBorders>
              <w:top w:val="nil"/>
              <w:left w:val="nil"/>
              <w:bottom w:val="single" w:sz="4" w:space="0" w:color="FFFFFF"/>
              <w:right w:val="single" w:sz="4" w:space="0" w:color="FFFFFF"/>
            </w:tcBorders>
            <w:shd w:val="clear" w:color="000000" w:fill="EAF0E0"/>
            <w:noWrap/>
            <w:vAlign w:val="bottom"/>
            <w:hideMark/>
          </w:tcPr>
          <w:p w14:paraId="1AEA626F" w14:textId="77777777" w:rsidR="006E0321" w:rsidRPr="00C95492" w:rsidRDefault="006E0321" w:rsidP="00E12DBE">
            <w:pPr>
              <w:spacing w:before="40" w:after="40"/>
              <w:rPr>
                <w:sz w:val="18"/>
                <w:szCs w:val="18"/>
                <w:lang w:val="en-US"/>
              </w:rPr>
            </w:pPr>
            <w:r w:rsidRPr="00C95492">
              <w:rPr>
                <w:sz w:val="18"/>
                <w:szCs w:val="18"/>
                <w:lang w:val="en-US"/>
              </w:rPr>
              <w:t>5.61</w:t>
            </w:r>
          </w:p>
        </w:tc>
        <w:tc>
          <w:tcPr>
            <w:tcW w:w="1157" w:type="dxa"/>
            <w:tcBorders>
              <w:top w:val="nil"/>
              <w:left w:val="nil"/>
              <w:bottom w:val="single" w:sz="4" w:space="0" w:color="FFFFFF"/>
              <w:right w:val="single" w:sz="4" w:space="0" w:color="FFFFFF"/>
            </w:tcBorders>
            <w:shd w:val="clear" w:color="000000" w:fill="EAF0E0"/>
            <w:noWrap/>
            <w:vAlign w:val="bottom"/>
            <w:hideMark/>
          </w:tcPr>
          <w:p w14:paraId="2CCF0857" w14:textId="77777777" w:rsidR="006E0321" w:rsidRPr="00C95492" w:rsidRDefault="006E0321" w:rsidP="00E12DBE">
            <w:pPr>
              <w:spacing w:before="40" w:after="40"/>
              <w:rPr>
                <w:sz w:val="18"/>
                <w:szCs w:val="18"/>
                <w:lang w:val="en-US"/>
              </w:rPr>
            </w:pPr>
            <w:r w:rsidRPr="00C95492">
              <w:rPr>
                <w:sz w:val="18"/>
                <w:szCs w:val="18"/>
                <w:lang w:val="en-US"/>
              </w:rPr>
              <w:t>3.19</w:t>
            </w:r>
          </w:p>
        </w:tc>
        <w:tc>
          <w:tcPr>
            <w:tcW w:w="1158" w:type="dxa"/>
            <w:tcBorders>
              <w:top w:val="nil"/>
              <w:left w:val="nil"/>
              <w:bottom w:val="single" w:sz="4" w:space="0" w:color="FFFFFF"/>
              <w:right w:val="single" w:sz="4" w:space="0" w:color="FFFFFF"/>
            </w:tcBorders>
            <w:shd w:val="clear" w:color="000000" w:fill="EAF0E0"/>
            <w:noWrap/>
            <w:vAlign w:val="bottom"/>
            <w:hideMark/>
          </w:tcPr>
          <w:p w14:paraId="1D7FC2CB" w14:textId="77777777" w:rsidR="006E0321" w:rsidRPr="00C95492" w:rsidRDefault="006E0321" w:rsidP="00E12DBE">
            <w:pPr>
              <w:spacing w:before="40" w:after="40"/>
              <w:rPr>
                <w:sz w:val="18"/>
                <w:szCs w:val="18"/>
                <w:lang w:val="en-US"/>
              </w:rPr>
            </w:pPr>
            <w:r w:rsidRPr="00C95492">
              <w:rPr>
                <w:sz w:val="18"/>
                <w:szCs w:val="18"/>
                <w:lang w:val="en-US"/>
              </w:rPr>
              <w:t>19.09</w:t>
            </w:r>
          </w:p>
        </w:tc>
        <w:tc>
          <w:tcPr>
            <w:tcW w:w="1158" w:type="dxa"/>
            <w:tcBorders>
              <w:top w:val="nil"/>
              <w:left w:val="nil"/>
              <w:bottom w:val="single" w:sz="4" w:space="0" w:color="FFFFFF"/>
              <w:right w:val="single" w:sz="4" w:space="0" w:color="FFFFFF"/>
            </w:tcBorders>
            <w:shd w:val="clear" w:color="000000" w:fill="EAF0E0"/>
            <w:noWrap/>
            <w:vAlign w:val="bottom"/>
            <w:hideMark/>
          </w:tcPr>
          <w:p w14:paraId="4960A506" w14:textId="77777777" w:rsidR="006E0321" w:rsidRPr="00C95492" w:rsidRDefault="006E0321" w:rsidP="00E12DBE">
            <w:pPr>
              <w:spacing w:before="40" w:after="40"/>
              <w:rPr>
                <w:sz w:val="18"/>
                <w:szCs w:val="18"/>
                <w:lang w:val="en-US"/>
              </w:rPr>
            </w:pPr>
            <w:r w:rsidRPr="00C95492">
              <w:rPr>
                <w:sz w:val="18"/>
                <w:szCs w:val="18"/>
                <w:lang w:val="en-US"/>
              </w:rPr>
              <w:t>41.66</w:t>
            </w:r>
          </w:p>
        </w:tc>
      </w:tr>
      <w:tr w:rsidR="006E0321" w:rsidRPr="00C95492" w14:paraId="78A873EC"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AA51560" w14:textId="5D538BF2"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7A31A9B6" w14:textId="77777777" w:rsidR="006E0321" w:rsidRPr="00C95492" w:rsidRDefault="006E0321" w:rsidP="00E12DBE">
            <w:pPr>
              <w:spacing w:before="40" w:after="40"/>
              <w:rPr>
                <w:sz w:val="18"/>
                <w:szCs w:val="18"/>
                <w:lang w:val="en-US"/>
              </w:rPr>
            </w:pPr>
            <w:r w:rsidRPr="00C95492">
              <w:rPr>
                <w:sz w:val="18"/>
                <w:szCs w:val="18"/>
                <w:lang w:val="en-US"/>
              </w:rPr>
              <w:t>1.71</w:t>
            </w:r>
          </w:p>
        </w:tc>
        <w:tc>
          <w:tcPr>
            <w:tcW w:w="1158" w:type="dxa"/>
            <w:tcBorders>
              <w:top w:val="nil"/>
              <w:left w:val="nil"/>
              <w:bottom w:val="single" w:sz="4" w:space="0" w:color="FFFFFF"/>
              <w:right w:val="single" w:sz="4" w:space="0" w:color="FFFFFF"/>
            </w:tcBorders>
            <w:shd w:val="clear" w:color="000000" w:fill="EAF0E0"/>
            <w:noWrap/>
            <w:vAlign w:val="bottom"/>
            <w:hideMark/>
          </w:tcPr>
          <w:p w14:paraId="5E48A0E7" w14:textId="77777777" w:rsidR="006E0321" w:rsidRPr="00C95492" w:rsidRDefault="006E0321" w:rsidP="00E12DBE">
            <w:pPr>
              <w:spacing w:before="40" w:after="40"/>
              <w:rPr>
                <w:sz w:val="18"/>
                <w:szCs w:val="18"/>
                <w:lang w:val="en-US"/>
              </w:rPr>
            </w:pPr>
            <w:r w:rsidRPr="00C95492">
              <w:rPr>
                <w:sz w:val="18"/>
                <w:szCs w:val="18"/>
                <w:lang w:val="en-US"/>
              </w:rPr>
              <w:t>1.48</w:t>
            </w:r>
          </w:p>
        </w:tc>
        <w:tc>
          <w:tcPr>
            <w:tcW w:w="1158" w:type="dxa"/>
            <w:tcBorders>
              <w:top w:val="nil"/>
              <w:left w:val="nil"/>
              <w:bottom w:val="single" w:sz="4" w:space="0" w:color="FFFFFF"/>
              <w:right w:val="single" w:sz="4" w:space="0" w:color="FFFFFF"/>
            </w:tcBorders>
            <w:shd w:val="clear" w:color="000000" w:fill="EAF0E0"/>
            <w:noWrap/>
            <w:vAlign w:val="bottom"/>
            <w:hideMark/>
          </w:tcPr>
          <w:p w14:paraId="2351AC70" w14:textId="77777777" w:rsidR="006E0321" w:rsidRPr="00C95492" w:rsidRDefault="006E0321" w:rsidP="00E12DBE">
            <w:pPr>
              <w:spacing w:before="40" w:after="40"/>
              <w:rPr>
                <w:sz w:val="18"/>
                <w:szCs w:val="18"/>
                <w:lang w:val="en-US"/>
              </w:rPr>
            </w:pPr>
            <w:r w:rsidRPr="00C95492">
              <w:rPr>
                <w:sz w:val="18"/>
                <w:szCs w:val="18"/>
                <w:lang w:val="en-US"/>
              </w:rPr>
              <w:t>3.94</w:t>
            </w:r>
          </w:p>
        </w:tc>
        <w:tc>
          <w:tcPr>
            <w:tcW w:w="1157" w:type="dxa"/>
            <w:tcBorders>
              <w:top w:val="nil"/>
              <w:left w:val="nil"/>
              <w:bottom w:val="single" w:sz="4" w:space="0" w:color="FFFFFF"/>
              <w:right w:val="single" w:sz="4" w:space="0" w:color="FFFFFF"/>
            </w:tcBorders>
            <w:shd w:val="clear" w:color="000000" w:fill="EAF0E0"/>
            <w:noWrap/>
            <w:vAlign w:val="bottom"/>
            <w:hideMark/>
          </w:tcPr>
          <w:p w14:paraId="0F511B75" w14:textId="77777777" w:rsidR="006E0321" w:rsidRPr="00C95492" w:rsidRDefault="006E0321" w:rsidP="00E12DBE">
            <w:pPr>
              <w:spacing w:before="40" w:after="40"/>
              <w:rPr>
                <w:sz w:val="18"/>
                <w:szCs w:val="18"/>
                <w:lang w:val="en-US"/>
              </w:rPr>
            </w:pPr>
            <w:r w:rsidRPr="00C95492">
              <w:rPr>
                <w:sz w:val="18"/>
                <w:szCs w:val="18"/>
                <w:lang w:val="en-US"/>
              </w:rPr>
              <w:t>1.64</w:t>
            </w:r>
          </w:p>
        </w:tc>
        <w:tc>
          <w:tcPr>
            <w:tcW w:w="1158" w:type="dxa"/>
            <w:tcBorders>
              <w:top w:val="nil"/>
              <w:left w:val="nil"/>
              <w:bottom w:val="single" w:sz="4" w:space="0" w:color="FFFFFF"/>
              <w:right w:val="single" w:sz="4" w:space="0" w:color="FFFFFF"/>
            </w:tcBorders>
            <w:shd w:val="clear" w:color="000000" w:fill="EAF0E0"/>
            <w:noWrap/>
            <w:vAlign w:val="bottom"/>
            <w:hideMark/>
          </w:tcPr>
          <w:p w14:paraId="35971805" w14:textId="77777777" w:rsidR="006E0321" w:rsidRPr="00C95492" w:rsidRDefault="006E0321" w:rsidP="00E12DBE">
            <w:pPr>
              <w:spacing w:before="40" w:after="40"/>
              <w:rPr>
                <w:sz w:val="18"/>
                <w:szCs w:val="18"/>
                <w:lang w:val="en-US"/>
              </w:rPr>
            </w:pPr>
            <w:r w:rsidRPr="00C95492">
              <w:rPr>
                <w:sz w:val="18"/>
                <w:szCs w:val="18"/>
                <w:lang w:val="en-US"/>
              </w:rPr>
              <w:t>13.42</w:t>
            </w:r>
          </w:p>
        </w:tc>
        <w:tc>
          <w:tcPr>
            <w:tcW w:w="1158" w:type="dxa"/>
            <w:tcBorders>
              <w:top w:val="nil"/>
              <w:left w:val="nil"/>
              <w:bottom w:val="single" w:sz="4" w:space="0" w:color="FFFFFF"/>
              <w:right w:val="single" w:sz="4" w:space="0" w:color="FFFFFF"/>
            </w:tcBorders>
            <w:shd w:val="clear" w:color="000000" w:fill="EAF0E0"/>
            <w:noWrap/>
            <w:vAlign w:val="bottom"/>
            <w:hideMark/>
          </w:tcPr>
          <w:p w14:paraId="00813A5B" w14:textId="77777777" w:rsidR="006E0321" w:rsidRPr="00C95492" w:rsidRDefault="006E0321" w:rsidP="00E12DBE">
            <w:pPr>
              <w:spacing w:before="40" w:after="40"/>
              <w:rPr>
                <w:sz w:val="18"/>
                <w:szCs w:val="18"/>
                <w:lang w:val="en-US"/>
              </w:rPr>
            </w:pPr>
            <w:r w:rsidRPr="00C95492">
              <w:rPr>
                <w:sz w:val="18"/>
                <w:szCs w:val="18"/>
                <w:lang w:val="en-US"/>
              </w:rPr>
              <w:t>55.08</w:t>
            </w:r>
          </w:p>
        </w:tc>
      </w:tr>
      <w:tr w:rsidR="006E0321" w:rsidRPr="00C95492" w14:paraId="20D3668D"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1740DC8" w14:textId="23B5FF0B"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carp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0C41B05D" w14:textId="77777777" w:rsidR="006E0321" w:rsidRPr="00C95492" w:rsidRDefault="006E0321" w:rsidP="00E12DBE">
            <w:pPr>
              <w:spacing w:before="40" w:after="40"/>
              <w:rPr>
                <w:sz w:val="18"/>
                <w:szCs w:val="18"/>
                <w:lang w:val="en-US"/>
              </w:rPr>
            </w:pPr>
            <w:r w:rsidRPr="00C95492">
              <w:rPr>
                <w:sz w:val="18"/>
                <w:szCs w:val="18"/>
                <w:lang w:val="en-US"/>
              </w:rPr>
              <w:t>0.97</w:t>
            </w:r>
          </w:p>
        </w:tc>
        <w:tc>
          <w:tcPr>
            <w:tcW w:w="1158" w:type="dxa"/>
            <w:tcBorders>
              <w:top w:val="nil"/>
              <w:left w:val="nil"/>
              <w:bottom w:val="single" w:sz="4" w:space="0" w:color="FFFFFF"/>
              <w:right w:val="single" w:sz="4" w:space="0" w:color="FFFFFF"/>
            </w:tcBorders>
            <w:shd w:val="clear" w:color="000000" w:fill="EAF0E0"/>
            <w:noWrap/>
            <w:vAlign w:val="bottom"/>
            <w:hideMark/>
          </w:tcPr>
          <w:p w14:paraId="4F179941" w14:textId="77777777" w:rsidR="006E0321" w:rsidRPr="00C95492" w:rsidRDefault="006E0321" w:rsidP="00E12DBE">
            <w:pPr>
              <w:spacing w:before="40" w:after="40"/>
              <w:rPr>
                <w:sz w:val="18"/>
                <w:szCs w:val="18"/>
                <w:lang w:val="en-US"/>
              </w:rPr>
            </w:pPr>
            <w:r w:rsidRPr="00C95492">
              <w:rPr>
                <w:sz w:val="18"/>
                <w:szCs w:val="18"/>
                <w:lang w:val="en-US"/>
              </w:rPr>
              <w:t>1.35</w:t>
            </w:r>
          </w:p>
        </w:tc>
        <w:tc>
          <w:tcPr>
            <w:tcW w:w="1158" w:type="dxa"/>
            <w:tcBorders>
              <w:top w:val="nil"/>
              <w:left w:val="nil"/>
              <w:bottom w:val="single" w:sz="4" w:space="0" w:color="FFFFFF"/>
              <w:right w:val="single" w:sz="4" w:space="0" w:color="FFFFFF"/>
            </w:tcBorders>
            <w:shd w:val="clear" w:color="000000" w:fill="EAF0E0"/>
            <w:noWrap/>
            <w:vAlign w:val="bottom"/>
            <w:hideMark/>
          </w:tcPr>
          <w:p w14:paraId="575F38AA" w14:textId="77777777" w:rsidR="006E0321" w:rsidRPr="00C95492" w:rsidRDefault="006E0321" w:rsidP="00E12DBE">
            <w:pPr>
              <w:spacing w:before="40" w:after="40"/>
              <w:rPr>
                <w:sz w:val="18"/>
                <w:szCs w:val="18"/>
                <w:lang w:val="en-US"/>
              </w:rPr>
            </w:pPr>
            <w:r w:rsidRPr="00C95492">
              <w:rPr>
                <w:sz w:val="18"/>
                <w:szCs w:val="18"/>
                <w:lang w:val="en-US"/>
              </w:rPr>
              <w:t>3.54</w:t>
            </w:r>
          </w:p>
        </w:tc>
        <w:tc>
          <w:tcPr>
            <w:tcW w:w="1157" w:type="dxa"/>
            <w:tcBorders>
              <w:top w:val="nil"/>
              <w:left w:val="nil"/>
              <w:bottom w:val="single" w:sz="4" w:space="0" w:color="FFFFFF"/>
              <w:right w:val="single" w:sz="4" w:space="0" w:color="FFFFFF"/>
            </w:tcBorders>
            <w:shd w:val="clear" w:color="000000" w:fill="EAF0E0"/>
            <w:noWrap/>
            <w:vAlign w:val="bottom"/>
            <w:hideMark/>
          </w:tcPr>
          <w:p w14:paraId="7B0DBABB" w14:textId="77777777" w:rsidR="006E0321" w:rsidRPr="00C95492" w:rsidRDefault="006E0321" w:rsidP="00E12DBE">
            <w:pPr>
              <w:spacing w:before="40" w:after="40"/>
              <w:rPr>
                <w:sz w:val="18"/>
                <w:szCs w:val="18"/>
                <w:lang w:val="en-US"/>
              </w:rPr>
            </w:pPr>
            <w:r w:rsidRPr="00C95492">
              <w:rPr>
                <w:sz w:val="18"/>
                <w:szCs w:val="18"/>
                <w:lang w:val="en-US"/>
              </w:rPr>
              <w:t>0.79</w:t>
            </w:r>
          </w:p>
        </w:tc>
        <w:tc>
          <w:tcPr>
            <w:tcW w:w="1158" w:type="dxa"/>
            <w:tcBorders>
              <w:top w:val="nil"/>
              <w:left w:val="nil"/>
              <w:bottom w:val="single" w:sz="4" w:space="0" w:color="FFFFFF"/>
              <w:right w:val="single" w:sz="4" w:space="0" w:color="FFFFFF"/>
            </w:tcBorders>
            <w:shd w:val="clear" w:color="000000" w:fill="EAF0E0"/>
            <w:noWrap/>
            <w:vAlign w:val="bottom"/>
            <w:hideMark/>
          </w:tcPr>
          <w:p w14:paraId="58C18421" w14:textId="77777777" w:rsidR="006E0321" w:rsidRPr="00C95492" w:rsidRDefault="006E0321" w:rsidP="00E12DBE">
            <w:pPr>
              <w:spacing w:before="40" w:after="40"/>
              <w:rPr>
                <w:sz w:val="18"/>
                <w:szCs w:val="18"/>
                <w:lang w:val="en-US"/>
              </w:rPr>
            </w:pPr>
            <w:r w:rsidRPr="00C95492">
              <w:rPr>
                <w:sz w:val="18"/>
                <w:szCs w:val="18"/>
                <w:lang w:val="en-US"/>
              </w:rPr>
              <w:t>12.05</w:t>
            </w:r>
          </w:p>
        </w:tc>
        <w:tc>
          <w:tcPr>
            <w:tcW w:w="1158" w:type="dxa"/>
            <w:tcBorders>
              <w:top w:val="nil"/>
              <w:left w:val="nil"/>
              <w:bottom w:val="single" w:sz="4" w:space="0" w:color="FFFFFF"/>
              <w:right w:val="single" w:sz="4" w:space="0" w:color="FFFFFF"/>
            </w:tcBorders>
            <w:shd w:val="clear" w:color="000000" w:fill="EAF0E0"/>
            <w:noWrap/>
            <w:vAlign w:val="bottom"/>
            <w:hideMark/>
          </w:tcPr>
          <w:p w14:paraId="12F6CAEB" w14:textId="77777777" w:rsidR="006E0321" w:rsidRPr="00C95492" w:rsidRDefault="006E0321" w:rsidP="00E12DBE">
            <w:pPr>
              <w:spacing w:before="40" w:after="40"/>
              <w:rPr>
                <w:sz w:val="18"/>
                <w:szCs w:val="18"/>
                <w:lang w:val="en-US"/>
              </w:rPr>
            </w:pPr>
            <w:r w:rsidRPr="00C95492">
              <w:rPr>
                <w:sz w:val="18"/>
                <w:szCs w:val="18"/>
                <w:lang w:val="en-US"/>
              </w:rPr>
              <w:t>67.13</w:t>
            </w:r>
          </w:p>
        </w:tc>
      </w:tr>
      <w:tr w:rsidR="006E0321" w:rsidRPr="00C95492" w14:paraId="089B3D21"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911E625" w14:textId="50E4D6EA" w:rsidR="006E0321" w:rsidRPr="00C95492" w:rsidRDefault="00423EE8" w:rsidP="00E12DBE">
            <w:pPr>
              <w:spacing w:before="40" w:after="40"/>
              <w:rPr>
                <w:b/>
                <w:bCs/>
                <w:color w:val="FFFFFF" w:themeColor="background1"/>
                <w:sz w:val="18"/>
                <w:szCs w:val="18"/>
                <w:lang w:val="en-US"/>
              </w:rPr>
            </w:pPr>
            <w:r>
              <w:rPr>
                <w:b/>
                <w:bCs/>
                <w:color w:val="FFFFFF" w:themeColor="background1"/>
                <w:sz w:val="18"/>
                <w:szCs w:val="18"/>
                <w:lang w:val="en-US"/>
              </w:rPr>
              <w:t>eastern gambusia</w:t>
            </w:r>
          </w:p>
        </w:tc>
        <w:tc>
          <w:tcPr>
            <w:tcW w:w="1157" w:type="dxa"/>
            <w:tcBorders>
              <w:top w:val="nil"/>
              <w:left w:val="nil"/>
              <w:bottom w:val="single" w:sz="4" w:space="0" w:color="FFFFFF"/>
              <w:right w:val="single" w:sz="4" w:space="0" w:color="FFFFFF"/>
            </w:tcBorders>
            <w:shd w:val="clear" w:color="000000" w:fill="EAF0E0"/>
            <w:noWrap/>
            <w:vAlign w:val="bottom"/>
            <w:hideMark/>
          </w:tcPr>
          <w:p w14:paraId="6EB6F8BF" w14:textId="77777777" w:rsidR="006E0321" w:rsidRPr="00C95492" w:rsidRDefault="006E0321" w:rsidP="00E12DBE">
            <w:pPr>
              <w:spacing w:before="40" w:after="40"/>
              <w:rPr>
                <w:sz w:val="18"/>
                <w:szCs w:val="18"/>
                <w:lang w:val="en-US"/>
              </w:rPr>
            </w:pPr>
            <w:r w:rsidRPr="00C95492">
              <w:rPr>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vAlign w:val="bottom"/>
            <w:hideMark/>
          </w:tcPr>
          <w:p w14:paraId="7C71B962" w14:textId="77777777" w:rsidR="006E0321" w:rsidRPr="00C95492" w:rsidRDefault="006E0321" w:rsidP="00E12DBE">
            <w:pPr>
              <w:spacing w:before="40" w:after="40"/>
              <w:rPr>
                <w:sz w:val="18"/>
                <w:szCs w:val="18"/>
                <w:lang w:val="en-US"/>
              </w:rPr>
            </w:pPr>
            <w:r w:rsidRPr="00C95492">
              <w:rPr>
                <w:sz w:val="18"/>
                <w:szCs w:val="18"/>
                <w:lang w:val="en-US"/>
              </w:rPr>
              <w:t>0.84</w:t>
            </w:r>
          </w:p>
        </w:tc>
        <w:tc>
          <w:tcPr>
            <w:tcW w:w="1158" w:type="dxa"/>
            <w:tcBorders>
              <w:top w:val="nil"/>
              <w:left w:val="nil"/>
              <w:bottom w:val="single" w:sz="4" w:space="0" w:color="FFFFFF"/>
              <w:right w:val="single" w:sz="4" w:space="0" w:color="FFFFFF"/>
            </w:tcBorders>
            <w:shd w:val="clear" w:color="000000" w:fill="EAF0E0"/>
            <w:noWrap/>
            <w:vAlign w:val="bottom"/>
            <w:hideMark/>
          </w:tcPr>
          <w:p w14:paraId="31E1EA80" w14:textId="77777777" w:rsidR="006E0321" w:rsidRPr="00C95492" w:rsidRDefault="006E0321" w:rsidP="00E12DBE">
            <w:pPr>
              <w:spacing w:before="40" w:after="40"/>
              <w:rPr>
                <w:sz w:val="18"/>
                <w:szCs w:val="18"/>
                <w:lang w:val="en-US"/>
              </w:rPr>
            </w:pPr>
            <w:r w:rsidRPr="00C95492">
              <w:rPr>
                <w:sz w:val="18"/>
                <w:szCs w:val="18"/>
                <w:lang w:val="en-US"/>
              </w:rPr>
              <w:t>3.49</w:t>
            </w:r>
          </w:p>
        </w:tc>
        <w:tc>
          <w:tcPr>
            <w:tcW w:w="1157" w:type="dxa"/>
            <w:tcBorders>
              <w:top w:val="nil"/>
              <w:left w:val="nil"/>
              <w:bottom w:val="single" w:sz="4" w:space="0" w:color="FFFFFF"/>
              <w:right w:val="single" w:sz="4" w:space="0" w:color="FFFFFF"/>
            </w:tcBorders>
            <w:shd w:val="clear" w:color="000000" w:fill="EAF0E0"/>
            <w:noWrap/>
            <w:vAlign w:val="bottom"/>
            <w:hideMark/>
          </w:tcPr>
          <w:p w14:paraId="42EDFAC1" w14:textId="77777777" w:rsidR="006E0321" w:rsidRPr="00C95492" w:rsidRDefault="006E0321" w:rsidP="00E12DBE">
            <w:pPr>
              <w:spacing w:before="40" w:after="40"/>
              <w:rPr>
                <w:sz w:val="18"/>
                <w:szCs w:val="18"/>
                <w:lang w:val="en-US"/>
              </w:rPr>
            </w:pPr>
            <w:r w:rsidRPr="00C95492">
              <w:rPr>
                <w:sz w:val="18"/>
                <w:szCs w:val="18"/>
                <w:lang w:val="en-US"/>
              </w:rPr>
              <w:t>0.95</w:t>
            </w:r>
          </w:p>
        </w:tc>
        <w:tc>
          <w:tcPr>
            <w:tcW w:w="1158" w:type="dxa"/>
            <w:tcBorders>
              <w:top w:val="nil"/>
              <w:left w:val="nil"/>
              <w:bottom w:val="single" w:sz="4" w:space="0" w:color="FFFFFF"/>
              <w:right w:val="single" w:sz="4" w:space="0" w:color="FFFFFF"/>
            </w:tcBorders>
            <w:shd w:val="clear" w:color="000000" w:fill="EAF0E0"/>
            <w:noWrap/>
            <w:vAlign w:val="bottom"/>
            <w:hideMark/>
          </w:tcPr>
          <w:p w14:paraId="3EB9982D" w14:textId="77777777" w:rsidR="006E0321" w:rsidRPr="00C95492" w:rsidRDefault="006E0321" w:rsidP="00E12DBE">
            <w:pPr>
              <w:spacing w:before="40" w:after="40"/>
              <w:rPr>
                <w:sz w:val="18"/>
                <w:szCs w:val="18"/>
                <w:lang w:val="en-US"/>
              </w:rPr>
            </w:pPr>
            <w:r w:rsidRPr="00C95492">
              <w:rPr>
                <w:sz w:val="18"/>
                <w:szCs w:val="18"/>
                <w:lang w:val="en-US"/>
              </w:rPr>
              <w:t>11.87</w:t>
            </w:r>
          </w:p>
        </w:tc>
        <w:tc>
          <w:tcPr>
            <w:tcW w:w="1158" w:type="dxa"/>
            <w:tcBorders>
              <w:top w:val="nil"/>
              <w:left w:val="nil"/>
              <w:bottom w:val="single" w:sz="4" w:space="0" w:color="FFFFFF"/>
              <w:right w:val="single" w:sz="4" w:space="0" w:color="FFFFFF"/>
            </w:tcBorders>
            <w:shd w:val="clear" w:color="000000" w:fill="EAF0E0"/>
            <w:noWrap/>
            <w:vAlign w:val="bottom"/>
            <w:hideMark/>
          </w:tcPr>
          <w:p w14:paraId="710FDCEC" w14:textId="77777777" w:rsidR="006E0321" w:rsidRPr="00C95492" w:rsidRDefault="006E0321" w:rsidP="00E12DBE">
            <w:pPr>
              <w:spacing w:before="40" w:after="40"/>
              <w:rPr>
                <w:sz w:val="18"/>
                <w:szCs w:val="18"/>
                <w:lang w:val="en-US"/>
              </w:rPr>
            </w:pPr>
            <w:r w:rsidRPr="00C95492">
              <w:rPr>
                <w:sz w:val="18"/>
                <w:szCs w:val="18"/>
                <w:lang w:val="en-US"/>
              </w:rPr>
              <w:t>79</w:t>
            </w:r>
          </w:p>
        </w:tc>
      </w:tr>
      <w:tr w:rsidR="006E0321" w:rsidRPr="00C95492" w14:paraId="631A1C4D"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684C3F9" w14:textId="132513DB" w:rsidR="006E0321" w:rsidRPr="00C95492" w:rsidRDefault="00423EE8" w:rsidP="00E12DBE">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6E5F0F01" w14:textId="77777777" w:rsidR="006E0321" w:rsidRPr="00C95492" w:rsidRDefault="006E0321" w:rsidP="00E12DBE">
            <w:pPr>
              <w:spacing w:before="40" w:after="40"/>
              <w:rPr>
                <w:sz w:val="18"/>
                <w:szCs w:val="18"/>
                <w:lang w:val="en-US"/>
              </w:rPr>
            </w:pPr>
            <w:r w:rsidRPr="00C95492">
              <w:rPr>
                <w:sz w:val="18"/>
                <w:szCs w:val="18"/>
                <w:lang w:val="en-US"/>
              </w:rPr>
              <w:t>3.41</w:t>
            </w:r>
          </w:p>
        </w:tc>
        <w:tc>
          <w:tcPr>
            <w:tcW w:w="1158" w:type="dxa"/>
            <w:tcBorders>
              <w:top w:val="nil"/>
              <w:left w:val="nil"/>
              <w:bottom w:val="single" w:sz="4" w:space="0" w:color="FFFFFF"/>
              <w:right w:val="single" w:sz="4" w:space="0" w:color="FFFFFF"/>
            </w:tcBorders>
            <w:shd w:val="clear" w:color="000000" w:fill="EAF0E0"/>
            <w:noWrap/>
            <w:vAlign w:val="bottom"/>
            <w:hideMark/>
          </w:tcPr>
          <w:p w14:paraId="4FCF9A9D" w14:textId="77777777" w:rsidR="006E0321" w:rsidRPr="00C95492" w:rsidRDefault="006E0321" w:rsidP="00E12DBE">
            <w:pPr>
              <w:spacing w:before="40" w:after="40"/>
              <w:rPr>
                <w:sz w:val="18"/>
                <w:szCs w:val="18"/>
                <w:lang w:val="en-US"/>
              </w:rPr>
            </w:pPr>
            <w:r w:rsidRPr="00C95492">
              <w:rPr>
                <w:sz w:val="18"/>
                <w:szCs w:val="18"/>
                <w:lang w:val="en-US"/>
              </w:rPr>
              <w:t>3.86</w:t>
            </w:r>
          </w:p>
        </w:tc>
        <w:tc>
          <w:tcPr>
            <w:tcW w:w="1158" w:type="dxa"/>
            <w:tcBorders>
              <w:top w:val="nil"/>
              <w:left w:val="nil"/>
              <w:bottom w:val="single" w:sz="4" w:space="0" w:color="FFFFFF"/>
              <w:right w:val="single" w:sz="4" w:space="0" w:color="FFFFFF"/>
            </w:tcBorders>
            <w:shd w:val="clear" w:color="000000" w:fill="EAF0E0"/>
            <w:noWrap/>
            <w:vAlign w:val="bottom"/>
            <w:hideMark/>
          </w:tcPr>
          <w:p w14:paraId="6A6B5F9C" w14:textId="77777777" w:rsidR="006E0321" w:rsidRPr="00C95492" w:rsidRDefault="006E0321" w:rsidP="00E12DBE">
            <w:pPr>
              <w:spacing w:before="40" w:after="40"/>
              <w:rPr>
                <w:sz w:val="18"/>
                <w:szCs w:val="18"/>
                <w:lang w:val="en-US"/>
              </w:rPr>
            </w:pPr>
            <w:r w:rsidRPr="00C95492">
              <w:rPr>
                <w:sz w:val="18"/>
                <w:szCs w:val="18"/>
                <w:lang w:val="en-US"/>
              </w:rPr>
              <w:t>3.14</w:t>
            </w:r>
          </w:p>
        </w:tc>
        <w:tc>
          <w:tcPr>
            <w:tcW w:w="1157" w:type="dxa"/>
            <w:tcBorders>
              <w:top w:val="nil"/>
              <w:left w:val="nil"/>
              <w:bottom w:val="single" w:sz="4" w:space="0" w:color="FFFFFF"/>
              <w:right w:val="single" w:sz="4" w:space="0" w:color="FFFFFF"/>
            </w:tcBorders>
            <w:shd w:val="clear" w:color="000000" w:fill="EAF0E0"/>
            <w:noWrap/>
            <w:vAlign w:val="bottom"/>
            <w:hideMark/>
          </w:tcPr>
          <w:p w14:paraId="343FD710" w14:textId="77777777" w:rsidR="006E0321" w:rsidRPr="00C95492" w:rsidRDefault="006E0321" w:rsidP="00E12DBE">
            <w:pPr>
              <w:spacing w:before="40" w:after="40"/>
              <w:rPr>
                <w:sz w:val="18"/>
                <w:szCs w:val="18"/>
                <w:lang w:val="en-US"/>
              </w:rPr>
            </w:pPr>
            <w:r w:rsidRPr="00C95492">
              <w:rPr>
                <w:sz w:val="18"/>
                <w:szCs w:val="18"/>
                <w:lang w:val="en-US"/>
              </w:rPr>
              <w:t>1.29</w:t>
            </w:r>
          </w:p>
        </w:tc>
        <w:tc>
          <w:tcPr>
            <w:tcW w:w="1158" w:type="dxa"/>
            <w:tcBorders>
              <w:top w:val="nil"/>
              <w:left w:val="nil"/>
              <w:bottom w:val="single" w:sz="4" w:space="0" w:color="FFFFFF"/>
              <w:right w:val="single" w:sz="4" w:space="0" w:color="FFFFFF"/>
            </w:tcBorders>
            <w:shd w:val="clear" w:color="000000" w:fill="EAF0E0"/>
            <w:noWrap/>
            <w:vAlign w:val="bottom"/>
            <w:hideMark/>
          </w:tcPr>
          <w:p w14:paraId="102A502A" w14:textId="77777777" w:rsidR="006E0321" w:rsidRPr="00C95492" w:rsidRDefault="006E0321" w:rsidP="00E12DBE">
            <w:pPr>
              <w:spacing w:before="40" w:after="40"/>
              <w:rPr>
                <w:sz w:val="18"/>
                <w:szCs w:val="18"/>
                <w:lang w:val="en-US"/>
              </w:rPr>
            </w:pPr>
            <w:r w:rsidRPr="00C95492">
              <w:rPr>
                <w:sz w:val="18"/>
                <w:szCs w:val="18"/>
                <w:lang w:val="en-US"/>
              </w:rPr>
              <w:t>10.68</w:t>
            </w:r>
          </w:p>
        </w:tc>
        <w:tc>
          <w:tcPr>
            <w:tcW w:w="1158" w:type="dxa"/>
            <w:tcBorders>
              <w:top w:val="nil"/>
              <w:left w:val="nil"/>
              <w:bottom w:val="single" w:sz="4" w:space="0" w:color="FFFFFF"/>
              <w:right w:val="single" w:sz="4" w:space="0" w:color="FFFFFF"/>
            </w:tcBorders>
            <w:shd w:val="clear" w:color="000000" w:fill="EAF0E0"/>
            <w:noWrap/>
            <w:vAlign w:val="bottom"/>
            <w:hideMark/>
          </w:tcPr>
          <w:p w14:paraId="42521C72" w14:textId="77777777" w:rsidR="006E0321" w:rsidRPr="00C95492" w:rsidRDefault="006E0321" w:rsidP="00E12DBE">
            <w:pPr>
              <w:spacing w:before="40" w:after="40"/>
              <w:rPr>
                <w:sz w:val="18"/>
                <w:szCs w:val="18"/>
                <w:lang w:val="en-US"/>
              </w:rPr>
            </w:pPr>
            <w:r w:rsidRPr="00C95492">
              <w:rPr>
                <w:sz w:val="18"/>
                <w:szCs w:val="18"/>
                <w:lang w:val="en-US"/>
              </w:rPr>
              <w:t>89.68</w:t>
            </w:r>
          </w:p>
        </w:tc>
      </w:tr>
      <w:tr w:rsidR="006E0321" w:rsidRPr="00C95492" w14:paraId="3E889461"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BBC9C79" w14:textId="4F9A3B5A" w:rsidR="006E0321" w:rsidRPr="00C95492" w:rsidRDefault="00423EE8" w:rsidP="00E12DBE">
            <w:pPr>
              <w:spacing w:before="40" w:after="40"/>
              <w:rPr>
                <w:b/>
                <w:bCs/>
                <w:color w:val="FFFFFF" w:themeColor="background1"/>
                <w:sz w:val="18"/>
                <w:szCs w:val="18"/>
                <w:lang w:val="en-US"/>
              </w:rPr>
            </w:pPr>
            <w:r>
              <w:rPr>
                <w:b/>
                <w:bCs/>
                <w:color w:val="FFFFFF" w:themeColor="background1"/>
                <w:sz w:val="18"/>
                <w:szCs w:val="18"/>
                <w:lang w:val="en-US"/>
              </w:rPr>
              <w:t>freshwater catfish</w:t>
            </w:r>
          </w:p>
        </w:tc>
        <w:tc>
          <w:tcPr>
            <w:tcW w:w="1157" w:type="dxa"/>
            <w:tcBorders>
              <w:top w:val="nil"/>
              <w:left w:val="nil"/>
              <w:bottom w:val="single" w:sz="4" w:space="0" w:color="FFFFFF"/>
              <w:right w:val="single" w:sz="4" w:space="0" w:color="FFFFFF"/>
            </w:tcBorders>
            <w:shd w:val="clear" w:color="000000" w:fill="EAF0E0"/>
            <w:noWrap/>
            <w:vAlign w:val="bottom"/>
            <w:hideMark/>
          </w:tcPr>
          <w:p w14:paraId="0DCBBA62" w14:textId="77777777" w:rsidR="006E0321" w:rsidRPr="00C95492" w:rsidRDefault="006E0321" w:rsidP="00E12DBE">
            <w:pPr>
              <w:spacing w:before="40" w:after="40"/>
              <w:rPr>
                <w:sz w:val="18"/>
                <w:szCs w:val="18"/>
                <w:lang w:val="en-US"/>
              </w:rPr>
            </w:pPr>
            <w:r w:rsidRPr="00C95492">
              <w:rPr>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vAlign w:val="bottom"/>
            <w:hideMark/>
          </w:tcPr>
          <w:p w14:paraId="5BB9EEC8"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070A5CCE" w14:textId="77777777" w:rsidR="006E0321" w:rsidRPr="00C95492" w:rsidRDefault="006E0321" w:rsidP="00E12DBE">
            <w:pPr>
              <w:spacing w:before="40" w:after="40"/>
              <w:rPr>
                <w:sz w:val="18"/>
                <w:szCs w:val="18"/>
                <w:lang w:val="en-US"/>
              </w:rPr>
            </w:pPr>
            <w:r w:rsidRPr="00C95492">
              <w:rPr>
                <w:sz w:val="18"/>
                <w:szCs w:val="18"/>
                <w:lang w:val="en-US"/>
              </w:rPr>
              <w:t>3.03</w:t>
            </w:r>
          </w:p>
        </w:tc>
        <w:tc>
          <w:tcPr>
            <w:tcW w:w="1157" w:type="dxa"/>
            <w:tcBorders>
              <w:top w:val="nil"/>
              <w:left w:val="nil"/>
              <w:bottom w:val="single" w:sz="4" w:space="0" w:color="FFFFFF"/>
              <w:right w:val="single" w:sz="4" w:space="0" w:color="FFFFFF"/>
            </w:tcBorders>
            <w:shd w:val="clear" w:color="000000" w:fill="EAF0E0"/>
            <w:noWrap/>
            <w:vAlign w:val="bottom"/>
            <w:hideMark/>
          </w:tcPr>
          <w:p w14:paraId="3396FEC3" w14:textId="77777777" w:rsidR="006E0321" w:rsidRPr="00C95492" w:rsidRDefault="006E0321" w:rsidP="00E12DBE">
            <w:pPr>
              <w:spacing w:before="40" w:after="40"/>
              <w:rPr>
                <w:sz w:val="18"/>
                <w:szCs w:val="18"/>
                <w:lang w:val="en-US"/>
              </w:rPr>
            </w:pPr>
            <w:r w:rsidRPr="00C95492">
              <w:rPr>
                <w:sz w:val="18"/>
                <w:szCs w:val="18"/>
                <w:lang w:val="en-US"/>
              </w:rPr>
              <w:t>1.12</w:t>
            </w:r>
          </w:p>
        </w:tc>
        <w:tc>
          <w:tcPr>
            <w:tcW w:w="1158" w:type="dxa"/>
            <w:tcBorders>
              <w:top w:val="nil"/>
              <w:left w:val="nil"/>
              <w:bottom w:val="single" w:sz="4" w:space="0" w:color="FFFFFF"/>
              <w:right w:val="single" w:sz="4" w:space="0" w:color="FFFFFF"/>
            </w:tcBorders>
            <w:shd w:val="clear" w:color="000000" w:fill="EAF0E0"/>
            <w:noWrap/>
            <w:vAlign w:val="bottom"/>
            <w:hideMark/>
          </w:tcPr>
          <w:p w14:paraId="42B853F5" w14:textId="77777777" w:rsidR="006E0321" w:rsidRPr="00C95492" w:rsidRDefault="006E0321" w:rsidP="00E12DBE">
            <w:pPr>
              <w:spacing w:before="40" w:after="40"/>
              <w:rPr>
                <w:sz w:val="18"/>
                <w:szCs w:val="18"/>
                <w:lang w:val="en-US"/>
              </w:rPr>
            </w:pPr>
            <w:r w:rsidRPr="00C95492">
              <w:rPr>
                <w:sz w:val="18"/>
                <w:szCs w:val="18"/>
                <w:lang w:val="en-US"/>
              </w:rPr>
              <w:t>10.32</w:t>
            </w:r>
          </w:p>
        </w:tc>
        <w:tc>
          <w:tcPr>
            <w:tcW w:w="1158" w:type="dxa"/>
            <w:tcBorders>
              <w:top w:val="nil"/>
              <w:left w:val="nil"/>
              <w:bottom w:val="single" w:sz="4" w:space="0" w:color="FFFFFF"/>
              <w:right w:val="single" w:sz="4" w:space="0" w:color="FFFFFF"/>
            </w:tcBorders>
            <w:shd w:val="clear" w:color="000000" w:fill="EAF0E0"/>
            <w:noWrap/>
            <w:vAlign w:val="bottom"/>
            <w:hideMark/>
          </w:tcPr>
          <w:p w14:paraId="3479C508" w14:textId="77777777" w:rsidR="006E0321" w:rsidRPr="00C95492" w:rsidRDefault="006E0321" w:rsidP="00E12DBE">
            <w:pPr>
              <w:spacing w:before="40" w:after="40"/>
              <w:rPr>
                <w:sz w:val="18"/>
                <w:szCs w:val="18"/>
                <w:lang w:val="en-US"/>
              </w:rPr>
            </w:pPr>
            <w:r w:rsidRPr="00C95492">
              <w:rPr>
                <w:sz w:val="18"/>
                <w:szCs w:val="18"/>
                <w:lang w:val="en-US"/>
              </w:rPr>
              <w:t>100</w:t>
            </w:r>
          </w:p>
        </w:tc>
      </w:tr>
    </w:tbl>
    <w:p w14:paraId="18B12A3A" w14:textId="77777777" w:rsidR="006E0321" w:rsidRPr="00C95492" w:rsidRDefault="006E0321" w:rsidP="006E0321">
      <w:pPr>
        <w:spacing w:before="0" w:after="0"/>
        <w:rPr>
          <w:sz w:val="18"/>
          <w:szCs w:val="18"/>
          <w:lang w:val="en-US"/>
        </w:rPr>
      </w:pPr>
    </w:p>
    <w:p w14:paraId="5FADB681" w14:textId="77777777" w:rsidR="006E0321" w:rsidRPr="00C95492" w:rsidRDefault="006E0321" w:rsidP="006E0321">
      <w:pPr>
        <w:spacing w:before="0" w:after="0"/>
        <w:rPr>
          <w:sz w:val="22"/>
          <w:szCs w:val="18"/>
          <w:lang w:val="en-US"/>
        </w:rPr>
      </w:pPr>
      <w:r w:rsidRPr="00C95492">
        <w:rPr>
          <w:sz w:val="22"/>
          <w:szCs w:val="18"/>
          <w:lang w:val="en-US"/>
        </w:rPr>
        <w:t>Groups 2014 &amp; 2016</w:t>
      </w:r>
    </w:p>
    <w:p w14:paraId="263F5EFD" w14:textId="77777777" w:rsidR="006E0321" w:rsidRPr="00C95492" w:rsidRDefault="006E0321" w:rsidP="006E0321">
      <w:pPr>
        <w:spacing w:before="0" w:after="0"/>
        <w:rPr>
          <w:sz w:val="22"/>
          <w:szCs w:val="18"/>
          <w:lang w:val="en-US"/>
        </w:rPr>
      </w:pPr>
      <w:r w:rsidRPr="00C95492">
        <w:rPr>
          <w:sz w:val="22"/>
          <w:szCs w:val="18"/>
          <w:lang w:val="en-US"/>
        </w:rPr>
        <w:t>Average dissimilarity = 100.00</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703DBC3A"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682BC781"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2919785"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2014</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66ECC97"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2016</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3AB9FAF"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A19ECD2"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F9EEBA9"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3EC39527"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53CD16BA"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0B6AECB8" w14:textId="77777777" w:rsidR="006E0321" w:rsidRPr="00C95492" w:rsidRDefault="006E0321" w:rsidP="00720A6F">
            <w:pPr>
              <w:spacing w:before="40" w:afterLines="40" w:after="96"/>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2007F4D6" w14:textId="72BCA2B1"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6C486CBD"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318074F0"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2812F2C8"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79F8A317"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5295B1A6"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6E0321" w:rsidRPr="00C95492" w14:paraId="2AC1738D"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DEDCD36" w14:textId="51139FF5" w:rsidR="006E0321" w:rsidRPr="00C95492" w:rsidRDefault="00423EE8" w:rsidP="00E12DBE">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26E6832F" w14:textId="77777777" w:rsidR="006E0321" w:rsidRPr="00C95492" w:rsidRDefault="006E0321" w:rsidP="00E12DBE">
            <w:pPr>
              <w:spacing w:before="40" w:after="40"/>
              <w:rPr>
                <w:sz w:val="18"/>
                <w:szCs w:val="18"/>
                <w:lang w:val="en-US"/>
              </w:rPr>
            </w:pPr>
            <w:r w:rsidRPr="00C95492">
              <w:rPr>
                <w:sz w:val="18"/>
                <w:szCs w:val="18"/>
                <w:lang w:val="en-US"/>
              </w:rPr>
              <w:t>3.41</w:t>
            </w:r>
          </w:p>
        </w:tc>
        <w:tc>
          <w:tcPr>
            <w:tcW w:w="1158" w:type="dxa"/>
            <w:tcBorders>
              <w:top w:val="nil"/>
              <w:left w:val="nil"/>
              <w:bottom w:val="single" w:sz="4" w:space="0" w:color="FFFFFF"/>
              <w:right w:val="single" w:sz="4" w:space="0" w:color="FFFFFF"/>
            </w:tcBorders>
            <w:shd w:val="clear" w:color="000000" w:fill="EAF0E0"/>
            <w:noWrap/>
            <w:vAlign w:val="bottom"/>
            <w:hideMark/>
          </w:tcPr>
          <w:p w14:paraId="74437192"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5A68E386" w14:textId="77777777" w:rsidR="006E0321" w:rsidRPr="00C95492" w:rsidRDefault="006E0321" w:rsidP="00E12DBE">
            <w:pPr>
              <w:spacing w:before="40" w:after="40"/>
              <w:rPr>
                <w:sz w:val="18"/>
                <w:szCs w:val="18"/>
                <w:lang w:val="en-US"/>
              </w:rPr>
            </w:pPr>
            <w:r w:rsidRPr="00C95492">
              <w:rPr>
                <w:sz w:val="18"/>
                <w:szCs w:val="18"/>
                <w:lang w:val="en-US"/>
              </w:rPr>
              <w:t>30.08</w:t>
            </w:r>
          </w:p>
        </w:tc>
        <w:tc>
          <w:tcPr>
            <w:tcW w:w="1157" w:type="dxa"/>
            <w:tcBorders>
              <w:top w:val="nil"/>
              <w:left w:val="nil"/>
              <w:bottom w:val="single" w:sz="4" w:space="0" w:color="FFFFFF"/>
              <w:right w:val="single" w:sz="4" w:space="0" w:color="FFFFFF"/>
            </w:tcBorders>
            <w:shd w:val="clear" w:color="000000" w:fill="EAF0E0"/>
            <w:noWrap/>
            <w:vAlign w:val="bottom"/>
            <w:hideMark/>
          </w:tcPr>
          <w:p w14:paraId="04ED84B1" w14:textId="77777777" w:rsidR="006E0321" w:rsidRPr="00C95492" w:rsidRDefault="006E0321" w:rsidP="00E12DBE">
            <w:pPr>
              <w:spacing w:before="40" w:after="40"/>
              <w:rPr>
                <w:sz w:val="18"/>
                <w:szCs w:val="18"/>
                <w:lang w:val="en-US"/>
              </w:rPr>
            </w:pPr>
            <w:r w:rsidRPr="00C95492">
              <w:rPr>
                <w:sz w:val="18"/>
                <w:szCs w:val="18"/>
                <w:lang w:val="en-US"/>
              </w:rPr>
              <w:t>2.37</w:t>
            </w:r>
          </w:p>
        </w:tc>
        <w:tc>
          <w:tcPr>
            <w:tcW w:w="1158" w:type="dxa"/>
            <w:tcBorders>
              <w:top w:val="nil"/>
              <w:left w:val="nil"/>
              <w:bottom w:val="single" w:sz="4" w:space="0" w:color="FFFFFF"/>
              <w:right w:val="single" w:sz="4" w:space="0" w:color="FFFFFF"/>
            </w:tcBorders>
            <w:shd w:val="clear" w:color="000000" w:fill="EAF0E0"/>
            <w:noWrap/>
            <w:vAlign w:val="bottom"/>
            <w:hideMark/>
          </w:tcPr>
          <w:p w14:paraId="27083B31" w14:textId="77777777" w:rsidR="006E0321" w:rsidRPr="00C95492" w:rsidRDefault="006E0321" w:rsidP="00E12DBE">
            <w:pPr>
              <w:spacing w:before="40" w:after="40"/>
              <w:rPr>
                <w:sz w:val="18"/>
                <w:szCs w:val="18"/>
                <w:lang w:val="en-US"/>
              </w:rPr>
            </w:pPr>
            <w:r w:rsidRPr="00C95492">
              <w:rPr>
                <w:sz w:val="18"/>
                <w:szCs w:val="18"/>
                <w:lang w:val="en-US"/>
              </w:rPr>
              <w:t>30.08</w:t>
            </w:r>
          </w:p>
        </w:tc>
        <w:tc>
          <w:tcPr>
            <w:tcW w:w="1158" w:type="dxa"/>
            <w:tcBorders>
              <w:top w:val="nil"/>
              <w:left w:val="nil"/>
              <w:bottom w:val="single" w:sz="4" w:space="0" w:color="FFFFFF"/>
              <w:right w:val="single" w:sz="4" w:space="0" w:color="FFFFFF"/>
            </w:tcBorders>
            <w:shd w:val="clear" w:color="000000" w:fill="EAF0E0"/>
            <w:noWrap/>
            <w:vAlign w:val="bottom"/>
            <w:hideMark/>
          </w:tcPr>
          <w:p w14:paraId="01D385D2" w14:textId="77777777" w:rsidR="006E0321" w:rsidRPr="00C95492" w:rsidRDefault="006E0321" w:rsidP="00E12DBE">
            <w:pPr>
              <w:spacing w:before="40" w:after="40"/>
              <w:rPr>
                <w:sz w:val="18"/>
                <w:szCs w:val="18"/>
                <w:lang w:val="en-US"/>
              </w:rPr>
            </w:pPr>
            <w:r w:rsidRPr="00C95492">
              <w:rPr>
                <w:sz w:val="18"/>
                <w:szCs w:val="18"/>
                <w:lang w:val="en-US"/>
              </w:rPr>
              <w:t>30.08</w:t>
            </w:r>
          </w:p>
        </w:tc>
      </w:tr>
      <w:tr w:rsidR="006E0321" w:rsidRPr="00C95492" w14:paraId="1463A1FA"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5A7AACC8" w14:textId="33930722"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common carp</w:t>
            </w:r>
          </w:p>
        </w:tc>
        <w:tc>
          <w:tcPr>
            <w:tcW w:w="1157" w:type="dxa"/>
            <w:tcBorders>
              <w:top w:val="nil"/>
              <w:left w:val="nil"/>
              <w:bottom w:val="single" w:sz="4" w:space="0" w:color="FFFFFF"/>
              <w:right w:val="single" w:sz="4" w:space="0" w:color="FFFFFF"/>
            </w:tcBorders>
            <w:shd w:val="clear" w:color="000000" w:fill="EAF0E0"/>
            <w:noWrap/>
            <w:vAlign w:val="bottom"/>
            <w:hideMark/>
          </w:tcPr>
          <w:p w14:paraId="2F436D38"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48C1BAC9" w14:textId="77777777" w:rsidR="006E0321" w:rsidRPr="00C95492" w:rsidRDefault="006E0321" w:rsidP="00E12DBE">
            <w:pPr>
              <w:spacing w:before="40" w:after="40"/>
              <w:rPr>
                <w:sz w:val="18"/>
                <w:szCs w:val="18"/>
                <w:lang w:val="en-US"/>
              </w:rPr>
            </w:pPr>
            <w:r w:rsidRPr="00C95492">
              <w:rPr>
                <w:sz w:val="18"/>
                <w:szCs w:val="18"/>
                <w:lang w:val="en-US"/>
              </w:rPr>
              <w:t>3.25</w:t>
            </w:r>
          </w:p>
        </w:tc>
        <w:tc>
          <w:tcPr>
            <w:tcW w:w="1158" w:type="dxa"/>
            <w:tcBorders>
              <w:top w:val="nil"/>
              <w:left w:val="nil"/>
              <w:bottom w:val="single" w:sz="4" w:space="0" w:color="FFFFFF"/>
              <w:right w:val="single" w:sz="4" w:space="0" w:color="FFFFFF"/>
            </w:tcBorders>
            <w:shd w:val="clear" w:color="000000" w:fill="EAF0E0"/>
            <w:noWrap/>
            <w:vAlign w:val="bottom"/>
            <w:hideMark/>
          </w:tcPr>
          <w:p w14:paraId="4B2788C3" w14:textId="77777777" w:rsidR="006E0321" w:rsidRPr="00C95492" w:rsidRDefault="006E0321" w:rsidP="00E12DBE">
            <w:pPr>
              <w:spacing w:before="40" w:after="40"/>
              <w:rPr>
                <w:sz w:val="18"/>
                <w:szCs w:val="18"/>
                <w:lang w:val="en-US"/>
              </w:rPr>
            </w:pPr>
            <w:r w:rsidRPr="00C95492">
              <w:rPr>
                <w:sz w:val="18"/>
                <w:szCs w:val="18"/>
                <w:lang w:val="en-US"/>
              </w:rPr>
              <w:t>26.28</w:t>
            </w:r>
          </w:p>
        </w:tc>
        <w:tc>
          <w:tcPr>
            <w:tcW w:w="1157" w:type="dxa"/>
            <w:tcBorders>
              <w:top w:val="nil"/>
              <w:left w:val="nil"/>
              <w:bottom w:val="single" w:sz="4" w:space="0" w:color="FFFFFF"/>
              <w:right w:val="single" w:sz="4" w:space="0" w:color="FFFFFF"/>
            </w:tcBorders>
            <w:shd w:val="clear" w:color="000000" w:fill="EAF0E0"/>
            <w:noWrap/>
            <w:vAlign w:val="bottom"/>
            <w:hideMark/>
          </w:tcPr>
          <w:p w14:paraId="46B66F37" w14:textId="77777777" w:rsidR="006E0321" w:rsidRPr="00C95492" w:rsidRDefault="006E0321" w:rsidP="00E12DBE">
            <w:pPr>
              <w:spacing w:before="40" w:after="40"/>
              <w:rPr>
                <w:sz w:val="18"/>
                <w:szCs w:val="18"/>
                <w:lang w:val="en-US"/>
              </w:rPr>
            </w:pPr>
            <w:r w:rsidRPr="00C95492">
              <w:rPr>
                <w:sz w:val="18"/>
                <w:szCs w:val="18"/>
                <w:lang w:val="en-US"/>
              </w:rPr>
              <w:t>2.17</w:t>
            </w:r>
          </w:p>
        </w:tc>
        <w:tc>
          <w:tcPr>
            <w:tcW w:w="1158" w:type="dxa"/>
            <w:tcBorders>
              <w:top w:val="nil"/>
              <w:left w:val="nil"/>
              <w:bottom w:val="single" w:sz="4" w:space="0" w:color="FFFFFF"/>
              <w:right w:val="single" w:sz="4" w:space="0" w:color="FFFFFF"/>
            </w:tcBorders>
            <w:shd w:val="clear" w:color="000000" w:fill="EAF0E0"/>
            <w:noWrap/>
            <w:vAlign w:val="bottom"/>
            <w:hideMark/>
          </w:tcPr>
          <w:p w14:paraId="5FD56AAB" w14:textId="77777777" w:rsidR="006E0321" w:rsidRPr="00C95492" w:rsidRDefault="006E0321" w:rsidP="00E12DBE">
            <w:pPr>
              <w:spacing w:before="40" w:after="40"/>
              <w:rPr>
                <w:sz w:val="18"/>
                <w:szCs w:val="18"/>
                <w:lang w:val="en-US"/>
              </w:rPr>
            </w:pPr>
            <w:r w:rsidRPr="00C95492">
              <w:rPr>
                <w:sz w:val="18"/>
                <w:szCs w:val="18"/>
                <w:lang w:val="en-US"/>
              </w:rPr>
              <w:t>26.28</w:t>
            </w:r>
          </w:p>
        </w:tc>
        <w:tc>
          <w:tcPr>
            <w:tcW w:w="1158" w:type="dxa"/>
            <w:tcBorders>
              <w:top w:val="nil"/>
              <w:left w:val="nil"/>
              <w:bottom w:val="single" w:sz="4" w:space="0" w:color="FFFFFF"/>
              <w:right w:val="single" w:sz="4" w:space="0" w:color="FFFFFF"/>
            </w:tcBorders>
            <w:shd w:val="clear" w:color="000000" w:fill="EAF0E0"/>
            <w:noWrap/>
            <w:vAlign w:val="bottom"/>
            <w:hideMark/>
          </w:tcPr>
          <w:p w14:paraId="196A0C39" w14:textId="77777777" w:rsidR="006E0321" w:rsidRPr="00C95492" w:rsidRDefault="006E0321" w:rsidP="00E12DBE">
            <w:pPr>
              <w:spacing w:before="40" w:after="40"/>
              <w:rPr>
                <w:sz w:val="18"/>
                <w:szCs w:val="18"/>
                <w:lang w:val="en-US"/>
              </w:rPr>
            </w:pPr>
            <w:r w:rsidRPr="00C95492">
              <w:rPr>
                <w:sz w:val="18"/>
                <w:szCs w:val="18"/>
                <w:lang w:val="en-US"/>
              </w:rPr>
              <w:t>56.36</w:t>
            </w:r>
          </w:p>
        </w:tc>
      </w:tr>
      <w:tr w:rsidR="006E0321" w:rsidRPr="00C95492" w14:paraId="7BDABEF4"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D49C14C" w14:textId="6FBD0753"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21895368" w14:textId="77777777" w:rsidR="006E0321" w:rsidRPr="00C95492" w:rsidRDefault="006E0321" w:rsidP="00E12DBE">
            <w:pPr>
              <w:spacing w:before="40" w:after="40"/>
              <w:rPr>
                <w:sz w:val="18"/>
                <w:szCs w:val="18"/>
                <w:lang w:val="en-US"/>
              </w:rPr>
            </w:pPr>
            <w:r w:rsidRPr="00C95492">
              <w:rPr>
                <w:sz w:val="18"/>
                <w:szCs w:val="18"/>
                <w:lang w:val="en-US"/>
              </w:rPr>
              <w:t>1.71</w:t>
            </w:r>
          </w:p>
        </w:tc>
        <w:tc>
          <w:tcPr>
            <w:tcW w:w="1158" w:type="dxa"/>
            <w:tcBorders>
              <w:top w:val="nil"/>
              <w:left w:val="nil"/>
              <w:bottom w:val="single" w:sz="4" w:space="0" w:color="FFFFFF"/>
              <w:right w:val="single" w:sz="4" w:space="0" w:color="FFFFFF"/>
            </w:tcBorders>
            <w:shd w:val="clear" w:color="000000" w:fill="EAF0E0"/>
            <w:noWrap/>
            <w:vAlign w:val="bottom"/>
            <w:hideMark/>
          </w:tcPr>
          <w:p w14:paraId="2C518B9B"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4F659672" w14:textId="77777777" w:rsidR="006E0321" w:rsidRPr="00C95492" w:rsidRDefault="006E0321" w:rsidP="00E12DBE">
            <w:pPr>
              <w:spacing w:before="40" w:after="40"/>
              <w:rPr>
                <w:sz w:val="18"/>
                <w:szCs w:val="18"/>
                <w:lang w:val="en-US"/>
              </w:rPr>
            </w:pPr>
            <w:r w:rsidRPr="00C95492">
              <w:rPr>
                <w:sz w:val="18"/>
                <w:szCs w:val="18"/>
                <w:lang w:val="en-US"/>
              </w:rPr>
              <w:t>14.21</w:t>
            </w:r>
          </w:p>
        </w:tc>
        <w:tc>
          <w:tcPr>
            <w:tcW w:w="1157" w:type="dxa"/>
            <w:tcBorders>
              <w:top w:val="nil"/>
              <w:left w:val="nil"/>
              <w:bottom w:val="single" w:sz="4" w:space="0" w:color="FFFFFF"/>
              <w:right w:val="single" w:sz="4" w:space="0" w:color="FFFFFF"/>
            </w:tcBorders>
            <w:shd w:val="clear" w:color="000000" w:fill="EAF0E0"/>
            <w:noWrap/>
            <w:vAlign w:val="bottom"/>
            <w:hideMark/>
          </w:tcPr>
          <w:p w14:paraId="074964CA" w14:textId="77777777" w:rsidR="006E0321" w:rsidRPr="00C95492" w:rsidRDefault="006E0321" w:rsidP="00E12DBE">
            <w:pPr>
              <w:spacing w:before="40" w:after="40"/>
              <w:rPr>
                <w:sz w:val="18"/>
                <w:szCs w:val="18"/>
                <w:lang w:val="en-US"/>
              </w:rPr>
            </w:pPr>
            <w:r w:rsidRPr="00C95492">
              <w:rPr>
                <w:sz w:val="18"/>
                <w:szCs w:val="18"/>
                <w:lang w:val="en-US"/>
              </w:rPr>
              <w:t>3.73</w:t>
            </w:r>
          </w:p>
        </w:tc>
        <w:tc>
          <w:tcPr>
            <w:tcW w:w="1158" w:type="dxa"/>
            <w:tcBorders>
              <w:top w:val="nil"/>
              <w:left w:val="nil"/>
              <w:bottom w:val="single" w:sz="4" w:space="0" w:color="FFFFFF"/>
              <w:right w:val="single" w:sz="4" w:space="0" w:color="FFFFFF"/>
            </w:tcBorders>
            <w:shd w:val="clear" w:color="000000" w:fill="EAF0E0"/>
            <w:noWrap/>
            <w:vAlign w:val="bottom"/>
            <w:hideMark/>
          </w:tcPr>
          <w:p w14:paraId="25AC56E7" w14:textId="77777777" w:rsidR="006E0321" w:rsidRPr="00C95492" w:rsidRDefault="006E0321" w:rsidP="00E12DBE">
            <w:pPr>
              <w:spacing w:before="40" w:after="40"/>
              <w:rPr>
                <w:sz w:val="18"/>
                <w:szCs w:val="18"/>
                <w:lang w:val="en-US"/>
              </w:rPr>
            </w:pPr>
            <w:r w:rsidRPr="00C95492">
              <w:rPr>
                <w:sz w:val="18"/>
                <w:szCs w:val="18"/>
                <w:lang w:val="en-US"/>
              </w:rPr>
              <w:t>14.21</w:t>
            </w:r>
          </w:p>
        </w:tc>
        <w:tc>
          <w:tcPr>
            <w:tcW w:w="1158" w:type="dxa"/>
            <w:tcBorders>
              <w:top w:val="nil"/>
              <w:left w:val="nil"/>
              <w:bottom w:val="single" w:sz="4" w:space="0" w:color="FFFFFF"/>
              <w:right w:val="single" w:sz="4" w:space="0" w:color="FFFFFF"/>
            </w:tcBorders>
            <w:shd w:val="clear" w:color="000000" w:fill="EAF0E0"/>
            <w:noWrap/>
            <w:vAlign w:val="bottom"/>
            <w:hideMark/>
          </w:tcPr>
          <w:p w14:paraId="5F8E9443" w14:textId="77777777" w:rsidR="006E0321" w:rsidRPr="00C95492" w:rsidRDefault="006E0321" w:rsidP="00E12DBE">
            <w:pPr>
              <w:spacing w:before="40" w:after="40"/>
              <w:rPr>
                <w:sz w:val="18"/>
                <w:szCs w:val="18"/>
                <w:lang w:val="en-US"/>
              </w:rPr>
            </w:pPr>
            <w:r w:rsidRPr="00C95492">
              <w:rPr>
                <w:sz w:val="18"/>
                <w:szCs w:val="18"/>
                <w:lang w:val="en-US"/>
              </w:rPr>
              <w:t>70.57</w:t>
            </w:r>
          </w:p>
        </w:tc>
      </w:tr>
      <w:tr w:rsidR="006E0321" w:rsidRPr="00C95492" w14:paraId="3EEDBC34"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1DC9712" w14:textId="47C9EAD5"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569C4DE7" w14:textId="77777777" w:rsidR="006E0321" w:rsidRPr="00C95492" w:rsidRDefault="006E0321" w:rsidP="00E12DBE">
            <w:pPr>
              <w:spacing w:before="40" w:after="40"/>
              <w:rPr>
                <w:sz w:val="18"/>
                <w:szCs w:val="18"/>
                <w:lang w:val="en-US"/>
              </w:rPr>
            </w:pPr>
            <w:r w:rsidRPr="00C95492">
              <w:rPr>
                <w:sz w:val="18"/>
                <w:szCs w:val="18"/>
                <w:lang w:val="en-US"/>
              </w:rPr>
              <w:t>1.75</w:t>
            </w:r>
          </w:p>
        </w:tc>
        <w:tc>
          <w:tcPr>
            <w:tcW w:w="1158" w:type="dxa"/>
            <w:tcBorders>
              <w:top w:val="nil"/>
              <w:left w:val="nil"/>
              <w:bottom w:val="single" w:sz="4" w:space="0" w:color="FFFFFF"/>
              <w:right w:val="single" w:sz="4" w:space="0" w:color="FFFFFF"/>
            </w:tcBorders>
            <w:shd w:val="clear" w:color="000000" w:fill="EAF0E0"/>
            <w:noWrap/>
            <w:vAlign w:val="bottom"/>
            <w:hideMark/>
          </w:tcPr>
          <w:p w14:paraId="456571E2"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5FCEB235" w14:textId="77777777" w:rsidR="006E0321" w:rsidRPr="00C95492" w:rsidRDefault="006E0321" w:rsidP="00E12DBE">
            <w:pPr>
              <w:spacing w:before="40" w:after="40"/>
              <w:rPr>
                <w:sz w:val="18"/>
                <w:szCs w:val="18"/>
                <w:lang w:val="en-US"/>
              </w:rPr>
            </w:pPr>
            <w:r w:rsidRPr="00C95492">
              <w:rPr>
                <w:sz w:val="18"/>
                <w:szCs w:val="18"/>
                <w:lang w:val="en-US"/>
              </w:rPr>
              <w:t>13.9</w:t>
            </w:r>
          </w:p>
        </w:tc>
        <w:tc>
          <w:tcPr>
            <w:tcW w:w="1157" w:type="dxa"/>
            <w:tcBorders>
              <w:top w:val="nil"/>
              <w:left w:val="nil"/>
              <w:bottom w:val="single" w:sz="4" w:space="0" w:color="FFFFFF"/>
              <w:right w:val="single" w:sz="4" w:space="0" w:color="FFFFFF"/>
            </w:tcBorders>
            <w:shd w:val="clear" w:color="000000" w:fill="EAF0E0"/>
            <w:noWrap/>
            <w:vAlign w:val="bottom"/>
            <w:hideMark/>
          </w:tcPr>
          <w:p w14:paraId="1797838F" w14:textId="77777777" w:rsidR="006E0321" w:rsidRPr="00C95492" w:rsidRDefault="006E0321" w:rsidP="00E12DBE">
            <w:pPr>
              <w:spacing w:before="40" w:after="40"/>
              <w:rPr>
                <w:sz w:val="18"/>
                <w:szCs w:val="18"/>
                <w:lang w:val="en-US"/>
              </w:rPr>
            </w:pPr>
            <w:r w:rsidRPr="00C95492">
              <w:rPr>
                <w:sz w:val="18"/>
                <w:szCs w:val="18"/>
                <w:lang w:val="en-US"/>
              </w:rPr>
              <w:t>10.33</w:t>
            </w:r>
          </w:p>
        </w:tc>
        <w:tc>
          <w:tcPr>
            <w:tcW w:w="1158" w:type="dxa"/>
            <w:tcBorders>
              <w:top w:val="nil"/>
              <w:left w:val="nil"/>
              <w:bottom w:val="single" w:sz="4" w:space="0" w:color="FFFFFF"/>
              <w:right w:val="single" w:sz="4" w:space="0" w:color="FFFFFF"/>
            </w:tcBorders>
            <w:shd w:val="clear" w:color="000000" w:fill="EAF0E0"/>
            <w:noWrap/>
            <w:vAlign w:val="bottom"/>
            <w:hideMark/>
          </w:tcPr>
          <w:p w14:paraId="2A9EB26F" w14:textId="77777777" w:rsidR="006E0321" w:rsidRPr="00C95492" w:rsidRDefault="006E0321" w:rsidP="00E12DBE">
            <w:pPr>
              <w:spacing w:before="40" w:after="40"/>
              <w:rPr>
                <w:sz w:val="18"/>
                <w:szCs w:val="18"/>
                <w:lang w:val="en-US"/>
              </w:rPr>
            </w:pPr>
            <w:r w:rsidRPr="00C95492">
              <w:rPr>
                <w:sz w:val="18"/>
                <w:szCs w:val="18"/>
                <w:lang w:val="en-US"/>
              </w:rPr>
              <w:t>13.9</w:t>
            </w:r>
          </w:p>
        </w:tc>
        <w:tc>
          <w:tcPr>
            <w:tcW w:w="1158" w:type="dxa"/>
            <w:tcBorders>
              <w:top w:val="nil"/>
              <w:left w:val="nil"/>
              <w:bottom w:val="single" w:sz="4" w:space="0" w:color="FFFFFF"/>
              <w:right w:val="single" w:sz="4" w:space="0" w:color="FFFFFF"/>
            </w:tcBorders>
            <w:shd w:val="clear" w:color="000000" w:fill="EAF0E0"/>
            <w:noWrap/>
            <w:vAlign w:val="bottom"/>
            <w:hideMark/>
          </w:tcPr>
          <w:p w14:paraId="2530099E" w14:textId="77777777" w:rsidR="006E0321" w:rsidRPr="00C95492" w:rsidRDefault="006E0321" w:rsidP="00E12DBE">
            <w:pPr>
              <w:spacing w:before="40" w:after="40"/>
              <w:rPr>
                <w:sz w:val="18"/>
                <w:szCs w:val="18"/>
                <w:lang w:val="en-US"/>
              </w:rPr>
            </w:pPr>
            <w:r w:rsidRPr="00C95492">
              <w:rPr>
                <w:sz w:val="18"/>
                <w:szCs w:val="18"/>
                <w:lang w:val="en-US"/>
              </w:rPr>
              <w:t>84.48</w:t>
            </w:r>
          </w:p>
        </w:tc>
      </w:tr>
      <w:tr w:rsidR="006E0321" w:rsidRPr="00C95492" w14:paraId="2E31D22A"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159ED82" w14:textId="3C11D8D5"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carp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31F96D2B" w14:textId="77777777" w:rsidR="006E0321" w:rsidRPr="00C95492" w:rsidRDefault="006E0321" w:rsidP="00E12DBE">
            <w:pPr>
              <w:spacing w:before="40" w:after="40"/>
              <w:rPr>
                <w:sz w:val="18"/>
                <w:szCs w:val="18"/>
                <w:lang w:val="en-US"/>
              </w:rPr>
            </w:pPr>
            <w:r w:rsidRPr="00C95492">
              <w:rPr>
                <w:sz w:val="18"/>
                <w:szCs w:val="18"/>
                <w:lang w:val="en-US"/>
              </w:rPr>
              <w:t>0.97</w:t>
            </w:r>
          </w:p>
        </w:tc>
        <w:tc>
          <w:tcPr>
            <w:tcW w:w="1158" w:type="dxa"/>
            <w:tcBorders>
              <w:top w:val="nil"/>
              <w:left w:val="nil"/>
              <w:bottom w:val="single" w:sz="4" w:space="0" w:color="FFFFFF"/>
              <w:right w:val="single" w:sz="4" w:space="0" w:color="FFFFFF"/>
            </w:tcBorders>
            <w:shd w:val="clear" w:color="000000" w:fill="EAF0E0"/>
            <w:noWrap/>
            <w:vAlign w:val="bottom"/>
            <w:hideMark/>
          </w:tcPr>
          <w:p w14:paraId="48DDD566"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01508E8A" w14:textId="77777777" w:rsidR="006E0321" w:rsidRPr="00C95492" w:rsidRDefault="006E0321" w:rsidP="00E12DBE">
            <w:pPr>
              <w:spacing w:before="40" w:after="40"/>
              <w:rPr>
                <w:sz w:val="18"/>
                <w:szCs w:val="18"/>
                <w:lang w:val="en-US"/>
              </w:rPr>
            </w:pPr>
            <w:r w:rsidRPr="00C95492">
              <w:rPr>
                <w:sz w:val="18"/>
                <w:szCs w:val="18"/>
                <w:lang w:val="en-US"/>
              </w:rPr>
              <w:t>6.58</w:t>
            </w:r>
          </w:p>
        </w:tc>
        <w:tc>
          <w:tcPr>
            <w:tcW w:w="1157" w:type="dxa"/>
            <w:tcBorders>
              <w:top w:val="nil"/>
              <w:left w:val="nil"/>
              <w:bottom w:val="single" w:sz="4" w:space="0" w:color="FFFFFF"/>
              <w:right w:val="single" w:sz="4" w:space="0" w:color="FFFFFF"/>
            </w:tcBorders>
            <w:shd w:val="clear" w:color="000000" w:fill="EAF0E0"/>
            <w:noWrap/>
            <w:vAlign w:val="bottom"/>
            <w:hideMark/>
          </w:tcPr>
          <w:p w14:paraId="0A78E781" w14:textId="77777777" w:rsidR="006E0321" w:rsidRPr="00C95492" w:rsidRDefault="006E0321" w:rsidP="00E12DBE">
            <w:pPr>
              <w:spacing w:before="40" w:after="40"/>
              <w:rPr>
                <w:sz w:val="18"/>
                <w:szCs w:val="18"/>
                <w:lang w:val="en-US"/>
              </w:rPr>
            </w:pPr>
            <w:r w:rsidRPr="00C95492">
              <w:rPr>
                <w:sz w:val="18"/>
                <w:szCs w:val="18"/>
                <w:lang w:val="en-US"/>
              </w:rPr>
              <w:t>1.11</w:t>
            </w:r>
          </w:p>
        </w:tc>
        <w:tc>
          <w:tcPr>
            <w:tcW w:w="1158" w:type="dxa"/>
            <w:tcBorders>
              <w:top w:val="nil"/>
              <w:left w:val="nil"/>
              <w:bottom w:val="single" w:sz="4" w:space="0" w:color="FFFFFF"/>
              <w:right w:val="single" w:sz="4" w:space="0" w:color="FFFFFF"/>
            </w:tcBorders>
            <w:shd w:val="clear" w:color="000000" w:fill="EAF0E0"/>
            <w:noWrap/>
            <w:vAlign w:val="bottom"/>
            <w:hideMark/>
          </w:tcPr>
          <w:p w14:paraId="5B55E926" w14:textId="77777777" w:rsidR="006E0321" w:rsidRPr="00C95492" w:rsidRDefault="006E0321" w:rsidP="00E12DBE">
            <w:pPr>
              <w:spacing w:before="40" w:after="40"/>
              <w:rPr>
                <w:sz w:val="18"/>
                <w:szCs w:val="18"/>
                <w:lang w:val="en-US"/>
              </w:rPr>
            </w:pPr>
            <w:r w:rsidRPr="00C95492">
              <w:rPr>
                <w:sz w:val="18"/>
                <w:szCs w:val="18"/>
                <w:lang w:val="en-US"/>
              </w:rPr>
              <w:t>6.58</w:t>
            </w:r>
          </w:p>
        </w:tc>
        <w:tc>
          <w:tcPr>
            <w:tcW w:w="1158" w:type="dxa"/>
            <w:tcBorders>
              <w:top w:val="nil"/>
              <w:left w:val="nil"/>
              <w:bottom w:val="single" w:sz="4" w:space="0" w:color="FFFFFF"/>
              <w:right w:val="single" w:sz="4" w:space="0" w:color="FFFFFF"/>
            </w:tcBorders>
            <w:shd w:val="clear" w:color="000000" w:fill="EAF0E0"/>
            <w:noWrap/>
            <w:vAlign w:val="bottom"/>
            <w:hideMark/>
          </w:tcPr>
          <w:p w14:paraId="09DE3F5F" w14:textId="77777777" w:rsidR="006E0321" w:rsidRPr="00C95492" w:rsidRDefault="006E0321" w:rsidP="00E12DBE">
            <w:pPr>
              <w:spacing w:before="40" w:after="40"/>
              <w:rPr>
                <w:sz w:val="18"/>
                <w:szCs w:val="18"/>
                <w:lang w:val="en-US"/>
              </w:rPr>
            </w:pPr>
            <w:r w:rsidRPr="00C95492">
              <w:rPr>
                <w:sz w:val="18"/>
                <w:szCs w:val="18"/>
                <w:lang w:val="en-US"/>
              </w:rPr>
              <w:t>91.06</w:t>
            </w:r>
          </w:p>
        </w:tc>
      </w:tr>
    </w:tbl>
    <w:p w14:paraId="48586701" w14:textId="77777777" w:rsidR="006E0321" w:rsidRPr="00C95492" w:rsidRDefault="006E0321" w:rsidP="006E0321">
      <w:pPr>
        <w:spacing w:before="0" w:after="0"/>
        <w:rPr>
          <w:sz w:val="18"/>
          <w:szCs w:val="18"/>
          <w:lang w:val="en-US"/>
        </w:rPr>
      </w:pPr>
    </w:p>
    <w:p w14:paraId="027471BA" w14:textId="77777777" w:rsidR="006E0321" w:rsidRPr="00C95492" w:rsidRDefault="006E0321" w:rsidP="006E0321">
      <w:pPr>
        <w:spacing w:before="0" w:after="0"/>
        <w:rPr>
          <w:sz w:val="22"/>
          <w:szCs w:val="18"/>
          <w:lang w:val="en-US"/>
        </w:rPr>
      </w:pPr>
      <w:r w:rsidRPr="00C95492">
        <w:rPr>
          <w:sz w:val="22"/>
          <w:szCs w:val="18"/>
          <w:lang w:val="en-US"/>
        </w:rPr>
        <w:t>Groups 2015 &amp; 2016</w:t>
      </w:r>
    </w:p>
    <w:p w14:paraId="483B9050" w14:textId="77777777" w:rsidR="006E0321" w:rsidRPr="00C95492" w:rsidRDefault="006E0321" w:rsidP="006E0321">
      <w:pPr>
        <w:spacing w:before="0" w:after="0"/>
        <w:rPr>
          <w:sz w:val="22"/>
          <w:szCs w:val="18"/>
          <w:lang w:val="en-US"/>
        </w:rPr>
      </w:pPr>
      <w:r w:rsidRPr="00C95492">
        <w:rPr>
          <w:sz w:val="22"/>
          <w:szCs w:val="18"/>
          <w:lang w:val="en-US"/>
        </w:rPr>
        <w:t>Average dissimilarity = 84.95</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60743996"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301C1931"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0FF4C42"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2015</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D1D698E"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2016</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C671D71"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AE13C02"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DC80F43"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EFE64F7"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3987449B"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65D211DF" w14:textId="77777777" w:rsidR="006E0321" w:rsidRPr="00C95492" w:rsidRDefault="006E0321" w:rsidP="00720A6F">
            <w:pPr>
              <w:spacing w:before="40" w:afterLines="40" w:after="96"/>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470484CF" w14:textId="3B02848F"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1367C927" w14:textId="3ABBB8DD"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F9C8961"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034F0829"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9F8D009"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29519329"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6E0321" w:rsidRPr="00C95492" w14:paraId="6E26BFE0"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55FCC29" w14:textId="1E6D4ABA" w:rsidR="006E0321" w:rsidRPr="00C95492" w:rsidRDefault="00423EE8" w:rsidP="00E12DBE">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1727F499" w14:textId="77777777" w:rsidR="006E0321" w:rsidRPr="00C95492" w:rsidRDefault="006E0321" w:rsidP="00E12DBE">
            <w:pPr>
              <w:spacing w:before="40" w:after="40"/>
              <w:rPr>
                <w:sz w:val="18"/>
                <w:szCs w:val="18"/>
                <w:lang w:val="en-US"/>
              </w:rPr>
            </w:pPr>
            <w:r w:rsidRPr="00C95492">
              <w:rPr>
                <w:sz w:val="18"/>
                <w:szCs w:val="18"/>
                <w:lang w:val="en-US"/>
              </w:rPr>
              <w:t>3.86</w:t>
            </w:r>
          </w:p>
        </w:tc>
        <w:tc>
          <w:tcPr>
            <w:tcW w:w="1158" w:type="dxa"/>
            <w:tcBorders>
              <w:top w:val="nil"/>
              <w:left w:val="nil"/>
              <w:bottom w:val="single" w:sz="4" w:space="0" w:color="FFFFFF"/>
              <w:right w:val="single" w:sz="4" w:space="0" w:color="FFFFFF"/>
            </w:tcBorders>
            <w:shd w:val="clear" w:color="000000" w:fill="EAF0E0"/>
            <w:noWrap/>
            <w:vAlign w:val="bottom"/>
            <w:hideMark/>
          </w:tcPr>
          <w:p w14:paraId="72DF51CB"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7C51CC22" w14:textId="77777777" w:rsidR="006E0321" w:rsidRPr="00C95492" w:rsidRDefault="006E0321" w:rsidP="00E12DBE">
            <w:pPr>
              <w:spacing w:before="40" w:after="40"/>
              <w:rPr>
                <w:sz w:val="18"/>
                <w:szCs w:val="18"/>
                <w:lang w:val="en-US"/>
              </w:rPr>
            </w:pPr>
            <w:r w:rsidRPr="00C95492">
              <w:rPr>
                <w:sz w:val="18"/>
                <w:szCs w:val="18"/>
                <w:lang w:val="en-US"/>
              </w:rPr>
              <w:t>25.58</w:t>
            </w:r>
          </w:p>
        </w:tc>
        <w:tc>
          <w:tcPr>
            <w:tcW w:w="1157" w:type="dxa"/>
            <w:tcBorders>
              <w:top w:val="nil"/>
              <w:left w:val="nil"/>
              <w:bottom w:val="single" w:sz="4" w:space="0" w:color="FFFFFF"/>
              <w:right w:val="single" w:sz="4" w:space="0" w:color="FFFFFF"/>
            </w:tcBorders>
            <w:shd w:val="clear" w:color="000000" w:fill="EAF0E0"/>
            <w:noWrap/>
            <w:vAlign w:val="bottom"/>
            <w:hideMark/>
          </w:tcPr>
          <w:p w14:paraId="69112A10" w14:textId="77777777" w:rsidR="006E0321" w:rsidRPr="00C95492" w:rsidRDefault="006E0321" w:rsidP="00E12DBE">
            <w:pPr>
              <w:spacing w:before="40" w:after="40"/>
              <w:rPr>
                <w:sz w:val="18"/>
                <w:szCs w:val="18"/>
                <w:lang w:val="en-US"/>
              </w:rPr>
            </w:pPr>
            <w:r w:rsidRPr="00C95492">
              <w:rPr>
                <w:sz w:val="18"/>
                <w:szCs w:val="18"/>
                <w:lang w:val="en-US"/>
              </w:rPr>
              <w:t>8.89</w:t>
            </w:r>
          </w:p>
        </w:tc>
        <w:tc>
          <w:tcPr>
            <w:tcW w:w="1158" w:type="dxa"/>
            <w:tcBorders>
              <w:top w:val="nil"/>
              <w:left w:val="nil"/>
              <w:bottom w:val="single" w:sz="4" w:space="0" w:color="FFFFFF"/>
              <w:right w:val="single" w:sz="4" w:space="0" w:color="FFFFFF"/>
            </w:tcBorders>
            <w:shd w:val="clear" w:color="000000" w:fill="EAF0E0"/>
            <w:noWrap/>
            <w:vAlign w:val="bottom"/>
            <w:hideMark/>
          </w:tcPr>
          <w:p w14:paraId="52878F70" w14:textId="77777777" w:rsidR="006E0321" w:rsidRPr="00C95492" w:rsidRDefault="006E0321" w:rsidP="00E12DBE">
            <w:pPr>
              <w:spacing w:before="40" w:after="40"/>
              <w:rPr>
                <w:sz w:val="18"/>
                <w:szCs w:val="18"/>
                <w:lang w:val="en-US"/>
              </w:rPr>
            </w:pPr>
            <w:r w:rsidRPr="00C95492">
              <w:rPr>
                <w:sz w:val="18"/>
                <w:szCs w:val="18"/>
                <w:lang w:val="en-US"/>
              </w:rPr>
              <w:t>30.11</w:t>
            </w:r>
          </w:p>
        </w:tc>
        <w:tc>
          <w:tcPr>
            <w:tcW w:w="1158" w:type="dxa"/>
            <w:tcBorders>
              <w:top w:val="nil"/>
              <w:left w:val="nil"/>
              <w:bottom w:val="single" w:sz="4" w:space="0" w:color="FFFFFF"/>
              <w:right w:val="single" w:sz="4" w:space="0" w:color="FFFFFF"/>
            </w:tcBorders>
            <w:shd w:val="clear" w:color="000000" w:fill="EAF0E0"/>
            <w:noWrap/>
            <w:vAlign w:val="bottom"/>
            <w:hideMark/>
          </w:tcPr>
          <w:p w14:paraId="35969D8B" w14:textId="77777777" w:rsidR="006E0321" w:rsidRPr="00C95492" w:rsidRDefault="006E0321" w:rsidP="00E12DBE">
            <w:pPr>
              <w:spacing w:before="40" w:after="40"/>
              <w:rPr>
                <w:sz w:val="18"/>
                <w:szCs w:val="18"/>
                <w:lang w:val="en-US"/>
              </w:rPr>
            </w:pPr>
            <w:r w:rsidRPr="00C95492">
              <w:rPr>
                <w:sz w:val="18"/>
                <w:szCs w:val="18"/>
                <w:lang w:val="en-US"/>
              </w:rPr>
              <w:t>30.11</w:t>
            </w:r>
          </w:p>
        </w:tc>
      </w:tr>
      <w:tr w:rsidR="006E0321" w:rsidRPr="00C95492" w14:paraId="6C9D8512"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5F9BE12B" w14:textId="234F1320"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7A1A24EE" w14:textId="77777777" w:rsidR="006E0321" w:rsidRPr="00C95492" w:rsidRDefault="006E0321" w:rsidP="00E12DBE">
            <w:pPr>
              <w:spacing w:before="40" w:after="40"/>
              <w:rPr>
                <w:sz w:val="18"/>
                <w:szCs w:val="18"/>
                <w:lang w:val="en-US"/>
              </w:rPr>
            </w:pPr>
            <w:r w:rsidRPr="00C95492">
              <w:rPr>
                <w:sz w:val="18"/>
                <w:szCs w:val="18"/>
                <w:lang w:val="en-US"/>
              </w:rPr>
              <w:t>3.14</w:t>
            </w:r>
          </w:p>
        </w:tc>
        <w:tc>
          <w:tcPr>
            <w:tcW w:w="1158" w:type="dxa"/>
            <w:tcBorders>
              <w:top w:val="nil"/>
              <w:left w:val="nil"/>
              <w:bottom w:val="single" w:sz="4" w:space="0" w:color="FFFFFF"/>
              <w:right w:val="single" w:sz="4" w:space="0" w:color="FFFFFF"/>
            </w:tcBorders>
            <w:shd w:val="clear" w:color="000000" w:fill="EAF0E0"/>
            <w:noWrap/>
            <w:vAlign w:val="bottom"/>
            <w:hideMark/>
          </w:tcPr>
          <w:p w14:paraId="5807B765"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3B137E20" w14:textId="77777777" w:rsidR="006E0321" w:rsidRPr="00C95492" w:rsidRDefault="006E0321" w:rsidP="00E12DBE">
            <w:pPr>
              <w:spacing w:before="40" w:after="40"/>
              <w:rPr>
                <w:sz w:val="18"/>
                <w:szCs w:val="18"/>
                <w:lang w:val="en-US"/>
              </w:rPr>
            </w:pPr>
            <w:r w:rsidRPr="00C95492">
              <w:rPr>
                <w:sz w:val="18"/>
                <w:szCs w:val="18"/>
                <w:lang w:val="en-US"/>
              </w:rPr>
              <w:t>20.94</w:t>
            </w:r>
          </w:p>
        </w:tc>
        <w:tc>
          <w:tcPr>
            <w:tcW w:w="1157" w:type="dxa"/>
            <w:tcBorders>
              <w:top w:val="nil"/>
              <w:left w:val="nil"/>
              <w:bottom w:val="single" w:sz="4" w:space="0" w:color="FFFFFF"/>
              <w:right w:val="single" w:sz="4" w:space="0" w:color="FFFFFF"/>
            </w:tcBorders>
            <w:shd w:val="clear" w:color="000000" w:fill="EAF0E0"/>
            <w:noWrap/>
            <w:vAlign w:val="bottom"/>
            <w:hideMark/>
          </w:tcPr>
          <w:p w14:paraId="75DA62B2" w14:textId="77777777" w:rsidR="006E0321" w:rsidRPr="00C95492" w:rsidRDefault="006E0321" w:rsidP="00E12DBE">
            <w:pPr>
              <w:spacing w:before="40" w:after="40"/>
              <w:rPr>
                <w:sz w:val="18"/>
                <w:szCs w:val="18"/>
                <w:lang w:val="en-US"/>
              </w:rPr>
            </w:pPr>
            <w:r w:rsidRPr="00C95492">
              <w:rPr>
                <w:sz w:val="18"/>
                <w:szCs w:val="18"/>
                <w:lang w:val="en-US"/>
              </w:rPr>
              <w:t>4.18</w:t>
            </w:r>
          </w:p>
        </w:tc>
        <w:tc>
          <w:tcPr>
            <w:tcW w:w="1158" w:type="dxa"/>
            <w:tcBorders>
              <w:top w:val="nil"/>
              <w:left w:val="nil"/>
              <w:bottom w:val="single" w:sz="4" w:space="0" w:color="FFFFFF"/>
              <w:right w:val="single" w:sz="4" w:space="0" w:color="FFFFFF"/>
            </w:tcBorders>
            <w:shd w:val="clear" w:color="000000" w:fill="EAF0E0"/>
            <w:noWrap/>
            <w:vAlign w:val="bottom"/>
            <w:hideMark/>
          </w:tcPr>
          <w:p w14:paraId="56093508" w14:textId="77777777" w:rsidR="006E0321" w:rsidRPr="00C95492" w:rsidRDefault="006E0321" w:rsidP="00E12DBE">
            <w:pPr>
              <w:spacing w:before="40" w:after="40"/>
              <w:rPr>
                <w:sz w:val="18"/>
                <w:szCs w:val="18"/>
                <w:lang w:val="en-US"/>
              </w:rPr>
            </w:pPr>
            <w:r w:rsidRPr="00C95492">
              <w:rPr>
                <w:sz w:val="18"/>
                <w:szCs w:val="18"/>
                <w:lang w:val="en-US"/>
              </w:rPr>
              <w:t>24.65</w:t>
            </w:r>
          </w:p>
        </w:tc>
        <w:tc>
          <w:tcPr>
            <w:tcW w:w="1158" w:type="dxa"/>
            <w:tcBorders>
              <w:top w:val="nil"/>
              <w:left w:val="nil"/>
              <w:bottom w:val="single" w:sz="4" w:space="0" w:color="FFFFFF"/>
              <w:right w:val="single" w:sz="4" w:space="0" w:color="FFFFFF"/>
            </w:tcBorders>
            <w:shd w:val="clear" w:color="000000" w:fill="EAF0E0"/>
            <w:noWrap/>
            <w:vAlign w:val="bottom"/>
            <w:hideMark/>
          </w:tcPr>
          <w:p w14:paraId="3A44632D" w14:textId="77777777" w:rsidR="006E0321" w:rsidRPr="00C95492" w:rsidRDefault="006E0321" w:rsidP="00E12DBE">
            <w:pPr>
              <w:spacing w:before="40" w:after="40"/>
              <w:rPr>
                <w:sz w:val="18"/>
                <w:szCs w:val="18"/>
                <w:lang w:val="en-US"/>
              </w:rPr>
            </w:pPr>
            <w:r w:rsidRPr="00C95492">
              <w:rPr>
                <w:sz w:val="18"/>
                <w:szCs w:val="18"/>
                <w:lang w:val="en-US"/>
              </w:rPr>
              <w:t>54.75</w:t>
            </w:r>
          </w:p>
        </w:tc>
      </w:tr>
      <w:tr w:rsidR="006E0321" w:rsidRPr="00C95492" w14:paraId="302025F8"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206E791" w14:textId="5A242062"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common carp</w:t>
            </w:r>
          </w:p>
        </w:tc>
        <w:tc>
          <w:tcPr>
            <w:tcW w:w="1157" w:type="dxa"/>
            <w:tcBorders>
              <w:top w:val="nil"/>
              <w:left w:val="nil"/>
              <w:bottom w:val="single" w:sz="4" w:space="0" w:color="FFFFFF"/>
              <w:right w:val="single" w:sz="4" w:space="0" w:color="FFFFFF"/>
            </w:tcBorders>
            <w:shd w:val="clear" w:color="000000" w:fill="EAF0E0"/>
            <w:noWrap/>
            <w:vAlign w:val="bottom"/>
            <w:hideMark/>
          </w:tcPr>
          <w:p w14:paraId="0DEE9266" w14:textId="77777777" w:rsidR="006E0321" w:rsidRPr="00C95492" w:rsidRDefault="006E0321" w:rsidP="00E12DBE">
            <w:pPr>
              <w:spacing w:before="40" w:after="40"/>
              <w:rPr>
                <w:sz w:val="18"/>
                <w:szCs w:val="18"/>
                <w:lang w:val="en-US"/>
              </w:rPr>
            </w:pPr>
            <w:r w:rsidRPr="00C95492">
              <w:rPr>
                <w:sz w:val="18"/>
                <w:szCs w:val="18"/>
                <w:lang w:val="en-US"/>
              </w:rPr>
              <w:t>1.14</w:t>
            </w:r>
          </w:p>
        </w:tc>
        <w:tc>
          <w:tcPr>
            <w:tcW w:w="1158" w:type="dxa"/>
            <w:tcBorders>
              <w:top w:val="nil"/>
              <w:left w:val="nil"/>
              <w:bottom w:val="single" w:sz="4" w:space="0" w:color="FFFFFF"/>
              <w:right w:val="single" w:sz="4" w:space="0" w:color="FFFFFF"/>
            </w:tcBorders>
            <w:shd w:val="clear" w:color="000000" w:fill="EAF0E0"/>
            <w:noWrap/>
            <w:vAlign w:val="bottom"/>
            <w:hideMark/>
          </w:tcPr>
          <w:p w14:paraId="14731C1D" w14:textId="77777777" w:rsidR="006E0321" w:rsidRPr="00C95492" w:rsidRDefault="006E0321" w:rsidP="00E12DBE">
            <w:pPr>
              <w:spacing w:before="40" w:after="40"/>
              <w:rPr>
                <w:sz w:val="18"/>
                <w:szCs w:val="18"/>
                <w:lang w:val="en-US"/>
              </w:rPr>
            </w:pPr>
            <w:r w:rsidRPr="00C95492">
              <w:rPr>
                <w:sz w:val="18"/>
                <w:szCs w:val="18"/>
                <w:lang w:val="en-US"/>
              </w:rPr>
              <w:t>3.25</w:t>
            </w:r>
          </w:p>
        </w:tc>
        <w:tc>
          <w:tcPr>
            <w:tcW w:w="1158" w:type="dxa"/>
            <w:tcBorders>
              <w:top w:val="nil"/>
              <w:left w:val="nil"/>
              <w:bottom w:val="single" w:sz="4" w:space="0" w:color="FFFFFF"/>
              <w:right w:val="single" w:sz="4" w:space="0" w:color="FFFFFF"/>
            </w:tcBorders>
            <w:shd w:val="clear" w:color="000000" w:fill="EAF0E0"/>
            <w:noWrap/>
            <w:vAlign w:val="bottom"/>
            <w:hideMark/>
          </w:tcPr>
          <w:p w14:paraId="1F0A3BD6" w14:textId="77777777" w:rsidR="006E0321" w:rsidRPr="00C95492" w:rsidRDefault="006E0321" w:rsidP="00E12DBE">
            <w:pPr>
              <w:spacing w:before="40" w:after="40"/>
              <w:rPr>
                <w:sz w:val="18"/>
                <w:szCs w:val="18"/>
                <w:lang w:val="en-US"/>
              </w:rPr>
            </w:pPr>
            <w:r w:rsidRPr="00C95492">
              <w:rPr>
                <w:sz w:val="18"/>
                <w:szCs w:val="18"/>
                <w:lang w:val="en-US"/>
              </w:rPr>
              <w:t>13.65</w:t>
            </w:r>
          </w:p>
        </w:tc>
        <w:tc>
          <w:tcPr>
            <w:tcW w:w="1157" w:type="dxa"/>
            <w:tcBorders>
              <w:top w:val="nil"/>
              <w:left w:val="nil"/>
              <w:bottom w:val="single" w:sz="4" w:space="0" w:color="FFFFFF"/>
              <w:right w:val="single" w:sz="4" w:space="0" w:color="FFFFFF"/>
            </w:tcBorders>
            <w:shd w:val="clear" w:color="000000" w:fill="EAF0E0"/>
            <w:noWrap/>
            <w:vAlign w:val="bottom"/>
            <w:hideMark/>
          </w:tcPr>
          <w:p w14:paraId="66A6362A" w14:textId="77777777" w:rsidR="006E0321" w:rsidRPr="00C95492" w:rsidRDefault="006E0321" w:rsidP="00E12DBE">
            <w:pPr>
              <w:spacing w:before="40" w:after="40"/>
              <w:rPr>
                <w:sz w:val="18"/>
                <w:szCs w:val="18"/>
                <w:lang w:val="en-US"/>
              </w:rPr>
            </w:pPr>
            <w:r w:rsidRPr="00C95492">
              <w:rPr>
                <w:sz w:val="18"/>
                <w:szCs w:val="18"/>
                <w:lang w:val="en-US"/>
              </w:rPr>
              <w:t>1.27</w:t>
            </w:r>
          </w:p>
        </w:tc>
        <w:tc>
          <w:tcPr>
            <w:tcW w:w="1158" w:type="dxa"/>
            <w:tcBorders>
              <w:top w:val="nil"/>
              <w:left w:val="nil"/>
              <w:bottom w:val="single" w:sz="4" w:space="0" w:color="FFFFFF"/>
              <w:right w:val="single" w:sz="4" w:space="0" w:color="FFFFFF"/>
            </w:tcBorders>
            <w:shd w:val="clear" w:color="000000" w:fill="EAF0E0"/>
            <w:noWrap/>
            <w:vAlign w:val="bottom"/>
            <w:hideMark/>
          </w:tcPr>
          <w:p w14:paraId="1178D6A8" w14:textId="77777777" w:rsidR="006E0321" w:rsidRPr="00C95492" w:rsidRDefault="006E0321" w:rsidP="00E12DBE">
            <w:pPr>
              <w:spacing w:before="40" w:after="40"/>
              <w:rPr>
                <w:sz w:val="18"/>
                <w:szCs w:val="18"/>
                <w:lang w:val="en-US"/>
              </w:rPr>
            </w:pPr>
            <w:r w:rsidRPr="00C95492">
              <w:rPr>
                <w:sz w:val="18"/>
                <w:szCs w:val="18"/>
                <w:lang w:val="en-US"/>
              </w:rPr>
              <w:t>16.06</w:t>
            </w:r>
          </w:p>
        </w:tc>
        <w:tc>
          <w:tcPr>
            <w:tcW w:w="1158" w:type="dxa"/>
            <w:tcBorders>
              <w:top w:val="nil"/>
              <w:left w:val="nil"/>
              <w:bottom w:val="single" w:sz="4" w:space="0" w:color="FFFFFF"/>
              <w:right w:val="single" w:sz="4" w:space="0" w:color="FFFFFF"/>
            </w:tcBorders>
            <w:shd w:val="clear" w:color="000000" w:fill="EAF0E0"/>
            <w:noWrap/>
            <w:vAlign w:val="bottom"/>
            <w:hideMark/>
          </w:tcPr>
          <w:p w14:paraId="63CFA5FF" w14:textId="77777777" w:rsidR="006E0321" w:rsidRPr="00C95492" w:rsidRDefault="006E0321" w:rsidP="00E12DBE">
            <w:pPr>
              <w:spacing w:before="40" w:after="40"/>
              <w:rPr>
                <w:sz w:val="18"/>
                <w:szCs w:val="18"/>
                <w:lang w:val="en-US"/>
              </w:rPr>
            </w:pPr>
            <w:r w:rsidRPr="00C95492">
              <w:rPr>
                <w:sz w:val="18"/>
                <w:szCs w:val="18"/>
                <w:lang w:val="en-US"/>
              </w:rPr>
              <w:t>70.81</w:t>
            </w:r>
          </w:p>
        </w:tc>
      </w:tr>
      <w:tr w:rsidR="006E0321" w:rsidRPr="00C95492" w14:paraId="5C266A19"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5C5D5802" w14:textId="3C400739"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0406386B" w14:textId="77777777" w:rsidR="006E0321" w:rsidRPr="00C95492" w:rsidRDefault="006E0321" w:rsidP="00E12DBE">
            <w:pPr>
              <w:spacing w:before="40" w:after="40"/>
              <w:rPr>
                <w:sz w:val="18"/>
                <w:szCs w:val="18"/>
                <w:lang w:val="en-US"/>
              </w:rPr>
            </w:pPr>
            <w:r w:rsidRPr="00C95492">
              <w:rPr>
                <w:sz w:val="18"/>
                <w:szCs w:val="18"/>
                <w:lang w:val="en-US"/>
              </w:rPr>
              <w:t>1.48</w:t>
            </w:r>
          </w:p>
        </w:tc>
        <w:tc>
          <w:tcPr>
            <w:tcW w:w="1158" w:type="dxa"/>
            <w:tcBorders>
              <w:top w:val="nil"/>
              <w:left w:val="nil"/>
              <w:bottom w:val="single" w:sz="4" w:space="0" w:color="FFFFFF"/>
              <w:right w:val="single" w:sz="4" w:space="0" w:color="FFFFFF"/>
            </w:tcBorders>
            <w:shd w:val="clear" w:color="000000" w:fill="EAF0E0"/>
            <w:noWrap/>
            <w:vAlign w:val="bottom"/>
            <w:hideMark/>
          </w:tcPr>
          <w:p w14:paraId="7DAF25BA"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43474E00" w14:textId="77777777" w:rsidR="006E0321" w:rsidRPr="00C95492" w:rsidRDefault="006E0321" w:rsidP="00E12DBE">
            <w:pPr>
              <w:spacing w:before="40" w:after="40"/>
              <w:rPr>
                <w:sz w:val="18"/>
                <w:szCs w:val="18"/>
                <w:lang w:val="en-US"/>
              </w:rPr>
            </w:pPr>
            <w:r w:rsidRPr="00C95492">
              <w:rPr>
                <w:sz w:val="18"/>
                <w:szCs w:val="18"/>
                <w:lang w:val="en-US"/>
              </w:rPr>
              <w:t>10.01</w:t>
            </w:r>
          </w:p>
        </w:tc>
        <w:tc>
          <w:tcPr>
            <w:tcW w:w="1157" w:type="dxa"/>
            <w:tcBorders>
              <w:top w:val="nil"/>
              <w:left w:val="nil"/>
              <w:bottom w:val="single" w:sz="4" w:space="0" w:color="FFFFFF"/>
              <w:right w:val="single" w:sz="4" w:space="0" w:color="FFFFFF"/>
            </w:tcBorders>
            <w:shd w:val="clear" w:color="000000" w:fill="EAF0E0"/>
            <w:noWrap/>
            <w:vAlign w:val="bottom"/>
            <w:hideMark/>
          </w:tcPr>
          <w:p w14:paraId="2188328A" w14:textId="77777777" w:rsidR="006E0321" w:rsidRPr="00C95492" w:rsidRDefault="006E0321" w:rsidP="00E12DBE">
            <w:pPr>
              <w:spacing w:before="40" w:after="40"/>
              <w:rPr>
                <w:sz w:val="18"/>
                <w:szCs w:val="18"/>
                <w:lang w:val="en-US"/>
              </w:rPr>
            </w:pPr>
            <w:r w:rsidRPr="00C95492">
              <w:rPr>
                <w:sz w:val="18"/>
                <w:szCs w:val="18"/>
                <w:lang w:val="en-US"/>
              </w:rPr>
              <w:t>1.95</w:t>
            </w:r>
          </w:p>
        </w:tc>
        <w:tc>
          <w:tcPr>
            <w:tcW w:w="1158" w:type="dxa"/>
            <w:tcBorders>
              <w:top w:val="nil"/>
              <w:left w:val="nil"/>
              <w:bottom w:val="single" w:sz="4" w:space="0" w:color="FFFFFF"/>
              <w:right w:val="single" w:sz="4" w:space="0" w:color="FFFFFF"/>
            </w:tcBorders>
            <w:shd w:val="clear" w:color="000000" w:fill="EAF0E0"/>
            <w:noWrap/>
            <w:vAlign w:val="bottom"/>
            <w:hideMark/>
          </w:tcPr>
          <w:p w14:paraId="01079820" w14:textId="77777777" w:rsidR="006E0321" w:rsidRPr="00C95492" w:rsidRDefault="006E0321" w:rsidP="00E12DBE">
            <w:pPr>
              <w:spacing w:before="40" w:after="40"/>
              <w:rPr>
                <w:sz w:val="18"/>
                <w:szCs w:val="18"/>
                <w:lang w:val="en-US"/>
              </w:rPr>
            </w:pPr>
            <w:r w:rsidRPr="00C95492">
              <w:rPr>
                <w:sz w:val="18"/>
                <w:szCs w:val="18"/>
                <w:lang w:val="en-US"/>
              </w:rPr>
              <w:t>11.78</w:t>
            </w:r>
          </w:p>
        </w:tc>
        <w:tc>
          <w:tcPr>
            <w:tcW w:w="1158" w:type="dxa"/>
            <w:tcBorders>
              <w:top w:val="nil"/>
              <w:left w:val="nil"/>
              <w:bottom w:val="single" w:sz="4" w:space="0" w:color="FFFFFF"/>
              <w:right w:val="single" w:sz="4" w:space="0" w:color="FFFFFF"/>
            </w:tcBorders>
            <w:shd w:val="clear" w:color="000000" w:fill="EAF0E0"/>
            <w:noWrap/>
            <w:vAlign w:val="bottom"/>
            <w:hideMark/>
          </w:tcPr>
          <w:p w14:paraId="1B63BBC0" w14:textId="77777777" w:rsidR="006E0321" w:rsidRPr="00C95492" w:rsidRDefault="006E0321" w:rsidP="00E12DBE">
            <w:pPr>
              <w:spacing w:before="40" w:after="40"/>
              <w:rPr>
                <w:sz w:val="18"/>
                <w:szCs w:val="18"/>
                <w:lang w:val="en-US"/>
              </w:rPr>
            </w:pPr>
            <w:r w:rsidRPr="00C95492">
              <w:rPr>
                <w:sz w:val="18"/>
                <w:szCs w:val="18"/>
                <w:lang w:val="en-US"/>
              </w:rPr>
              <w:t>82.59</w:t>
            </w:r>
          </w:p>
        </w:tc>
      </w:tr>
      <w:tr w:rsidR="006E0321" w:rsidRPr="00C95492" w14:paraId="5B16AB82"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8C13303" w14:textId="1CB2AECC" w:rsidR="006E0321" w:rsidRPr="00C95492" w:rsidRDefault="00FB69E7" w:rsidP="00E12DBE">
            <w:pPr>
              <w:spacing w:before="40" w:after="40"/>
              <w:rPr>
                <w:b/>
                <w:bCs/>
                <w:color w:val="FFFFFF" w:themeColor="background1"/>
                <w:sz w:val="18"/>
                <w:szCs w:val="18"/>
                <w:lang w:val="en-US"/>
              </w:rPr>
            </w:pPr>
            <w:r>
              <w:rPr>
                <w:b/>
                <w:bCs/>
                <w:color w:val="FFFFFF" w:themeColor="background1"/>
                <w:sz w:val="18"/>
                <w:szCs w:val="18"/>
                <w:lang w:val="en-US"/>
              </w:rPr>
              <w:t>carp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36CEC7DE" w14:textId="77777777" w:rsidR="006E0321" w:rsidRPr="00C95492" w:rsidRDefault="006E0321" w:rsidP="00E12DBE">
            <w:pPr>
              <w:spacing w:before="40" w:after="40"/>
              <w:rPr>
                <w:sz w:val="18"/>
                <w:szCs w:val="18"/>
                <w:lang w:val="en-US"/>
              </w:rPr>
            </w:pPr>
            <w:r w:rsidRPr="00C95492">
              <w:rPr>
                <w:sz w:val="18"/>
                <w:szCs w:val="18"/>
                <w:lang w:val="en-US"/>
              </w:rPr>
              <w:t>1.35</w:t>
            </w:r>
          </w:p>
        </w:tc>
        <w:tc>
          <w:tcPr>
            <w:tcW w:w="1158" w:type="dxa"/>
            <w:tcBorders>
              <w:top w:val="nil"/>
              <w:left w:val="nil"/>
              <w:bottom w:val="single" w:sz="4" w:space="0" w:color="FFFFFF"/>
              <w:right w:val="single" w:sz="4" w:space="0" w:color="FFFFFF"/>
            </w:tcBorders>
            <w:shd w:val="clear" w:color="000000" w:fill="EAF0E0"/>
            <w:noWrap/>
            <w:vAlign w:val="bottom"/>
            <w:hideMark/>
          </w:tcPr>
          <w:p w14:paraId="35D657F5" w14:textId="77777777" w:rsidR="006E0321" w:rsidRPr="00C95492" w:rsidRDefault="006E0321" w:rsidP="00E12DBE">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7AF91057" w14:textId="77777777" w:rsidR="006E0321" w:rsidRPr="00C95492" w:rsidRDefault="006E0321" w:rsidP="00E12DBE">
            <w:pPr>
              <w:spacing w:before="40" w:after="40"/>
              <w:rPr>
                <w:sz w:val="18"/>
                <w:szCs w:val="18"/>
                <w:lang w:val="en-US"/>
              </w:rPr>
            </w:pPr>
            <w:r w:rsidRPr="00C95492">
              <w:rPr>
                <w:sz w:val="18"/>
                <w:szCs w:val="18"/>
                <w:lang w:val="en-US"/>
              </w:rPr>
              <w:t>9.07</w:t>
            </w:r>
          </w:p>
        </w:tc>
        <w:tc>
          <w:tcPr>
            <w:tcW w:w="1157" w:type="dxa"/>
            <w:tcBorders>
              <w:top w:val="nil"/>
              <w:left w:val="nil"/>
              <w:bottom w:val="single" w:sz="4" w:space="0" w:color="FFFFFF"/>
              <w:right w:val="single" w:sz="4" w:space="0" w:color="FFFFFF"/>
            </w:tcBorders>
            <w:shd w:val="clear" w:color="000000" w:fill="EAF0E0"/>
            <w:noWrap/>
            <w:vAlign w:val="bottom"/>
            <w:hideMark/>
          </w:tcPr>
          <w:p w14:paraId="3FF4DE9B" w14:textId="77777777" w:rsidR="006E0321" w:rsidRPr="00C95492" w:rsidRDefault="006E0321" w:rsidP="00E12DBE">
            <w:pPr>
              <w:spacing w:before="40" w:after="40"/>
              <w:rPr>
                <w:sz w:val="18"/>
                <w:szCs w:val="18"/>
                <w:lang w:val="en-US"/>
              </w:rPr>
            </w:pPr>
            <w:r w:rsidRPr="00C95492">
              <w:rPr>
                <w:sz w:val="18"/>
                <w:szCs w:val="18"/>
                <w:lang w:val="en-US"/>
              </w:rPr>
              <w:t>3.67</w:t>
            </w:r>
          </w:p>
        </w:tc>
        <w:tc>
          <w:tcPr>
            <w:tcW w:w="1158" w:type="dxa"/>
            <w:tcBorders>
              <w:top w:val="nil"/>
              <w:left w:val="nil"/>
              <w:bottom w:val="single" w:sz="4" w:space="0" w:color="FFFFFF"/>
              <w:right w:val="single" w:sz="4" w:space="0" w:color="FFFFFF"/>
            </w:tcBorders>
            <w:shd w:val="clear" w:color="000000" w:fill="EAF0E0"/>
            <w:noWrap/>
            <w:vAlign w:val="bottom"/>
            <w:hideMark/>
          </w:tcPr>
          <w:p w14:paraId="300CA3AC" w14:textId="77777777" w:rsidR="006E0321" w:rsidRPr="00C95492" w:rsidRDefault="006E0321" w:rsidP="00E12DBE">
            <w:pPr>
              <w:spacing w:before="40" w:after="40"/>
              <w:rPr>
                <w:sz w:val="18"/>
                <w:szCs w:val="18"/>
                <w:lang w:val="en-US"/>
              </w:rPr>
            </w:pPr>
            <w:r w:rsidRPr="00C95492">
              <w:rPr>
                <w:sz w:val="18"/>
                <w:szCs w:val="18"/>
                <w:lang w:val="en-US"/>
              </w:rPr>
              <w:t>10.68</w:t>
            </w:r>
          </w:p>
        </w:tc>
        <w:tc>
          <w:tcPr>
            <w:tcW w:w="1158" w:type="dxa"/>
            <w:tcBorders>
              <w:top w:val="nil"/>
              <w:left w:val="nil"/>
              <w:bottom w:val="single" w:sz="4" w:space="0" w:color="FFFFFF"/>
              <w:right w:val="single" w:sz="4" w:space="0" w:color="FFFFFF"/>
            </w:tcBorders>
            <w:shd w:val="clear" w:color="000000" w:fill="EAF0E0"/>
            <w:noWrap/>
            <w:vAlign w:val="bottom"/>
            <w:hideMark/>
          </w:tcPr>
          <w:p w14:paraId="6FEFBC46" w14:textId="77777777" w:rsidR="006E0321" w:rsidRPr="00C95492" w:rsidRDefault="006E0321" w:rsidP="00E12DBE">
            <w:pPr>
              <w:spacing w:before="40" w:after="40"/>
              <w:rPr>
                <w:sz w:val="18"/>
                <w:szCs w:val="18"/>
                <w:lang w:val="en-US"/>
              </w:rPr>
            </w:pPr>
            <w:r w:rsidRPr="00C95492">
              <w:rPr>
                <w:sz w:val="18"/>
                <w:szCs w:val="18"/>
                <w:lang w:val="en-US"/>
              </w:rPr>
              <w:t>93.27</w:t>
            </w:r>
          </w:p>
        </w:tc>
      </w:tr>
    </w:tbl>
    <w:p w14:paraId="49FE2B3A" w14:textId="77777777" w:rsidR="00423EE8" w:rsidRDefault="00423EE8" w:rsidP="006E0321">
      <w:pPr>
        <w:spacing w:before="0" w:after="0"/>
        <w:rPr>
          <w:sz w:val="22"/>
          <w:szCs w:val="18"/>
          <w:lang w:val="en-US"/>
        </w:rPr>
      </w:pPr>
    </w:p>
    <w:p w14:paraId="795A4F77" w14:textId="77777777" w:rsidR="00423EE8" w:rsidRDefault="00423EE8">
      <w:pPr>
        <w:spacing w:before="0" w:after="0"/>
        <w:rPr>
          <w:sz w:val="22"/>
          <w:szCs w:val="18"/>
          <w:lang w:val="en-US"/>
        </w:rPr>
      </w:pPr>
      <w:r>
        <w:rPr>
          <w:sz w:val="22"/>
          <w:szCs w:val="18"/>
          <w:lang w:val="en-US"/>
        </w:rPr>
        <w:br w:type="page"/>
      </w:r>
    </w:p>
    <w:p w14:paraId="741C3424" w14:textId="36CD3440" w:rsidR="006E0321" w:rsidRPr="00C95492" w:rsidRDefault="006E0321" w:rsidP="006E0321">
      <w:pPr>
        <w:spacing w:before="0" w:after="0"/>
        <w:rPr>
          <w:sz w:val="22"/>
          <w:szCs w:val="18"/>
          <w:lang w:val="en-US"/>
        </w:rPr>
      </w:pPr>
      <w:r w:rsidRPr="00C95492">
        <w:rPr>
          <w:sz w:val="22"/>
          <w:szCs w:val="18"/>
          <w:lang w:val="en-US"/>
        </w:rPr>
        <w:t>Groups 2014 &amp; 2017</w:t>
      </w:r>
    </w:p>
    <w:p w14:paraId="790937D2" w14:textId="77777777" w:rsidR="006E0321" w:rsidRPr="00C95492" w:rsidRDefault="006E0321" w:rsidP="006E0321">
      <w:pPr>
        <w:spacing w:before="0" w:after="0"/>
        <w:rPr>
          <w:sz w:val="22"/>
          <w:szCs w:val="18"/>
          <w:lang w:val="en-US"/>
        </w:rPr>
      </w:pPr>
      <w:r w:rsidRPr="00C95492">
        <w:rPr>
          <w:sz w:val="22"/>
          <w:szCs w:val="18"/>
          <w:lang w:val="en-US"/>
        </w:rPr>
        <w:t>Average dissimilarity = 47.79</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486F8808"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71AF5F1C"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FE09DB2"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2014</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70E9E7E"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2017</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6E2FFBF"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D7A1029"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ECAE38F"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888F017"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1A1026D6"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79C28766" w14:textId="77777777" w:rsidR="006E0321" w:rsidRPr="00C95492" w:rsidRDefault="006E0321" w:rsidP="00720A6F">
            <w:pPr>
              <w:spacing w:before="40" w:afterLines="40" w:after="96"/>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36D154DB" w14:textId="41903D1E"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17B138B1" w14:textId="7C70511B"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4D89DB2"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05265C68"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2BB3B1BD"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27B65CBB" w14:textId="77777777" w:rsidR="006E0321" w:rsidRPr="00C95492" w:rsidRDefault="006E0321" w:rsidP="00720A6F">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6E0321" w:rsidRPr="00C95492" w14:paraId="7FC19205"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8AE9C5B" w14:textId="6A8BC6E7" w:rsidR="006E0321" w:rsidRPr="00C95492" w:rsidRDefault="00FB69E7" w:rsidP="000B1968">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5DB14D3D" w14:textId="77777777" w:rsidR="006E0321" w:rsidRPr="00C95492" w:rsidRDefault="006E0321" w:rsidP="000B1968">
            <w:pPr>
              <w:spacing w:before="40" w:after="40"/>
              <w:rPr>
                <w:sz w:val="18"/>
                <w:szCs w:val="18"/>
                <w:lang w:val="en-US"/>
              </w:rPr>
            </w:pPr>
            <w:r w:rsidRPr="00C95492">
              <w:rPr>
                <w:sz w:val="18"/>
                <w:szCs w:val="18"/>
                <w:lang w:val="en-US"/>
              </w:rPr>
              <w:t>1.71</w:t>
            </w:r>
          </w:p>
        </w:tc>
        <w:tc>
          <w:tcPr>
            <w:tcW w:w="1158" w:type="dxa"/>
            <w:tcBorders>
              <w:top w:val="nil"/>
              <w:left w:val="nil"/>
              <w:bottom w:val="single" w:sz="4" w:space="0" w:color="FFFFFF"/>
              <w:right w:val="single" w:sz="4" w:space="0" w:color="FFFFFF"/>
            </w:tcBorders>
            <w:shd w:val="clear" w:color="000000" w:fill="EAF0E0"/>
            <w:noWrap/>
            <w:vAlign w:val="bottom"/>
            <w:hideMark/>
          </w:tcPr>
          <w:p w14:paraId="75ECF280" w14:textId="77777777" w:rsidR="006E0321" w:rsidRPr="00C95492" w:rsidRDefault="006E0321" w:rsidP="000B1968">
            <w:pPr>
              <w:spacing w:before="40" w:after="40"/>
              <w:rPr>
                <w:sz w:val="18"/>
                <w:szCs w:val="18"/>
                <w:lang w:val="en-US"/>
              </w:rPr>
            </w:pPr>
            <w:r w:rsidRPr="00C95492">
              <w:rPr>
                <w:sz w:val="18"/>
                <w:szCs w:val="18"/>
                <w:lang w:val="en-US"/>
              </w:rPr>
              <w:t>5.44</w:t>
            </w:r>
          </w:p>
        </w:tc>
        <w:tc>
          <w:tcPr>
            <w:tcW w:w="1158" w:type="dxa"/>
            <w:tcBorders>
              <w:top w:val="nil"/>
              <w:left w:val="nil"/>
              <w:bottom w:val="single" w:sz="4" w:space="0" w:color="FFFFFF"/>
              <w:right w:val="single" w:sz="4" w:space="0" w:color="FFFFFF"/>
            </w:tcBorders>
            <w:shd w:val="clear" w:color="000000" w:fill="EAF0E0"/>
            <w:noWrap/>
            <w:vAlign w:val="bottom"/>
            <w:hideMark/>
          </w:tcPr>
          <w:p w14:paraId="1E20146F" w14:textId="77777777" w:rsidR="006E0321" w:rsidRPr="00C95492" w:rsidRDefault="006E0321" w:rsidP="000B1968">
            <w:pPr>
              <w:spacing w:before="40" w:after="40"/>
              <w:rPr>
                <w:sz w:val="18"/>
                <w:szCs w:val="18"/>
                <w:lang w:val="en-US"/>
              </w:rPr>
            </w:pPr>
            <w:r w:rsidRPr="00C95492">
              <w:rPr>
                <w:sz w:val="18"/>
                <w:szCs w:val="18"/>
                <w:lang w:val="en-US"/>
              </w:rPr>
              <w:t>16.55</w:t>
            </w:r>
          </w:p>
        </w:tc>
        <w:tc>
          <w:tcPr>
            <w:tcW w:w="1157" w:type="dxa"/>
            <w:tcBorders>
              <w:top w:val="nil"/>
              <w:left w:val="nil"/>
              <w:bottom w:val="single" w:sz="4" w:space="0" w:color="FFFFFF"/>
              <w:right w:val="single" w:sz="4" w:space="0" w:color="FFFFFF"/>
            </w:tcBorders>
            <w:shd w:val="clear" w:color="000000" w:fill="EAF0E0"/>
            <w:noWrap/>
            <w:vAlign w:val="bottom"/>
            <w:hideMark/>
          </w:tcPr>
          <w:p w14:paraId="4FBCAA95" w14:textId="77777777" w:rsidR="006E0321" w:rsidRPr="00C95492" w:rsidRDefault="006E0321" w:rsidP="000B1968">
            <w:pPr>
              <w:spacing w:before="40" w:after="40"/>
              <w:rPr>
                <w:sz w:val="18"/>
                <w:szCs w:val="18"/>
                <w:lang w:val="en-US"/>
              </w:rPr>
            </w:pPr>
            <w:r w:rsidRPr="00C95492">
              <w:rPr>
                <w:sz w:val="18"/>
                <w:szCs w:val="18"/>
                <w:lang w:val="en-US"/>
              </w:rPr>
              <w:t>2.39</w:t>
            </w:r>
          </w:p>
        </w:tc>
        <w:tc>
          <w:tcPr>
            <w:tcW w:w="1158" w:type="dxa"/>
            <w:tcBorders>
              <w:top w:val="nil"/>
              <w:left w:val="nil"/>
              <w:bottom w:val="single" w:sz="4" w:space="0" w:color="FFFFFF"/>
              <w:right w:val="single" w:sz="4" w:space="0" w:color="FFFFFF"/>
            </w:tcBorders>
            <w:shd w:val="clear" w:color="000000" w:fill="EAF0E0"/>
            <w:noWrap/>
            <w:vAlign w:val="bottom"/>
            <w:hideMark/>
          </w:tcPr>
          <w:p w14:paraId="13E9022E" w14:textId="77777777" w:rsidR="006E0321" w:rsidRPr="00C95492" w:rsidRDefault="006E0321" w:rsidP="000B1968">
            <w:pPr>
              <w:spacing w:before="40" w:after="40"/>
              <w:rPr>
                <w:sz w:val="18"/>
                <w:szCs w:val="18"/>
                <w:lang w:val="en-US"/>
              </w:rPr>
            </w:pPr>
            <w:r w:rsidRPr="00C95492">
              <w:rPr>
                <w:sz w:val="18"/>
                <w:szCs w:val="18"/>
                <w:lang w:val="en-US"/>
              </w:rPr>
              <w:t>34.63</w:t>
            </w:r>
          </w:p>
        </w:tc>
        <w:tc>
          <w:tcPr>
            <w:tcW w:w="1158" w:type="dxa"/>
            <w:tcBorders>
              <w:top w:val="nil"/>
              <w:left w:val="nil"/>
              <w:bottom w:val="single" w:sz="4" w:space="0" w:color="FFFFFF"/>
              <w:right w:val="single" w:sz="4" w:space="0" w:color="FFFFFF"/>
            </w:tcBorders>
            <w:shd w:val="clear" w:color="000000" w:fill="EAF0E0"/>
            <w:noWrap/>
            <w:vAlign w:val="bottom"/>
            <w:hideMark/>
          </w:tcPr>
          <w:p w14:paraId="6D054F56" w14:textId="77777777" w:rsidR="006E0321" w:rsidRPr="00C95492" w:rsidRDefault="006E0321" w:rsidP="000B1968">
            <w:pPr>
              <w:spacing w:before="40" w:after="40"/>
              <w:rPr>
                <w:sz w:val="18"/>
                <w:szCs w:val="18"/>
                <w:lang w:val="en-US"/>
              </w:rPr>
            </w:pPr>
            <w:r w:rsidRPr="00C95492">
              <w:rPr>
                <w:sz w:val="18"/>
                <w:szCs w:val="18"/>
                <w:lang w:val="en-US"/>
              </w:rPr>
              <w:t>34.63</w:t>
            </w:r>
          </w:p>
        </w:tc>
      </w:tr>
      <w:tr w:rsidR="006E0321" w:rsidRPr="00C95492" w14:paraId="17085C34"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00BCCB7" w14:textId="5D26BD93" w:rsidR="006E0321" w:rsidRPr="00C95492" w:rsidRDefault="00FB69E7" w:rsidP="000B1968">
            <w:pPr>
              <w:spacing w:before="40" w:after="40"/>
              <w:rPr>
                <w:b/>
                <w:bCs/>
                <w:color w:val="FFFFFF" w:themeColor="background1"/>
                <w:sz w:val="18"/>
                <w:szCs w:val="18"/>
                <w:lang w:val="en-US"/>
              </w:rPr>
            </w:pPr>
            <w:r>
              <w:rPr>
                <w:b/>
                <w:bCs/>
                <w:color w:val="FFFFFF" w:themeColor="background1"/>
                <w:sz w:val="18"/>
                <w:szCs w:val="18"/>
                <w:lang w:val="en-US"/>
              </w:rPr>
              <w:t>common carp</w:t>
            </w:r>
          </w:p>
        </w:tc>
        <w:tc>
          <w:tcPr>
            <w:tcW w:w="1157" w:type="dxa"/>
            <w:tcBorders>
              <w:top w:val="nil"/>
              <w:left w:val="nil"/>
              <w:bottom w:val="single" w:sz="4" w:space="0" w:color="FFFFFF"/>
              <w:right w:val="single" w:sz="4" w:space="0" w:color="FFFFFF"/>
            </w:tcBorders>
            <w:shd w:val="clear" w:color="000000" w:fill="EAF0E0"/>
            <w:noWrap/>
            <w:vAlign w:val="bottom"/>
            <w:hideMark/>
          </w:tcPr>
          <w:p w14:paraId="1FB96EE9" w14:textId="77777777" w:rsidR="006E0321" w:rsidRPr="00C95492" w:rsidRDefault="006E0321" w:rsidP="000B1968">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27E09FBC" w14:textId="77777777" w:rsidR="006E0321" w:rsidRPr="00C95492" w:rsidRDefault="006E0321" w:rsidP="000B1968">
            <w:pPr>
              <w:spacing w:before="40" w:after="40"/>
              <w:rPr>
                <w:sz w:val="18"/>
                <w:szCs w:val="18"/>
                <w:lang w:val="en-US"/>
              </w:rPr>
            </w:pPr>
            <w:r w:rsidRPr="00C95492">
              <w:rPr>
                <w:sz w:val="18"/>
                <w:szCs w:val="18"/>
                <w:lang w:val="en-US"/>
              </w:rPr>
              <w:t>2.46</w:t>
            </w:r>
          </w:p>
        </w:tc>
        <w:tc>
          <w:tcPr>
            <w:tcW w:w="1158" w:type="dxa"/>
            <w:tcBorders>
              <w:top w:val="nil"/>
              <w:left w:val="nil"/>
              <w:bottom w:val="single" w:sz="4" w:space="0" w:color="FFFFFF"/>
              <w:right w:val="single" w:sz="4" w:space="0" w:color="FFFFFF"/>
            </w:tcBorders>
            <w:shd w:val="clear" w:color="000000" w:fill="EAF0E0"/>
            <w:noWrap/>
            <w:vAlign w:val="bottom"/>
            <w:hideMark/>
          </w:tcPr>
          <w:p w14:paraId="6F5CC6E3" w14:textId="77777777" w:rsidR="006E0321" w:rsidRPr="00C95492" w:rsidRDefault="006E0321" w:rsidP="000B1968">
            <w:pPr>
              <w:spacing w:before="40" w:after="40"/>
              <w:rPr>
                <w:sz w:val="18"/>
                <w:szCs w:val="18"/>
                <w:lang w:val="en-US"/>
              </w:rPr>
            </w:pPr>
            <w:r w:rsidRPr="00C95492">
              <w:rPr>
                <w:sz w:val="18"/>
                <w:szCs w:val="18"/>
                <w:lang w:val="en-US"/>
              </w:rPr>
              <w:t>10.36</w:t>
            </w:r>
          </w:p>
        </w:tc>
        <w:tc>
          <w:tcPr>
            <w:tcW w:w="1157" w:type="dxa"/>
            <w:tcBorders>
              <w:top w:val="nil"/>
              <w:left w:val="nil"/>
              <w:bottom w:val="single" w:sz="4" w:space="0" w:color="FFFFFF"/>
              <w:right w:val="single" w:sz="4" w:space="0" w:color="FFFFFF"/>
            </w:tcBorders>
            <w:shd w:val="clear" w:color="000000" w:fill="EAF0E0"/>
            <w:noWrap/>
            <w:vAlign w:val="bottom"/>
            <w:hideMark/>
          </w:tcPr>
          <w:p w14:paraId="5546D944" w14:textId="77777777" w:rsidR="006E0321" w:rsidRPr="00C95492" w:rsidRDefault="006E0321" w:rsidP="000B1968">
            <w:pPr>
              <w:spacing w:before="40" w:after="40"/>
              <w:rPr>
                <w:sz w:val="18"/>
                <w:szCs w:val="18"/>
                <w:lang w:val="en-US"/>
              </w:rPr>
            </w:pPr>
            <w:r w:rsidRPr="00C95492">
              <w:rPr>
                <w:sz w:val="18"/>
                <w:szCs w:val="18"/>
                <w:lang w:val="en-US"/>
              </w:rPr>
              <w:t>1.94</w:t>
            </w:r>
          </w:p>
        </w:tc>
        <w:tc>
          <w:tcPr>
            <w:tcW w:w="1158" w:type="dxa"/>
            <w:tcBorders>
              <w:top w:val="nil"/>
              <w:left w:val="nil"/>
              <w:bottom w:val="single" w:sz="4" w:space="0" w:color="FFFFFF"/>
              <w:right w:val="single" w:sz="4" w:space="0" w:color="FFFFFF"/>
            </w:tcBorders>
            <w:shd w:val="clear" w:color="000000" w:fill="EAF0E0"/>
            <w:noWrap/>
            <w:vAlign w:val="bottom"/>
            <w:hideMark/>
          </w:tcPr>
          <w:p w14:paraId="1A09E7A3" w14:textId="77777777" w:rsidR="006E0321" w:rsidRPr="00C95492" w:rsidRDefault="006E0321" w:rsidP="000B1968">
            <w:pPr>
              <w:spacing w:before="40" w:after="40"/>
              <w:rPr>
                <w:sz w:val="18"/>
                <w:szCs w:val="18"/>
                <w:lang w:val="en-US"/>
              </w:rPr>
            </w:pPr>
            <w:r w:rsidRPr="00C95492">
              <w:rPr>
                <w:sz w:val="18"/>
                <w:szCs w:val="18"/>
                <w:lang w:val="en-US"/>
              </w:rPr>
              <w:t>21.68</w:t>
            </w:r>
          </w:p>
        </w:tc>
        <w:tc>
          <w:tcPr>
            <w:tcW w:w="1158" w:type="dxa"/>
            <w:tcBorders>
              <w:top w:val="nil"/>
              <w:left w:val="nil"/>
              <w:bottom w:val="single" w:sz="4" w:space="0" w:color="FFFFFF"/>
              <w:right w:val="single" w:sz="4" w:space="0" w:color="FFFFFF"/>
            </w:tcBorders>
            <w:shd w:val="clear" w:color="000000" w:fill="EAF0E0"/>
            <w:noWrap/>
            <w:vAlign w:val="bottom"/>
            <w:hideMark/>
          </w:tcPr>
          <w:p w14:paraId="09081B34" w14:textId="77777777" w:rsidR="006E0321" w:rsidRPr="00C95492" w:rsidRDefault="006E0321" w:rsidP="000B1968">
            <w:pPr>
              <w:spacing w:before="40" w:after="40"/>
              <w:rPr>
                <w:sz w:val="18"/>
                <w:szCs w:val="18"/>
                <w:lang w:val="en-US"/>
              </w:rPr>
            </w:pPr>
            <w:r w:rsidRPr="00C95492">
              <w:rPr>
                <w:sz w:val="18"/>
                <w:szCs w:val="18"/>
                <w:lang w:val="en-US"/>
              </w:rPr>
              <w:t>56.31</w:t>
            </w:r>
          </w:p>
        </w:tc>
      </w:tr>
      <w:tr w:rsidR="006E0321" w:rsidRPr="00C95492" w14:paraId="0E5EC8CB"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6C60737" w14:textId="4BF77207" w:rsidR="006E0321" w:rsidRPr="00C95492" w:rsidRDefault="00423EE8" w:rsidP="000B1968">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660F9807" w14:textId="77777777" w:rsidR="006E0321" w:rsidRPr="00C95492" w:rsidRDefault="006E0321" w:rsidP="000B1968">
            <w:pPr>
              <w:spacing w:before="40" w:after="40"/>
              <w:rPr>
                <w:sz w:val="18"/>
                <w:szCs w:val="18"/>
                <w:lang w:val="en-US"/>
              </w:rPr>
            </w:pPr>
            <w:r w:rsidRPr="00C95492">
              <w:rPr>
                <w:sz w:val="18"/>
                <w:szCs w:val="18"/>
                <w:lang w:val="en-US"/>
              </w:rPr>
              <w:t>3.41</w:t>
            </w:r>
          </w:p>
        </w:tc>
        <w:tc>
          <w:tcPr>
            <w:tcW w:w="1158" w:type="dxa"/>
            <w:tcBorders>
              <w:top w:val="nil"/>
              <w:left w:val="nil"/>
              <w:bottom w:val="single" w:sz="4" w:space="0" w:color="FFFFFF"/>
              <w:right w:val="single" w:sz="4" w:space="0" w:color="FFFFFF"/>
            </w:tcBorders>
            <w:shd w:val="clear" w:color="000000" w:fill="EAF0E0"/>
            <w:noWrap/>
            <w:vAlign w:val="bottom"/>
            <w:hideMark/>
          </w:tcPr>
          <w:p w14:paraId="7F483695" w14:textId="77777777" w:rsidR="006E0321" w:rsidRPr="00C95492" w:rsidRDefault="006E0321" w:rsidP="000B1968">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1062DD81" w14:textId="77777777" w:rsidR="006E0321" w:rsidRPr="00C95492" w:rsidRDefault="006E0321" w:rsidP="000B1968">
            <w:pPr>
              <w:spacing w:before="40" w:after="40"/>
              <w:rPr>
                <w:sz w:val="18"/>
                <w:szCs w:val="18"/>
                <w:lang w:val="en-US"/>
              </w:rPr>
            </w:pPr>
            <w:r w:rsidRPr="00C95492">
              <w:rPr>
                <w:sz w:val="18"/>
                <w:szCs w:val="18"/>
                <w:lang w:val="en-US"/>
              </w:rPr>
              <w:t>6.9</w:t>
            </w:r>
          </w:p>
        </w:tc>
        <w:tc>
          <w:tcPr>
            <w:tcW w:w="1157" w:type="dxa"/>
            <w:tcBorders>
              <w:top w:val="nil"/>
              <w:left w:val="nil"/>
              <w:bottom w:val="single" w:sz="4" w:space="0" w:color="FFFFFF"/>
              <w:right w:val="single" w:sz="4" w:space="0" w:color="FFFFFF"/>
            </w:tcBorders>
            <w:shd w:val="clear" w:color="000000" w:fill="EAF0E0"/>
            <w:noWrap/>
            <w:vAlign w:val="bottom"/>
            <w:hideMark/>
          </w:tcPr>
          <w:p w14:paraId="3BD85C94" w14:textId="77777777" w:rsidR="006E0321" w:rsidRPr="00C95492" w:rsidRDefault="006E0321" w:rsidP="000B1968">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766474E0" w14:textId="77777777" w:rsidR="006E0321" w:rsidRPr="00C95492" w:rsidRDefault="006E0321" w:rsidP="000B1968">
            <w:pPr>
              <w:spacing w:before="40" w:after="40"/>
              <w:rPr>
                <w:sz w:val="18"/>
                <w:szCs w:val="18"/>
                <w:lang w:val="en-US"/>
              </w:rPr>
            </w:pPr>
            <w:r w:rsidRPr="00C95492">
              <w:rPr>
                <w:sz w:val="18"/>
                <w:szCs w:val="18"/>
                <w:lang w:val="en-US"/>
              </w:rPr>
              <w:t>14.43</w:t>
            </w:r>
          </w:p>
        </w:tc>
        <w:tc>
          <w:tcPr>
            <w:tcW w:w="1158" w:type="dxa"/>
            <w:tcBorders>
              <w:top w:val="nil"/>
              <w:left w:val="nil"/>
              <w:bottom w:val="single" w:sz="4" w:space="0" w:color="FFFFFF"/>
              <w:right w:val="single" w:sz="4" w:space="0" w:color="FFFFFF"/>
            </w:tcBorders>
            <w:shd w:val="clear" w:color="000000" w:fill="EAF0E0"/>
            <w:noWrap/>
            <w:vAlign w:val="bottom"/>
            <w:hideMark/>
          </w:tcPr>
          <w:p w14:paraId="06E4B0C9" w14:textId="77777777" w:rsidR="006E0321" w:rsidRPr="00C95492" w:rsidRDefault="006E0321" w:rsidP="000B1968">
            <w:pPr>
              <w:spacing w:before="40" w:after="40"/>
              <w:rPr>
                <w:sz w:val="18"/>
                <w:szCs w:val="18"/>
                <w:lang w:val="en-US"/>
              </w:rPr>
            </w:pPr>
            <w:r w:rsidRPr="00C95492">
              <w:rPr>
                <w:sz w:val="18"/>
                <w:szCs w:val="18"/>
                <w:lang w:val="en-US"/>
              </w:rPr>
              <w:t>70.75</w:t>
            </w:r>
          </w:p>
        </w:tc>
      </w:tr>
      <w:tr w:rsidR="006E0321" w:rsidRPr="00C95492" w14:paraId="6CB2B541"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549C8F1" w14:textId="38ECD3A4" w:rsidR="006E0321" w:rsidRPr="00C95492" w:rsidRDefault="00423EE8" w:rsidP="000B1968">
            <w:pPr>
              <w:spacing w:before="40" w:after="40"/>
              <w:rPr>
                <w:b/>
                <w:bCs/>
                <w:color w:val="FFFFFF" w:themeColor="background1"/>
                <w:sz w:val="18"/>
                <w:szCs w:val="18"/>
                <w:lang w:val="en-US"/>
              </w:rPr>
            </w:pPr>
            <w:r>
              <w:rPr>
                <w:b/>
                <w:bCs/>
                <w:color w:val="FFFFFF" w:themeColor="background1"/>
                <w:sz w:val="18"/>
                <w:szCs w:val="18"/>
                <w:lang w:val="en-US"/>
              </w:rPr>
              <w:t>eastern gambusia</w:t>
            </w:r>
          </w:p>
        </w:tc>
        <w:tc>
          <w:tcPr>
            <w:tcW w:w="1157" w:type="dxa"/>
            <w:tcBorders>
              <w:top w:val="nil"/>
              <w:left w:val="nil"/>
              <w:bottom w:val="single" w:sz="4" w:space="0" w:color="FFFFFF"/>
              <w:right w:val="single" w:sz="4" w:space="0" w:color="FFFFFF"/>
            </w:tcBorders>
            <w:shd w:val="clear" w:color="000000" w:fill="EAF0E0"/>
            <w:noWrap/>
            <w:vAlign w:val="bottom"/>
            <w:hideMark/>
          </w:tcPr>
          <w:p w14:paraId="5AAEC467" w14:textId="77777777" w:rsidR="006E0321" w:rsidRPr="00C95492" w:rsidRDefault="006E0321" w:rsidP="000B1968">
            <w:pPr>
              <w:spacing w:before="40" w:after="40"/>
              <w:rPr>
                <w:sz w:val="18"/>
                <w:szCs w:val="18"/>
                <w:lang w:val="en-US"/>
              </w:rPr>
            </w:pPr>
            <w:r w:rsidRPr="00C95492">
              <w:rPr>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vAlign w:val="bottom"/>
            <w:hideMark/>
          </w:tcPr>
          <w:p w14:paraId="7DB1911C" w14:textId="77777777" w:rsidR="006E0321" w:rsidRPr="00C95492" w:rsidRDefault="006E0321" w:rsidP="000B1968">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2018DC61" w14:textId="77777777" w:rsidR="006E0321" w:rsidRPr="00C95492" w:rsidRDefault="006E0321" w:rsidP="000B1968">
            <w:pPr>
              <w:spacing w:before="40" w:after="40"/>
              <w:rPr>
                <w:sz w:val="18"/>
                <w:szCs w:val="18"/>
                <w:lang w:val="en-US"/>
              </w:rPr>
            </w:pPr>
            <w:r w:rsidRPr="00C95492">
              <w:rPr>
                <w:sz w:val="18"/>
                <w:szCs w:val="18"/>
                <w:lang w:val="en-US"/>
              </w:rPr>
              <w:t>5.54</w:t>
            </w:r>
          </w:p>
        </w:tc>
        <w:tc>
          <w:tcPr>
            <w:tcW w:w="1157" w:type="dxa"/>
            <w:tcBorders>
              <w:top w:val="nil"/>
              <w:left w:val="nil"/>
              <w:bottom w:val="single" w:sz="4" w:space="0" w:color="FFFFFF"/>
              <w:right w:val="single" w:sz="4" w:space="0" w:color="FFFFFF"/>
            </w:tcBorders>
            <w:shd w:val="clear" w:color="000000" w:fill="EAF0E0"/>
            <w:noWrap/>
            <w:vAlign w:val="bottom"/>
            <w:hideMark/>
          </w:tcPr>
          <w:p w14:paraId="74CB3CCB" w14:textId="77777777" w:rsidR="006E0321" w:rsidRPr="00C95492" w:rsidRDefault="006E0321" w:rsidP="000B1968">
            <w:pPr>
              <w:spacing w:before="40" w:after="40"/>
              <w:rPr>
                <w:sz w:val="18"/>
                <w:szCs w:val="18"/>
                <w:lang w:val="en-US"/>
              </w:rPr>
            </w:pPr>
            <w:r w:rsidRPr="00C95492">
              <w:rPr>
                <w:sz w:val="18"/>
                <w:szCs w:val="18"/>
                <w:lang w:val="en-US"/>
              </w:rPr>
              <w:t>1.14</w:t>
            </w:r>
          </w:p>
        </w:tc>
        <w:tc>
          <w:tcPr>
            <w:tcW w:w="1158" w:type="dxa"/>
            <w:tcBorders>
              <w:top w:val="nil"/>
              <w:left w:val="nil"/>
              <w:bottom w:val="single" w:sz="4" w:space="0" w:color="FFFFFF"/>
              <w:right w:val="single" w:sz="4" w:space="0" w:color="FFFFFF"/>
            </w:tcBorders>
            <w:shd w:val="clear" w:color="000000" w:fill="EAF0E0"/>
            <w:noWrap/>
            <w:vAlign w:val="bottom"/>
            <w:hideMark/>
          </w:tcPr>
          <w:p w14:paraId="33E8237E" w14:textId="77777777" w:rsidR="006E0321" w:rsidRPr="00C95492" w:rsidRDefault="006E0321" w:rsidP="000B1968">
            <w:pPr>
              <w:spacing w:before="40" w:after="40"/>
              <w:rPr>
                <w:sz w:val="18"/>
                <w:szCs w:val="18"/>
                <w:lang w:val="en-US"/>
              </w:rPr>
            </w:pPr>
            <w:r w:rsidRPr="00C95492">
              <w:rPr>
                <w:sz w:val="18"/>
                <w:szCs w:val="18"/>
                <w:lang w:val="en-US"/>
              </w:rPr>
              <w:t>11.6</w:t>
            </w:r>
          </w:p>
        </w:tc>
        <w:tc>
          <w:tcPr>
            <w:tcW w:w="1158" w:type="dxa"/>
            <w:tcBorders>
              <w:top w:val="nil"/>
              <w:left w:val="nil"/>
              <w:bottom w:val="single" w:sz="4" w:space="0" w:color="FFFFFF"/>
              <w:right w:val="single" w:sz="4" w:space="0" w:color="FFFFFF"/>
            </w:tcBorders>
            <w:shd w:val="clear" w:color="000000" w:fill="EAF0E0"/>
            <w:noWrap/>
            <w:vAlign w:val="bottom"/>
            <w:hideMark/>
          </w:tcPr>
          <w:p w14:paraId="6BA67A67" w14:textId="77777777" w:rsidR="006E0321" w:rsidRPr="00C95492" w:rsidRDefault="006E0321" w:rsidP="000B1968">
            <w:pPr>
              <w:spacing w:before="40" w:after="40"/>
              <w:rPr>
                <w:sz w:val="18"/>
                <w:szCs w:val="18"/>
                <w:lang w:val="en-US"/>
              </w:rPr>
            </w:pPr>
            <w:r w:rsidRPr="00C95492">
              <w:rPr>
                <w:sz w:val="18"/>
                <w:szCs w:val="18"/>
                <w:lang w:val="en-US"/>
              </w:rPr>
              <w:t>82.35</w:t>
            </w:r>
          </w:p>
        </w:tc>
      </w:tr>
      <w:tr w:rsidR="006E0321" w:rsidRPr="00C95492" w14:paraId="0C6FAEC8"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EE077ED" w14:textId="508B034E" w:rsidR="006E0321" w:rsidRPr="00C95492" w:rsidRDefault="00FB69E7" w:rsidP="000B1968">
            <w:pPr>
              <w:spacing w:before="40" w:after="40"/>
              <w:rPr>
                <w:b/>
                <w:bCs/>
                <w:color w:val="FFFFFF" w:themeColor="background1"/>
                <w:sz w:val="18"/>
                <w:szCs w:val="18"/>
                <w:lang w:val="en-US"/>
              </w:rPr>
            </w:pPr>
            <w:r>
              <w:rPr>
                <w:b/>
                <w:bCs/>
                <w:color w:val="FFFFFF" w:themeColor="background1"/>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24657593" w14:textId="77777777" w:rsidR="006E0321" w:rsidRPr="00C95492" w:rsidRDefault="006E0321" w:rsidP="000B1968">
            <w:pPr>
              <w:spacing w:before="40" w:after="40"/>
              <w:rPr>
                <w:sz w:val="18"/>
                <w:szCs w:val="18"/>
                <w:lang w:val="en-US"/>
              </w:rPr>
            </w:pPr>
            <w:r w:rsidRPr="00C95492">
              <w:rPr>
                <w:sz w:val="18"/>
                <w:szCs w:val="18"/>
                <w:lang w:val="en-US"/>
              </w:rPr>
              <w:t>1.75</w:t>
            </w:r>
          </w:p>
        </w:tc>
        <w:tc>
          <w:tcPr>
            <w:tcW w:w="1158" w:type="dxa"/>
            <w:tcBorders>
              <w:top w:val="nil"/>
              <w:left w:val="nil"/>
              <w:bottom w:val="single" w:sz="4" w:space="0" w:color="FFFFFF"/>
              <w:right w:val="single" w:sz="4" w:space="0" w:color="FFFFFF"/>
            </w:tcBorders>
            <w:shd w:val="clear" w:color="000000" w:fill="EAF0E0"/>
            <w:noWrap/>
            <w:vAlign w:val="bottom"/>
            <w:hideMark/>
          </w:tcPr>
          <w:p w14:paraId="635C3DE6" w14:textId="77777777" w:rsidR="006E0321" w:rsidRPr="00C95492" w:rsidRDefault="006E0321" w:rsidP="000B1968">
            <w:pPr>
              <w:spacing w:before="40" w:after="40"/>
              <w:rPr>
                <w:sz w:val="18"/>
                <w:szCs w:val="18"/>
                <w:lang w:val="en-US"/>
              </w:rPr>
            </w:pPr>
            <w:r w:rsidRPr="00C95492">
              <w:rPr>
                <w:sz w:val="18"/>
                <w:szCs w:val="18"/>
                <w:lang w:val="en-US"/>
              </w:rPr>
              <w:t>2.44</w:t>
            </w:r>
          </w:p>
        </w:tc>
        <w:tc>
          <w:tcPr>
            <w:tcW w:w="1158" w:type="dxa"/>
            <w:tcBorders>
              <w:top w:val="nil"/>
              <w:left w:val="nil"/>
              <w:bottom w:val="single" w:sz="4" w:space="0" w:color="FFFFFF"/>
              <w:right w:val="single" w:sz="4" w:space="0" w:color="FFFFFF"/>
            </w:tcBorders>
            <w:shd w:val="clear" w:color="000000" w:fill="EAF0E0"/>
            <w:noWrap/>
            <w:vAlign w:val="bottom"/>
            <w:hideMark/>
          </w:tcPr>
          <w:p w14:paraId="64BF94EB" w14:textId="77777777" w:rsidR="006E0321" w:rsidRPr="00C95492" w:rsidRDefault="006E0321" w:rsidP="000B1968">
            <w:pPr>
              <w:spacing w:before="40" w:after="40"/>
              <w:rPr>
                <w:sz w:val="18"/>
                <w:szCs w:val="18"/>
                <w:lang w:val="en-US"/>
              </w:rPr>
            </w:pPr>
            <w:r w:rsidRPr="00C95492">
              <w:rPr>
                <w:sz w:val="18"/>
                <w:szCs w:val="18"/>
                <w:lang w:val="en-US"/>
              </w:rPr>
              <w:t>3.37</w:t>
            </w:r>
          </w:p>
        </w:tc>
        <w:tc>
          <w:tcPr>
            <w:tcW w:w="1157" w:type="dxa"/>
            <w:tcBorders>
              <w:top w:val="nil"/>
              <w:left w:val="nil"/>
              <w:bottom w:val="single" w:sz="4" w:space="0" w:color="FFFFFF"/>
              <w:right w:val="single" w:sz="4" w:space="0" w:color="FFFFFF"/>
            </w:tcBorders>
            <w:shd w:val="clear" w:color="000000" w:fill="EAF0E0"/>
            <w:noWrap/>
            <w:vAlign w:val="bottom"/>
            <w:hideMark/>
          </w:tcPr>
          <w:p w14:paraId="24C0D895" w14:textId="77777777" w:rsidR="006E0321" w:rsidRPr="00C95492" w:rsidRDefault="006E0321" w:rsidP="000B1968">
            <w:pPr>
              <w:spacing w:before="40" w:after="40"/>
              <w:rPr>
                <w:sz w:val="18"/>
                <w:szCs w:val="18"/>
                <w:lang w:val="en-US"/>
              </w:rPr>
            </w:pPr>
            <w:r w:rsidRPr="00C95492">
              <w:rPr>
                <w:sz w:val="18"/>
                <w:szCs w:val="18"/>
                <w:lang w:val="en-US"/>
              </w:rPr>
              <w:t>0.85</w:t>
            </w:r>
          </w:p>
        </w:tc>
        <w:tc>
          <w:tcPr>
            <w:tcW w:w="1158" w:type="dxa"/>
            <w:tcBorders>
              <w:top w:val="nil"/>
              <w:left w:val="nil"/>
              <w:bottom w:val="single" w:sz="4" w:space="0" w:color="FFFFFF"/>
              <w:right w:val="single" w:sz="4" w:space="0" w:color="FFFFFF"/>
            </w:tcBorders>
            <w:shd w:val="clear" w:color="000000" w:fill="EAF0E0"/>
            <w:noWrap/>
            <w:vAlign w:val="bottom"/>
            <w:hideMark/>
          </w:tcPr>
          <w:p w14:paraId="1541A479" w14:textId="77777777" w:rsidR="006E0321" w:rsidRPr="00C95492" w:rsidRDefault="006E0321" w:rsidP="000B1968">
            <w:pPr>
              <w:spacing w:before="40" w:after="40"/>
              <w:rPr>
                <w:sz w:val="18"/>
                <w:szCs w:val="18"/>
                <w:lang w:val="en-US"/>
              </w:rPr>
            </w:pPr>
            <w:r w:rsidRPr="00C95492">
              <w:rPr>
                <w:sz w:val="18"/>
                <w:szCs w:val="18"/>
                <w:lang w:val="en-US"/>
              </w:rPr>
              <w:t>7.04</w:t>
            </w:r>
          </w:p>
        </w:tc>
        <w:tc>
          <w:tcPr>
            <w:tcW w:w="1158" w:type="dxa"/>
            <w:tcBorders>
              <w:top w:val="nil"/>
              <w:left w:val="nil"/>
              <w:bottom w:val="single" w:sz="4" w:space="0" w:color="FFFFFF"/>
              <w:right w:val="single" w:sz="4" w:space="0" w:color="FFFFFF"/>
            </w:tcBorders>
            <w:shd w:val="clear" w:color="000000" w:fill="EAF0E0"/>
            <w:noWrap/>
            <w:vAlign w:val="bottom"/>
            <w:hideMark/>
          </w:tcPr>
          <w:p w14:paraId="124F6F5B" w14:textId="77777777" w:rsidR="006E0321" w:rsidRPr="00C95492" w:rsidRDefault="006E0321" w:rsidP="000B1968">
            <w:pPr>
              <w:spacing w:before="40" w:after="40"/>
              <w:rPr>
                <w:sz w:val="18"/>
                <w:szCs w:val="18"/>
                <w:lang w:val="en-US"/>
              </w:rPr>
            </w:pPr>
            <w:r w:rsidRPr="00C95492">
              <w:rPr>
                <w:sz w:val="18"/>
                <w:szCs w:val="18"/>
                <w:lang w:val="en-US"/>
              </w:rPr>
              <w:t>89.39</w:t>
            </w:r>
          </w:p>
        </w:tc>
      </w:tr>
      <w:tr w:rsidR="006E0321" w:rsidRPr="00C95492" w14:paraId="2857D16F"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390F564" w14:textId="428D82DE" w:rsidR="006E0321" w:rsidRPr="00C95492" w:rsidRDefault="00423EE8" w:rsidP="000B1968">
            <w:pPr>
              <w:spacing w:before="40" w:after="40"/>
              <w:rPr>
                <w:b/>
                <w:bCs/>
                <w:color w:val="FFFFFF" w:themeColor="background1"/>
                <w:sz w:val="18"/>
                <w:szCs w:val="18"/>
                <w:lang w:val="en-US"/>
              </w:rPr>
            </w:pPr>
            <w:r>
              <w:rPr>
                <w:b/>
                <w:bCs/>
                <w:color w:val="FFFFFF" w:themeColor="background1"/>
                <w:sz w:val="18"/>
                <w:szCs w:val="18"/>
                <w:lang w:val="en-US"/>
              </w:rPr>
              <w:t>freshwater catfish</w:t>
            </w:r>
          </w:p>
        </w:tc>
        <w:tc>
          <w:tcPr>
            <w:tcW w:w="1157" w:type="dxa"/>
            <w:tcBorders>
              <w:top w:val="nil"/>
              <w:left w:val="nil"/>
              <w:bottom w:val="single" w:sz="4" w:space="0" w:color="FFFFFF"/>
              <w:right w:val="single" w:sz="4" w:space="0" w:color="FFFFFF"/>
            </w:tcBorders>
            <w:shd w:val="clear" w:color="000000" w:fill="EAF0E0"/>
            <w:noWrap/>
            <w:vAlign w:val="bottom"/>
            <w:hideMark/>
          </w:tcPr>
          <w:p w14:paraId="5B22C2C9" w14:textId="77777777" w:rsidR="006E0321" w:rsidRPr="00C95492" w:rsidRDefault="006E0321" w:rsidP="000B1968">
            <w:pPr>
              <w:spacing w:before="40" w:after="40"/>
              <w:rPr>
                <w:sz w:val="18"/>
                <w:szCs w:val="18"/>
                <w:lang w:val="en-US"/>
              </w:rPr>
            </w:pPr>
            <w:r w:rsidRPr="00C95492">
              <w:rPr>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vAlign w:val="bottom"/>
            <w:hideMark/>
          </w:tcPr>
          <w:p w14:paraId="5F978178" w14:textId="77777777" w:rsidR="006E0321" w:rsidRPr="00C95492" w:rsidRDefault="006E0321" w:rsidP="000B1968">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524EBA60" w14:textId="77777777" w:rsidR="006E0321" w:rsidRPr="00C95492" w:rsidRDefault="006E0321" w:rsidP="000B1968">
            <w:pPr>
              <w:spacing w:before="40" w:after="40"/>
              <w:rPr>
                <w:sz w:val="18"/>
                <w:szCs w:val="18"/>
                <w:lang w:val="en-US"/>
              </w:rPr>
            </w:pPr>
            <w:r w:rsidRPr="00C95492">
              <w:rPr>
                <w:sz w:val="18"/>
                <w:szCs w:val="18"/>
                <w:lang w:val="en-US"/>
              </w:rPr>
              <w:t>2.58</w:t>
            </w:r>
          </w:p>
        </w:tc>
        <w:tc>
          <w:tcPr>
            <w:tcW w:w="1157" w:type="dxa"/>
            <w:tcBorders>
              <w:top w:val="nil"/>
              <w:left w:val="nil"/>
              <w:bottom w:val="single" w:sz="4" w:space="0" w:color="FFFFFF"/>
              <w:right w:val="single" w:sz="4" w:space="0" w:color="FFFFFF"/>
            </w:tcBorders>
            <w:shd w:val="clear" w:color="000000" w:fill="EAF0E0"/>
            <w:noWrap/>
            <w:vAlign w:val="bottom"/>
            <w:hideMark/>
          </w:tcPr>
          <w:p w14:paraId="3150D04A" w14:textId="77777777" w:rsidR="006E0321" w:rsidRPr="00C95492" w:rsidRDefault="006E0321" w:rsidP="000B1968">
            <w:pPr>
              <w:spacing w:before="40" w:after="40"/>
              <w:rPr>
                <w:sz w:val="18"/>
                <w:szCs w:val="18"/>
                <w:lang w:val="en-US"/>
              </w:rPr>
            </w:pPr>
            <w:r w:rsidRPr="00C95492">
              <w:rPr>
                <w:sz w:val="18"/>
                <w:szCs w:val="18"/>
                <w:lang w:val="en-US"/>
              </w:rPr>
              <w:t>1.15</w:t>
            </w:r>
          </w:p>
        </w:tc>
        <w:tc>
          <w:tcPr>
            <w:tcW w:w="1158" w:type="dxa"/>
            <w:tcBorders>
              <w:top w:val="nil"/>
              <w:left w:val="nil"/>
              <w:bottom w:val="single" w:sz="4" w:space="0" w:color="FFFFFF"/>
              <w:right w:val="single" w:sz="4" w:space="0" w:color="FFFFFF"/>
            </w:tcBorders>
            <w:shd w:val="clear" w:color="000000" w:fill="EAF0E0"/>
            <w:noWrap/>
            <w:vAlign w:val="bottom"/>
            <w:hideMark/>
          </w:tcPr>
          <w:p w14:paraId="04537171" w14:textId="77777777" w:rsidR="006E0321" w:rsidRPr="00C95492" w:rsidRDefault="006E0321" w:rsidP="000B1968">
            <w:pPr>
              <w:spacing w:before="40" w:after="40"/>
              <w:rPr>
                <w:sz w:val="18"/>
                <w:szCs w:val="18"/>
                <w:lang w:val="en-US"/>
              </w:rPr>
            </w:pPr>
            <w:r w:rsidRPr="00C95492">
              <w:rPr>
                <w:sz w:val="18"/>
                <w:szCs w:val="18"/>
                <w:lang w:val="en-US"/>
              </w:rPr>
              <w:t>5.4</w:t>
            </w:r>
          </w:p>
        </w:tc>
        <w:tc>
          <w:tcPr>
            <w:tcW w:w="1158" w:type="dxa"/>
            <w:tcBorders>
              <w:top w:val="nil"/>
              <w:left w:val="nil"/>
              <w:bottom w:val="single" w:sz="4" w:space="0" w:color="FFFFFF"/>
              <w:right w:val="single" w:sz="4" w:space="0" w:color="FFFFFF"/>
            </w:tcBorders>
            <w:shd w:val="clear" w:color="000000" w:fill="EAF0E0"/>
            <w:noWrap/>
            <w:vAlign w:val="bottom"/>
            <w:hideMark/>
          </w:tcPr>
          <w:p w14:paraId="1033A544" w14:textId="77777777" w:rsidR="006E0321" w:rsidRPr="00C95492" w:rsidRDefault="006E0321" w:rsidP="000B1968">
            <w:pPr>
              <w:spacing w:before="40" w:after="40"/>
              <w:rPr>
                <w:sz w:val="18"/>
                <w:szCs w:val="18"/>
                <w:lang w:val="en-US"/>
              </w:rPr>
            </w:pPr>
            <w:r w:rsidRPr="00C95492">
              <w:rPr>
                <w:sz w:val="18"/>
                <w:szCs w:val="18"/>
                <w:lang w:val="en-US"/>
              </w:rPr>
              <w:t>94.78</w:t>
            </w:r>
          </w:p>
        </w:tc>
      </w:tr>
    </w:tbl>
    <w:p w14:paraId="4C0A5DD9" w14:textId="77777777" w:rsidR="006E0321" w:rsidRPr="00C95492" w:rsidRDefault="006E0321" w:rsidP="006E0321">
      <w:pPr>
        <w:spacing w:before="0" w:after="0"/>
        <w:rPr>
          <w:sz w:val="18"/>
          <w:szCs w:val="18"/>
          <w:lang w:val="en-US"/>
        </w:rPr>
      </w:pPr>
    </w:p>
    <w:p w14:paraId="44BF3575" w14:textId="77777777" w:rsidR="006E0321" w:rsidRPr="00C95492" w:rsidRDefault="006E0321" w:rsidP="006E0321">
      <w:pPr>
        <w:spacing w:before="0" w:after="0"/>
        <w:rPr>
          <w:sz w:val="22"/>
          <w:szCs w:val="18"/>
          <w:lang w:val="en-US"/>
        </w:rPr>
      </w:pPr>
      <w:r w:rsidRPr="00C95492">
        <w:rPr>
          <w:sz w:val="22"/>
          <w:szCs w:val="18"/>
          <w:lang w:val="en-US"/>
        </w:rPr>
        <w:t>Groups 2015 &amp; 2017</w:t>
      </w:r>
    </w:p>
    <w:p w14:paraId="7672AB5B" w14:textId="77777777" w:rsidR="006E0321" w:rsidRPr="00C95492" w:rsidRDefault="006E0321" w:rsidP="006E0321">
      <w:pPr>
        <w:spacing w:before="0" w:after="0"/>
        <w:rPr>
          <w:sz w:val="22"/>
          <w:szCs w:val="18"/>
          <w:lang w:val="en-US"/>
        </w:rPr>
      </w:pPr>
      <w:r w:rsidRPr="00C95492">
        <w:rPr>
          <w:sz w:val="22"/>
          <w:szCs w:val="18"/>
          <w:lang w:val="en-US"/>
        </w:rPr>
        <w:t>Average dissimilarity = 38.21</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1E035F13"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2824CACE"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6850758"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2015</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87791E2"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2017</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E247FE9"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94C14AA"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6C1A3E2"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DB9050B"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14D668EC"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02631AD9" w14:textId="77777777" w:rsidR="006E0321" w:rsidRPr="00C95492" w:rsidRDefault="006E0321" w:rsidP="00720A6F">
            <w:pPr>
              <w:spacing w:before="40" w:after="40"/>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2F099A20" w14:textId="078D33A2"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1E6A864F"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77AF5685"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1C9713A5"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6AD966FF"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31513E79"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Cum.%</w:t>
            </w:r>
          </w:p>
        </w:tc>
      </w:tr>
      <w:tr w:rsidR="006E0321" w:rsidRPr="00C95492" w14:paraId="3809384D"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083EBB9" w14:textId="1AA54DA6" w:rsidR="006E0321" w:rsidRPr="00C95492" w:rsidRDefault="00FB69E7" w:rsidP="00720A6F">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5FF6BE58" w14:textId="77777777" w:rsidR="006E0321" w:rsidRPr="00C95492" w:rsidRDefault="006E0321" w:rsidP="00720A6F">
            <w:pPr>
              <w:spacing w:before="40" w:after="40"/>
              <w:rPr>
                <w:sz w:val="18"/>
                <w:szCs w:val="18"/>
                <w:lang w:val="en-US"/>
              </w:rPr>
            </w:pPr>
            <w:r w:rsidRPr="00C95492">
              <w:rPr>
                <w:sz w:val="18"/>
                <w:szCs w:val="18"/>
                <w:lang w:val="en-US"/>
              </w:rPr>
              <w:t>1.48</w:t>
            </w:r>
          </w:p>
        </w:tc>
        <w:tc>
          <w:tcPr>
            <w:tcW w:w="1158" w:type="dxa"/>
            <w:tcBorders>
              <w:top w:val="nil"/>
              <w:left w:val="nil"/>
              <w:bottom w:val="single" w:sz="4" w:space="0" w:color="FFFFFF"/>
              <w:right w:val="single" w:sz="4" w:space="0" w:color="FFFFFF"/>
            </w:tcBorders>
            <w:shd w:val="clear" w:color="000000" w:fill="EAF0E0"/>
            <w:noWrap/>
            <w:vAlign w:val="bottom"/>
            <w:hideMark/>
          </w:tcPr>
          <w:p w14:paraId="17F12145" w14:textId="77777777" w:rsidR="006E0321" w:rsidRPr="00C95492" w:rsidRDefault="006E0321" w:rsidP="00720A6F">
            <w:pPr>
              <w:spacing w:before="40" w:after="40"/>
              <w:rPr>
                <w:sz w:val="18"/>
                <w:szCs w:val="18"/>
                <w:lang w:val="en-US"/>
              </w:rPr>
            </w:pPr>
            <w:r w:rsidRPr="00C95492">
              <w:rPr>
                <w:sz w:val="18"/>
                <w:szCs w:val="18"/>
                <w:lang w:val="en-US"/>
              </w:rPr>
              <w:t>5.44</w:t>
            </w:r>
          </w:p>
        </w:tc>
        <w:tc>
          <w:tcPr>
            <w:tcW w:w="1158" w:type="dxa"/>
            <w:tcBorders>
              <w:top w:val="nil"/>
              <w:left w:val="nil"/>
              <w:bottom w:val="single" w:sz="4" w:space="0" w:color="FFFFFF"/>
              <w:right w:val="single" w:sz="4" w:space="0" w:color="FFFFFF"/>
            </w:tcBorders>
            <w:shd w:val="clear" w:color="000000" w:fill="EAF0E0"/>
            <w:noWrap/>
            <w:vAlign w:val="bottom"/>
            <w:hideMark/>
          </w:tcPr>
          <w:p w14:paraId="18961734" w14:textId="77777777" w:rsidR="006E0321" w:rsidRPr="00C95492" w:rsidRDefault="006E0321" w:rsidP="00720A6F">
            <w:pPr>
              <w:spacing w:before="40" w:after="40"/>
              <w:rPr>
                <w:sz w:val="18"/>
                <w:szCs w:val="18"/>
                <w:lang w:val="en-US"/>
              </w:rPr>
            </w:pPr>
            <w:r w:rsidRPr="00C95492">
              <w:rPr>
                <w:sz w:val="18"/>
                <w:szCs w:val="18"/>
                <w:lang w:val="en-US"/>
              </w:rPr>
              <w:t>15.07</w:t>
            </w:r>
          </w:p>
        </w:tc>
        <w:tc>
          <w:tcPr>
            <w:tcW w:w="1157" w:type="dxa"/>
            <w:tcBorders>
              <w:top w:val="nil"/>
              <w:left w:val="nil"/>
              <w:bottom w:val="single" w:sz="4" w:space="0" w:color="FFFFFF"/>
              <w:right w:val="single" w:sz="4" w:space="0" w:color="FFFFFF"/>
            </w:tcBorders>
            <w:shd w:val="clear" w:color="000000" w:fill="EAF0E0"/>
            <w:noWrap/>
            <w:vAlign w:val="bottom"/>
            <w:hideMark/>
          </w:tcPr>
          <w:p w14:paraId="5104F623" w14:textId="77777777" w:rsidR="006E0321" w:rsidRPr="00C95492" w:rsidRDefault="006E0321" w:rsidP="00720A6F">
            <w:pPr>
              <w:spacing w:before="40" w:after="40"/>
              <w:rPr>
                <w:sz w:val="18"/>
                <w:szCs w:val="18"/>
                <w:lang w:val="en-US"/>
              </w:rPr>
            </w:pPr>
            <w:r w:rsidRPr="00C95492">
              <w:rPr>
                <w:sz w:val="18"/>
                <w:szCs w:val="18"/>
                <w:lang w:val="en-US"/>
              </w:rPr>
              <w:t>6.53</w:t>
            </w:r>
          </w:p>
        </w:tc>
        <w:tc>
          <w:tcPr>
            <w:tcW w:w="1158" w:type="dxa"/>
            <w:tcBorders>
              <w:top w:val="nil"/>
              <w:left w:val="nil"/>
              <w:bottom w:val="single" w:sz="4" w:space="0" w:color="FFFFFF"/>
              <w:right w:val="single" w:sz="4" w:space="0" w:color="FFFFFF"/>
            </w:tcBorders>
            <w:shd w:val="clear" w:color="000000" w:fill="EAF0E0"/>
            <w:noWrap/>
            <w:vAlign w:val="bottom"/>
            <w:hideMark/>
          </w:tcPr>
          <w:p w14:paraId="46638B29" w14:textId="77777777" w:rsidR="006E0321" w:rsidRPr="00C95492" w:rsidRDefault="006E0321" w:rsidP="00720A6F">
            <w:pPr>
              <w:spacing w:before="40" w:after="40"/>
              <w:rPr>
                <w:sz w:val="18"/>
                <w:szCs w:val="18"/>
                <w:lang w:val="en-US"/>
              </w:rPr>
            </w:pPr>
            <w:r w:rsidRPr="00C95492">
              <w:rPr>
                <w:sz w:val="18"/>
                <w:szCs w:val="18"/>
                <w:lang w:val="en-US"/>
              </w:rPr>
              <w:t>39.44</w:t>
            </w:r>
          </w:p>
        </w:tc>
        <w:tc>
          <w:tcPr>
            <w:tcW w:w="1158" w:type="dxa"/>
            <w:tcBorders>
              <w:top w:val="nil"/>
              <w:left w:val="nil"/>
              <w:bottom w:val="single" w:sz="4" w:space="0" w:color="FFFFFF"/>
              <w:right w:val="single" w:sz="4" w:space="0" w:color="FFFFFF"/>
            </w:tcBorders>
            <w:shd w:val="clear" w:color="000000" w:fill="EAF0E0"/>
            <w:noWrap/>
            <w:vAlign w:val="bottom"/>
            <w:hideMark/>
          </w:tcPr>
          <w:p w14:paraId="73DE73B1" w14:textId="77777777" w:rsidR="006E0321" w:rsidRPr="00C95492" w:rsidRDefault="006E0321" w:rsidP="00720A6F">
            <w:pPr>
              <w:spacing w:before="40" w:after="40"/>
              <w:rPr>
                <w:sz w:val="18"/>
                <w:szCs w:val="18"/>
                <w:lang w:val="en-US"/>
              </w:rPr>
            </w:pPr>
            <w:r w:rsidRPr="00C95492">
              <w:rPr>
                <w:sz w:val="18"/>
                <w:szCs w:val="18"/>
                <w:lang w:val="en-US"/>
              </w:rPr>
              <w:t>39.44</w:t>
            </w:r>
          </w:p>
        </w:tc>
      </w:tr>
      <w:tr w:rsidR="006E0321" w:rsidRPr="00C95492" w14:paraId="27761183"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54C1A422" w14:textId="5F79EB65" w:rsidR="006E0321" w:rsidRPr="00C95492" w:rsidRDefault="00423EE8" w:rsidP="00720A6F">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23C2951A" w14:textId="77777777" w:rsidR="006E0321" w:rsidRPr="00C95492" w:rsidRDefault="006E0321" w:rsidP="00720A6F">
            <w:pPr>
              <w:spacing w:before="40" w:after="40"/>
              <w:rPr>
                <w:sz w:val="18"/>
                <w:szCs w:val="18"/>
                <w:lang w:val="en-US"/>
              </w:rPr>
            </w:pPr>
            <w:r w:rsidRPr="00C95492">
              <w:rPr>
                <w:sz w:val="18"/>
                <w:szCs w:val="18"/>
                <w:lang w:val="en-US"/>
              </w:rPr>
              <w:t>3.86</w:t>
            </w:r>
          </w:p>
        </w:tc>
        <w:tc>
          <w:tcPr>
            <w:tcW w:w="1158" w:type="dxa"/>
            <w:tcBorders>
              <w:top w:val="nil"/>
              <w:left w:val="nil"/>
              <w:bottom w:val="single" w:sz="4" w:space="0" w:color="FFFFFF"/>
              <w:right w:val="single" w:sz="4" w:space="0" w:color="FFFFFF"/>
            </w:tcBorders>
            <w:shd w:val="clear" w:color="000000" w:fill="EAF0E0"/>
            <w:noWrap/>
            <w:vAlign w:val="bottom"/>
            <w:hideMark/>
          </w:tcPr>
          <w:p w14:paraId="7ADEDDBC" w14:textId="77777777" w:rsidR="006E0321" w:rsidRPr="00C95492" w:rsidRDefault="006E0321" w:rsidP="00720A6F">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52ED6696" w14:textId="77777777" w:rsidR="006E0321" w:rsidRPr="00C95492" w:rsidRDefault="006E0321" w:rsidP="00720A6F">
            <w:pPr>
              <w:spacing w:before="40" w:after="40"/>
              <w:rPr>
                <w:sz w:val="18"/>
                <w:szCs w:val="18"/>
                <w:lang w:val="en-US"/>
              </w:rPr>
            </w:pPr>
            <w:r w:rsidRPr="00C95492">
              <w:rPr>
                <w:sz w:val="18"/>
                <w:szCs w:val="18"/>
                <w:lang w:val="en-US"/>
              </w:rPr>
              <w:t>7.72</w:t>
            </w:r>
          </w:p>
        </w:tc>
        <w:tc>
          <w:tcPr>
            <w:tcW w:w="1157" w:type="dxa"/>
            <w:tcBorders>
              <w:top w:val="nil"/>
              <w:left w:val="nil"/>
              <w:bottom w:val="single" w:sz="4" w:space="0" w:color="FFFFFF"/>
              <w:right w:val="single" w:sz="4" w:space="0" w:color="FFFFFF"/>
            </w:tcBorders>
            <w:shd w:val="clear" w:color="000000" w:fill="EAF0E0"/>
            <w:noWrap/>
            <w:vAlign w:val="bottom"/>
            <w:hideMark/>
          </w:tcPr>
          <w:p w14:paraId="78857AE8" w14:textId="77777777" w:rsidR="006E0321" w:rsidRPr="00C95492" w:rsidRDefault="006E0321" w:rsidP="00720A6F">
            <w:pPr>
              <w:spacing w:before="40" w:after="40"/>
              <w:rPr>
                <w:sz w:val="18"/>
                <w:szCs w:val="18"/>
                <w:lang w:val="en-US"/>
              </w:rPr>
            </w:pPr>
            <w:r w:rsidRPr="00C95492">
              <w:rPr>
                <w:sz w:val="18"/>
                <w:szCs w:val="18"/>
                <w:lang w:val="en-US"/>
              </w:rPr>
              <w:t>3.59</w:t>
            </w:r>
          </w:p>
        </w:tc>
        <w:tc>
          <w:tcPr>
            <w:tcW w:w="1158" w:type="dxa"/>
            <w:tcBorders>
              <w:top w:val="nil"/>
              <w:left w:val="nil"/>
              <w:bottom w:val="single" w:sz="4" w:space="0" w:color="FFFFFF"/>
              <w:right w:val="single" w:sz="4" w:space="0" w:color="FFFFFF"/>
            </w:tcBorders>
            <w:shd w:val="clear" w:color="000000" w:fill="EAF0E0"/>
            <w:noWrap/>
            <w:vAlign w:val="bottom"/>
            <w:hideMark/>
          </w:tcPr>
          <w:p w14:paraId="33C8FE22" w14:textId="77777777" w:rsidR="006E0321" w:rsidRPr="00C95492" w:rsidRDefault="006E0321" w:rsidP="00720A6F">
            <w:pPr>
              <w:spacing w:before="40" w:after="40"/>
              <w:rPr>
                <w:sz w:val="18"/>
                <w:szCs w:val="18"/>
                <w:lang w:val="en-US"/>
              </w:rPr>
            </w:pPr>
            <w:r w:rsidRPr="00C95492">
              <w:rPr>
                <w:sz w:val="18"/>
                <w:szCs w:val="18"/>
                <w:lang w:val="en-US"/>
              </w:rPr>
              <w:t>20.19</w:t>
            </w:r>
          </w:p>
        </w:tc>
        <w:tc>
          <w:tcPr>
            <w:tcW w:w="1158" w:type="dxa"/>
            <w:tcBorders>
              <w:top w:val="nil"/>
              <w:left w:val="nil"/>
              <w:bottom w:val="single" w:sz="4" w:space="0" w:color="FFFFFF"/>
              <w:right w:val="single" w:sz="4" w:space="0" w:color="FFFFFF"/>
            </w:tcBorders>
            <w:shd w:val="clear" w:color="000000" w:fill="EAF0E0"/>
            <w:noWrap/>
            <w:vAlign w:val="bottom"/>
            <w:hideMark/>
          </w:tcPr>
          <w:p w14:paraId="40CA2EE6" w14:textId="77777777" w:rsidR="006E0321" w:rsidRPr="00C95492" w:rsidRDefault="006E0321" w:rsidP="00720A6F">
            <w:pPr>
              <w:spacing w:before="40" w:after="40"/>
              <w:rPr>
                <w:sz w:val="18"/>
                <w:szCs w:val="18"/>
                <w:lang w:val="en-US"/>
              </w:rPr>
            </w:pPr>
            <w:r w:rsidRPr="00C95492">
              <w:rPr>
                <w:sz w:val="18"/>
                <w:szCs w:val="18"/>
                <w:lang w:val="en-US"/>
              </w:rPr>
              <w:t>59.63</w:t>
            </w:r>
          </w:p>
        </w:tc>
      </w:tr>
      <w:tr w:rsidR="006E0321" w:rsidRPr="00C95492" w14:paraId="7B9CD1A6"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78A8DE7" w14:textId="65600F94" w:rsidR="006E0321" w:rsidRPr="00C95492" w:rsidRDefault="00FB69E7" w:rsidP="00720A6F">
            <w:pPr>
              <w:spacing w:before="40" w:after="40"/>
              <w:rPr>
                <w:b/>
                <w:bCs/>
                <w:color w:val="FFFFFF" w:themeColor="background1"/>
                <w:sz w:val="18"/>
                <w:szCs w:val="18"/>
                <w:lang w:val="en-US"/>
              </w:rPr>
            </w:pPr>
            <w:r>
              <w:rPr>
                <w:b/>
                <w:bCs/>
                <w:color w:val="FFFFFF" w:themeColor="background1"/>
                <w:sz w:val="18"/>
                <w:szCs w:val="18"/>
                <w:lang w:val="en-US"/>
              </w:rPr>
              <w:t>common carp</w:t>
            </w:r>
          </w:p>
        </w:tc>
        <w:tc>
          <w:tcPr>
            <w:tcW w:w="1157" w:type="dxa"/>
            <w:tcBorders>
              <w:top w:val="nil"/>
              <w:left w:val="nil"/>
              <w:bottom w:val="single" w:sz="4" w:space="0" w:color="FFFFFF"/>
              <w:right w:val="single" w:sz="4" w:space="0" w:color="FFFFFF"/>
            </w:tcBorders>
            <w:shd w:val="clear" w:color="000000" w:fill="EAF0E0"/>
            <w:noWrap/>
            <w:vAlign w:val="bottom"/>
            <w:hideMark/>
          </w:tcPr>
          <w:p w14:paraId="1972C36B" w14:textId="77777777" w:rsidR="006E0321" w:rsidRPr="00C95492" w:rsidRDefault="006E0321" w:rsidP="00720A6F">
            <w:pPr>
              <w:spacing w:before="40" w:after="40"/>
              <w:rPr>
                <w:sz w:val="18"/>
                <w:szCs w:val="18"/>
                <w:lang w:val="en-US"/>
              </w:rPr>
            </w:pPr>
            <w:r w:rsidRPr="00C95492">
              <w:rPr>
                <w:sz w:val="18"/>
                <w:szCs w:val="18"/>
                <w:lang w:val="en-US"/>
              </w:rPr>
              <w:t>1.14</w:t>
            </w:r>
          </w:p>
        </w:tc>
        <w:tc>
          <w:tcPr>
            <w:tcW w:w="1158" w:type="dxa"/>
            <w:tcBorders>
              <w:top w:val="nil"/>
              <w:left w:val="nil"/>
              <w:bottom w:val="single" w:sz="4" w:space="0" w:color="FFFFFF"/>
              <w:right w:val="single" w:sz="4" w:space="0" w:color="FFFFFF"/>
            </w:tcBorders>
            <w:shd w:val="clear" w:color="000000" w:fill="EAF0E0"/>
            <w:noWrap/>
            <w:vAlign w:val="bottom"/>
            <w:hideMark/>
          </w:tcPr>
          <w:p w14:paraId="62BF93F2" w14:textId="77777777" w:rsidR="006E0321" w:rsidRPr="00C95492" w:rsidRDefault="006E0321" w:rsidP="00720A6F">
            <w:pPr>
              <w:spacing w:before="40" w:after="40"/>
              <w:rPr>
                <w:sz w:val="18"/>
                <w:szCs w:val="18"/>
                <w:lang w:val="en-US"/>
              </w:rPr>
            </w:pPr>
            <w:r w:rsidRPr="00C95492">
              <w:rPr>
                <w:sz w:val="18"/>
                <w:szCs w:val="18"/>
                <w:lang w:val="en-US"/>
              </w:rPr>
              <w:t>2.46</w:t>
            </w:r>
          </w:p>
        </w:tc>
        <w:tc>
          <w:tcPr>
            <w:tcW w:w="1158" w:type="dxa"/>
            <w:tcBorders>
              <w:top w:val="nil"/>
              <w:left w:val="nil"/>
              <w:bottom w:val="single" w:sz="4" w:space="0" w:color="FFFFFF"/>
              <w:right w:val="single" w:sz="4" w:space="0" w:color="FFFFFF"/>
            </w:tcBorders>
            <w:shd w:val="clear" w:color="000000" w:fill="EAF0E0"/>
            <w:noWrap/>
            <w:vAlign w:val="bottom"/>
            <w:hideMark/>
          </w:tcPr>
          <w:p w14:paraId="6A9B8DF8" w14:textId="77777777" w:rsidR="006E0321" w:rsidRPr="00C95492" w:rsidRDefault="006E0321" w:rsidP="00720A6F">
            <w:pPr>
              <w:spacing w:before="40" w:after="40"/>
              <w:rPr>
                <w:sz w:val="18"/>
                <w:szCs w:val="18"/>
                <w:lang w:val="en-US"/>
              </w:rPr>
            </w:pPr>
            <w:r w:rsidRPr="00C95492">
              <w:rPr>
                <w:sz w:val="18"/>
                <w:szCs w:val="18"/>
                <w:lang w:val="en-US"/>
              </w:rPr>
              <w:t>5</w:t>
            </w:r>
          </w:p>
        </w:tc>
        <w:tc>
          <w:tcPr>
            <w:tcW w:w="1157" w:type="dxa"/>
            <w:tcBorders>
              <w:top w:val="nil"/>
              <w:left w:val="nil"/>
              <w:bottom w:val="single" w:sz="4" w:space="0" w:color="FFFFFF"/>
              <w:right w:val="single" w:sz="4" w:space="0" w:color="FFFFFF"/>
            </w:tcBorders>
            <w:shd w:val="clear" w:color="000000" w:fill="EAF0E0"/>
            <w:noWrap/>
            <w:vAlign w:val="bottom"/>
            <w:hideMark/>
          </w:tcPr>
          <w:p w14:paraId="6CA241E0" w14:textId="77777777" w:rsidR="006E0321" w:rsidRPr="00C95492" w:rsidRDefault="006E0321" w:rsidP="00720A6F">
            <w:pPr>
              <w:spacing w:before="40" w:after="40"/>
              <w:rPr>
                <w:sz w:val="18"/>
                <w:szCs w:val="18"/>
                <w:lang w:val="en-US"/>
              </w:rPr>
            </w:pPr>
            <w:r w:rsidRPr="00C95492">
              <w:rPr>
                <w:sz w:val="18"/>
                <w:szCs w:val="18"/>
                <w:lang w:val="en-US"/>
              </w:rPr>
              <w:t>1.11</w:t>
            </w:r>
          </w:p>
        </w:tc>
        <w:tc>
          <w:tcPr>
            <w:tcW w:w="1158" w:type="dxa"/>
            <w:tcBorders>
              <w:top w:val="nil"/>
              <w:left w:val="nil"/>
              <w:bottom w:val="single" w:sz="4" w:space="0" w:color="FFFFFF"/>
              <w:right w:val="single" w:sz="4" w:space="0" w:color="FFFFFF"/>
            </w:tcBorders>
            <w:shd w:val="clear" w:color="000000" w:fill="EAF0E0"/>
            <w:noWrap/>
            <w:vAlign w:val="bottom"/>
            <w:hideMark/>
          </w:tcPr>
          <w:p w14:paraId="27C625F6" w14:textId="77777777" w:rsidR="006E0321" w:rsidRPr="00C95492" w:rsidRDefault="006E0321" w:rsidP="00720A6F">
            <w:pPr>
              <w:spacing w:before="40" w:after="40"/>
              <w:rPr>
                <w:sz w:val="18"/>
                <w:szCs w:val="18"/>
                <w:lang w:val="en-US"/>
              </w:rPr>
            </w:pPr>
            <w:r w:rsidRPr="00C95492">
              <w:rPr>
                <w:sz w:val="18"/>
                <w:szCs w:val="18"/>
                <w:lang w:val="en-US"/>
              </w:rPr>
              <w:t>13.1</w:t>
            </w:r>
          </w:p>
        </w:tc>
        <w:tc>
          <w:tcPr>
            <w:tcW w:w="1158" w:type="dxa"/>
            <w:tcBorders>
              <w:top w:val="nil"/>
              <w:left w:val="nil"/>
              <w:bottom w:val="single" w:sz="4" w:space="0" w:color="FFFFFF"/>
              <w:right w:val="single" w:sz="4" w:space="0" w:color="FFFFFF"/>
            </w:tcBorders>
            <w:shd w:val="clear" w:color="000000" w:fill="EAF0E0"/>
            <w:noWrap/>
            <w:vAlign w:val="bottom"/>
            <w:hideMark/>
          </w:tcPr>
          <w:p w14:paraId="77AB244F" w14:textId="77777777" w:rsidR="006E0321" w:rsidRPr="00C95492" w:rsidRDefault="006E0321" w:rsidP="00720A6F">
            <w:pPr>
              <w:spacing w:before="40" w:after="40"/>
              <w:rPr>
                <w:sz w:val="18"/>
                <w:szCs w:val="18"/>
                <w:lang w:val="en-US"/>
              </w:rPr>
            </w:pPr>
            <w:r w:rsidRPr="00C95492">
              <w:rPr>
                <w:sz w:val="18"/>
                <w:szCs w:val="18"/>
                <w:lang w:val="en-US"/>
              </w:rPr>
              <w:t>72.73</w:t>
            </w:r>
          </w:p>
        </w:tc>
      </w:tr>
      <w:tr w:rsidR="006E0321" w:rsidRPr="00C95492" w14:paraId="3425FFFC"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A23BD52" w14:textId="2B63F4F5" w:rsidR="006E0321" w:rsidRPr="00C95492" w:rsidRDefault="00FB69E7" w:rsidP="00720A6F">
            <w:pPr>
              <w:spacing w:before="40" w:after="40"/>
              <w:rPr>
                <w:b/>
                <w:bCs/>
                <w:color w:val="FFFFFF" w:themeColor="background1"/>
                <w:sz w:val="18"/>
                <w:szCs w:val="18"/>
                <w:lang w:val="en-US"/>
              </w:rPr>
            </w:pPr>
            <w:r>
              <w:rPr>
                <w:b/>
                <w:bCs/>
                <w:color w:val="FFFFFF" w:themeColor="background1"/>
                <w:sz w:val="18"/>
                <w:szCs w:val="18"/>
                <w:lang w:val="en-US"/>
              </w:rPr>
              <w:t>carp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5822E1E8" w14:textId="77777777" w:rsidR="006E0321" w:rsidRPr="00C95492" w:rsidRDefault="006E0321" w:rsidP="00720A6F">
            <w:pPr>
              <w:spacing w:before="40" w:after="40"/>
              <w:rPr>
                <w:sz w:val="18"/>
                <w:szCs w:val="18"/>
                <w:lang w:val="en-US"/>
              </w:rPr>
            </w:pPr>
            <w:r w:rsidRPr="00C95492">
              <w:rPr>
                <w:sz w:val="18"/>
                <w:szCs w:val="18"/>
                <w:lang w:val="en-US"/>
              </w:rPr>
              <w:t>1.35</w:t>
            </w:r>
          </w:p>
        </w:tc>
        <w:tc>
          <w:tcPr>
            <w:tcW w:w="1158" w:type="dxa"/>
            <w:tcBorders>
              <w:top w:val="nil"/>
              <w:left w:val="nil"/>
              <w:bottom w:val="single" w:sz="4" w:space="0" w:color="FFFFFF"/>
              <w:right w:val="single" w:sz="4" w:space="0" w:color="FFFFFF"/>
            </w:tcBorders>
            <w:shd w:val="clear" w:color="000000" w:fill="EAF0E0"/>
            <w:noWrap/>
            <w:vAlign w:val="bottom"/>
            <w:hideMark/>
          </w:tcPr>
          <w:p w14:paraId="4D41696E" w14:textId="77777777" w:rsidR="006E0321" w:rsidRPr="00C95492" w:rsidRDefault="006E0321" w:rsidP="00720A6F">
            <w:pPr>
              <w:spacing w:before="40" w:after="40"/>
              <w:rPr>
                <w:sz w:val="18"/>
                <w:szCs w:val="18"/>
                <w:lang w:val="en-US"/>
              </w:rPr>
            </w:pPr>
            <w:r w:rsidRPr="00C95492">
              <w:rPr>
                <w:sz w:val="18"/>
                <w:szCs w:val="18"/>
                <w:lang w:val="en-US"/>
              </w:rPr>
              <w:t>0.33</w:t>
            </w:r>
          </w:p>
        </w:tc>
        <w:tc>
          <w:tcPr>
            <w:tcW w:w="1158" w:type="dxa"/>
            <w:tcBorders>
              <w:top w:val="nil"/>
              <w:left w:val="nil"/>
              <w:bottom w:val="single" w:sz="4" w:space="0" w:color="FFFFFF"/>
              <w:right w:val="single" w:sz="4" w:space="0" w:color="FFFFFF"/>
            </w:tcBorders>
            <w:shd w:val="clear" w:color="000000" w:fill="EAF0E0"/>
            <w:noWrap/>
            <w:vAlign w:val="bottom"/>
            <w:hideMark/>
          </w:tcPr>
          <w:p w14:paraId="61768D3B" w14:textId="77777777" w:rsidR="006E0321" w:rsidRPr="00C95492" w:rsidRDefault="006E0321" w:rsidP="00720A6F">
            <w:pPr>
              <w:spacing w:before="40" w:after="40"/>
              <w:rPr>
                <w:sz w:val="18"/>
                <w:szCs w:val="18"/>
                <w:lang w:val="en-US"/>
              </w:rPr>
            </w:pPr>
            <w:r w:rsidRPr="00C95492">
              <w:rPr>
                <w:sz w:val="18"/>
                <w:szCs w:val="18"/>
                <w:lang w:val="en-US"/>
              </w:rPr>
              <w:t>3.94</w:t>
            </w:r>
          </w:p>
        </w:tc>
        <w:tc>
          <w:tcPr>
            <w:tcW w:w="1157" w:type="dxa"/>
            <w:tcBorders>
              <w:top w:val="nil"/>
              <w:left w:val="nil"/>
              <w:bottom w:val="single" w:sz="4" w:space="0" w:color="FFFFFF"/>
              <w:right w:val="single" w:sz="4" w:space="0" w:color="FFFFFF"/>
            </w:tcBorders>
            <w:shd w:val="clear" w:color="000000" w:fill="EAF0E0"/>
            <w:noWrap/>
            <w:vAlign w:val="bottom"/>
            <w:hideMark/>
          </w:tcPr>
          <w:p w14:paraId="1C14FC55" w14:textId="77777777" w:rsidR="006E0321" w:rsidRPr="00C95492" w:rsidRDefault="006E0321" w:rsidP="00720A6F">
            <w:pPr>
              <w:spacing w:before="40" w:after="40"/>
              <w:rPr>
                <w:sz w:val="18"/>
                <w:szCs w:val="18"/>
                <w:lang w:val="en-US"/>
              </w:rPr>
            </w:pPr>
            <w:r w:rsidRPr="00C95492">
              <w:rPr>
                <w:sz w:val="18"/>
                <w:szCs w:val="18"/>
                <w:lang w:val="en-US"/>
              </w:rPr>
              <w:t>1.81</w:t>
            </w:r>
          </w:p>
        </w:tc>
        <w:tc>
          <w:tcPr>
            <w:tcW w:w="1158" w:type="dxa"/>
            <w:tcBorders>
              <w:top w:val="nil"/>
              <w:left w:val="nil"/>
              <w:bottom w:val="single" w:sz="4" w:space="0" w:color="FFFFFF"/>
              <w:right w:val="single" w:sz="4" w:space="0" w:color="FFFFFF"/>
            </w:tcBorders>
            <w:shd w:val="clear" w:color="000000" w:fill="EAF0E0"/>
            <w:noWrap/>
            <w:vAlign w:val="bottom"/>
            <w:hideMark/>
          </w:tcPr>
          <w:p w14:paraId="6C2111EE" w14:textId="77777777" w:rsidR="006E0321" w:rsidRPr="00C95492" w:rsidRDefault="006E0321" w:rsidP="00720A6F">
            <w:pPr>
              <w:spacing w:before="40" w:after="40"/>
              <w:rPr>
                <w:sz w:val="18"/>
                <w:szCs w:val="18"/>
                <w:lang w:val="en-US"/>
              </w:rPr>
            </w:pPr>
            <w:r w:rsidRPr="00C95492">
              <w:rPr>
                <w:sz w:val="18"/>
                <w:szCs w:val="18"/>
                <w:lang w:val="en-US"/>
              </w:rPr>
              <w:t>10.31</w:t>
            </w:r>
          </w:p>
        </w:tc>
        <w:tc>
          <w:tcPr>
            <w:tcW w:w="1158" w:type="dxa"/>
            <w:tcBorders>
              <w:top w:val="nil"/>
              <w:left w:val="nil"/>
              <w:bottom w:val="single" w:sz="4" w:space="0" w:color="FFFFFF"/>
              <w:right w:val="single" w:sz="4" w:space="0" w:color="FFFFFF"/>
            </w:tcBorders>
            <w:shd w:val="clear" w:color="000000" w:fill="EAF0E0"/>
            <w:noWrap/>
            <w:vAlign w:val="bottom"/>
            <w:hideMark/>
          </w:tcPr>
          <w:p w14:paraId="4BB9DB7C" w14:textId="77777777" w:rsidR="006E0321" w:rsidRPr="00C95492" w:rsidRDefault="006E0321" w:rsidP="00720A6F">
            <w:pPr>
              <w:spacing w:before="40" w:after="40"/>
              <w:rPr>
                <w:sz w:val="18"/>
                <w:szCs w:val="18"/>
                <w:lang w:val="en-US"/>
              </w:rPr>
            </w:pPr>
            <w:r w:rsidRPr="00C95492">
              <w:rPr>
                <w:sz w:val="18"/>
                <w:szCs w:val="18"/>
                <w:lang w:val="en-US"/>
              </w:rPr>
              <w:t>83.03</w:t>
            </w:r>
          </w:p>
        </w:tc>
      </w:tr>
      <w:tr w:rsidR="006E0321" w:rsidRPr="00C95492" w14:paraId="333B1A87"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0DA3B84" w14:textId="7C6E209C" w:rsidR="006E0321" w:rsidRPr="00C95492" w:rsidRDefault="00423EE8" w:rsidP="00720A6F">
            <w:pPr>
              <w:spacing w:before="40" w:after="40"/>
              <w:rPr>
                <w:b/>
                <w:bCs/>
                <w:color w:val="FFFFFF" w:themeColor="background1"/>
                <w:sz w:val="18"/>
                <w:szCs w:val="18"/>
                <w:lang w:val="en-US"/>
              </w:rPr>
            </w:pPr>
            <w:r>
              <w:rPr>
                <w:b/>
                <w:bCs/>
                <w:color w:val="FFFFFF" w:themeColor="background1"/>
                <w:sz w:val="18"/>
                <w:szCs w:val="18"/>
                <w:lang w:val="en-US"/>
              </w:rPr>
              <w:t>eastern gambusia</w:t>
            </w:r>
          </w:p>
        </w:tc>
        <w:tc>
          <w:tcPr>
            <w:tcW w:w="1157" w:type="dxa"/>
            <w:tcBorders>
              <w:top w:val="nil"/>
              <w:left w:val="nil"/>
              <w:bottom w:val="single" w:sz="4" w:space="0" w:color="FFFFFF"/>
              <w:right w:val="single" w:sz="4" w:space="0" w:color="FFFFFF"/>
            </w:tcBorders>
            <w:shd w:val="clear" w:color="000000" w:fill="EAF0E0"/>
            <w:noWrap/>
            <w:vAlign w:val="bottom"/>
            <w:hideMark/>
          </w:tcPr>
          <w:p w14:paraId="3F2A100B" w14:textId="77777777" w:rsidR="006E0321" w:rsidRPr="00C95492" w:rsidRDefault="006E0321" w:rsidP="00720A6F">
            <w:pPr>
              <w:spacing w:before="40" w:after="40"/>
              <w:rPr>
                <w:sz w:val="18"/>
                <w:szCs w:val="18"/>
                <w:lang w:val="en-US"/>
              </w:rPr>
            </w:pPr>
            <w:r w:rsidRPr="00C95492">
              <w:rPr>
                <w:sz w:val="18"/>
                <w:szCs w:val="18"/>
                <w:lang w:val="en-US"/>
              </w:rPr>
              <w:t>0.84</w:t>
            </w:r>
          </w:p>
        </w:tc>
        <w:tc>
          <w:tcPr>
            <w:tcW w:w="1158" w:type="dxa"/>
            <w:tcBorders>
              <w:top w:val="nil"/>
              <w:left w:val="nil"/>
              <w:bottom w:val="single" w:sz="4" w:space="0" w:color="FFFFFF"/>
              <w:right w:val="single" w:sz="4" w:space="0" w:color="FFFFFF"/>
            </w:tcBorders>
            <w:shd w:val="clear" w:color="000000" w:fill="EAF0E0"/>
            <w:noWrap/>
            <w:vAlign w:val="bottom"/>
            <w:hideMark/>
          </w:tcPr>
          <w:p w14:paraId="4BB64EB6" w14:textId="77777777" w:rsidR="006E0321" w:rsidRPr="00C95492" w:rsidRDefault="006E0321" w:rsidP="00720A6F">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2BF6785B" w14:textId="77777777" w:rsidR="006E0321" w:rsidRPr="00C95492" w:rsidRDefault="006E0321" w:rsidP="00720A6F">
            <w:pPr>
              <w:spacing w:before="40" w:after="40"/>
              <w:rPr>
                <w:sz w:val="18"/>
                <w:szCs w:val="18"/>
                <w:lang w:val="en-US"/>
              </w:rPr>
            </w:pPr>
            <w:r w:rsidRPr="00C95492">
              <w:rPr>
                <w:sz w:val="18"/>
                <w:szCs w:val="18"/>
                <w:lang w:val="en-US"/>
              </w:rPr>
              <w:t>3.81</w:t>
            </w:r>
          </w:p>
        </w:tc>
        <w:tc>
          <w:tcPr>
            <w:tcW w:w="1157" w:type="dxa"/>
            <w:tcBorders>
              <w:top w:val="nil"/>
              <w:left w:val="nil"/>
              <w:bottom w:val="single" w:sz="4" w:space="0" w:color="FFFFFF"/>
              <w:right w:val="single" w:sz="4" w:space="0" w:color="FFFFFF"/>
            </w:tcBorders>
            <w:shd w:val="clear" w:color="000000" w:fill="EAF0E0"/>
            <w:noWrap/>
            <w:vAlign w:val="bottom"/>
            <w:hideMark/>
          </w:tcPr>
          <w:p w14:paraId="2974058A" w14:textId="77777777" w:rsidR="006E0321" w:rsidRPr="00C95492" w:rsidRDefault="006E0321" w:rsidP="00720A6F">
            <w:pPr>
              <w:spacing w:before="40" w:after="40"/>
              <w:rPr>
                <w:sz w:val="18"/>
                <w:szCs w:val="18"/>
                <w:lang w:val="en-US"/>
              </w:rPr>
            </w:pPr>
            <w:r w:rsidRPr="00C95492">
              <w:rPr>
                <w:sz w:val="18"/>
                <w:szCs w:val="18"/>
                <w:lang w:val="en-US"/>
              </w:rPr>
              <w:t>1.51</w:t>
            </w:r>
          </w:p>
        </w:tc>
        <w:tc>
          <w:tcPr>
            <w:tcW w:w="1158" w:type="dxa"/>
            <w:tcBorders>
              <w:top w:val="nil"/>
              <w:left w:val="nil"/>
              <w:bottom w:val="single" w:sz="4" w:space="0" w:color="FFFFFF"/>
              <w:right w:val="single" w:sz="4" w:space="0" w:color="FFFFFF"/>
            </w:tcBorders>
            <w:shd w:val="clear" w:color="000000" w:fill="EAF0E0"/>
            <w:noWrap/>
            <w:vAlign w:val="bottom"/>
            <w:hideMark/>
          </w:tcPr>
          <w:p w14:paraId="630547BD" w14:textId="77777777" w:rsidR="006E0321" w:rsidRPr="00C95492" w:rsidRDefault="006E0321" w:rsidP="00720A6F">
            <w:pPr>
              <w:spacing w:before="40" w:after="40"/>
              <w:rPr>
                <w:sz w:val="18"/>
                <w:szCs w:val="18"/>
                <w:lang w:val="en-US"/>
              </w:rPr>
            </w:pPr>
            <w:r w:rsidRPr="00C95492">
              <w:rPr>
                <w:sz w:val="18"/>
                <w:szCs w:val="18"/>
                <w:lang w:val="en-US"/>
              </w:rPr>
              <w:t>9.96</w:t>
            </w:r>
          </w:p>
        </w:tc>
        <w:tc>
          <w:tcPr>
            <w:tcW w:w="1158" w:type="dxa"/>
            <w:tcBorders>
              <w:top w:val="nil"/>
              <w:left w:val="nil"/>
              <w:bottom w:val="single" w:sz="4" w:space="0" w:color="FFFFFF"/>
              <w:right w:val="single" w:sz="4" w:space="0" w:color="FFFFFF"/>
            </w:tcBorders>
            <w:shd w:val="clear" w:color="000000" w:fill="EAF0E0"/>
            <w:noWrap/>
            <w:vAlign w:val="bottom"/>
            <w:hideMark/>
          </w:tcPr>
          <w:p w14:paraId="5C9DF7DF" w14:textId="77777777" w:rsidR="006E0321" w:rsidRPr="00C95492" w:rsidRDefault="006E0321" w:rsidP="00720A6F">
            <w:pPr>
              <w:spacing w:before="40" w:after="40"/>
              <w:rPr>
                <w:sz w:val="18"/>
                <w:szCs w:val="18"/>
                <w:lang w:val="en-US"/>
              </w:rPr>
            </w:pPr>
            <w:r w:rsidRPr="00C95492">
              <w:rPr>
                <w:sz w:val="18"/>
                <w:szCs w:val="18"/>
                <w:lang w:val="en-US"/>
              </w:rPr>
              <w:t>93</w:t>
            </w:r>
          </w:p>
        </w:tc>
      </w:tr>
    </w:tbl>
    <w:p w14:paraId="7D7571D3" w14:textId="77777777" w:rsidR="006E0321" w:rsidRPr="00C95492" w:rsidRDefault="006E0321" w:rsidP="006E0321">
      <w:pPr>
        <w:spacing w:before="0" w:after="0"/>
        <w:rPr>
          <w:sz w:val="18"/>
          <w:szCs w:val="18"/>
          <w:lang w:val="en-US"/>
        </w:rPr>
      </w:pPr>
    </w:p>
    <w:p w14:paraId="1D9CA21E" w14:textId="77777777" w:rsidR="006E0321" w:rsidRPr="00C95492" w:rsidRDefault="006E0321" w:rsidP="006E0321">
      <w:pPr>
        <w:spacing w:before="0" w:after="0"/>
        <w:rPr>
          <w:sz w:val="22"/>
          <w:szCs w:val="18"/>
          <w:lang w:val="en-US"/>
        </w:rPr>
      </w:pPr>
      <w:r w:rsidRPr="00C95492">
        <w:rPr>
          <w:sz w:val="22"/>
          <w:szCs w:val="18"/>
          <w:lang w:val="en-US"/>
        </w:rPr>
        <w:t>Groups 2016 &amp; 2017</w:t>
      </w:r>
    </w:p>
    <w:p w14:paraId="1D04131F" w14:textId="77777777" w:rsidR="006E0321" w:rsidRPr="00C95492" w:rsidRDefault="006E0321" w:rsidP="006E0321">
      <w:pPr>
        <w:spacing w:before="0" w:after="0"/>
        <w:rPr>
          <w:sz w:val="22"/>
          <w:szCs w:val="18"/>
          <w:lang w:val="en-US"/>
        </w:rPr>
      </w:pPr>
      <w:r w:rsidRPr="00C95492">
        <w:rPr>
          <w:sz w:val="22"/>
          <w:szCs w:val="18"/>
          <w:lang w:val="en-US"/>
        </w:rPr>
        <w:t>Average dissimilarity = 73.39</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2A13ADB7"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405E44E8"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B865E68"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2016</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CE0ABB9"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Group 2017</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228C070"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06B2F46"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B017F2D"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378BDBB"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6E0321" w:rsidRPr="00C95492" w14:paraId="51776347"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4FFC05D8" w14:textId="77777777" w:rsidR="006E0321" w:rsidRPr="00C95492" w:rsidRDefault="006E0321" w:rsidP="00720A6F">
            <w:pPr>
              <w:spacing w:before="40" w:after="40"/>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12790A6F" w14:textId="2E3F442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48920B6E"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25CD6343"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5365D52F"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4B04FBC"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7AEF82BC" w14:textId="77777777" w:rsidR="006E0321" w:rsidRPr="00C95492" w:rsidRDefault="006E0321" w:rsidP="00720A6F">
            <w:pPr>
              <w:spacing w:before="40" w:after="40"/>
              <w:rPr>
                <w:b/>
                <w:bCs/>
                <w:color w:val="FFFFFF" w:themeColor="background1"/>
                <w:sz w:val="18"/>
                <w:szCs w:val="18"/>
                <w:lang w:val="en-US"/>
              </w:rPr>
            </w:pPr>
            <w:r w:rsidRPr="00C95492">
              <w:rPr>
                <w:b/>
                <w:bCs/>
                <w:color w:val="FFFFFF" w:themeColor="background1"/>
                <w:sz w:val="18"/>
                <w:szCs w:val="18"/>
                <w:lang w:val="en-US"/>
              </w:rPr>
              <w:t>Cum.%</w:t>
            </w:r>
          </w:p>
        </w:tc>
      </w:tr>
      <w:tr w:rsidR="006E0321" w:rsidRPr="00C95492" w14:paraId="0450276F"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C2873BB" w14:textId="78A0F426" w:rsidR="006E0321" w:rsidRPr="00C95492" w:rsidRDefault="00FB69E7" w:rsidP="00720A6F">
            <w:pPr>
              <w:spacing w:before="40" w:after="40"/>
              <w:rPr>
                <w:b/>
                <w:bCs/>
                <w:color w:val="FFFFFF" w:themeColor="background1"/>
                <w:sz w:val="18"/>
                <w:szCs w:val="18"/>
                <w:lang w:val="en-US"/>
              </w:rPr>
            </w:pPr>
            <w:r>
              <w:rPr>
                <w:b/>
                <w:bCs/>
                <w:color w:val="FFFFFF" w:themeColor="background1"/>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vAlign w:val="bottom"/>
            <w:hideMark/>
          </w:tcPr>
          <w:p w14:paraId="66ECBE13" w14:textId="77777777" w:rsidR="006E0321" w:rsidRPr="00C95492" w:rsidRDefault="006E0321" w:rsidP="00720A6F">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2344C388" w14:textId="77777777" w:rsidR="006E0321" w:rsidRPr="00C95492" w:rsidRDefault="006E0321" w:rsidP="00720A6F">
            <w:pPr>
              <w:spacing w:before="40" w:after="40"/>
              <w:rPr>
                <w:sz w:val="18"/>
                <w:szCs w:val="18"/>
                <w:lang w:val="en-US"/>
              </w:rPr>
            </w:pPr>
            <w:r w:rsidRPr="00C95492">
              <w:rPr>
                <w:sz w:val="18"/>
                <w:szCs w:val="18"/>
                <w:lang w:val="en-US"/>
              </w:rPr>
              <w:t>5.44</w:t>
            </w:r>
          </w:p>
        </w:tc>
        <w:tc>
          <w:tcPr>
            <w:tcW w:w="1158" w:type="dxa"/>
            <w:tcBorders>
              <w:top w:val="nil"/>
              <w:left w:val="nil"/>
              <w:bottom w:val="single" w:sz="4" w:space="0" w:color="FFFFFF"/>
              <w:right w:val="single" w:sz="4" w:space="0" w:color="FFFFFF"/>
            </w:tcBorders>
            <w:shd w:val="clear" w:color="000000" w:fill="EAF0E0"/>
            <w:noWrap/>
            <w:vAlign w:val="bottom"/>
            <w:hideMark/>
          </w:tcPr>
          <w:p w14:paraId="200E1013" w14:textId="77777777" w:rsidR="006E0321" w:rsidRPr="00C95492" w:rsidRDefault="006E0321" w:rsidP="00720A6F">
            <w:pPr>
              <w:spacing w:before="40" w:after="40"/>
              <w:rPr>
                <w:sz w:val="18"/>
                <w:szCs w:val="18"/>
                <w:lang w:val="en-US"/>
              </w:rPr>
            </w:pPr>
            <w:r w:rsidRPr="00C95492">
              <w:rPr>
                <w:sz w:val="18"/>
                <w:szCs w:val="18"/>
                <w:lang w:val="en-US"/>
              </w:rPr>
              <w:t>31.5</w:t>
            </w:r>
          </w:p>
        </w:tc>
        <w:tc>
          <w:tcPr>
            <w:tcW w:w="1157" w:type="dxa"/>
            <w:tcBorders>
              <w:top w:val="nil"/>
              <w:left w:val="nil"/>
              <w:bottom w:val="single" w:sz="4" w:space="0" w:color="FFFFFF"/>
              <w:right w:val="single" w:sz="4" w:space="0" w:color="FFFFFF"/>
            </w:tcBorders>
            <w:shd w:val="clear" w:color="000000" w:fill="EAF0E0"/>
            <w:noWrap/>
            <w:vAlign w:val="bottom"/>
            <w:hideMark/>
          </w:tcPr>
          <w:p w14:paraId="568B704F" w14:textId="77777777" w:rsidR="006E0321" w:rsidRPr="00C95492" w:rsidRDefault="006E0321" w:rsidP="00720A6F">
            <w:pPr>
              <w:spacing w:before="40" w:after="40"/>
              <w:rPr>
                <w:sz w:val="18"/>
                <w:szCs w:val="18"/>
                <w:lang w:val="en-US"/>
              </w:rPr>
            </w:pPr>
            <w:r w:rsidRPr="00C95492">
              <w:rPr>
                <w:sz w:val="18"/>
                <w:szCs w:val="18"/>
                <w:lang w:val="en-US"/>
              </w:rPr>
              <w:t>6.01</w:t>
            </w:r>
          </w:p>
        </w:tc>
        <w:tc>
          <w:tcPr>
            <w:tcW w:w="1158" w:type="dxa"/>
            <w:tcBorders>
              <w:top w:val="nil"/>
              <w:left w:val="nil"/>
              <w:bottom w:val="single" w:sz="4" w:space="0" w:color="FFFFFF"/>
              <w:right w:val="single" w:sz="4" w:space="0" w:color="FFFFFF"/>
            </w:tcBorders>
            <w:shd w:val="clear" w:color="000000" w:fill="EAF0E0"/>
            <w:noWrap/>
            <w:vAlign w:val="bottom"/>
            <w:hideMark/>
          </w:tcPr>
          <w:p w14:paraId="3E606483" w14:textId="77777777" w:rsidR="006E0321" w:rsidRPr="00C95492" w:rsidRDefault="006E0321" w:rsidP="00720A6F">
            <w:pPr>
              <w:spacing w:before="40" w:after="40"/>
              <w:rPr>
                <w:sz w:val="18"/>
                <w:szCs w:val="18"/>
                <w:lang w:val="en-US"/>
              </w:rPr>
            </w:pPr>
            <w:r w:rsidRPr="00C95492">
              <w:rPr>
                <w:sz w:val="18"/>
                <w:szCs w:val="18"/>
                <w:lang w:val="en-US"/>
              </w:rPr>
              <w:t>42.93</w:t>
            </w:r>
          </w:p>
        </w:tc>
        <w:tc>
          <w:tcPr>
            <w:tcW w:w="1158" w:type="dxa"/>
            <w:tcBorders>
              <w:top w:val="nil"/>
              <w:left w:val="nil"/>
              <w:bottom w:val="single" w:sz="4" w:space="0" w:color="FFFFFF"/>
              <w:right w:val="single" w:sz="4" w:space="0" w:color="FFFFFF"/>
            </w:tcBorders>
            <w:shd w:val="clear" w:color="000000" w:fill="EAF0E0"/>
            <w:noWrap/>
            <w:vAlign w:val="bottom"/>
            <w:hideMark/>
          </w:tcPr>
          <w:p w14:paraId="12FCB8F4" w14:textId="77777777" w:rsidR="006E0321" w:rsidRPr="00C95492" w:rsidRDefault="006E0321" w:rsidP="00720A6F">
            <w:pPr>
              <w:spacing w:before="40" w:after="40"/>
              <w:rPr>
                <w:sz w:val="18"/>
                <w:szCs w:val="18"/>
                <w:lang w:val="en-US"/>
              </w:rPr>
            </w:pPr>
            <w:r w:rsidRPr="00C95492">
              <w:rPr>
                <w:sz w:val="18"/>
                <w:szCs w:val="18"/>
                <w:lang w:val="en-US"/>
              </w:rPr>
              <w:t>42.93</w:t>
            </w:r>
          </w:p>
        </w:tc>
      </w:tr>
      <w:tr w:rsidR="006E0321" w:rsidRPr="00C95492" w14:paraId="0A002623"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205890C" w14:textId="359EECF3" w:rsidR="006E0321" w:rsidRPr="00C95492" w:rsidRDefault="00FB69E7" w:rsidP="00720A6F">
            <w:pPr>
              <w:spacing w:before="40" w:after="40"/>
              <w:rPr>
                <w:b/>
                <w:bCs/>
                <w:color w:val="FFFFFF" w:themeColor="background1"/>
                <w:sz w:val="18"/>
                <w:szCs w:val="18"/>
                <w:lang w:val="en-US"/>
              </w:rPr>
            </w:pPr>
            <w:r>
              <w:rPr>
                <w:b/>
                <w:bCs/>
                <w:color w:val="FFFFFF" w:themeColor="background1"/>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vAlign w:val="bottom"/>
            <w:hideMark/>
          </w:tcPr>
          <w:p w14:paraId="79673BEA" w14:textId="77777777" w:rsidR="006E0321" w:rsidRPr="00C95492" w:rsidRDefault="006E0321" w:rsidP="00720A6F">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087286CF" w14:textId="77777777" w:rsidR="006E0321" w:rsidRPr="00C95492" w:rsidRDefault="006E0321" w:rsidP="00720A6F">
            <w:pPr>
              <w:spacing w:before="40" w:after="40"/>
              <w:rPr>
                <w:sz w:val="18"/>
                <w:szCs w:val="18"/>
                <w:lang w:val="en-US"/>
              </w:rPr>
            </w:pPr>
            <w:r w:rsidRPr="00C95492">
              <w:rPr>
                <w:sz w:val="18"/>
                <w:szCs w:val="18"/>
                <w:lang w:val="en-US"/>
              </w:rPr>
              <w:t>2.44</w:t>
            </w:r>
          </w:p>
        </w:tc>
        <w:tc>
          <w:tcPr>
            <w:tcW w:w="1158" w:type="dxa"/>
            <w:tcBorders>
              <w:top w:val="nil"/>
              <w:left w:val="nil"/>
              <w:bottom w:val="single" w:sz="4" w:space="0" w:color="FFFFFF"/>
              <w:right w:val="single" w:sz="4" w:space="0" w:color="FFFFFF"/>
            </w:tcBorders>
            <w:shd w:val="clear" w:color="000000" w:fill="EAF0E0"/>
            <w:noWrap/>
            <w:vAlign w:val="bottom"/>
            <w:hideMark/>
          </w:tcPr>
          <w:p w14:paraId="2CAA5DFC" w14:textId="77777777" w:rsidR="006E0321" w:rsidRPr="00C95492" w:rsidRDefault="006E0321" w:rsidP="00720A6F">
            <w:pPr>
              <w:spacing w:before="40" w:after="40"/>
              <w:rPr>
                <w:sz w:val="18"/>
                <w:szCs w:val="18"/>
                <w:lang w:val="en-US"/>
              </w:rPr>
            </w:pPr>
            <w:r w:rsidRPr="00C95492">
              <w:rPr>
                <w:sz w:val="18"/>
                <w:szCs w:val="18"/>
                <w:lang w:val="en-US"/>
              </w:rPr>
              <w:t>14.38</w:t>
            </w:r>
          </w:p>
        </w:tc>
        <w:tc>
          <w:tcPr>
            <w:tcW w:w="1157" w:type="dxa"/>
            <w:tcBorders>
              <w:top w:val="nil"/>
              <w:left w:val="nil"/>
              <w:bottom w:val="single" w:sz="4" w:space="0" w:color="FFFFFF"/>
              <w:right w:val="single" w:sz="4" w:space="0" w:color="FFFFFF"/>
            </w:tcBorders>
            <w:shd w:val="clear" w:color="000000" w:fill="EAF0E0"/>
            <w:noWrap/>
            <w:vAlign w:val="bottom"/>
            <w:hideMark/>
          </w:tcPr>
          <w:p w14:paraId="1EE45B86" w14:textId="77777777" w:rsidR="006E0321" w:rsidRPr="00C95492" w:rsidRDefault="006E0321" w:rsidP="00720A6F">
            <w:pPr>
              <w:spacing w:before="40" w:after="40"/>
              <w:rPr>
                <w:sz w:val="18"/>
                <w:szCs w:val="18"/>
                <w:lang w:val="en-US"/>
              </w:rPr>
            </w:pPr>
            <w:r w:rsidRPr="00C95492">
              <w:rPr>
                <w:sz w:val="18"/>
                <w:szCs w:val="18"/>
                <w:lang w:val="en-US"/>
              </w:rPr>
              <w:t>3.97</w:t>
            </w:r>
          </w:p>
        </w:tc>
        <w:tc>
          <w:tcPr>
            <w:tcW w:w="1158" w:type="dxa"/>
            <w:tcBorders>
              <w:top w:val="nil"/>
              <w:left w:val="nil"/>
              <w:bottom w:val="single" w:sz="4" w:space="0" w:color="FFFFFF"/>
              <w:right w:val="single" w:sz="4" w:space="0" w:color="FFFFFF"/>
            </w:tcBorders>
            <w:shd w:val="clear" w:color="000000" w:fill="EAF0E0"/>
            <w:noWrap/>
            <w:vAlign w:val="bottom"/>
            <w:hideMark/>
          </w:tcPr>
          <w:p w14:paraId="3997E864" w14:textId="77777777" w:rsidR="006E0321" w:rsidRPr="00C95492" w:rsidRDefault="006E0321" w:rsidP="00720A6F">
            <w:pPr>
              <w:spacing w:before="40" w:after="40"/>
              <w:rPr>
                <w:sz w:val="18"/>
                <w:szCs w:val="18"/>
                <w:lang w:val="en-US"/>
              </w:rPr>
            </w:pPr>
            <w:r w:rsidRPr="00C95492">
              <w:rPr>
                <w:sz w:val="18"/>
                <w:szCs w:val="18"/>
                <w:lang w:val="en-US"/>
              </w:rPr>
              <w:t>19.6</w:t>
            </w:r>
          </w:p>
        </w:tc>
        <w:tc>
          <w:tcPr>
            <w:tcW w:w="1158" w:type="dxa"/>
            <w:tcBorders>
              <w:top w:val="nil"/>
              <w:left w:val="nil"/>
              <w:bottom w:val="single" w:sz="4" w:space="0" w:color="FFFFFF"/>
              <w:right w:val="single" w:sz="4" w:space="0" w:color="FFFFFF"/>
            </w:tcBorders>
            <w:shd w:val="clear" w:color="000000" w:fill="EAF0E0"/>
            <w:noWrap/>
            <w:vAlign w:val="bottom"/>
            <w:hideMark/>
          </w:tcPr>
          <w:p w14:paraId="13BB0D76" w14:textId="77777777" w:rsidR="006E0321" w:rsidRPr="00C95492" w:rsidRDefault="006E0321" w:rsidP="00720A6F">
            <w:pPr>
              <w:spacing w:before="40" w:after="40"/>
              <w:rPr>
                <w:sz w:val="18"/>
                <w:szCs w:val="18"/>
                <w:lang w:val="en-US"/>
              </w:rPr>
            </w:pPr>
            <w:r w:rsidRPr="00C95492">
              <w:rPr>
                <w:sz w:val="18"/>
                <w:szCs w:val="18"/>
                <w:lang w:val="en-US"/>
              </w:rPr>
              <w:t>62.53</w:t>
            </w:r>
          </w:p>
        </w:tc>
      </w:tr>
      <w:tr w:rsidR="006E0321" w:rsidRPr="00C95492" w14:paraId="2D0779A8"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2C3BE05" w14:textId="3C12F643" w:rsidR="006E0321" w:rsidRPr="00C95492" w:rsidRDefault="00423EE8" w:rsidP="00720A6F">
            <w:pPr>
              <w:spacing w:before="40" w:after="40"/>
              <w:rPr>
                <w:b/>
                <w:bCs/>
                <w:color w:val="FFFFFF" w:themeColor="background1"/>
                <w:sz w:val="18"/>
                <w:szCs w:val="18"/>
                <w:lang w:val="en-US"/>
              </w:rPr>
            </w:pPr>
            <w:r>
              <w:rPr>
                <w:b/>
                <w:bCs/>
                <w:color w:val="FFFFFF" w:themeColor="background1"/>
                <w:sz w:val="18"/>
                <w:szCs w:val="18"/>
                <w:lang w:val="en-US"/>
              </w:rPr>
              <w:t>eastern gambusia</w:t>
            </w:r>
          </w:p>
        </w:tc>
        <w:tc>
          <w:tcPr>
            <w:tcW w:w="1157" w:type="dxa"/>
            <w:tcBorders>
              <w:top w:val="nil"/>
              <w:left w:val="nil"/>
              <w:bottom w:val="single" w:sz="4" w:space="0" w:color="FFFFFF"/>
              <w:right w:val="single" w:sz="4" w:space="0" w:color="FFFFFF"/>
            </w:tcBorders>
            <w:shd w:val="clear" w:color="000000" w:fill="EAF0E0"/>
            <w:noWrap/>
            <w:vAlign w:val="bottom"/>
            <w:hideMark/>
          </w:tcPr>
          <w:p w14:paraId="6A5D8D39" w14:textId="77777777" w:rsidR="006E0321" w:rsidRPr="00C95492" w:rsidRDefault="006E0321" w:rsidP="00720A6F">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21FFA185" w14:textId="77777777" w:rsidR="006E0321" w:rsidRPr="00C95492" w:rsidRDefault="006E0321" w:rsidP="00720A6F">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66E42EAD" w14:textId="77777777" w:rsidR="006E0321" w:rsidRPr="00C95492" w:rsidRDefault="006E0321" w:rsidP="00720A6F">
            <w:pPr>
              <w:spacing w:before="40" w:after="40"/>
              <w:rPr>
                <w:sz w:val="18"/>
                <w:szCs w:val="18"/>
                <w:lang w:val="en-US"/>
              </w:rPr>
            </w:pPr>
            <w:r w:rsidRPr="00C95492">
              <w:rPr>
                <w:sz w:val="18"/>
                <w:szCs w:val="18"/>
                <w:lang w:val="en-US"/>
              </w:rPr>
              <w:t>10.79</w:t>
            </w:r>
          </w:p>
        </w:tc>
        <w:tc>
          <w:tcPr>
            <w:tcW w:w="1157" w:type="dxa"/>
            <w:tcBorders>
              <w:top w:val="nil"/>
              <w:left w:val="nil"/>
              <w:bottom w:val="single" w:sz="4" w:space="0" w:color="FFFFFF"/>
              <w:right w:val="single" w:sz="4" w:space="0" w:color="FFFFFF"/>
            </w:tcBorders>
            <w:shd w:val="clear" w:color="000000" w:fill="EAF0E0"/>
            <w:noWrap/>
            <w:vAlign w:val="bottom"/>
            <w:hideMark/>
          </w:tcPr>
          <w:p w14:paraId="5ADF8800" w14:textId="77777777" w:rsidR="006E0321" w:rsidRPr="00C95492" w:rsidRDefault="006E0321" w:rsidP="00720A6F">
            <w:pPr>
              <w:spacing w:before="40" w:after="40"/>
              <w:rPr>
                <w:sz w:val="18"/>
                <w:szCs w:val="18"/>
                <w:lang w:val="en-US"/>
              </w:rPr>
            </w:pPr>
            <w:r w:rsidRPr="00C95492">
              <w:rPr>
                <w:sz w:val="18"/>
                <w:szCs w:val="18"/>
                <w:lang w:val="en-US"/>
              </w:rPr>
              <w:t>4.61</w:t>
            </w:r>
          </w:p>
        </w:tc>
        <w:tc>
          <w:tcPr>
            <w:tcW w:w="1158" w:type="dxa"/>
            <w:tcBorders>
              <w:top w:val="nil"/>
              <w:left w:val="nil"/>
              <w:bottom w:val="single" w:sz="4" w:space="0" w:color="FFFFFF"/>
              <w:right w:val="single" w:sz="4" w:space="0" w:color="FFFFFF"/>
            </w:tcBorders>
            <w:shd w:val="clear" w:color="000000" w:fill="EAF0E0"/>
            <w:noWrap/>
            <w:vAlign w:val="bottom"/>
            <w:hideMark/>
          </w:tcPr>
          <w:p w14:paraId="4C714A15" w14:textId="77777777" w:rsidR="006E0321" w:rsidRPr="00C95492" w:rsidRDefault="006E0321" w:rsidP="00720A6F">
            <w:pPr>
              <w:spacing w:before="40" w:after="40"/>
              <w:rPr>
                <w:sz w:val="18"/>
                <w:szCs w:val="18"/>
                <w:lang w:val="en-US"/>
              </w:rPr>
            </w:pPr>
            <w:r w:rsidRPr="00C95492">
              <w:rPr>
                <w:sz w:val="18"/>
                <w:szCs w:val="18"/>
                <w:lang w:val="en-US"/>
              </w:rPr>
              <w:t>14.71</w:t>
            </w:r>
          </w:p>
        </w:tc>
        <w:tc>
          <w:tcPr>
            <w:tcW w:w="1158" w:type="dxa"/>
            <w:tcBorders>
              <w:top w:val="nil"/>
              <w:left w:val="nil"/>
              <w:bottom w:val="single" w:sz="4" w:space="0" w:color="FFFFFF"/>
              <w:right w:val="single" w:sz="4" w:space="0" w:color="FFFFFF"/>
            </w:tcBorders>
            <w:shd w:val="clear" w:color="000000" w:fill="EAF0E0"/>
            <w:noWrap/>
            <w:vAlign w:val="bottom"/>
            <w:hideMark/>
          </w:tcPr>
          <w:p w14:paraId="3133D88D" w14:textId="77777777" w:rsidR="006E0321" w:rsidRPr="00C95492" w:rsidRDefault="006E0321" w:rsidP="00720A6F">
            <w:pPr>
              <w:spacing w:before="40" w:after="40"/>
              <w:rPr>
                <w:sz w:val="18"/>
                <w:szCs w:val="18"/>
                <w:lang w:val="en-US"/>
              </w:rPr>
            </w:pPr>
            <w:r w:rsidRPr="00C95492">
              <w:rPr>
                <w:sz w:val="18"/>
                <w:szCs w:val="18"/>
                <w:lang w:val="en-US"/>
              </w:rPr>
              <w:t>77.23</w:t>
            </w:r>
          </w:p>
        </w:tc>
      </w:tr>
      <w:tr w:rsidR="006E0321" w:rsidRPr="00C95492" w14:paraId="594E9FB2"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2D2F31B" w14:textId="6DE0148E" w:rsidR="006E0321" w:rsidRPr="00C95492" w:rsidRDefault="00423EE8" w:rsidP="00720A6F">
            <w:pPr>
              <w:spacing w:before="40" w:after="40"/>
              <w:rPr>
                <w:b/>
                <w:bCs/>
                <w:color w:val="FFFFFF" w:themeColor="background1"/>
                <w:sz w:val="18"/>
                <w:szCs w:val="18"/>
                <w:lang w:val="en-US"/>
              </w:rPr>
            </w:pPr>
            <w:r>
              <w:rPr>
                <w:b/>
                <w:bCs/>
                <w:color w:val="FFFFFF" w:themeColor="background1"/>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vAlign w:val="bottom"/>
            <w:hideMark/>
          </w:tcPr>
          <w:p w14:paraId="41C51AD1" w14:textId="77777777" w:rsidR="006E0321" w:rsidRPr="00C95492" w:rsidRDefault="006E0321" w:rsidP="00720A6F">
            <w:pPr>
              <w:spacing w:before="40" w:after="40"/>
              <w:rPr>
                <w:sz w:val="18"/>
                <w:szCs w:val="18"/>
                <w:lang w:val="en-US"/>
              </w:rPr>
            </w:pPr>
            <w:r w:rsidRPr="00C95492">
              <w:rPr>
                <w:sz w:val="18"/>
                <w:szCs w:val="18"/>
                <w:lang w:val="en-US"/>
              </w:rPr>
              <w:t>0</w:t>
            </w:r>
          </w:p>
        </w:tc>
        <w:tc>
          <w:tcPr>
            <w:tcW w:w="1158" w:type="dxa"/>
            <w:tcBorders>
              <w:top w:val="nil"/>
              <w:left w:val="nil"/>
              <w:bottom w:val="single" w:sz="4" w:space="0" w:color="FFFFFF"/>
              <w:right w:val="single" w:sz="4" w:space="0" w:color="FFFFFF"/>
            </w:tcBorders>
            <w:shd w:val="clear" w:color="000000" w:fill="EAF0E0"/>
            <w:noWrap/>
            <w:vAlign w:val="bottom"/>
            <w:hideMark/>
          </w:tcPr>
          <w:p w14:paraId="41A28CC2" w14:textId="77777777" w:rsidR="006E0321" w:rsidRPr="00C95492" w:rsidRDefault="006E0321" w:rsidP="00720A6F">
            <w:pPr>
              <w:spacing w:before="40" w:after="40"/>
              <w:rPr>
                <w:sz w:val="18"/>
                <w:szCs w:val="18"/>
                <w:lang w:val="en-US"/>
              </w:rPr>
            </w:pPr>
            <w:r w:rsidRPr="00C95492">
              <w:rPr>
                <w:sz w:val="18"/>
                <w:szCs w:val="18"/>
                <w:lang w:val="en-US"/>
              </w:rPr>
              <w:t>1.84</w:t>
            </w:r>
          </w:p>
        </w:tc>
        <w:tc>
          <w:tcPr>
            <w:tcW w:w="1158" w:type="dxa"/>
            <w:tcBorders>
              <w:top w:val="nil"/>
              <w:left w:val="nil"/>
              <w:bottom w:val="single" w:sz="4" w:space="0" w:color="FFFFFF"/>
              <w:right w:val="single" w:sz="4" w:space="0" w:color="FFFFFF"/>
            </w:tcBorders>
            <w:shd w:val="clear" w:color="000000" w:fill="EAF0E0"/>
            <w:noWrap/>
            <w:vAlign w:val="bottom"/>
            <w:hideMark/>
          </w:tcPr>
          <w:p w14:paraId="13FEB73C" w14:textId="77777777" w:rsidR="006E0321" w:rsidRPr="00C95492" w:rsidRDefault="006E0321" w:rsidP="00720A6F">
            <w:pPr>
              <w:spacing w:before="40" w:after="40"/>
              <w:rPr>
                <w:sz w:val="18"/>
                <w:szCs w:val="18"/>
                <w:lang w:val="en-US"/>
              </w:rPr>
            </w:pPr>
            <w:r w:rsidRPr="00C95492">
              <w:rPr>
                <w:sz w:val="18"/>
                <w:szCs w:val="18"/>
                <w:lang w:val="en-US"/>
              </w:rPr>
              <w:t>10.43</w:t>
            </w:r>
          </w:p>
        </w:tc>
        <w:tc>
          <w:tcPr>
            <w:tcW w:w="1157" w:type="dxa"/>
            <w:tcBorders>
              <w:top w:val="nil"/>
              <w:left w:val="nil"/>
              <w:bottom w:val="single" w:sz="4" w:space="0" w:color="FFFFFF"/>
              <w:right w:val="single" w:sz="4" w:space="0" w:color="FFFFFF"/>
            </w:tcBorders>
            <w:shd w:val="clear" w:color="000000" w:fill="EAF0E0"/>
            <w:noWrap/>
            <w:vAlign w:val="bottom"/>
            <w:hideMark/>
          </w:tcPr>
          <w:p w14:paraId="2DC83A96" w14:textId="77777777" w:rsidR="006E0321" w:rsidRPr="00C95492" w:rsidRDefault="006E0321" w:rsidP="00720A6F">
            <w:pPr>
              <w:spacing w:before="40" w:after="40"/>
              <w:rPr>
                <w:sz w:val="18"/>
                <w:szCs w:val="18"/>
                <w:lang w:val="en-US"/>
              </w:rPr>
            </w:pPr>
            <w:r w:rsidRPr="00C95492">
              <w:rPr>
                <w:sz w:val="18"/>
                <w:szCs w:val="18"/>
                <w:lang w:val="en-US"/>
              </w:rPr>
              <w:t>21.55</w:t>
            </w:r>
          </w:p>
        </w:tc>
        <w:tc>
          <w:tcPr>
            <w:tcW w:w="1158" w:type="dxa"/>
            <w:tcBorders>
              <w:top w:val="nil"/>
              <w:left w:val="nil"/>
              <w:bottom w:val="single" w:sz="4" w:space="0" w:color="FFFFFF"/>
              <w:right w:val="single" w:sz="4" w:space="0" w:color="FFFFFF"/>
            </w:tcBorders>
            <w:shd w:val="clear" w:color="000000" w:fill="EAF0E0"/>
            <w:noWrap/>
            <w:vAlign w:val="bottom"/>
            <w:hideMark/>
          </w:tcPr>
          <w:p w14:paraId="757C5266" w14:textId="77777777" w:rsidR="006E0321" w:rsidRPr="00C95492" w:rsidRDefault="006E0321" w:rsidP="00720A6F">
            <w:pPr>
              <w:spacing w:before="40" w:after="40"/>
              <w:rPr>
                <w:sz w:val="18"/>
                <w:szCs w:val="18"/>
                <w:lang w:val="en-US"/>
              </w:rPr>
            </w:pPr>
            <w:r w:rsidRPr="00C95492">
              <w:rPr>
                <w:sz w:val="18"/>
                <w:szCs w:val="18"/>
                <w:lang w:val="en-US"/>
              </w:rPr>
              <w:t>14.21</w:t>
            </w:r>
          </w:p>
        </w:tc>
        <w:tc>
          <w:tcPr>
            <w:tcW w:w="1158" w:type="dxa"/>
            <w:tcBorders>
              <w:top w:val="nil"/>
              <w:left w:val="nil"/>
              <w:bottom w:val="single" w:sz="4" w:space="0" w:color="FFFFFF"/>
              <w:right w:val="single" w:sz="4" w:space="0" w:color="FFFFFF"/>
            </w:tcBorders>
            <w:shd w:val="clear" w:color="000000" w:fill="EAF0E0"/>
            <w:noWrap/>
            <w:vAlign w:val="bottom"/>
            <w:hideMark/>
          </w:tcPr>
          <w:p w14:paraId="3D71FEF4" w14:textId="77777777" w:rsidR="006E0321" w:rsidRPr="00C95492" w:rsidRDefault="006E0321" w:rsidP="00720A6F">
            <w:pPr>
              <w:spacing w:before="40" w:after="40"/>
              <w:rPr>
                <w:sz w:val="18"/>
                <w:szCs w:val="18"/>
                <w:lang w:val="en-US"/>
              </w:rPr>
            </w:pPr>
            <w:r w:rsidRPr="00C95492">
              <w:rPr>
                <w:sz w:val="18"/>
                <w:szCs w:val="18"/>
                <w:lang w:val="en-US"/>
              </w:rPr>
              <w:t>91.45</w:t>
            </w:r>
          </w:p>
        </w:tc>
      </w:tr>
    </w:tbl>
    <w:p w14:paraId="38514D53" w14:textId="50FFCFB3" w:rsidR="00423EE8" w:rsidRDefault="00423EE8" w:rsidP="006E0321">
      <w:pPr>
        <w:spacing w:before="0" w:after="0"/>
        <w:rPr>
          <w:sz w:val="18"/>
          <w:szCs w:val="18"/>
          <w:lang w:val="en-US"/>
        </w:rPr>
      </w:pPr>
    </w:p>
    <w:p w14:paraId="20FA8DE1" w14:textId="77777777" w:rsidR="006E0321" w:rsidRDefault="006E0321" w:rsidP="006E0321">
      <w:pPr>
        <w:spacing w:before="0" w:after="0"/>
        <w:rPr>
          <w:rFonts w:eastAsia="Times New Roman" w:cs="Calibri"/>
          <w:color w:val="000000"/>
          <w:sz w:val="22"/>
          <w:szCs w:val="22"/>
          <w:lang w:val="en-US"/>
        </w:rPr>
      </w:pPr>
      <w:r w:rsidRPr="00121FEC">
        <w:rPr>
          <w:rFonts w:eastAsia="Times New Roman" w:cs="Calibri"/>
          <w:color w:val="000000"/>
          <w:sz w:val="22"/>
          <w:szCs w:val="22"/>
          <w:lang w:val="en-US"/>
        </w:rPr>
        <w:t>Groups 2014 &amp; 201</w:t>
      </w:r>
      <w:r>
        <w:rPr>
          <w:rFonts w:eastAsia="Times New Roman" w:cs="Calibri"/>
          <w:color w:val="000000"/>
          <w:sz w:val="22"/>
          <w:szCs w:val="22"/>
          <w:lang w:val="en-US"/>
        </w:rPr>
        <w:t>8</w:t>
      </w:r>
    </w:p>
    <w:p w14:paraId="51C4823D" w14:textId="271D7CC0" w:rsidR="006E0321" w:rsidRPr="00C95492" w:rsidRDefault="006E0321" w:rsidP="006E0321">
      <w:pPr>
        <w:spacing w:before="0" w:after="0"/>
        <w:rPr>
          <w:sz w:val="22"/>
          <w:szCs w:val="18"/>
          <w:lang w:val="en-US"/>
        </w:rPr>
      </w:pPr>
      <w:r w:rsidRPr="00C95492">
        <w:rPr>
          <w:sz w:val="22"/>
          <w:szCs w:val="18"/>
          <w:lang w:val="en-US"/>
        </w:rPr>
        <w:t xml:space="preserve">Average dissimilarity = </w:t>
      </w:r>
      <w:r>
        <w:rPr>
          <w:sz w:val="22"/>
          <w:szCs w:val="18"/>
          <w:lang w:val="en-US"/>
        </w:rPr>
        <w:t>40.57</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3E464431"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7AC538AC"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B1C0881"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Group 2014</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D7F3DF6" w14:textId="2546B4C3"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Group 2018</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5790560"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 xml:space="preserve">       </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ECFE2DA"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83EC120"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 xml:space="preserve">        </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A83D319"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 xml:space="preserve">     </w:t>
            </w:r>
          </w:p>
        </w:tc>
      </w:tr>
      <w:tr w:rsidR="006E0321" w:rsidRPr="00C95492" w14:paraId="21D069F9"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28B2EB09" w14:textId="77777777" w:rsidR="006E0321" w:rsidRPr="00423EE8" w:rsidRDefault="006E0321" w:rsidP="00720A6F">
            <w:pPr>
              <w:spacing w:before="40" w:afterLines="40" w:after="96"/>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72EF8CF0" w14:textId="45BD1664"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6AFEB6C4"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 xml:space="preserve">  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48B6667A"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1886381B"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702318DB"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D7D7A7B" w14:textId="77777777" w:rsidR="006E0321" w:rsidRPr="00423EE8" w:rsidRDefault="006E0321" w:rsidP="00720A6F">
            <w:pPr>
              <w:spacing w:before="40" w:afterLines="40" w:after="96"/>
              <w:rPr>
                <w:b/>
                <w:bCs/>
                <w:color w:val="FFFFFF" w:themeColor="background1"/>
                <w:sz w:val="18"/>
                <w:szCs w:val="18"/>
                <w:lang w:val="en-US"/>
              </w:rPr>
            </w:pPr>
            <w:r w:rsidRPr="00423EE8">
              <w:rPr>
                <w:b/>
                <w:bCs/>
                <w:color w:val="FFFFFF" w:themeColor="background1"/>
                <w:sz w:val="18"/>
                <w:szCs w:val="18"/>
                <w:lang w:val="en-US"/>
              </w:rPr>
              <w:t>Cum.%</w:t>
            </w:r>
          </w:p>
        </w:tc>
      </w:tr>
      <w:tr w:rsidR="006E0321" w:rsidRPr="00C95492" w14:paraId="7C0D55B4" w14:textId="77777777" w:rsidTr="00423EE8">
        <w:trPr>
          <w:trHeight w:val="315"/>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537E2C27" w14:textId="4A524967" w:rsidR="006E0321" w:rsidRPr="00423EE8" w:rsidRDefault="00FB69E7"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flatheaded gudgeon</w:t>
            </w:r>
          </w:p>
        </w:tc>
        <w:tc>
          <w:tcPr>
            <w:tcW w:w="1157" w:type="dxa"/>
            <w:tcBorders>
              <w:top w:val="nil"/>
              <w:left w:val="nil"/>
              <w:bottom w:val="single" w:sz="4" w:space="0" w:color="FFFFFF"/>
              <w:right w:val="single" w:sz="4" w:space="0" w:color="FFFFFF"/>
            </w:tcBorders>
            <w:shd w:val="clear" w:color="000000" w:fill="EAF0E0"/>
            <w:noWrap/>
            <w:hideMark/>
          </w:tcPr>
          <w:p w14:paraId="2A70C4F0" w14:textId="7E140A37"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1.75</w:t>
            </w:r>
          </w:p>
        </w:tc>
        <w:tc>
          <w:tcPr>
            <w:tcW w:w="1158" w:type="dxa"/>
            <w:tcBorders>
              <w:top w:val="nil"/>
              <w:left w:val="nil"/>
              <w:bottom w:val="single" w:sz="4" w:space="0" w:color="FFFFFF"/>
              <w:right w:val="single" w:sz="4" w:space="0" w:color="FFFFFF"/>
            </w:tcBorders>
            <w:shd w:val="clear" w:color="000000" w:fill="EAF0E0"/>
            <w:noWrap/>
            <w:hideMark/>
          </w:tcPr>
          <w:p w14:paraId="433FECD3" w14:textId="61D8D218"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5.18</w:t>
            </w:r>
          </w:p>
        </w:tc>
        <w:tc>
          <w:tcPr>
            <w:tcW w:w="1158" w:type="dxa"/>
            <w:tcBorders>
              <w:top w:val="nil"/>
              <w:left w:val="nil"/>
              <w:bottom w:val="single" w:sz="4" w:space="0" w:color="FFFFFF"/>
              <w:right w:val="single" w:sz="4" w:space="0" w:color="FFFFFF"/>
            </w:tcBorders>
            <w:shd w:val="clear" w:color="000000" w:fill="EAF0E0"/>
            <w:noWrap/>
            <w:hideMark/>
          </w:tcPr>
          <w:p w14:paraId="066D38FE" w14:textId="053B73D9"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13.49</w:t>
            </w:r>
          </w:p>
        </w:tc>
        <w:tc>
          <w:tcPr>
            <w:tcW w:w="1157" w:type="dxa"/>
            <w:tcBorders>
              <w:top w:val="nil"/>
              <w:left w:val="nil"/>
              <w:bottom w:val="single" w:sz="4" w:space="0" w:color="FFFFFF"/>
              <w:right w:val="single" w:sz="4" w:space="0" w:color="FFFFFF"/>
            </w:tcBorders>
            <w:shd w:val="clear" w:color="000000" w:fill="EAF0E0"/>
            <w:noWrap/>
            <w:hideMark/>
          </w:tcPr>
          <w:p w14:paraId="27300FB0" w14:textId="12CAAC86"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2.80</w:t>
            </w:r>
          </w:p>
        </w:tc>
        <w:tc>
          <w:tcPr>
            <w:tcW w:w="1158" w:type="dxa"/>
            <w:tcBorders>
              <w:top w:val="nil"/>
              <w:left w:val="nil"/>
              <w:bottom w:val="single" w:sz="4" w:space="0" w:color="FFFFFF"/>
              <w:right w:val="single" w:sz="4" w:space="0" w:color="FFFFFF"/>
            </w:tcBorders>
            <w:shd w:val="clear" w:color="000000" w:fill="EAF0E0"/>
            <w:noWrap/>
            <w:hideMark/>
          </w:tcPr>
          <w:p w14:paraId="79D69B3D" w14:textId="04493972"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33.25</w:t>
            </w:r>
          </w:p>
        </w:tc>
        <w:tc>
          <w:tcPr>
            <w:tcW w:w="1158" w:type="dxa"/>
            <w:tcBorders>
              <w:top w:val="nil"/>
              <w:left w:val="nil"/>
              <w:bottom w:val="single" w:sz="4" w:space="0" w:color="FFFFFF"/>
              <w:right w:val="single" w:sz="4" w:space="0" w:color="FFFFFF"/>
            </w:tcBorders>
            <w:shd w:val="clear" w:color="000000" w:fill="EAF0E0"/>
            <w:noWrap/>
            <w:hideMark/>
          </w:tcPr>
          <w:p w14:paraId="390E7E3A" w14:textId="4EEC9238"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33.25</w:t>
            </w:r>
          </w:p>
        </w:tc>
      </w:tr>
      <w:tr w:rsidR="006E0321" w:rsidRPr="00C95492" w14:paraId="14133255"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269DC40B" w14:textId="49CDCA41" w:rsidR="006E0321" w:rsidRPr="00423EE8" w:rsidRDefault="00FB69E7"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Australian smelt</w:t>
            </w:r>
          </w:p>
        </w:tc>
        <w:tc>
          <w:tcPr>
            <w:tcW w:w="1157" w:type="dxa"/>
            <w:tcBorders>
              <w:top w:val="nil"/>
              <w:left w:val="nil"/>
              <w:bottom w:val="single" w:sz="4" w:space="0" w:color="FFFFFF"/>
              <w:right w:val="single" w:sz="4" w:space="0" w:color="FFFFFF"/>
            </w:tcBorders>
            <w:shd w:val="clear" w:color="000000" w:fill="EAF0E0"/>
            <w:noWrap/>
            <w:hideMark/>
          </w:tcPr>
          <w:p w14:paraId="0D7691F9" w14:textId="5600D522"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1.71</w:t>
            </w:r>
          </w:p>
        </w:tc>
        <w:tc>
          <w:tcPr>
            <w:tcW w:w="1158" w:type="dxa"/>
            <w:tcBorders>
              <w:top w:val="nil"/>
              <w:left w:val="nil"/>
              <w:bottom w:val="single" w:sz="4" w:space="0" w:color="FFFFFF"/>
              <w:right w:val="single" w:sz="4" w:space="0" w:color="FFFFFF"/>
            </w:tcBorders>
            <w:shd w:val="clear" w:color="000000" w:fill="EAF0E0"/>
            <w:noWrap/>
            <w:hideMark/>
          </w:tcPr>
          <w:p w14:paraId="18CAA4DF" w14:textId="78FD613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4.49</w:t>
            </w:r>
          </w:p>
        </w:tc>
        <w:tc>
          <w:tcPr>
            <w:tcW w:w="1158" w:type="dxa"/>
            <w:tcBorders>
              <w:top w:val="nil"/>
              <w:left w:val="nil"/>
              <w:bottom w:val="single" w:sz="4" w:space="0" w:color="FFFFFF"/>
              <w:right w:val="single" w:sz="4" w:space="0" w:color="FFFFFF"/>
            </w:tcBorders>
            <w:shd w:val="clear" w:color="000000" w:fill="EAF0E0"/>
            <w:noWrap/>
            <w:hideMark/>
          </w:tcPr>
          <w:p w14:paraId="3123C752" w14:textId="6C63E2EC"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11.00</w:t>
            </w:r>
          </w:p>
        </w:tc>
        <w:tc>
          <w:tcPr>
            <w:tcW w:w="1157" w:type="dxa"/>
            <w:tcBorders>
              <w:top w:val="nil"/>
              <w:left w:val="nil"/>
              <w:bottom w:val="single" w:sz="4" w:space="0" w:color="FFFFFF"/>
              <w:right w:val="single" w:sz="4" w:space="0" w:color="FFFFFF"/>
            </w:tcBorders>
            <w:shd w:val="clear" w:color="000000" w:fill="EAF0E0"/>
            <w:noWrap/>
            <w:hideMark/>
          </w:tcPr>
          <w:p w14:paraId="44A25321" w14:textId="082D76B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2.42</w:t>
            </w:r>
          </w:p>
        </w:tc>
        <w:tc>
          <w:tcPr>
            <w:tcW w:w="1158" w:type="dxa"/>
            <w:tcBorders>
              <w:top w:val="nil"/>
              <w:left w:val="nil"/>
              <w:bottom w:val="single" w:sz="4" w:space="0" w:color="FFFFFF"/>
              <w:right w:val="single" w:sz="4" w:space="0" w:color="FFFFFF"/>
            </w:tcBorders>
            <w:shd w:val="clear" w:color="000000" w:fill="EAF0E0"/>
            <w:noWrap/>
            <w:hideMark/>
          </w:tcPr>
          <w:p w14:paraId="225BF7A0" w14:textId="532F71EA"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27.12</w:t>
            </w:r>
          </w:p>
        </w:tc>
        <w:tc>
          <w:tcPr>
            <w:tcW w:w="1158" w:type="dxa"/>
            <w:tcBorders>
              <w:top w:val="nil"/>
              <w:left w:val="nil"/>
              <w:bottom w:val="single" w:sz="4" w:space="0" w:color="FFFFFF"/>
              <w:right w:val="single" w:sz="4" w:space="0" w:color="FFFFFF"/>
            </w:tcBorders>
            <w:shd w:val="clear" w:color="000000" w:fill="EAF0E0"/>
            <w:noWrap/>
            <w:hideMark/>
          </w:tcPr>
          <w:p w14:paraId="3D377869" w14:textId="6A3436D0"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60.37</w:t>
            </w:r>
          </w:p>
        </w:tc>
      </w:tr>
      <w:tr w:rsidR="006E0321" w:rsidRPr="00C95492" w14:paraId="4FD10EEC"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3F7EA6B8" w14:textId="0D224BDC" w:rsidR="006E0321" w:rsidRPr="00423EE8" w:rsidRDefault="00423EE8"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eastern gambusia</w:t>
            </w:r>
          </w:p>
        </w:tc>
        <w:tc>
          <w:tcPr>
            <w:tcW w:w="1157" w:type="dxa"/>
            <w:tcBorders>
              <w:top w:val="nil"/>
              <w:left w:val="nil"/>
              <w:bottom w:val="single" w:sz="4" w:space="0" w:color="FFFFFF"/>
              <w:right w:val="single" w:sz="4" w:space="0" w:color="FFFFFF"/>
            </w:tcBorders>
            <w:shd w:val="clear" w:color="000000" w:fill="EAF0E0"/>
            <w:noWrap/>
            <w:hideMark/>
          </w:tcPr>
          <w:p w14:paraId="78CEB163" w14:textId="2B86D84A"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hideMark/>
          </w:tcPr>
          <w:p w14:paraId="2C782D49" w14:textId="6F2464F9"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1.78</w:t>
            </w:r>
          </w:p>
        </w:tc>
        <w:tc>
          <w:tcPr>
            <w:tcW w:w="1158" w:type="dxa"/>
            <w:tcBorders>
              <w:top w:val="nil"/>
              <w:left w:val="nil"/>
              <w:bottom w:val="single" w:sz="4" w:space="0" w:color="FFFFFF"/>
              <w:right w:val="single" w:sz="4" w:space="0" w:color="FFFFFF"/>
            </w:tcBorders>
            <w:shd w:val="clear" w:color="000000" w:fill="EAF0E0"/>
            <w:noWrap/>
            <w:hideMark/>
          </w:tcPr>
          <w:p w14:paraId="196E08FD" w14:textId="5E320362"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5.46</w:t>
            </w:r>
          </w:p>
        </w:tc>
        <w:tc>
          <w:tcPr>
            <w:tcW w:w="1157" w:type="dxa"/>
            <w:tcBorders>
              <w:top w:val="nil"/>
              <w:left w:val="nil"/>
              <w:bottom w:val="single" w:sz="4" w:space="0" w:color="FFFFFF"/>
              <w:right w:val="single" w:sz="4" w:space="0" w:color="FFFFFF"/>
            </w:tcBorders>
            <w:shd w:val="clear" w:color="000000" w:fill="EAF0E0"/>
            <w:noWrap/>
            <w:hideMark/>
          </w:tcPr>
          <w:p w14:paraId="2D5B7F9E" w14:textId="3FB8BD97"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1.56</w:t>
            </w:r>
          </w:p>
        </w:tc>
        <w:tc>
          <w:tcPr>
            <w:tcW w:w="1158" w:type="dxa"/>
            <w:tcBorders>
              <w:top w:val="nil"/>
              <w:left w:val="nil"/>
              <w:bottom w:val="single" w:sz="4" w:space="0" w:color="FFFFFF"/>
              <w:right w:val="single" w:sz="4" w:space="0" w:color="FFFFFF"/>
            </w:tcBorders>
            <w:shd w:val="clear" w:color="000000" w:fill="EAF0E0"/>
            <w:noWrap/>
            <w:hideMark/>
          </w:tcPr>
          <w:p w14:paraId="2A3BA299" w14:textId="2D4E0E6B"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13.45</w:t>
            </w:r>
          </w:p>
        </w:tc>
        <w:tc>
          <w:tcPr>
            <w:tcW w:w="1158" w:type="dxa"/>
            <w:tcBorders>
              <w:top w:val="nil"/>
              <w:left w:val="nil"/>
              <w:bottom w:val="single" w:sz="4" w:space="0" w:color="FFFFFF"/>
              <w:right w:val="single" w:sz="4" w:space="0" w:color="FFFFFF"/>
            </w:tcBorders>
            <w:shd w:val="clear" w:color="000000" w:fill="EAF0E0"/>
            <w:noWrap/>
            <w:hideMark/>
          </w:tcPr>
          <w:p w14:paraId="4CD98506" w14:textId="046B22D8"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73.82</w:t>
            </w:r>
          </w:p>
        </w:tc>
      </w:tr>
      <w:tr w:rsidR="006E0321" w:rsidRPr="00C95492" w14:paraId="62768E3A"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2236421D" w14:textId="3F35DF43" w:rsidR="006E0321" w:rsidRPr="00423EE8" w:rsidRDefault="00FB69E7"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carp gudgeon</w:t>
            </w:r>
          </w:p>
        </w:tc>
        <w:tc>
          <w:tcPr>
            <w:tcW w:w="1157" w:type="dxa"/>
            <w:tcBorders>
              <w:top w:val="nil"/>
              <w:left w:val="nil"/>
              <w:bottom w:val="single" w:sz="4" w:space="0" w:color="FFFFFF"/>
              <w:right w:val="single" w:sz="4" w:space="0" w:color="FFFFFF"/>
            </w:tcBorders>
            <w:shd w:val="clear" w:color="000000" w:fill="EAF0E0"/>
            <w:noWrap/>
            <w:hideMark/>
          </w:tcPr>
          <w:p w14:paraId="169305DD" w14:textId="62429958"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0.97</w:t>
            </w:r>
          </w:p>
        </w:tc>
        <w:tc>
          <w:tcPr>
            <w:tcW w:w="1158" w:type="dxa"/>
            <w:tcBorders>
              <w:top w:val="nil"/>
              <w:left w:val="nil"/>
              <w:bottom w:val="single" w:sz="4" w:space="0" w:color="FFFFFF"/>
              <w:right w:val="single" w:sz="4" w:space="0" w:color="FFFFFF"/>
            </w:tcBorders>
            <w:shd w:val="clear" w:color="000000" w:fill="EAF0E0"/>
            <w:noWrap/>
            <w:hideMark/>
          </w:tcPr>
          <w:p w14:paraId="2154B306" w14:textId="3001AC99"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1.68</w:t>
            </w:r>
          </w:p>
        </w:tc>
        <w:tc>
          <w:tcPr>
            <w:tcW w:w="1158" w:type="dxa"/>
            <w:tcBorders>
              <w:top w:val="nil"/>
              <w:left w:val="nil"/>
              <w:bottom w:val="single" w:sz="4" w:space="0" w:color="FFFFFF"/>
              <w:right w:val="single" w:sz="4" w:space="0" w:color="FFFFFF"/>
            </w:tcBorders>
            <w:shd w:val="clear" w:color="000000" w:fill="EAF0E0"/>
            <w:noWrap/>
            <w:hideMark/>
          </w:tcPr>
          <w:p w14:paraId="4964A873" w14:textId="268BDA11"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3.47</w:t>
            </w:r>
          </w:p>
        </w:tc>
        <w:tc>
          <w:tcPr>
            <w:tcW w:w="1157" w:type="dxa"/>
            <w:tcBorders>
              <w:top w:val="nil"/>
              <w:left w:val="nil"/>
              <w:bottom w:val="single" w:sz="4" w:space="0" w:color="FFFFFF"/>
              <w:right w:val="single" w:sz="4" w:space="0" w:color="FFFFFF"/>
            </w:tcBorders>
            <w:shd w:val="clear" w:color="000000" w:fill="EAF0E0"/>
            <w:noWrap/>
            <w:hideMark/>
          </w:tcPr>
          <w:p w14:paraId="359F1141" w14:textId="5E3984AF"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1.07</w:t>
            </w:r>
          </w:p>
        </w:tc>
        <w:tc>
          <w:tcPr>
            <w:tcW w:w="1158" w:type="dxa"/>
            <w:tcBorders>
              <w:top w:val="nil"/>
              <w:left w:val="nil"/>
              <w:bottom w:val="single" w:sz="4" w:space="0" w:color="FFFFFF"/>
              <w:right w:val="single" w:sz="4" w:space="0" w:color="FFFFFF"/>
            </w:tcBorders>
            <w:shd w:val="clear" w:color="000000" w:fill="EAF0E0"/>
            <w:noWrap/>
            <w:hideMark/>
          </w:tcPr>
          <w:p w14:paraId="3265BD69" w14:textId="08AE156F"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8.55</w:t>
            </w:r>
          </w:p>
        </w:tc>
        <w:tc>
          <w:tcPr>
            <w:tcW w:w="1158" w:type="dxa"/>
            <w:tcBorders>
              <w:top w:val="nil"/>
              <w:left w:val="nil"/>
              <w:bottom w:val="single" w:sz="4" w:space="0" w:color="FFFFFF"/>
              <w:right w:val="single" w:sz="4" w:space="0" w:color="FFFFFF"/>
            </w:tcBorders>
            <w:shd w:val="clear" w:color="000000" w:fill="EAF0E0"/>
            <w:noWrap/>
            <w:hideMark/>
          </w:tcPr>
          <w:p w14:paraId="042033F9" w14:textId="0F96037F"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82.37</w:t>
            </w:r>
          </w:p>
        </w:tc>
      </w:tr>
      <w:tr w:rsidR="006E0321" w:rsidRPr="00C95492" w14:paraId="1CE7661E"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793B3ECD" w14:textId="281F8CB5" w:rsidR="006E0321" w:rsidRPr="00423EE8" w:rsidRDefault="00423EE8"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Murray cod</w:t>
            </w:r>
          </w:p>
        </w:tc>
        <w:tc>
          <w:tcPr>
            <w:tcW w:w="1157" w:type="dxa"/>
            <w:tcBorders>
              <w:top w:val="nil"/>
              <w:left w:val="nil"/>
              <w:bottom w:val="single" w:sz="4" w:space="0" w:color="FFFFFF"/>
              <w:right w:val="single" w:sz="4" w:space="0" w:color="FFFFFF"/>
            </w:tcBorders>
            <w:shd w:val="clear" w:color="000000" w:fill="EAF0E0"/>
            <w:noWrap/>
            <w:hideMark/>
          </w:tcPr>
          <w:p w14:paraId="70E548B6" w14:textId="4B47251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3.41</w:t>
            </w:r>
          </w:p>
        </w:tc>
        <w:tc>
          <w:tcPr>
            <w:tcW w:w="1158" w:type="dxa"/>
            <w:tcBorders>
              <w:top w:val="nil"/>
              <w:left w:val="nil"/>
              <w:bottom w:val="single" w:sz="4" w:space="0" w:color="FFFFFF"/>
              <w:right w:val="single" w:sz="4" w:space="0" w:color="FFFFFF"/>
            </w:tcBorders>
            <w:shd w:val="clear" w:color="000000" w:fill="EAF0E0"/>
            <w:noWrap/>
            <w:hideMark/>
          </w:tcPr>
          <w:p w14:paraId="27237344" w14:textId="03662C4A"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2.92</w:t>
            </w:r>
          </w:p>
        </w:tc>
        <w:tc>
          <w:tcPr>
            <w:tcW w:w="1158" w:type="dxa"/>
            <w:tcBorders>
              <w:top w:val="nil"/>
              <w:left w:val="nil"/>
              <w:bottom w:val="single" w:sz="4" w:space="0" w:color="FFFFFF"/>
              <w:right w:val="single" w:sz="4" w:space="0" w:color="FFFFFF"/>
            </w:tcBorders>
            <w:shd w:val="clear" w:color="000000" w:fill="EAF0E0"/>
            <w:noWrap/>
            <w:hideMark/>
          </w:tcPr>
          <w:p w14:paraId="1609C901" w14:textId="5FA4047D"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3.07</w:t>
            </w:r>
          </w:p>
        </w:tc>
        <w:tc>
          <w:tcPr>
            <w:tcW w:w="1157" w:type="dxa"/>
            <w:tcBorders>
              <w:top w:val="nil"/>
              <w:left w:val="nil"/>
              <w:bottom w:val="single" w:sz="4" w:space="0" w:color="FFFFFF"/>
              <w:right w:val="single" w:sz="4" w:space="0" w:color="FFFFFF"/>
            </w:tcBorders>
            <w:shd w:val="clear" w:color="000000" w:fill="EAF0E0"/>
            <w:noWrap/>
            <w:hideMark/>
          </w:tcPr>
          <w:p w14:paraId="1070E1EA" w14:textId="324D2439"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1.93</w:t>
            </w:r>
          </w:p>
        </w:tc>
        <w:tc>
          <w:tcPr>
            <w:tcW w:w="1158" w:type="dxa"/>
            <w:tcBorders>
              <w:top w:val="nil"/>
              <w:left w:val="nil"/>
              <w:bottom w:val="single" w:sz="4" w:space="0" w:color="FFFFFF"/>
              <w:right w:val="single" w:sz="4" w:space="0" w:color="FFFFFF"/>
            </w:tcBorders>
            <w:shd w:val="clear" w:color="000000" w:fill="EAF0E0"/>
            <w:noWrap/>
            <w:hideMark/>
          </w:tcPr>
          <w:p w14:paraId="55978A79" w14:textId="1978EDE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7.58</w:t>
            </w:r>
          </w:p>
        </w:tc>
        <w:tc>
          <w:tcPr>
            <w:tcW w:w="1158" w:type="dxa"/>
            <w:tcBorders>
              <w:top w:val="nil"/>
              <w:left w:val="nil"/>
              <w:bottom w:val="single" w:sz="4" w:space="0" w:color="FFFFFF"/>
              <w:right w:val="single" w:sz="4" w:space="0" w:color="FFFFFF"/>
            </w:tcBorders>
            <w:shd w:val="clear" w:color="000000" w:fill="EAF0E0"/>
            <w:noWrap/>
            <w:hideMark/>
          </w:tcPr>
          <w:p w14:paraId="31A83433" w14:textId="2156BB66"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89.95</w:t>
            </w:r>
          </w:p>
        </w:tc>
      </w:tr>
      <w:tr w:rsidR="006E0321" w:rsidRPr="00C95492" w14:paraId="75C81656" w14:textId="77777777" w:rsidTr="00423EE8">
        <w:trPr>
          <w:trHeight w:val="300"/>
        </w:trPr>
        <w:tc>
          <w:tcPr>
            <w:tcW w:w="1838" w:type="dxa"/>
            <w:tcBorders>
              <w:top w:val="nil"/>
              <w:left w:val="single" w:sz="4" w:space="0" w:color="FFFFFF"/>
              <w:bottom w:val="single" w:sz="4" w:space="0" w:color="FFFFFF"/>
              <w:right w:val="single" w:sz="12" w:space="0" w:color="FFFFFF"/>
            </w:tcBorders>
            <w:shd w:val="clear" w:color="auto" w:fill="9BBB59" w:themeFill="accent3"/>
            <w:noWrap/>
            <w:hideMark/>
          </w:tcPr>
          <w:p w14:paraId="74453B5A" w14:textId="0C15FD53" w:rsidR="006E0321" w:rsidRPr="00423EE8" w:rsidRDefault="00423EE8" w:rsidP="000B1968">
            <w:pPr>
              <w:spacing w:before="40" w:after="40"/>
              <w:rPr>
                <w:b/>
                <w:bCs/>
                <w:color w:val="FFFFFF" w:themeColor="background1"/>
                <w:sz w:val="18"/>
                <w:szCs w:val="18"/>
                <w:lang w:val="en-US"/>
              </w:rPr>
            </w:pPr>
            <w:r w:rsidRPr="00423EE8">
              <w:rPr>
                <w:rFonts w:eastAsia="Times New Roman" w:cs="Calibri"/>
                <w:b/>
                <w:bCs/>
                <w:color w:val="FFFFFF"/>
                <w:sz w:val="18"/>
                <w:szCs w:val="18"/>
                <w:lang w:val="en-US"/>
              </w:rPr>
              <w:t>freshwater catfish</w:t>
            </w:r>
          </w:p>
        </w:tc>
        <w:tc>
          <w:tcPr>
            <w:tcW w:w="1157" w:type="dxa"/>
            <w:tcBorders>
              <w:top w:val="nil"/>
              <w:left w:val="nil"/>
              <w:bottom w:val="single" w:sz="4" w:space="0" w:color="FFFFFF"/>
              <w:right w:val="single" w:sz="4" w:space="0" w:color="FFFFFF"/>
            </w:tcBorders>
            <w:shd w:val="clear" w:color="000000" w:fill="EAF0E0"/>
            <w:noWrap/>
            <w:hideMark/>
          </w:tcPr>
          <w:p w14:paraId="1F02DD37" w14:textId="01BDB2F5"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0.67</w:t>
            </w:r>
          </w:p>
        </w:tc>
        <w:tc>
          <w:tcPr>
            <w:tcW w:w="1158" w:type="dxa"/>
            <w:tcBorders>
              <w:top w:val="nil"/>
              <w:left w:val="nil"/>
              <w:bottom w:val="single" w:sz="4" w:space="0" w:color="FFFFFF"/>
              <w:right w:val="single" w:sz="4" w:space="0" w:color="FFFFFF"/>
            </w:tcBorders>
            <w:shd w:val="clear" w:color="000000" w:fill="EAF0E0"/>
            <w:noWrap/>
            <w:hideMark/>
          </w:tcPr>
          <w:p w14:paraId="4BED41A6" w14:textId="65870A96"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0.00</w:t>
            </w:r>
          </w:p>
        </w:tc>
        <w:tc>
          <w:tcPr>
            <w:tcW w:w="1158" w:type="dxa"/>
            <w:tcBorders>
              <w:top w:val="nil"/>
              <w:left w:val="nil"/>
              <w:bottom w:val="single" w:sz="4" w:space="0" w:color="FFFFFF"/>
              <w:right w:val="single" w:sz="4" w:space="0" w:color="FFFFFF"/>
            </w:tcBorders>
            <w:shd w:val="clear" w:color="000000" w:fill="EAF0E0"/>
            <w:noWrap/>
            <w:hideMark/>
          </w:tcPr>
          <w:p w14:paraId="67FC5FC2" w14:textId="54737F5D"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2.43</w:t>
            </w:r>
          </w:p>
        </w:tc>
        <w:tc>
          <w:tcPr>
            <w:tcW w:w="1157" w:type="dxa"/>
            <w:tcBorders>
              <w:top w:val="nil"/>
              <w:left w:val="nil"/>
              <w:bottom w:val="single" w:sz="4" w:space="0" w:color="FFFFFF"/>
              <w:right w:val="single" w:sz="4" w:space="0" w:color="FFFFFF"/>
            </w:tcBorders>
            <w:shd w:val="clear" w:color="000000" w:fill="EAF0E0"/>
            <w:noWrap/>
            <w:hideMark/>
          </w:tcPr>
          <w:p w14:paraId="57F2893D" w14:textId="6DE9F8C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1.31</w:t>
            </w:r>
          </w:p>
        </w:tc>
        <w:tc>
          <w:tcPr>
            <w:tcW w:w="1158" w:type="dxa"/>
            <w:tcBorders>
              <w:top w:val="nil"/>
              <w:left w:val="nil"/>
              <w:bottom w:val="single" w:sz="4" w:space="0" w:color="FFFFFF"/>
              <w:right w:val="single" w:sz="4" w:space="0" w:color="FFFFFF"/>
            </w:tcBorders>
            <w:shd w:val="clear" w:color="000000" w:fill="EAF0E0"/>
            <w:noWrap/>
            <w:hideMark/>
          </w:tcPr>
          <w:p w14:paraId="0E87DB5B" w14:textId="4F4AD789"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6.00</w:t>
            </w:r>
          </w:p>
        </w:tc>
        <w:tc>
          <w:tcPr>
            <w:tcW w:w="1158" w:type="dxa"/>
            <w:tcBorders>
              <w:top w:val="nil"/>
              <w:left w:val="nil"/>
              <w:bottom w:val="single" w:sz="4" w:space="0" w:color="FFFFFF"/>
              <w:right w:val="single" w:sz="4" w:space="0" w:color="FFFFFF"/>
            </w:tcBorders>
            <w:shd w:val="clear" w:color="000000" w:fill="EAF0E0"/>
            <w:noWrap/>
            <w:hideMark/>
          </w:tcPr>
          <w:p w14:paraId="0CF6DEA5" w14:textId="734694E3" w:rsidR="006E0321" w:rsidRPr="00423EE8" w:rsidRDefault="006E0321" w:rsidP="000B1968">
            <w:pPr>
              <w:spacing w:before="40" w:after="40"/>
              <w:rPr>
                <w:sz w:val="18"/>
                <w:szCs w:val="18"/>
                <w:lang w:val="en-US"/>
              </w:rPr>
            </w:pPr>
            <w:r w:rsidRPr="00423EE8">
              <w:rPr>
                <w:rFonts w:eastAsia="Times New Roman" w:cs="Calibri"/>
                <w:color w:val="000000"/>
                <w:sz w:val="18"/>
                <w:szCs w:val="18"/>
                <w:lang w:val="en-US"/>
              </w:rPr>
              <w:t>95.94</w:t>
            </w:r>
          </w:p>
        </w:tc>
      </w:tr>
    </w:tbl>
    <w:p w14:paraId="5ED758D7" w14:textId="77777777" w:rsidR="00423EE8" w:rsidRDefault="00423EE8">
      <w:pPr>
        <w:spacing w:before="0" w:after="0"/>
        <w:rPr>
          <w:sz w:val="18"/>
          <w:szCs w:val="18"/>
          <w:lang w:val="en-US"/>
        </w:rPr>
      </w:pPr>
      <w:r>
        <w:rPr>
          <w:sz w:val="18"/>
          <w:szCs w:val="18"/>
          <w:lang w:val="en-US"/>
        </w:rPr>
        <w:br w:type="page"/>
      </w:r>
    </w:p>
    <w:p w14:paraId="66D0ECB2" w14:textId="5AC69B92" w:rsidR="006E0321" w:rsidRPr="00C95492" w:rsidRDefault="006E0321" w:rsidP="006E0321">
      <w:pPr>
        <w:spacing w:before="0" w:after="0"/>
        <w:rPr>
          <w:sz w:val="22"/>
          <w:szCs w:val="18"/>
          <w:lang w:val="en-US"/>
        </w:rPr>
      </w:pPr>
      <w:r w:rsidRPr="00C95492">
        <w:rPr>
          <w:sz w:val="22"/>
          <w:szCs w:val="18"/>
          <w:lang w:val="en-US"/>
        </w:rPr>
        <w:t>Groups 2015 &amp; 201</w:t>
      </w:r>
      <w:r>
        <w:rPr>
          <w:sz w:val="22"/>
          <w:szCs w:val="18"/>
          <w:lang w:val="en-US"/>
        </w:rPr>
        <w:t>8</w:t>
      </w:r>
    </w:p>
    <w:p w14:paraId="78154C77" w14:textId="3AE3A22D" w:rsidR="006E0321" w:rsidRPr="00C95492" w:rsidRDefault="006E0321" w:rsidP="006E0321">
      <w:pPr>
        <w:spacing w:before="0" w:after="0"/>
        <w:rPr>
          <w:sz w:val="22"/>
          <w:szCs w:val="18"/>
          <w:lang w:val="en-US"/>
        </w:rPr>
      </w:pPr>
      <w:r w:rsidRPr="00C95492">
        <w:rPr>
          <w:sz w:val="22"/>
          <w:szCs w:val="18"/>
          <w:lang w:val="en-US"/>
        </w:rPr>
        <w:t xml:space="preserve">Average dissimilarity = </w:t>
      </w:r>
      <w:r>
        <w:rPr>
          <w:sz w:val="22"/>
          <w:szCs w:val="18"/>
          <w:lang w:val="en-US"/>
        </w:rPr>
        <w:t>29.5</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44B792F8"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64236F55"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3E7304B1"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 2015</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D87DAF5" w14:textId="09D7F732"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w:t>
            </w:r>
            <w:r w:rsidR="00423EE8">
              <w:rPr>
                <w:b/>
                <w:bCs/>
                <w:color w:val="FFFFFF" w:themeColor="background1"/>
                <w:sz w:val="18"/>
                <w:szCs w:val="18"/>
                <w:lang w:val="en-US"/>
              </w:rPr>
              <w:t xml:space="preserve"> </w:t>
            </w:r>
            <w:r w:rsidRPr="00423EE8">
              <w:rPr>
                <w:b/>
                <w:bCs/>
                <w:color w:val="FFFFFF" w:themeColor="background1"/>
                <w:sz w:val="18"/>
                <w:szCs w:val="18"/>
                <w:lang w:val="en-US"/>
              </w:rPr>
              <w:t>2018</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tcPr>
          <w:p w14:paraId="3FE7CEFB" w14:textId="16383D1B" w:rsidR="006E0321" w:rsidRPr="00423EE8" w:rsidRDefault="006E0321" w:rsidP="00720A6F">
            <w:pPr>
              <w:spacing w:before="40" w:after="40"/>
              <w:rPr>
                <w:b/>
                <w:bCs/>
                <w:color w:val="FFFFFF" w:themeColor="background1"/>
                <w:sz w:val="18"/>
                <w:szCs w:val="18"/>
                <w:lang w:val="en-US"/>
              </w:rPr>
            </w:pP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tcPr>
          <w:p w14:paraId="3AFC5531" w14:textId="235530A7"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tcPr>
          <w:p w14:paraId="7D5D02C0" w14:textId="0269790A"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tcPr>
          <w:p w14:paraId="743F8AAA" w14:textId="238D6507" w:rsidR="006E0321" w:rsidRPr="00423EE8" w:rsidRDefault="006E0321" w:rsidP="00720A6F">
            <w:pPr>
              <w:spacing w:before="40" w:after="40"/>
              <w:rPr>
                <w:b/>
                <w:bCs/>
                <w:color w:val="FFFFFF" w:themeColor="background1"/>
                <w:sz w:val="18"/>
                <w:szCs w:val="18"/>
                <w:lang w:val="en-US"/>
              </w:rPr>
            </w:pPr>
          </w:p>
        </w:tc>
      </w:tr>
      <w:tr w:rsidR="006E0321" w:rsidRPr="00C95492" w14:paraId="73255F51" w14:textId="77777777" w:rsidTr="00423EE8">
        <w:trPr>
          <w:trHeight w:val="315"/>
        </w:trPr>
        <w:tc>
          <w:tcPr>
            <w:tcW w:w="1838"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518E0DA2" w14:textId="77777777" w:rsidR="006E0321" w:rsidRPr="00423EE8" w:rsidRDefault="006E0321" w:rsidP="00720A6F">
            <w:pPr>
              <w:spacing w:before="40" w:after="40"/>
              <w:rPr>
                <w:b/>
                <w:bCs/>
                <w:color w:val="FFFFFF" w:themeColor="background1"/>
                <w:sz w:val="18"/>
                <w:szCs w:val="18"/>
                <w:lang w:val="en-US"/>
              </w:rPr>
            </w:pP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51ADDC03" w14:textId="594C76F1"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15DE48F7"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 xml:space="preserve">  Av.Abund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0BA1F876"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Av.Diss</w:t>
            </w:r>
          </w:p>
        </w:tc>
        <w:tc>
          <w:tcPr>
            <w:tcW w:w="1157" w:type="dxa"/>
            <w:tcBorders>
              <w:top w:val="nil"/>
              <w:left w:val="nil"/>
              <w:bottom w:val="single" w:sz="12" w:space="0" w:color="FFFFFF"/>
              <w:right w:val="single" w:sz="4" w:space="0" w:color="FFFFFF"/>
            </w:tcBorders>
            <w:shd w:val="clear" w:color="auto" w:fill="9BBB59" w:themeFill="accent3"/>
            <w:noWrap/>
            <w:vAlign w:val="bottom"/>
            <w:hideMark/>
          </w:tcPr>
          <w:p w14:paraId="5FC57A57"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Diss/SD</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35F353A4"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Contrib%</w:t>
            </w:r>
          </w:p>
        </w:tc>
        <w:tc>
          <w:tcPr>
            <w:tcW w:w="1158" w:type="dxa"/>
            <w:tcBorders>
              <w:top w:val="nil"/>
              <w:left w:val="nil"/>
              <w:bottom w:val="single" w:sz="12" w:space="0" w:color="FFFFFF"/>
              <w:right w:val="single" w:sz="4" w:space="0" w:color="FFFFFF"/>
            </w:tcBorders>
            <w:shd w:val="clear" w:color="auto" w:fill="9BBB59" w:themeFill="accent3"/>
            <w:noWrap/>
            <w:vAlign w:val="bottom"/>
            <w:hideMark/>
          </w:tcPr>
          <w:p w14:paraId="52DC93F7"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Cum.%</w:t>
            </w:r>
          </w:p>
        </w:tc>
      </w:tr>
      <w:tr w:rsidR="006E0321" w:rsidRPr="00C95492" w14:paraId="0C1F8D22" w14:textId="77777777" w:rsidTr="00423EE8">
        <w:trPr>
          <w:trHeight w:val="315"/>
        </w:trPr>
        <w:tc>
          <w:tcPr>
            <w:tcW w:w="1838" w:type="dxa"/>
            <w:tcBorders>
              <w:top w:val="single" w:sz="12" w:space="0" w:color="FFFFFF"/>
              <w:left w:val="single" w:sz="4" w:space="0" w:color="FFFFFF"/>
              <w:bottom w:val="single" w:sz="4" w:space="0" w:color="FFFFFF"/>
              <w:right w:val="single" w:sz="4" w:space="0" w:color="FFFFFF"/>
            </w:tcBorders>
            <w:shd w:val="clear" w:color="auto" w:fill="9BBB59" w:themeFill="accent3"/>
            <w:noWrap/>
            <w:hideMark/>
          </w:tcPr>
          <w:p w14:paraId="7BC6988A" w14:textId="6494FBC0"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Australian smelt</w:t>
            </w:r>
          </w:p>
        </w:tc>
        <w:tc>
          <w:tcPr>
            <w:tcW w:w="1157"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0CD6D88D" w14:textId="355D722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1.48</w:t>
            </w:r>
          </w:p>
        </w:tc>
        <w:tc>
          <w:tcPr>
            <w:tcW w:w="1158"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293E5AC9" w14:textId="5C64DA9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4.49</w:t>
            </w:r>
          </w:p>
        </w:tc>
        <w:tc>
          <w:tcPr>
            <w:tcW w:w="1158"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582DA863" w14:textId="2423DFAD"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10.57</w:t>
            </w:r>
          </w:p>
        </w:tc>
        <w:tc>
          <w:tcPr>
            <w:tcW w:w="1157"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6AA1AFDC" w14:textId="5F4DF1B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2.93</w:t>
            </w:r>
          </w:p>
        </w:tc>
        <w:tc>
          <w:tcPr>
            <w:tcW w:w="1158"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57E47937" w14:textId="4C3E6D31"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35.84</w:t>
            </w:r>
          </w:p>
        </w:tc>
        <w:tc>
          <w:tcPr>
            <w:tcW w:w="1158" w:type="dxa"/>
            <w:tcBorders>
              <w:top w:val="single" w:sz="12" w:space="0" w:color="FFFFFF"/>
              <w:left w:val="single" w:sz="4" w:space="0" w:color="FFFFFF"/>
              <w:bottom w:val="single" w:sz="4" w:space="0" w:color="FFFFFF"/>
              <w:right w:val="single" w:sz="4" w:space="0" w:color="FFFFFF"/>
            </w:tcBorders>
            <w:shd w:val="clear" w:color="000000" w:fill="EAF0E0"/>
            <w:noWrap/>
            <w:hideMark/>
          </w:tcPr>
          <w:p w14:paraId="730B1B34" w14:textId="1134859C"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35.84</w:t>
            </w:r>
          </w:p>
        </w:tc>
      </w:tr>
      <w:tr w:rsidR="006E0321" w:rsidRPr="00C95492" w14:paraId="519EFC57" w14:textId="77777777" w:rsidTr="00423EE8">
        <w:trPr>
          <w:trHeight w:val="300"/>
        </w:trPr>
        <w:tc>
          <w:tcPr>
            <w:tcW w:w="1838" w:type="dxa"/>
            <w:tcBorders>
              <w:top w:val="single" w:sz="4" w:space="0" w:color="FFFFFF"/>
              <w:left w:val="single" w:sz="4" w:space="0" w:color="FFFFFF"/>
              <w:bottom w:val="single" w:sz="4" w:space="0" w:color="FFFFFF"/>
              <w:right w:val="single" w:sz="4" w:space="0" w:color="FFFFFF"/>
            </w:tcBorders>
            <w:shd w:val="clear" w:color="auto" w:fill="9BBB59" w:themeFill="accent3"/>
            <w:noWrap/>
            <w:hideMark/>
          </w:tcPr>
          <w:p w14:paraId="317612EA" w14:textId="38465090"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flatheaded gudgeon</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19C07260" w14:textId="07DC315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3.14</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06F09EC7" w14:textId="6ECC1171"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5.18</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5807D9DC" w14:textId="11EFD2BC"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7.14</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403DB526" w14:textId="38743949"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1.86</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1A5B3FAF" w14:textId="5DC667D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24.19</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39A6DDFD" w14:textId="69E9D52D"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60.03</w:t>
            </w:r>
          </w:p>
        </w:tc>
      </w:tr>
      <w:tr w:rsidR="006E0321" w:rsidRPr="00C95492" w14:paraId="4D1B3373" w14:textId="77777777" w:rsidTr="00423EE8">
        <w:trPr>
          <w:trHeight w:val="300"/>
        </w:trPr>
        <w:tc>
          <w:tcPr>
            <w:tcW w:w="1838" w:type="dxa"/>
            <w:tcBorders>
              <w:top w:val="single" w:sz="4" w:space="0" w:color="FFFFFF"/>
              <w:left w:val="single" w:sz="4" w:space="0" w:color="FFFFFF"/>
              <w:bottom w:val="single" w:sz="4" w:space="0" w:color="FFFFFF"/>
              <w:right w:val="single" w:sz="4" w:space="0" w:color="FFFFFF"/>
            </w:tcBorders>
            <w:shd w:val="clear" w:color="auto" w:fill="9BBB59" w:themeFill="accent3"/>
            <w:noWrap/>
            <w:hideMark/>
          </w:tcPr>
          <w:p w14:paraId="5B436FBE" w14:textId="23E2FADF" w:rsidR="006E0321" w:rsidRPr="00423EE8" w:rsidRDefault="00423EE8"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Murray cod</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4522B992" w14:textId="651528A5"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3.86</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6035DEF1" w14:textId="716D4F7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2.92</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0DB6B9A4" w14:textId="1F8A26B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3.80</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35FC863F" w14:textId="11FB9671"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1.70</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33B6E52C" w14:textId="7BC738BA"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12.89</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0A828B00" w14:textId="704B108E"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72.92</w:t>
            </w:r>
          </w:p>
        </w:tc>
      </w:tr>
      <w:tr w:rsidR="006E0321" w:rsidRPr="00C95492" w14:paraId="6DDE1E98" w14:textId="77777777" w:rsidTr="00423EE8">
        <w:trPr>
          <w:trHeight w:val="300"/>
        </w:trPr>
        <w:tc>
          <w:tcPr>
            <w:tcW w:w="1838" w:type="dxa"/>
            <w:tcBorders>
              <w:top w:val="single" w:sz="4" w:space="0" w:color="FFFFFF"/>
              <w:left w:val="single" w:sz="4" w:space="0" w:color="FFFFFF"/>
              <w:bottom w:val="single" w:sz="4" w:space="0" w:color="FFFFFF"/>
              <w:right w:val="single" w:sz="4" w:space="0" w:color="FFFFFF"/>
            </w:tcBorders>
            <w:shd w:val="clear" w:color="auto" w:fill="9BBB59" w:themeFill="accent3"/>
            <w:noWrap/>
            <w:hideMark/>
          </w:tcPr>
          <w:p w14:paraId="2791A250" w14:textId="59B16D98" w:rsidR="006E0321" w:rsidRPr="00423EE8" w:rsidRDefault="00423EE8"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eastern gambusia</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190CA13F" w14:textId="41647B2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0.84</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14929A9F" w14:textId="7884856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1.78</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57428A18" w14:textId="24D822F2"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3.75</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2EB8ADBC" w14:textId="12C15CA2"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1.48</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7DEDD82A" w14:textId="1F0B679A"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12.69</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288ABF6A" w14:textId="09D4D34E"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85.61</w:t>
            </w:r>
          </w:p>
        </w:tc>
      </w:tr>
      <w:tr w:rsidR="006E0321" w:rsidRPr="00C95492" w14:paraId="72E5DC53" w14:textId="77777777" w:rsidTr="00423EE8">
        <w:trPr>
          <w:trHeight w:val="300"/>
        </w:trPr>
        <w:tc>
          <w:tcPr>
            <w:tcW w:w="1838" w:type="dxa"/>
            <w:tcBorders>
              <w:top w:val="single" w:sz="4" w:space="0" w:color="FFFFFF"/>
              <w:left w:val="single" w:sz="4" w:space="0" w:color="FFFFFF"/>
              <w:bottom w:val="single" w:sz="4" w:space="0" w:color="FFFFFF"/>
              <w:right w:val="single" w:sz="4" w:space="0" w:color="FFFFFF"/>
            </w:tcBorders>
            <w:shd w:val="clear" w:color="auto" w:fill="9BBB59" w:themeFill="accent3"/>
            <w:noWrap/>
            <w:hideMark/>
          </w:tcPr>
          <w:p w14:paraId="7D48AC4B" w14:textId="6348C5B9"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common carp</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6806BBD8" w14:textId="458D5E8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1.14</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65613E62" w14:textId="6CBF60A5"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0.33</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5EA32B8A" w14:textId="139253FE"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2.95</w:t>
            </w:r>
          </w:p>
        </w:tc>
        <w:tc>
          <w:tcPr>
            <w:tcW w:w="1157"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34CA233A" w14:textId="6FACF0F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1.43</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49B63698" w14:textId="58A52EB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10.01</w:t>
            </w:r>
          </w:p>
        </w:tc>
        <w:tc>
          <w:tcPr>
            <w:tcW w:w="1158" w:type="dxa"/>
            <w:tcBorders>
              <w:top w:val="single" w:sz="4" w:space="0" w:color="FFFFFF"/>
              <w:left w:val="single" w:sz="4" w:space="0" w:color="FFFFFF"/>
              <w:bottom w:val="single" w:sz="4" w:space="0" w:color="FFFFFF"/>
              <w:right w:val="single" w:sz="4" w:space="0" w:color="FFFFFF"/>
            </w:tcBorders>
            <w:shd w:val="clear" w:color="000000" w:fill="EAF0E0"/>
            <w:noWrap/>
            <w:hideMark/>
          </w:tcPr>
          <w:p w14:paraId="6E594CD8" w14:textId="04D3A02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95.62</w:t>
            </w:r>
          </w:p>
        </w:tc>
      </w:tr>
    </w:tbl>
    <w:p w14:paraId="77423EAE" w14:textId="77777777" w:rsidR="006E0321" w:rsidRPr="00C95492" w:rsidRDefault="006E0321" w:rsidP="006E0321">
      <w:pPr>
        <w:spacing w:before="0" w:after="0"/>
        <w:rPr>
          <w:sz w:val="18"/>
          <w:szCs w:val="18"/>
          <w:lang w:val="en-US"/>
        </w:rPr>
      </w:pPr>
    </w:p>
    <w:p w14:paraId="436B9405" w14:textId="335DB3DB" w:rsidR="006E0321" w:rsidRPr="00C95492" w:rsidRDefault="006E0321" w:rsidP="006E0321">
      <w:pPr>
        <w:spacing w:before="0" w:after="0"/>
        <w:rPr>
          <w:sz w:val="22"/>
          <w:szCs w:val="18"/>
          <w:lang w:val="en-US"/>
        </w:rPr>
      </w:pPr>
      <w:r w:rsidRPr="00C95492">
        <w:rPr>
          <w:sz w:val="22"/>
          <w:szCs w:val="18"/>
          <w:lang w:val="en-US"/>
        </w:rPr>
        <w:t>Groups</w:t>
      </w:r>
      <w:r w:rsidR="0093065F">
        <w:rPr>
          <w:sz w:val="22"/>
          <w:szCs w:val="18"/>
          <w:lang w:val="en-US"/>
        </w:rPr>
        <w:t xml:space="preserve"> </w:t>
      </w:r>
      <w:r w:rsidRPr="00C95492">
        <w:rPr>
          <w:sz w:val="22"/>
          <w:szCs w:val="18"/>
          <w:lang w:val="en-US"/>
        </w:rPr>
        <w:t>2016</w:t>
      </w:r>
      <w:r w:rsidR="0093065F">
        <w:rPr>
          <w:sz w:val="22"/>
          <w:szCs w:val="18"/>
          <w:lang w:val="en-US"/>
        </w:rPr>
        <w:t xml:space="preserve"> </w:t>
      </w:r>
      <w:r w:rsidRPr="00C95492">
        <w:rPr>
          <w:sz w:val="22"/>
          <w:szCs w:val="18"/>
          <w:lang w:val="en-US"/>
        </w:rPr>
        <w:t>&amp;</w:t>
      </w:r>
      <w:r w:rsidR="0093065F">
        <w:rPr>
          <w:sz w:val="22"/>
          <w:szCs w:val="18"/>
          <w:lang w:val="en-US"/>
        </w:rPr>
        <w:t xml:space="preserve"> </w:t>
      </w:r>
      <w:r w:rsidRPr="00C95492">
        <w:rPr>
          <w:sz w:val="22"/>
          <w:szCs w:val="18"/>
          <w:lang w:val="en-US"/>
        </w:rPr>
        <w:t>201</w:t>
      </w:r>
      <w:r>
        <w:rPr>
          <w:sz w:val="22"/>
          <w:szCs w:val="18"/>
          <w:lang w:val="en-US"/>
        </w:rPr>
        <w:t>8</w:t>
      </w:r>
    </w:p>
    <w:p w14:paraId="111A5292" w14:textId="38668ADF" w:rsidR="006E0321" w:rsidRPr="00C95492" w:rsidRDefault="006E0321" w:rsidP="006E0321">
      <w:pPr>
        <w:spacing w:before="0" w:after="0"/>
        <w:rPr>
          <w:sz w:val="22"/>
          <w:szCs w:val="18"/>
          <w:lang w:val="en-US"/>
        </w:rPr>
      </w:pPr>
      <w:r w:rsidRPr="00C95492">
        <w:rPr>
          <w:sz w:val="22"/>
          <w:szCs w:val="18"/>
          <w:lang w:val="en-US"/>
        </w:rPr>
        <w:t>Average</w:t>
      </w:r>
      <w:r w:rsidR="0093065F">
        <w:rPr>
          <w:sz w:val="22"/>
          <w:szCs w:val="18"/>
          <w:lang w:val="en-US"/>
        </w:rPr>
        <w:t xml:space="preserve"> </w:t>
      </w:r>
      <w:r w:rsidRPr="00C95492">
        <w:rPr>
          <w:sz w:val="22"/>
          <w:szCs w:val="18"/>
          <w:lang w:val="en-US"/>
        </w:rPr>
        <w:t>dissimilarity</w:t>
      </w:r>
      <w:r w:rsidR="0093065F">
        <w:rPr>
          <w:sz w:val="22"/>
          <w:szCs w:val="18"/>
          <w:lang w:val="en-US"/>
        </w:rPr>
        <w:t xml:space="preserve"> </w:t>
      </w:r>
      <w:r w:rsidRPr="00C95492">
        <w:rPr>
          <w:sz w:val="22"/>
          <w:szCs w:val="18"/>
          <w:lang w:val="en-US"/>
        </w:rPr>
        <w:t>=</w:t>
      </w:r>
      <w:r w:rsidR="0093065F">
        <w:rPr>
          <w:sz w:val="22"/>
          <w:szCs w:val="18"/>
          <w:lang w:val="en-US"/>
        </w:rPr>
        <w:t xml:space="preserve"> </w:t>
      </w:r>
      <w:r>
        <w:rPr>
          <w:sz w:val="22"/>
          <w:szCs w:val="18"/>
          <w:lang w:val="en-US"/>
        </w:rPr>
        <w:t>96.8</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C95492" w14:paraId="43A4E134"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39DE5AD8"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24FE5F7" w14:textId="2FCBA1E9"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w:t>
            </w:r>
            <w:r w:rsidR="00423EE8">
              <w:rPr>
                <w:b/>
                <w:bCs/>
                <w:color w:val="FFFFFF" w:themeColor="background1"/>
                <w:sz w:val="18"/>
                <w:szCs w:val="18"/>
                <w:lang w:val="en-US"/>
              </w:rPr>
              <w:t xml:space="preserve"> </w:t>
            </w:r>
            <w:r w:rsidRPr="00423EE8">
              <w:rPr>
                <w:b/>
                <w:bCs/>
                <w:color w:val="FFFFFF" w:themeColor="background1"/>
                <w:sz w:val="18"/>
                <w:szCs w:val="18"/>
                <w:lang w:val="en-US"/>
              </w:rPr>
              <w:t>2016</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E35F1DF" w14:textId="320F23AA"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w:t>
            </w:r>
            <w:r w:rsidR="00423EE8">
              <w:rPr>
                <w:b/>
                <w:bCs/>
                <w:color w:val="FFFFFF" w:themeColor="background1"/>
                <w:sz w:val="18"/>
                <w:szCs w:val="18"/>
                <w:lang w:val="en-US"/>
              </w:rPr>
              <w:t xml:space="preserve"> </w:t>
            </w:r>
            <w:r w:rsidRPr="00423EE8">
              <w:rPr>
                <w:b/>
                <w:bCs/>
                <w:color w:val="FFFFFF" w:themeColor="background1"/>
                <w:sz w:val="18"/>
                <w:szCs w:val="18"/>
                <w:lang w:val="en-US"/>
              </w:rPr>
              <w:t>2018</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68CDA3F" w14:textId="3D6694E5" w:rsidR="006E0321" w:rsidRPr="00423EE8" w:rsidRDefault="006E0321" w:rsidP="00720A6F">
            <w:pPr>
              <w:spacing w:before="40" w:after="40"/>
              <w:rPr>
                <w:b/>
                <w:bCs/>
                <w:color w:val="FFFFFF" w:themeColor="background1"/>
                <w:sz w:val="18"/>
                <w:szCs w:val="18"/>
                <w:lang w:val="en-US"/>
              </w:rPr>
            </w:pP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49D5B76" w14:textId="236AEAE9"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3CA76AA" w14:textId="04E09DF8"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9372576" w14:textId="57C2BEB1" w:rsidR="006E0321" w:rsidRPr="00423EE8" w:rsidRDefault="006E0321" w:rsidP="00720A6F">
            <w:pPr>
              <w:spacing w:before="40" w:after="40"/>
              <w:rPr>
                <w:b/>
                <w:bCs/>
                <w:color w:val="FFFFFF" w:themeColor="background1"/>
                <w:sz w:val="18"/>
                <w:szCs w:val="18"/>
                <w:lang w:val="en-US"/>
              </w:rPr>
            </w:pPr>
          </w:p>
        </w:tc>
      </w:tr>
      <w:tr w:rsidR="006E0321" w:rsidRPr="00C95492" w14:paraId="47BFFF5E" w14:textId="77777777" w:rsidTr="00423EE8">
        <w:trPr>
          <w:trHeight w:val="315"/>
        </w:trPr>
        <w:tc>
          <w:tcPr>
            <w:tcW w:w="1838" w:type="dxa"/>
            <w:vMerge/>
            <w:tcBorders>
              <w:top w:val="single" w:sz="4" w:space="0" w:color="FFFFFF"/>
              <w:left w:val="single" w:sz="4" w:space="0" w:color="FFFFFF"/>
              <w:bottom w:val="single" w:sz="6" w:space="0" w:color="FFFFFF"/>
              <w:right w:val="single" w:sz="4" w:space="0" w:color="FFFFFF"/>
            </w:tcBorders>
            <w:shd w:val="clear" w:color="auto" w:fill="9BBB59" w:themeFill="accent3"/>
            <w:vAlign w:val="center"/>
            <w:hideMark/>
          </w:tcPr>
          <w:p w14:paraId="276070B8" w14:textId="77777777" w:rsidR="006E0321" w:rsidRPr="00423EE8" w:rsidRDefault="006E0321" w:rsidP="00720A6F">
            <w:pPr>
              <w:spacing w:before="40" w:after="40"/>
              <w:rPr>
                <w:b/>
                <w:bCs/>
                <w:color w:val="FFFFFF" w:themeColor="background1"/>
                <w:sz w:val="18"/>
                <w:szCs w:val="18"/>
                <w:lang w:val="en-US"/>
              </w:rPr>
            </w:pPr>
          </w:p>
        </w:tc>
        <w:tc>
          <w:tcPr>
            <w:tcW w:w="1157" w:type="dxa"/>
            <w:tcBorders>
              <w:top w:val="nil"/>
              <w:left w:val="nil"/>
              <w:bottom w:val="single" w:sz="6" w:space="0" w:color="FFFFFF"/>
              <w:right w:val="single" w:sz="4" w:space="0" w:color="FFFFFF"/>
            </w:tcBorders>
            <w:shd w:val="clear" w:color="auto" w:fill="9BBB59" w:themeFill="accent3"/>
            <w:noWrap/>
            <w:vAlign w:val="bottom"/>
            <w:hideMark/>
          </w:tcPr>
          <w:p w14:paraId="39D0FABE" w14:textId="4D828C38"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213011D5" w14:textId="244A1DC8"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4C28E4CE"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Av.Diss</w:t>
            </w:r>
          </w:p>
        </w:tc>
        <w:tc>
          <w:tcPr>
            <w:tcW w:w="1157" w:type="dxa"/>
            <w:tcBorders>
              <w:top w:val="nil"/>
              <w:left w:val="nil"/>
              <w:bottom w:val="single" w:sz="6" w:space="0" w:color="FFFFFF"/>
              <w:right w:val="single" w:sz="4" w:space="0" w:color="FFFFFF"/>
            </w:tcBorders>
            <w:shd w:val="clear" w:color="auto" w:fill="9BBB59" w:themeFill="accent3"/>
            <w:noWrap/>
            <w:vAlign w:val="bottom"/>
            <w:hideMark/>
          </w:tcPr>
          <w:p w14:paraId="57DE972A"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Diss/SD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115A086B"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Contrib%</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4601A266"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Cum.%</w:t>
            </w:r>
          </w:p>
        </w:tc>
      </w:tr>
      <w:tr w:rsidR="006E0321" w:rsidRPr="00C95492" w14:paraId="55C0A7C5" w14:textId="77777777" w:rsidTr="00423EE8">
        <w:trPr>
          <w:trHeight w:val="315"/>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2BB48A99" w14:textId="5B94EB2F"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flatheaded gudgeon</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835D411" w14:textId="5720804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0.00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54156AC3" w14:textId="0EA4CE41"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5.18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54ADABD5" w14:textId="63894092"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26.35</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25A5E0EC" w14:textId="651A622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7.96</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67B28FB4" w14:textId="4034EB9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27.22</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83FE1A7" w14:textId="5491190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27.22</w:t>
            </w:r>
          </w:p>
        </w:tc>
      </w:tr>
      <w:tr w:rsidR="006E0321" w:rsidRPr="00C95492" w14:paraId="719D54DA"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5AF1242E" w14:textId="62F33F37"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Australian smelt</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005DCF6" w14:textId="6188EC6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0.00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2BFACAEB" w14:textId="020F335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4.49</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F477575" w14:textId="1C3285C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22.88</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371EC6A" w14:textId="493F66E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5.81</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48748FE" w14:textId="205CBF8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23.64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150811BE" w14:textId="0BDB7385"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50.86</w:t>
            </w:r>
          </w:p>
        </w:tc>
      </w:tr>
      <w:tr w:rsidR="006E0321" w:rsidRPr="00C95492" w14:paraId="5FD0B6A9"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3BCD1D31" w14:textId="1B4D43DE" w:rsidR="006E0321" w:rsidRPr="00423EE8" w:rsidRDefault="00423EE8"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Murray cod</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6E5AD27" w14:textId="4FA1940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0.00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4308E87" w14:textId="18815722"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2.92</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5D8B753" w14:textId="34F85F43"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15.43</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65FD9C61" w14:textId="212D9789"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2.68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D651C0A" w14:textId="6D1B1A4A"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15.94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3AF18D91" w14:textId="7B626C36"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66.80</w:t>
            </w:r>
          </w:p>
        </w:tc>
      </w:tr>
      <w:tr w:rsidR="006E0321" w:rsidRPr="00C95492" w14:paraId="4C923C82"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64FC5A11" w14:textId="28B000D5"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common carp</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01834DD" w14:textId="7A9671B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3.26</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BB0D155" w14:textId="2413A64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0.33</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95B9BEB" w14:textId="20DD9E0C"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14.57</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5A7971E4" w14:textId="43CC7993"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1.84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0132AC6" w14:textId="1660DD7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15.05</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A5C9377" w14:textId="293C473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81.85</w:t>
            </w:r>
          </w:p>
        </w:tc>
      </w:tr>
      <w:tr w:rsidR="006E0321" w:rsidRPr="00C95492" w14:paraId="1D167450"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tcPr>
          <w:p w14:paraId="6C42CC53" w14:textId="001B0731" w:rsidR="006E0321" w:rsidRPr="00423EE8" w:rsidRDefault="00423EE8" w:rsidP="006E0321">
            <w:pPr>
              <w:spacing w:before="40" w:after="40"/>
              <w:rPr>
                <w:rFonts w:eastAsia="Times New Roman" w:cs="Calibri"/>
                <w:b/>
                <w:bCs/>
                <w:color w:val="FFFFFF"/>
                <w:sz w:val="18"/>
                <w:szCs w:val="18"/>
                <w:lang w:val="en-US"/>
              </w:rPr>
            </w:pPr>
            <w:r w:rsidRPr="00423EE8">
              <w:rPr>
                <w:rFonts w:eastAsia="Times New Roman" w:cs="Calibri"/>
                <w:b/>
                <w:bCs/>
                <w:color w:val="FFFFFF"/>
                <w:sz w:val="18"/>
                <w:szCs w:val="18"/>
                <w:lang w:val="en-US"/>
              </w:rPr>
              <w:t>eastern gambusia</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tcPr>
          <w:p w14:paraId="59A5713B" w14:textId="23737F8F"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0.00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3AF5BF9F" w14:textId="72B27D0B"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1.78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00C512C7" w14:textId="1D1BCDC8"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8.93</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tcPr>
          <w:p w14:paraId="236E11DE" w14:textId="4EB23F0E"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3.66</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50B0469E" w14:textId="5BE0A437"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9.22</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1591FFFE" w14:textId="3F288B68"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91.07</w:t>
            </w:r>
          </w:p>
        </w:tc>
      </w:tr>
    </w:tbl>
    <w:p w14:paraId="4AD4F1AF" w14:textId="77777777" w:rsidR="006E0321" w:rsidRPr="00C95492" w:rsidRDefault="006E0321" w:rsidP="006E0321">
      <w:pPr>
        <w:spacing w:before="0" w:after="0"/>
        <w:rPr>
          <w:sz w:val="18"/>
          <w:szCs w:val="18"/>
          <w:lang w:val="en-US"/>
        </w:rPr>
      </w:pPr>
    </w:p>
    <w:p w14:paraId="6648B099" w14:textId="4CC2FEC9" w:rsidR="006E0321" w:rsidRPr="00C95492" w:rsidRDefault="006E0321" w:rsidP="006E0321">
      <w:pPr>
        <w:spacing w:before="0" w:after="0"/>
        <w:rPr>
          <w:sz w:val="22"/>
          <w:szCs w:val="18"/>
          <w:lang w:val="en-US"/>
        </w:rPr>
      </w:pPr>
      <w:r w:rsidRPr="00C95492">
        <w:rPr>
          <w:sz w:val="22"/>
          <w:szCs w:val="18"/>
          <w:lang w:val="en-US"/>
        </w:rPr>
        <w:t>Groups</w:t>
      </w:r>
      <w:r w:rsidR="0093065F">
        <w:rPr>
          <w:sz w:val="22"/>
          <w:szCs w:val="18"/>
          <w:lang w:val="en-US"/>
        </w:rPr>
        <w:t xml:space="preserve"> </w:t>
      </w:r>
      <w:r w:rsidRPr="00C95492">
        <w:rPr>
          <w:sz w:val="22"/>
          <w:szCs w:val="18"/>
          <w:lang w:val="en-US"/>
        </w:rPr>
        <w:t>201</w:t>
      </w:r>
      <w:r>
        <w:rPr>
          <w:sz w:val="22"/>
          <w:szCs w:val="18"/>
          <w:lang w:val="en-US"/>
        </w:rPr>
        <w:t>7</w:t>
      </w:r>
      <w:r w:rsidR="0093065F">
        <w:rPr>
          <w:sz w:val="22"/>
          <w:szCs w:val="18"/>
          <w:lang w:val="en-US"/>
        </w:rPr>
        <w:t xml:space="preserve"> </w:t>
      </w:r>
      <w:r w:rsidRPr="00C95492">
        <w:rPr>
          <w:sz w:val="22"/>
          <w:szCs w:val="18"/>
          <w:lang w:val="en-US"/>
        </w:rPr>
        <w:t>&amp;</w:t>
      </w:r>
      <w:r w:rsidR="0093065F">
        <w:rPr>
          <w:sz w:val="22"/>
          <w:szCs w:val="18"/>
          <w:lang w:val="en-US"/>
        </w:rPr>
        <w:t xml:space="preserve"> </w:t>
      </w:r>
      <w:r w:rsidRPr="00C95492">
        <w:rPr>
          <w:sz w:val="22"/>
          <w:szCs w:val="18"/>
          <w:lang w:val="en-US"/>
        </w:rPr>
        <w:t>201</w:t>
      </w:r>
      <w:r>
        <w:rPr>
          <w:sz w:val="22"/>
          <w:szCs w:val="18"/>
          <w:lang w:val="en-US"/>
        </w:rPr>
        <w:t>8</w:t>
      </w:r>
    </w:p>
    <w:p w14:paraId="0DABB840" w14:textId="496D6267" w:rsidR="006E0321" w:rsidRPr="00C95492" w:rsidRDefault="006E0321" w:rsidP="006E0321">
      <w:pPr>
        <w:spacing w:before="0" w:after="0"/>
        <w:rPr>
          <w:sz w:val="22"/>
          <w:szCs w:val="18"/>
          <w:lang w:val="en-US"/>
        </w:rPr>
      </w:pPr>
      <w:r w:rsidRPr="00C95492">
        <w:rPr>
          <w:sz w:val="22"/>
          <w:szCs w:val="18"/>
          <w:lang w:val="en-US"/>
        </w:rPr>
        <w:t>Average</w:t>
      </w:r>
      <w:r w:rsidR="0093065F">
        <w:rPr>
          <w:sz w:val="22"/>
          <w:szCs w:val="18"/>
          <w:lang w:val="en-US"/>
        </w:rPr>
        <w:t xml:space="preserve"> </w:t>
      </w:r>
      <w:r w:rsidRPr="00C95492">
        <w:rPr>
          <w:sz w:val="22"/>
          <w:szCs w:val="18"/>
          <w:lang w:val="en-US"/>
        </w:rPr>
        <w:t>dissimilarity</w:t>
      </w:r>
      <w:r w:rsidR="0093065F">
        <w:rPr>
          <w:sz w:val="22"/>
          <w:szCs w:val="18"/>
          <w:lang w:val="en-US"/>
        </w:rPr>
        <w:t xml:space="preserve"> </w:t>
      </w:r>
      <w:r w:rsidRPr="00C95492">
        <w:rPr>
          <w:sz w:val="22"/>
          <w:szCs w:val="18"/>
          <w:lang w:val="en-US"/>
        </w:rPr>
        <w:t>=</w:t>
      </w:r>
      <w:r w:rsidR="0093065F">
        <w:rPr>
          <w:sz w:val="22"/>
          <w:szCs w:val="18"/>
          <w:lang w:val="en-US"/>
        </w:rPr>
        <w:t xml:space="preserve"> </w:t>
      </w:r>
      <w:r>
        <w:rPr>
          <w:sz w:val="22"/>
          <w:szCs w:val="18"/>
          <w:lang w:val="en-US"/>
        </w:rPr>
        <w:t>29.32</w:t>
      </w:r>
    </w:p>
    <w:tbl>
      <w:tblPr>
        <w:tblW w:w="8784" w:type="dxa"/>
        <w:tblLayout w:type="fixed"/>
        <w:tblLook w:val="04A0" w:firstRow="1" w:lastRow="0" w:firstColumn="1" w:lastColumn="0" w:noHBand="0" w:noVBand="1"/>
      </w:tblPr>
      <w:tblGrid>
        <w:gridCol w:w="1838"/>
        <w:gridCol w:w="1157"/>
        <w:gridCol w:w="1158"/>
        <w:gridCol w:w="1158"/>
        <w:gridCol w:w="1157"/>
        <w:gridCol w:w="1158"/>
        <w:gridCol w:w="1158"/>
      </w:tblGrid>
      <w:tr w:rsidR="006E0321" w:rsidRPr="00423EE8" w14:paraId="3C9C8903" w14:textId="77777777" w:rsidTr="00423EE8">
        <w:trPr>
          <w:trHeight w:val="300"/>
        </w:trPr>
        <w:tc>
          <w:tcPr>
            <w:tcW w:w="1838"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0FC81A7D"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Species</w:t>
            </w: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AACD979" w14:textId="4897F605"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w:t>
            </w:r>
            <w:r w:rsidR="00423EE8">
              <w:rPr>
                <w:b/>
                <w:bCs/>
                <w:color w:val="FFFFFF" w:themeColor="background1"/>
                <w:sz w:val="18"/>
                <w:szCs w:val="18"/>
                <w:lang w:val="en-US"/>
              </w:rPr>
              <w:t xml:space="preserve"> </w:t>
            </w:r>
            <w:r w:rsidRPr="00423EE8">
              <w:rPr>
                <w:b/>
                <w:bCs/>
                <w:color w:val="FFFFFF" w:themeColor="background1"/>
                <w:sz w:val="18"/>
                <w:szCs w:val="18"/>
                <w:lang w:val="en-US"/>
              </w:rPr>
              <w:t>2016</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41FA2F1" w14:textId="08C60572"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Group</w:t>
            </w:r>
            <w:r w:rsidR="00423EE8">
              <w:rPr>
                <w:b/>
                <w:bCs/>
                <w:color w:val="FFFFFF" w:themeColor="background1"/>
                <w:sz w:val="18"/>
                <w:szCs w:val="18"/>
                <w:lang w:val="en-US"/>
              </w:rPr>
              <w:t xml:space="preserve"> </w:t>
            </w:r>
            <w:r w:rsidRPr="00423EE8">
              <w:rPr>
                <w:b/>
                <w:bCs/>
                <w:color w:val="FFFFFF" w:themeColor="background1"/>
                <w:sz w:val="18"/>
                <w:szCs w:val="18"/>
                <w:lang w:val="en-US"/>
              </w:rPr>
              <w:t>2018</w:t>
            </w: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CBAC2ED" w14:textId="5C2F02C5" w:rsidR="006E0321" w:rsidRPr="00423EE8" w:rsidRDefault="006E0321" w:rsidP="00720A6F">
            <w:pPr>
              <w:spacing w:before="40" w:after="40"/>
              <w:rPr>
                <w:b/>
                <w:bCs/>
                <w:color w:val="FFFFFF" w:themeColor="background1"/>
                <w:sz w:val="18"/>
                <w:szCs w:val="18"/>
                <w:lang w:val="en-US"/>
              </w:rPr>
            </w:pPr>
          </w:p>
        </w:tc>
        <w:tc>
          <w:tcPr>
            <w:tcW w:w="1157"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3D4F3F5" w14:textId="128A17E9"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B9FF391" w14:textId="402C2841" w:rsidR="006E0321" w:rsidRPr="00423EE8" w:rsidRDefault="006E0321" w:rsidP="00720A6F">
            <w:pPr>
              <w:spacing w:before="40" w:after="40"/>
              <w:rPr>
                <w:b/>
                <w:bCs/>
                <w:color w:val="FFFFFF" w:themeColor="background1"/>
                <w:sz w:val="18"/>
                <w:szCs w:val="18"/>
                <w:lang w:val="en-US"/>
              </w:rPr>
            </w:pPr>
          </w:p>
        </w:tc>
        <w:tc>
          <w:tcPr>
            <w:tcW w:w="1158"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324FDB4B" w14:textId="56C3FF0A" w:rsidR="006E0321" w:rsidRPr="00423EE8" w:rsidRDefault="006E0321" w:rsidP="00720A6F">
            <w:pPr>
              <w:spacing w:before="40" w:after="40"/>
              <w:rPr>
                <w:b/>
                <w:bCs/>
                <w:color w:val="FFFFFF" w:themeColor="background1"/>
                <w:sz w:val="18"/>
                <w:szCs w:val="18"/>
                <w:lang w:val="en-US"/>
              </w:rPr>
            </w:pPr>
          </w:p>
        </w:tc>
      </w:tr>
      <w:tr w:rsidR="006E0321" w:rsidRPr="00423EE8" w14:paraId="1018527D" w14:textId="77777777" w:rsidTr="00423EE8">
        <w:trPr>
          <w:trHeight w:val="315"/>
        </w:trPr>
        <w:tc>
          <w:tcPr>
            <w:tcW w:w="1838" w:type="dxa"/>
            <w:vMerge/>
            <w:tcBorders>
              <w:top w:val="single" w:sz="4" w:space="0" w:color="FFFFFF"/>
              <w:left w:val="single" w:sz="4" w:space="0" w:color="FFFFFF"/>
              <w:bottom w:val="single" w:sz="6" w:space="0" w:color="FFFFFF"/>
              <w:right w:val="single" w:sz="4" w:space="0" w:color="FFFFFF"/>
            </w:tcBorders>
            <w:shd w:val="clear" w:color="auto" w:fill="9BBB59" w:themeFill="accent3"/>
            <w:vAlign w:val="center"/>
            <w:hideMark/>
          </w:tcPr>
          <w:p w14:paraId="5C411DD7" w14:textId="77777777" w:rsidR="006E0321" w:rsidRPr="00423EE8" w:rsidRDefault="006E0321" w:rsidP="00720A6F">
            <w:pPr>
              <w:spacing w:before="40" w:after="40"/>
              <w:rPr>
                <w:b/>
                <w:bCs/>
                <w:color w:val="FFFFFF" w:themeColor="background1"/>
                <w:sz w:val="18"/>
                <w:szCs w:val="18"/>
                <w:lang w:val="en-US"/>
              </w:rPr>
            </w:pPr>
          </w:p>
        </w:tc>
        <w:tc>
          <w:tcPr>
            <w:tcW w:w="1157" w:type="dxa"/>
            <w:tcBorders>
              <w:top w:val="nil"/>
              <w:left w:val="nil"/>
              <w:bottom w:val="single" w:sz="6" w:space="0" w:color="FFFFFF"/>
              <w:right w:val="single" w:sz="4" w:space="0" w:color="FFFFFF"/>
            </w:tcBorders>
            <w:shd w:val="clear" w:color="auto" w:fill="9BBB59" w:themeFill="accent3"/>
            <w:noWrap/>
            <w:vAlign w:val="bottom"/>
            <w:hideMark/>
          </w:tcPr>
          <w:p w14:paraId="4922B492" w14:textId="6BC84BB9"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53761B5B" w14:textId="7E0DF256"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Av.Abund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7504557C"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Av.Diss</w:t>
            </w:r>
          </w:p>
        </w:tc>
        <w:tc>
          <w:tcPr>
            <w:tcW w:w="1157" w:type="dxa"/>
            <w:tcBorders>
              <w:top w:val="nil"/>
              <w:left w:val="nil"/>
              <w:bottom w:val="single" w:sz="6" w:space="0" w:color="FFFFFF"/>
              <w:right w:val="single" w:sz="4" w:space="0" w:color="FFFFFF"/>
            </w:tcBorders>
            <w:shd w:val="clear" w:color="auto" w:fill="9BBB59" w:themeFill="accent3"/>
            <w:noWrap/>
            <w:vAlign w:val="bottom"/>
            <w:hideMark/>
          </w:tcPr>
          <w:p w14:paraId="425077AC"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Diss/SD</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240BE49E"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Contrib%</w:t>
            </w:r>
          </w:p>
        </w:tc>
        <w:tc>
          <w:tcPr>
            <w:tcW w:w="1158" w:type="dxa"/>
            <w:tcBorders>
              <w:top w:val="nil"/>
              <w:left w:val="nil"/>
              <w:bottom w:val="single" w:sz="6" w:space="0" w:color="FFFFFF"/>
              <w:right w:val="single" w:sz="4" w:space="0" w:color="FFFFFF"/>
            </w:tcBorders>
            <w:shd w:val="clear" w:color="auto" w:fill="9BBB59" w:themeFill="accent3"/>
            <w:noWrap/>
            <w:vAlign w:val="bottom"/>
            <w:hideMark/>
          </w:tcPr>
          <w:p w14:paraId="774E40C9" w14:textId="77777777" w:rsidR="006E0321" w:rsidRPr="00423EE8" w:rsidRDefault="006E0321" w:rsidP="00720A6F">
            <w:pPr>
              <w:spacing w:before="40" w:after="40"/>
              <w:rPr>
                <w:b/>
                <w:bCs/>
                <w:color w:val="FFFFFF" w:themeColor="background1"/>
                <w:sz w:val="18"/>
                <w:szCs w:val="18"/>
                <w:lang w:val="en-US"/>
              </w:rPr>
            </w:pPr>
            <w:r w:rsidRPr="00423EE8">
              <w:rPr>
                <w:b/>
                <w:bCs/>
                <w:color w:val="FFFFFF" w:themeColor="background1"/>
                <w:sz w:val="18"/>
                <w:szCs w:val="18"/>
                <w:lang w:val="en-US"/>
              </w:rPr>
              <w:t>Cum.%</w:t>
            </w:r>
          </w:p>
        </w:tc>
      </w:tr>
      <w:tr w:rsidR="006E0321" w:rsidRPr="00423EE8" w14:paraId="3CE6D2A4" w14:textId="77777777" w:rsidTr="00423EE8">
        <w:trPr>
          <w:trHeight w:val="315"/>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10213571" w14:textId="14653168"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flatheaded gudgeon</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650BF415" w14:textId="327A70F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2.44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169FC723" w14:textId="38BB7B6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5.18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AA746B6" w14:textId="381C01B8"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8.77</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E50620C" w14:textId="257AB694"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3.30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CCE4D75" w14:textId="6FBB1139"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29.91</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117E7F50" w14:textId="42E3416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29.91</w:t>
            </w:r>
          </w:p>
        </w:tc>
      </w:tr>
      <w:tr w:rsidR="006E0321" w:rsidRPr="00423EE8" w14:paraId="695892EA"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7E2BA85A" w14:textId="0011DAAD"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common carp</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6BE68F89" w14:textId="3220C081"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2.46</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71D6AF1" w14:textId="06684C9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0.33</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E9C4FE2" w14:textId="7690A02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6.84</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1DB14AA6" w14:textId="255D0077"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1.67</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358988F7" w14:textId="7BE7984A"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23.32</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8582A38" w14:textId="58FF3FC8"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53.23</w:t>
            </w:r>
          </w:p>
        </w:tc>
      </w:tr>
      <w:tr w:rsidR="006E0321" w:rsidRPr="00423EE8" w14:paraId="31FA205D"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0608FC7E" w14:textId="21791262"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carp gudgeon</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21CB2D51" w14:textId="24A6206E"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0.33</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0A96311B" w14:textId="6B66597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1.68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3EE68085" w14:textId="7ECA3E86"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4.37</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2BDD527F" w14:textId="2FCD8D65"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2.44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64B2A65B" w14:textId="7BB6392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14.90</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34A4D131" w14:textId="157B9E1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68.13</w:t>
            </w:r>
          </w:p>
        </w:tc>
      </w:tr>
      <w:tr w:rsidR="006E0321" w:rsidRPr="00423EE8" w14:paraId="2027AF66"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hideMark/>
          </w:tcPr>
          <w:p w14:paraId="63B86846" w14:textId="5C34CB26" w:rsidR="006E0321" w:rsidRPr="00423EE8" w:rsidRDefault="00FB69E7" w:rsidP="006E0321">
            <w:pPr>
              <w:spacing w:before="40" w:after="40"/>
              <w:rPr>
                <w:b/>
                <w:bCs/>
                <w:color w:val="FFFFFF" w:themeColor="background1"/>
                <w:sz w:val="18"/>
                <w:szCs w:val="18"/>
                <w:lang w:val="en-US"/>
              </w:rPr>
            </w:pPr>
            <w:r w:rsidRPr="00423EE8">
              <w:rPr>
                <w:rFonts w:eastAsia="Times New Roman" w:cs="Calibri"/>
                <w:b/>
                <w:bCs/>
                <w:color w:val="FFFFFF"/>
                <w:sz w:val="18"/>
                <w:szCs w:val="18"/>
                <w:lang w:val="en-US"/>
              </w:rPr>
              <w:t>Australian smelt</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34853320" w14:textId="6131429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5.44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5072977" w14:textId="3BA3E94E"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4.49</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2ECEA814" w14:textId="18BA6DE0"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3.89</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4912C5D5" w14:textId="4315D78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1.44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703C498D" w14:textId="37FB50BB"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13.28</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hideMark/>
          </w:tcPr>
          <w:p w14:paraId="53DEA9DF" w14:textId="4A10EF4F" w:rsidR="006E0321" w:rsidRPr="00423EE8" w:rsidRDefault="006E0321" w:rsidP="006E0321">
            <w:pPr>
              <w:spacing w:before="40" w:after="40"/>
              <w:rPr>
                <w:sz w:val="18"/>
                <w:szCs w:val="18"/>
                <w:lang w:val="en-US"/>
              </w:rPr>
            </w:pPr>
            <w:r w:rsidRPr="00423EE8">
              <w:rPr>
                <w:rFonts w:eastAsia="Times New Roman" w:cs="Calibri"/>
                <w:color w:val="000000"/>
                <w:sz w:val="18"/>
                <w:szCs w:val="18"/>
                <w:lang w:val="en-US"/>
              </w:rPr>
              <w:t>81.41</w:t>
            </w:r>
          </w:p>
        </w:tc>
      </w:tr>
      <w:tr w:rsidR="006E0321" w:rsidRPr="00423EE8" w14:paraId="1BF3D370" w14:textId="77777777" w:rsidTr="00423EE8">
        <w:trPr>
          <w:trHeight w:val="300"/>
        </w:trPr>
        <w:tc>
          <w:tcPr>
            <w:tcW w:w="1838" w:type="dxa"/>
            <w:tcBorders>
              <w:top w:val="single" w:sz="6" w:space="0" w:color="FFFFFF"/>
              <w:left w:val="single" w:sz="6" w:space="0" w:color="FFFFFF"/>
              <w:bottom w:val="single" w:sz="6" w:space="0" w:color="FFFFFF"/>
              <w:right w:val="single" w:sz="6" w:space="0" w:color="FFFFFF"/>
            </w:tcBorders>
            <w:shd w:val="clear" w:color="auto" w:fill="9BBB59" w:themeFill="accent3"/>
            <w:noWrap/>
          </w:tcPr>
          <w:p w14:paraId="2D80984C" w14:textId="44F1AD95" w:rsidR="006E0321" w:rsidRPr="00423EE8" w:rsidRDefault="00423EE8" w:rsidP="006E0321">
            <w:pPr>
              <w:spacing w:before="40" w:after="40"/>
              <w:rPr>
                <w:rFonts w:eastAsia="Times New Roman" w:cs="Calibri"/>
                <w:b/>
                <w:bCs/>
                <w:color w:val="FFFFFF"/>
                <w:sz w:val="18"/>
                <w:szCs w:val="18"/>
                <w:lang w:val="en-US"/>
              </w:rPr>
            </w:pPr>
            <w:r w:rsidRPr="00423EE8">
              <w:rPr>
                <w:rFonts w:eastAsia="Times New Roman" w:cs="Calibri"/>
                <w:b/>
                <w:bCs/>
                <w:color w:val="FFFFFF"/>
                <w:sz w:val="18"/>
                <w:szCs w:val="18"/>
                <w:lang w:val="en-US"/>
              </w:rPr>
              <w:t>Murray cod</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tcPr>
          <w:p w14:paraId="395F76F3" w14:textId="1455680C"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1.84</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1E630BDD" w14:textId="3013D5F6"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2.92</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58CAF0FB" w14:textId="3F54F039"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3.77</w:t>
            </w:r>
          </w:p>
        </w:tc>
        <w:tc>
          <w:tcPr>
            <w:tcW w:w="1157" w:type="dxa"/>
            <w:tcBorders>
              <w:top w:val="single" w:sz="6" w:space="0" w:color="FFFFFF"/>
              <w:left w:val="single" w:sz="6" w:space="0" w:color="FFFFFF"/>
              <w:bottom w:val="single" w:sz="6" w:space="0" w:color="FFFFFF"/>
              <w:right w:val="single" w:sz="6" w:space="0" w:color="FFFFFF"/>
            </w:tcBorders>
            <w:shd w:val="clear" w:color="000000" w:fill="EAF0E0"/>
            <w:noWrap/>
          </w:tcPr>
          <w:p w14:paraId="7C8BA2E6" w14:textId="38908FD4"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1.27</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13F549F8" w14:textId="1CEA78AE"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12.86</w:t>
            </w:r>
          </w:p>
        </w:tc>
        <w:tc>
          <w:tcPr>
            <w:tcW w:w="1158" w:type="dxa"/>
            <w:tcBorders>
              <w:top w:val="single" w:sz="6" w:space="0" w:color="FFFFFF"/>
              <w:left w:val="single" w:sz="6" w:space="0" w:color="FFFFFF"/>
              <w:bottom w:val="single" w:sz="6" w:space="0" w:color="FFFFFF"/>
              <w:right w:val="single" w:sz="6" w:space="0" w:color="FFFFFF"/>
            </w:tcBorders>
            <w:shd w:val="clear" w:color="000000" w:fill="EAF0E0"/>
            <w:noWrap/>
          </w:tcPr>
          <w:p w14:paraId="44235EAC" w14:textId="10A0F080" w:rsidR="006E0321" w:rsidRPr="00423EE8" w:rsidRDefault="006E0321" w:rsidP="006E0321">
            <w:pPr>
              <w:spacing w:before="40" w:after="40"/>
              <w:rPr>
                <w:rFonts w:eastAsia="Times New Roman" w:cs="Calibri"/>
                <w:color w:val="000000"/>
                <w:sz w:val="18"/>
                <w:szCs w:val="18"/>
                <w:lang w:val="en-US"/>
              </w:rPr>
            </w:pPr>
            <w:r w:rsidRPr="00423EE8">
              <w:rPr>
                <w:rFonts w:eastAsia="Times New Roman" w:cs="Calibri"/>
                <w:color w:val="000000"/>
                <w:sz w:val="18"/>
                <w:szCs w:val="18"/>
                <w:lang w:val="en-US"/>
              </w:rPr>
              <w:t>94.27</w:t>
            </w:r>
          </w:p>
        </w:tc>
      </w:tr>
    </w:tbl>
    <w:p w14:paraId="370076FB" w14:textId="243F581B" w:rsidR="00266C96" w:rsidRDefault="006E0321" w:rsidP="00266C96">
      <w:pPr>
        <w:pStyle w:val="Heading1"/>
      </w:pPr>
      <w:r>
        <w:br w:type="page"/>
      </w:r>
      <w:bookmarkStart w:id="474" w:name="_Toc31985515"/>
      <w:r w:rsidR="00266C96">
        <w:rPr>
          <w:lang w:val="en-US"/>
        </w:rPr>
        <w:t>Determining age, spawning dates and growth of Australian smelt</w:t>
      </w:r>
      <w:r w:rsidR="00266C96" w:rsidRPr="00121FEC">
        <w:t xml:space="preserve"> </w:t>
      </w:r>
      <w:r w:rsidR="009E08B1">
        <w:rPr>
          <w:lang w:val="en-US"/>
        </w:rPr>
        <w:t xml:space="preserve">and Murray cod </w:t>
      </w:r>
      <w:r w:rsidR="00266C96" w:rsidRPr="00121FEC">
        <w:t>in the lower Lachlan River selected area.</w:t>
      </w:r>
      <w:bookmarkEnd w:id="474"/>
    </w:p>
    <w:p w14:paraId="18A54B60" w14:textId="77777777" w:rsidR="00ED69E9" w:rsidRPr="00A75B17" w:rsidRDefault="00ED69E9" w:rsidP="00ED69E9">
      <w:pPr>
        <w:pStyle w:val="Heading2"/>
        <w:rPr>
          <w:lang w:bidi="th-TH"/>
        </w:rPr>
      </w:pPr>
      <w:bookmarkStart w:id="475" w:name="_Toc31985516"/>
      <w:r w:rsidRPr="00A75B17">
        <w:rPr>
          <w:lang w:bidi="th-TH"/>
        </w:rPr>
        <w:t>Background</w:t>
      </w:r>
      <w:bookmarkEnd w:id="475"/>
    </w:p>
    <w:p w14:paraId="184952F5" w14:textId="374AC983" w:rsidR="00ED69E9" w:rsidRPr="00F9271F" w:rsidRDefault="00ED69E9" w:rsidP="00ED69E9">
      <w:pPr>
        <w:rPr>
          <w:rFonts w:eastAsiaTheme="minorHAnsi"/>
        </w:rPr>
      </w:pPr>
      <w:r w:rsidRPr="00F9271F">
        <w:t xml:space="preserve">Environmental flow regimes commonly aim to maintain and enhance native fish community populations </w:t>
      </w:r>
      <w:r w:rsidRPr="00F9271F">
        <w:fldChar w:fldCharType="begin"/>
      </w:r>
      <w:r w:rsidR="00535F48">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F9271F">
        <w:fldChar w:fldCharType="separate"/>
      </w:r>
      <w:r w:rsidRPr="00F9271F">
        <w:rPr>
          <w:noProof/>
        </w:rPr>
        <w:t>(King et al. 2010)</w:t>
      </w:r>
      <w:r w:rsidRPr="00F9271F">
        <w:fldChar w:fldCharType="end"/>
      </w:r>
      <w:r w:rsidRPr="00F9271F">
        <w:t xml:space="preserve">. The premise being that aspects of the flow regime are linked to key components of the life history of fish, including pre-spawning condition and maturation, movement cues, spawning cues and behaviour, and larval and juvenile survival </w:t>
      </w:r>
      <w:r w:rsidRPr="00F9271F">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535F48">
        <w:instrText xml:space="preserve"> ADDIN EN.CITE </w:instrText>
      </w:r>
      <w:r w:rsidR="00535F48">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535F48">
        <w:instrText xml:space="preserve"> ADDIN EN.CITE.DATA </w:instrText>
      </w:r>
      <w:r w:rsidR="00535F48">
        <w:fldChar w:fldCharType="end"/>
      </w:r>
      <w:r w:rsidRPr="00F9271F">
        <w:fldChar w:fldCharType="separate"/>
      </w:r>
      <w:r w:rsidRPr="00F9271F">
        <w:rPr>
          <w:noProof/>
        </w:rPr>
        <w:t>(Junk et al. 1989, Humphries et al. 1999, King et al. 2003, Balcombe et al. 2006)</w:t>
      </w:r>
      <w:r w:rsidRPr="00F9271F">
        <w:fldChar w:fldCharType="end"/>
      </w:r>
      <w:r w:rsidRPr="00F9271F">
        <w:t xml:space="preserve">. Since the strength of recruitment to adulthood is largely driven by spawning success, </w:t>
      </w:r>
      <w:r>
        <w:t>as well as</w:t>
      </w:r>
      <w:r w:rsidRPr="00F9271F">
        <w:t xml:space="preserve"> growth and survival of young, understanding how the flow regime influences the early life history of fishes is critical to managing fish populations </w:t>
      </w:r>
      <w:r w:rsidRPr="00F9271F">
        <w:fldChar w:fldCharType="begin"/>
      </w:r>
      <w:r w:rsidR="00535F48">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F9271F">
        <w:fldChar w:fldCharType="separate"/>
      </w:r>
      <w:r w:rsidRPr="00F9271F">
        <w:rPr>
          <w:noProof/>
        </w:rPr>
        <w:t>(King et al. 2010)</w:t>
      </w:r>
      <w:r w:rsidRPr="00F9271F">
        <w:fldChar w:fldCharType="end"/>
      </w:r>
      <w:r w:rsidRPr="00F9271F">
        <w:t>. Accurate and precise estimates of larval fish age are required to adequately assess the influence of flow on fish reproduction, growth and survival.</w:t>
      </w:r>
    </w:p>
    <w:p w14:paraId="50003381" w14:textId="70CF9916" w:rsidR="00ED69E9" w:rsidRPr="00F9271F" w:rsidRDefault="00ED69E9" w:rsidP="00ED69E9">
      <w:r w:rsidRPr="00F9271F">
        <w:t xml:space="preserve">Analysis of otolith micro-structure can provide valuable information on a fishes age and growth history </w:t>
      </w:r>
      <w:r w:rsidR="00535F48">
        <w:fldChar w:fldCharType="begin"/>
      </w:r>
      <w:r w:rsidR="00535F48">
        <w:instrText xml:space="preserve"> ADDIN EN.CITE &lt;EndNote&gt;&lt;Cite&gt;&lt;Author&gt;Campana&lt;/Author&gt;&lt;Year&gt;2005&lt;/Year&gt;&lt;RecNum&gt;398&lt;/RecNum&gt;&lt;Prefix&gt;see &lt;/Prefix&gt;&lt;DisplayText&gt;(see Campana 2005)&lt;/DisplayText&gt;&lt;record&gt;&lt;rec-number&gt;398&lt;/rec-number&gt;&lt;foreign-keys&gt;&lt;key app="EN" db-id="0a0zttz0gewd9befav559p5osxw5sftwfpdv" timestamp="1581048265"&gt;398&lt;/key&gt;&lt;/foreign-keys&gt;&lt;ref-type name="Journal Article"&gt;17&lt;/ref-type&gt;&lt;contributors&gt;&lt;authors&gt;&lt;author&gt;Campana, S.E.&lt;/author&gt;&lt;/authors&gt;&lt;/contributors&gt;&lt;titles&gt;&lt;title&gt;Otolith science entering the 21st century&lt;/title&gt;&lt;secondary-title&gt;Marine and Freshwater Research&lt;/secondary-title&gt;&lt;/titles&gt;&lt;periodical&gt;&lt;full-title&gt;Marine and Freshwater Research&lt;/full-title&gt;&lt;/periodical&gt;&lt;pages&gt;485-495&lt;/pages&gt;&lt;volume&gt;56&lt;/volume&gt;&lt;dates&gt;&lt;year&gt;2005&lt;/year&gt;&lt;/dates&gt;&lt;urls&gt;&lt;/urls&gt;&lt;/record&gt;&lt;/Cite&gt;&lt;/EndNote&gt;</w:instrText>
      </w:r>
      <w:r w:rsidR="00535F48">
        <w:fldChar w:fldCharType="separate"/>
      </w:r>
      <w:r w:rsidR="00535F48">
        <w:rPr>
          <w:noProof/>
        </w:rPr>
        <w:t>(see Campana 2005)</w:t>
      </w:r>
      <w:r w:rsidR="00535F48">
        <w:fldChar w:fldCharType="end"/>
      </w:r>
      <w:r w:rsidR="00535F48">
        <w:t>.</w:t>
      </w:r>
      <w:r w:rsidRPr="00F9271F">
        <w:t xml:space="preserve"> Currently, the Category 1 LTIM monitoring program employed in the lower Lachlan selected area does not age larval fish, and spawning date and growth have been crudely estimated using length as a proxy. </w:t>
      </w:r>
      <w:r w:rsidR="009E08B1">
        <w:rPr>
          <w:lang w:val="en-US"/>
        </w:rPr>
        <w:t>This results in uncertainty around spawning dates which limits our capacity to link them to daily or sub-daily flow metrics that could inform flow release strategies</w:t>
      </w:r>
      <w:r w:rsidR="00915BD2">
        <w:rPr>
          <w:lang w:val="en-US"/>
        </w:rPr>
        <w:t>.</w:t>
      </w:r>
      <w:r w:rsidR="009E08B1" w:rsidRPr="00F9271F">
        <w:t xml:space="preserve"> </w:t>
      </w:r>
      <w:r w:rsidRPr="00F9271F">
        <w:t xml:space="preserve">By more accurately aging larval fish and examining otolith microstructure, we will be better able to interpret how flow interacts with spawning dates and growth of larval fish in the lower Lachlan elected area. </w:t>
      </w:r>
    </w:p>
    <w:p w14:paraId="32C4C60A" w14:textId="4620A516" w:rsidR="00ED69E9" w:rsidRPr="00F9271F" w:rsidRDefault="00ED69E9" w:rsidP="00ED69E9">
      <w:r w:rsidRPr="00F9271F">
        <w:t xml:space="preserve">The energetic base of food webs in freshwater systems is provided either by primary production (the energy fixed by photosynthesis occurring in plants and algae) or by breakdown of organic matter such as leaves, wood and organic carbon dissolved in the water </w:t>
      </w:r>
      <w:r w:rsidRPr="00F9271F">
        <w:fldChar w:fldCharType="begin"/>
      </w:r>
      <w:r w:rsidR="00535F48">
        <w:instrText xml:space="preserve"> ADDIN EN.CITE &lt;EndNote&gt;&lt;Cite&gt;&lt;Author&gt;Bunn&lt;/Author&gt;&lt;Year&gt;2006&lt;/Year&gt;&lt;RecNum&gt;114&lt;/RecNum&gt;&lt;DisplayText&gt;(Bunn et al. 2006)&lt;/DisplayText&gt;&lt;record&gt;&lt;rec-number&gt;114&lt;/rec-number&gt;&lt;foreign-keys&gt;&lt;key app="EN" db-id="0a0zttz0gewd9befav559p5osxw5sftwfpdv" timestamp="1472612358"&gt;114&lt;/key&gt;&lt;/foreign-keys&gt;&lt;ref-type name="Book Section"&gt;5&lt;/ref-type&gt;&lt;contributors&gt;&lt;authors&gt;&lt;author&gt;Bunn, S.E.&lt;/author&gt;&lt;author&gt;Balcombe, S.R.&lt;/author&gt;&lt;author&gt;Davies, P.M.&lt;/author&gt;&lt;author&gt;Fellows, C.S.&lt;/author&gt;&lt;author&gt;McKenzie-Smith, F.J. &lt;/author&gt;&lt;/authors&gt;&lt;secondary-authors&gt;&lt;author&gt;Kingsford, R.T.&lt;/author&gt;&lt;/secondary-authors&gt;&lt;/contributors&gt;&lt;titles&gt;&lt;title&gt;Aquatic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rsidRPr="00F9271F">
        <w:fldChar w:fldCharType="separate"/>
      </w:r>
      <w:r w:rsidRPr="00F9271F">
        <w:rPr>
          <w:noProof/>
        </w:rPr>
        <w:t>(Bunn et al. 2006)</w:t>
      </w:r>
      <w:r w:rsidRPr="00F9271F">
        <w:fldChar w:fldCharType="end"/>
      </w:r>
      <w:r w:rsidRPr="00F9271F">
        <w:t xml:space="preserve">. </w:t>
      </w:r>
      <w:r w:rsidR="00AD0D41">
        <w:t>Both</w:t>
      </w:r>
      <w:r w:rsidR="00AD0D41" w:rsidRPr="00F9271F">
        <w:t xml:space="preserve"> </w:t>
      </w:r>
      <w:r w:rsidRPr="00F9271F">
        <w:t xml:space="preserve">processes are influenced by the availability of nutrients, particularly nitrogen and phosphorus, </w:t>
      </w:r>
      <w:r>
        <w:t>as well as</w:t>
      </w:r>
      <w:r w:rsidRPr="00F9271F">
        <w:t xml:space="preserve"> water temperature and light. Delivery of environmental flows has the potential to increase primary production and organic matter breakdown by mobilising carbon and nutrients </w:t>
      </w:r>
      <w:r w:rsidR="00AD0D41">
        <w:t xml:space="preserve">from in-channel surfaces, </w:t>
      </w:r>
      <w:r w:rsidRPr="00F9271F">
        <w:t xml:space="preserve">the floodplain or from </w:t>
      </w:r>
      <w:r w:rsidRPr="00535F48">
        <w:t>upstream</w:t>
      </w:r>
      <w:r w:rsidR="00535F48" w:rsidRPr="00535F48">
        <w:t xml:space="preserve"> </w:t>
      </w:r>
      <w:r w:rsidR="00535F48" w:rsidRPr="00535F48">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L3VybHM+PC9yZWNvcmQ+PC9DaXRlPjxDaXRlPjxBdXRob3I+TURGUkM8L0F1dGhvcj48WWVhcj4y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</w:fldData>
        </w:fldChar>
      </w:r>
      <w:r w:rsidR="00535F48" w:rsidRPr="00535F48">
        <w:instrText xml:space="preserve"> ADDIN EN.CITE </w:instrText>
      </w:r>
      <w:r w:rsidR="00535F48" w:rsidRPr="00535F48">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L3VybHM+PC9yZWNvcmQ+PC9DaXRlPjxDaXRlPjxBdXRob3I+TURGUkM8L0F1dGhvcj48WWVhcj4y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</w:fldData>
        </w:fldChar>
      </w:r>
      <w:r w:rsidR="00535F48" w:rsidRPr="00535F48">
        <w:instrText xml:space="preserve"> ADDIN EN.CITE.DATA </w:instrText>
      </w:r>
      <w:r w:rsidR="00535F48" w:rsidRPr="00535F48">
        <w:fldChar w:fldCharType="end"/>
      </w:r>
      <w:r w:rsidR="00535F48" w:rsidRPr="00535F48">
        <w:fldChar w:fldCharType="separate"/>
      </w:r>
      <w:r w:rsidR="00535F48" w:rsidRPr="00535F48">
        <w:rPr>
          <w:noProof/>
        </w:rPr>
        <w:t>(Boulton and Lake 1992, MDFRC 2013, Stewardson et al. 2013)</w:t>
      </w:r>
      <w:r w:rsidR="00535F48" w:rsidRPr="00535F48">
        <w:fldChar w:fldCharType="end"/>
      </w:r>
      <w:r w:rsidR="00535F48" w:rsidRPr="00535F48">
        <w:t xml:space="preserve">. </w:t>
      </w:r>
      <w:r w:rsidR="009E08B1" w:rsidRPr="00535F48">
        <w:t>Pulses</w:t>
      </w:r>
      <w:r w:rsidR="009E08B1">
        <w:t xml:space="preserve"> from in-channel rises have been consistently observed over the past five years in the lower Lachlan River as part of the LTIM program (see section </w:t>
      </w:r>
      <w:r w:rsidR="00535F48">
        <w:fldChar w:fldCharType="begin"/>
      </w:r>
      <w:r w:rsidR="00535F48">
        <w:instrText xml:space="preserve"> REF _Ref31981333 \r \h </w:instrText>
      </w:r>
      <w:r w:rsidR="00535F48">
        <w:fldChar w:fldCharType="separate"/>
      </w:r>
      <w:r w:rsidR="007F7607">
        <w:t>5</w:t>
      </w:r>
      <w:r w:rsidR="00535F48">
        <w:fldChar w:fldCharType="end"/>
      </w:r>
      <w:r w:rsidR="00535F48">
        <w:t xml:space="preserve">: </w:t>
      </w:r>
      <w:r w:rsidR="00535F48">
        <w:fldChar w:fldCharType="begin"/>
      </w:r>
      <w:r w:rsidR="00535F48">
        <w:instrText xml:space="preserve"> REF _Ref31981334 \h </w:instrText>
      </w:r>
      <w:r w:rsidR="00535F48">
        <w:fldChar w:fldCharType="separate"/>
      </w:r>
      <w:r w:rsidR="007F7607" w:rsidRPr="00131F12">
        <w:t>Stream metabolism and water quality</w:t>
      </w:r>
      <w:r w:rsidR="00535F48">
        <w:fldChar w:fldCharType="end"/>
      </w:r>
      <w:r w:rsidR="009E08B1">
        <w:t xml:space="preserve">). </w:t>
      </w:r>
      <w:r w:rsidRPr="00F9271F">
        <w:t xml:space="preserve">The effect </w:t>
      </w:r>
      <w:r w:rsidR="00AD0D41">
        <w:t>changes in</w:t>
      </w:r>
      <w:r w:rsidRPr="00F9271F">
        <w:t xml:space="preserve"> stream productivity and larval fish growth is not clear, especially in Australian lowland rivers. It would be expected that an increase in stream productivity </w:t>
      </w:r>
      <w:r w:rsidR="00AD0D41">
        <w:t xml:space="preserve">(and be definition, </w:t>
      </w:r>
      <w:r w:rsidRPr="00F9271F">
        <w:t>food resources</w:t>
      </w:r>
      <w:r w:rsidR="00AD0D41">
        <w:t>)</w:t>
      </w:r>
      <w:r w:rsidRPr="00F9271F">
        <w:t xml:space="preserve"> would lead to an increase in larval fish growth, survival and ultimately recruitment.</w:t>
      </w:r>
    </w:p>
    <w:p w14:paraId="6D84A15A" w14:textId="44B9E2A8" w:rsidR="00AD0D41" w:rsidRDefault="00AD0D41" w:rsidP="00AD0D41">
      <w:r>
        <w:t>The Lower-Lachlan River Selected Area monitoring and evaluation plan required fish otoliths to be collected and analysed in the 1</w:t>
      </w:r>
      <w:r w:rsidRPr="001713A2">
        <w:rPr>
          <w:vertAlign w:val="superscript"/>
        </w:rPr>
        <w:t>st</w:t>
      </w:r>
      <w:r>
        <w:t xml:space="preserve"> and 5</w:t>
      </w:r>
      <w:r w:rsidRPr="001713A2">
        <w:rPr>
          <w:vertAlign w:val="superscript"/>
        </w:rPr>
        <w:t>th</w:t>
      </w:r>
      <w:r>
        <w:t xml:space="preserve"> years of monitoring. Killing adult large bodied native fish for otolith analysis in the 5</w:t>
      </w:r>
      <w:r w:rsidRPr="001713A2">
        <w:rPr>
          <w:vertAlign w:val="superscript"/>
        </w:rPr>
        <w:t>th</w:t>
      </w:r>
      <w:r>
        <w:t xml:space="preserve"> year was deemed inappropriate in the context of the Lachlan River fish (particularly Murray cod) population is still in recovery from the 2016 hypoxic event, and the greater context of fish kills of large bodied natives in other parts of the basin in early 2019. Consequently, unspent funds were directed to analysing historically collected samples and data from the project to:</w:t>
      </w:r>
    </w:p>
    <w:p w14:paraId="0451B453" w14:textId="77777777" w:rsidR="00ED69E9" w:rsidRPr="00F9271F" w:rsidRDefault="00ED69E9" w:rsidP="00D077A5">
      <w:pPr>
        <w:pStyle w:val="ListParagraph"/>
        <w:numPr>
          <w:ilvl w:val="0"/>
          <w:numId w:val="52"/>
        </w:numPr>
        <w:spacing w:after="200" w:line="276" w:lineRule="auto"/>
      </w:pPr>
      <w:r w:rsidRPr="00F9271F">
        <w:t>Determine spawning dates of a large bodied and a small bodied larval native fish across four years</w:t>
      </w:r>
    </w:p>
    <w:p w14:paraId="4D7F7917" w14:textId="77777777" w:rsidR="00ED69E9" w:rsidRPr="00F9271F" w:rsidRDefault="00ED69E9" w:rsidP="00D077A5">
      <w:pPr>
        <w:pStyle w:val="ListParagraph"/>
        <w:numPr>
          <w:ilvl w:val="0"/>
          <w:numId w:val="52"/>
        </w:numPr>
        <w:spacing w:after="200" w:line="276" w:lineRule="auto"/>
      </w:pPr>
      <w:r w:rsidRPr="00F9271F">
        <w:t>Determine length at age for a large-bodied and a small-bodied larval native fish across four years</w:t>
      </w:r>
    </w:p>
    <w:p w14:paraId="2E555640" w14:textId="77777777" w:rsidR="00ED69E9" w:rsidRPr="00F9271F" w:rsidRDefault="00ED69E9" w:rsidP="00D077A5">
      <w:pPr>
        <w:pStyle w:val="ListParagraph"/>
        <w:numPr>
          <w:ilvl w:val="0"/>
          <w:numId w:val="52"/>
        </w:numPr>
        <w:spacing w:after="200" w:line="276" w:lineRule="auto"/>
      </w:pPr>
      <w:r w:rsidRPr="00F9271F">
        <w:t>Compare growth rates of a large-bodied and a small-bodied larval native fish between years</w:t>
      </w:r>
    </w:p>
    <w:p w14:paraId="1ADAA87F" w14:textId="77777777" w:rsidR="00ED69E9" w:rsidRPr="00F9271F" w:rsidRDefault="00ED69E9" w:rsidP="00D077A5">
      <w:pPr>
        <w:pStyle w:val="ListParagraph"/>
        <w:numPr>
          <w:ilvl w:val="0"/>
          <w:numId w:val="52"/>
        </w:numPr>
        <w:spacing w:after="200" w:line="276" w:lineRule="auto"/>
      </w:pPr>
      <w:r w:rsidRPr="00F9271F">
        <w:t xml:space="preserve">Provide some preliminary insight into the interaction between gross primary productivity and larval fish growth for the lower Lachlan River.    </w:t>
      </w:r>
    </w:p>
    <w:p w14:paraId="517EE268" w14:textId="77777777" w:rsidR="00ED69E9" w:rsidRDefault="00ED69E9" w:rsidP="00ED69E9"/>
    <w:p w14:paraId="0BC09A8F" w14:textId="77777777" w:rsidR="00ED69E9" w:rsidRPr="00A75B17" w:rsidRDefault="00ED69E9" w:rsidP="00ED69E9">
      <w:pPr>
        <w:pStyle w:val="Heading2"/>
        <w:rPr>
          <w:lang w:bidi="th-TH"/>
        </w:rPr>
      </w:pPr>
      <w:bookmarkStart w:id="476" w:name="_Toc31985517"/>
      <w:r w:rsidRPr="00A75B17">
        <w:rPr>
          <w:lang w:bidi="th-TH"/>
        </w:rPr>
        <w:t>Methods</w:t>
      </w:r>
      <w:bookmarkEnd w:id="476"/>
    </w:p>
    <w:p w14:paraId="76F60D34" w14:textId="77777777" w:rsidR="00ED69E9" w:rsidRPr="00F9271F" w:rsidRDefault="00ED69E9" w:rsidP="00ED69E9">
      <w:pPr>
        <w:pStyle w:val="Heading3"/>
      </w:pPr>
      <w:bookmarkStart w:id="477" w:name="_Toc31985518"/>
      <w:r w:rsidRPr="00F9271F">
        <w:t>Fish collection</w:t>
      </w:r>
      <w:r>
        <w:t xml:space="preserve"> and otolith analysis</w:t>
      </w:r>
      <w:bookmarkEnd w:id="477"/>
    </w:p>
    <w:p w14:paraId="58657901" w14:textId="16C64E60" w:rsidR="00ED69E9" w:rsidRPr="00F9271F" w:rsidRDefault="00ED69E9" w:rsidP="00ED69E9">
      <w:pPr>
        <w:rPr>
          <w:rFonts w:cstheme="minorHAnsi"/>
        </w:rPr>
      </w:pPr>
      <w:r w:rsidRPr="00F9271F">
        <w:rPr>
          <w:rFonts w:cstheme="minorHAnsi"/>
        </w:rPr>
        <w:t>Larval fish used for otolith analysis were collected as part of the LTIM monitoring undertaken over the past five years (2014 – 2018). Species examined were Murray cod (</w:t>
      </w:r>
      <w:r w:rsidR="00AD0D41">
        <w:rPr>
          <w:rFonts w:cstheme="minorHAnsi"/>
        </w:rPr>
        <w:t>a</w:t>
      </w:r>
      <w:r w:rsidR="00AD0D41" w:rsidRPr="00F9271F">
        <w:rPr>
          <w:rFonts w:cstheme="minorHAnsi"/>
        </w:rPr>
        <w:t xml:space="preserve"> </w:t>
      </w:r>
      <w:r w:rsidRPr="00F9271F">
        <w:rPr>
          <w:rFonts w:cstheme="minorHAnsi"/>
        </w:rPr>
        <w:t xml:space="preserve">large bodied species) and Australian smelt (small bodied species), both commonly captured in larval sampling in the lower Lachlan River. </w:t>
      </w:r>
      <w:r w:rsidRPr="00F9271F">
        <w:rPr>
          <w:rFonts w:cstheme="minorHAnsi"/>
          <w:lang w:val="en-US"/>
        </w:rPr>
        <w:t>Murray cod and Australian smelt are great candidates to examine early life history – otolith microstructure relationships as both species have been found to deposit daily otolith increments</w:t>
      </w:r>
      <w:r w:rsidR="009538DA">
        <w:rPr>
          <w:rFonts w:cstheme="minorHAnsi"/>
          <w:lang w:val="en-US"/>
        </w:rPr>
        <w:t xml:space="preserve"> </w:t>
      </w:r>
      <w:r w:rsidR="009538DA">
        <w:rPr>
          <w:rFonts w:cstheme="minorHAnsi"/>
          <w:lang w:val="en-US"/>
        </w:rPr>
        <w:fldChar w:fldCharType="begin"/>
      </w:r>
      <w:r w:rsidR="009538DA">
        <w:rPr>
          <w:rFonts w:cstheme="minorHAnsi"/>
          <w:lang w:val="en-US"/>
        </w:rPr>
        <w:instrText xml:space="preserve"> ADDIN EN.CITE &lt;EndNote&gt;&lt;Cite&gt;&lt;Author&gt;Tonkin&lt;/Author&gt;&lt;Year&gt;2008&lt;/Year&gt;&lt;RecNum&gt;279&lt;/RecNum&gt;&lt;DisplayText&gt;(Humphries 2005, Tonkin et al. 2008b)&lt;/DisplayText&gt;&lt;record&gt;&lt;rec-number&gt;279&lt;/rec-number&gt;&lt;foreign-keys&gt;&lt;key app="EN" db-id="0a0zttz0gewd9befav559p5osxw5sftwfpdv" timestamp="1558661570"&gt;279&lt;/key&gt;&lt;/foreign-keys&gt;&lt;ref-type name="Journal Article"&gt;17&lt;/ref-type&gt;&lt;contributors&gt;&lt;authors&gt;&lt;author&gt;Tonkin, Z.D.&lt;/author&gt;&lt;author&gt;King, A.J.&lt;/author&gt;&lt;author&gt;Robertson, A.I.&lt;/author&gt;&lt;/authors&gt;&lt;/contributors&gt;&lt;titles&gt;&lt;title&gt;&lt;style face="normal" font="default" size="100%"&gt;Validation of daily increment formation and the effects of different temperatures and feeding regimes on short-term otolith growth in Australian smelt &lt;/style&gt;&lt;style face="italic" font="default" size="100%"&gt;Retropinna semoni&lt;/style&gt;&lt;/title&gt;&lt;secondary-title&gt;Ecology of Freshwater Fish&lt;/secondary-title&gt;&lt;/titles&gt;&lt;periodical&gt;&lt;full-title&gt;Ecology of Freshwater Fish&lt;/full-title&gt;&lt;/periodical&gt;&lt;pages&gt;312-317&lt;/pages&gt;&lt;volume&gt;17&lt;/volume&gt;&lt;number&gt;2&lt;/number&gt;&lt;dates&gt;&lt;year&gt;2008&lt;/year&gt;&lt;/dates&gt;&lt;urls&gt;&lt;/urls&gt;&lt;/record&gt;&lt;/Cite&gt;&lt;Cite&gt;&lt;Author&gt;Humphries&lt;/Author&gt;&lt;Year&gt;2005&lt;/Year&gt;&lt;RecNum&gt;128&lt;/RecNum&gt;&lt;record&gt;&lt;rec-number&gt;128&lt;/rec-number&gt;&lt;foreign-keys&gt;&lt;key app="EN" db-id="0a0zttz0gewd9befav559p5osxw5sftwfpdv" timestamp="1472615257"&gt;128&lt;/key&gt;&lt;/foreign-keys&gt;&lt;ref-type name="Journal Article"&gt;17&lt;/ref-type&gt;&lt;contributors&gt;&lt;authors&gt;&lt;author&gt;Humphries, P.&lt;/author&gt;&lt;/authors&gt;&lt;/contributors&gt;&lt;titles&gt;&lt;title&gt;&lt;style face="normal" font="default" size="100%"&gt;Spawning time and early life history of Murray cod&lt;/style&gt;&lt;style face="italic" font="default" size="100%"&gt;, &lt;/style&gt;&lt;style face="normal" font="default" size="100%"&gt;Maccullochella peelii peelii (Mitchell) in an Australian River&lt;/style&gt;&lt;/title&gt;&lt;secondary-title&gt;Environmental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Fishes&lt;/full-title&gt;&lt;/periodical&gt;&lt;pages&gt;393-407&lt;/pages&gt;&lt;volume&gt;72&lt;/volume&gt;&lt;number&gt;4&lt;/number&gt;&lt;dates&gt;&lt;year&gt;2005&lt;/year&gt;&lt;/dates&gt;&lt;urls&gt;&lt;/urls&gt;&lt;/record&gt;&lt;/Cite&gt;&lt;/EndNote&gt;</w:instrText>
      </w:r>
      <w:r w:rsidR="009538DA">
        <w:rPr>
          <w:rFonts w:cstheme="minorHAnsi"/>
          <w:lang w:val="en-US"/>
        </w:rPr>
        <w:fldChar w:fldCharType="separate"/>
      </w:r>
      <w:r w:rsidR="009538DA">
        <w:rPr>
          <w:rFonts w:cstheme="minorHAnsi"/>
          <w:noProof/>
          <w:lang w:val="en-US"/>
        </w:rPr>
        <w:t>(Humphries 2005, Tonkin et al. 2008b)</w:t>
      </w:r>
      <w:r w:rsidR="009538DA">
        <w:rPr>
          <w:rFonts w:cstheme="minorHAnsi"/>
          <w:lang w:val="en-US"/>
        </w:rPr>
        <w:fldChar w:fldCharType="end"/>
      </w:r>
      <w:r w:rsidR="00591DA7">
        <w:rPr>
          <w:rFonts w:cstheme="minorHAnsi"/>
          <w:lang w:val="en-US"/>
        </w:rPr>
        <w:t xml:space="preserve"> </w:t>
      </w:r>
      <w:r w:rsidRPr="00F9271F">
        <w:rPr>
          <w:rFonts w:cstheme="minorHAnsi"/>
          <w:lang w:val="en-US"/>
        </w:rPr>
        <w:t>Furthermore, Australian smelt have been shown to exhibit strong somatic growth – otolith growth relationships</w:t>
      </w:r>
      <w:r w:rsidR="009538DA">
        <w:rPr>
          <w:rFonts w:cstheme="minorHAnsi"/>
          <w:lang w:val="en-US"/>
        </w:rPr>
        <w:t xml:space="preserve"> </w:t>
      </w:r>
      <w:r w:rsidR="009538DA">
        <w:rPr>
          <w:rFonts w:cstheme="minorHAnsi"/>
          <w:lang w:val="en-US"/>
        </w:rPr>
        <w:fldChar w:fldCharType="begin"/>
      </w:r>
      <w:r w:rsidR="009538DA">
        <w:rPr>
          <w:rFonts w:cstheme="minorHAnsi"/>
          <w:lang w:val="en-US"/>
        </w:rPr>
        <w:instrText xml:space="preserve"> ADDIN EN.CITE &lt;EndNote&gt;&lt;Cite&gt;&lt;Author&gt;Tonkin&lt;/Author&gt;&lt;Year&gt;2008&lt;/Year&gt;&lt;RecNum&gt;280&lt;/RecNum&gt;&lt;DisplayText&gt;(Tonkin et al. 2008a, Tonkin et al. 2008c)&lt;/DisplayText&gt;&lt;record&gt;&lt;rec-number&gt;280&lt;/rec-number&gt;&lt;foreign-keys&gt;&lt;key app="EN" db-id="0a0zttz0gewd9befav559p5osxw5sftwfpdv" timestamp="1558661626"&gt;280&lt;/key&gt;&lt;/foreign-keys&gt;&lt;ref-type name="Journal Article"&gt;17&lt;/ref-type&gt;&lt;contributors&gt;&lt;authors&gt;&lt;author&gt;Tonkin, Z.D.&lt;/author&gt;&lt;author&gt;King, A.J.&lt;/author&gt;&lt;author&gt;Ramsey, D.S.L.&lt;/author&gt;&lt;/authors&gt;&lt;/contributors&gt;&lt;titles&gt;&lt;title&gt;&lt;style face="normal" font="default" size="100%"&gt;Otolith increment width responses of juvenile Australian smelt &lt;/style&gt;&lt;style face="italic" font="default" size="100%"&gt;Retropinna semoni&lt;/style&gt;&lt;style face="normal" font="default" size="100%"&gt; to sudden changes in food levels: the importance of feeding history&lt;/style&gt;&lt;/title&gt;&lt;secondary-title&gt;Journal of Fish Biology&lt;/secondary-title&gt;&lt;/titles&gt;&lt;periodical&gt;&lt;full-title&gt;Journal of Fish Biology&lt;/full-title&gt;&lt;/periodical&gt;&lt;pages&gt;853-860&lt;/pages&gt;&lt;volume&gt;73&lt;/volume&gt;&lt;number&gt;4&lt;/number&gt;&lt;dates&gt;&lt;year&gt;2008&lt;/year&gt;&lt;/dates&gt;&lt;urls&gt;&lt;/urls&gt;&lt;/record&gt;&lt;/Cite&gt;&lt;Cite&gt;&lt;Author&gt;Tonkin&lt;/Author&gt;&lt;Year&gt;2008&lt;/Year&gt;&lt;RecNum&gt;402&lt;/RecNum&gt;&lt;record&gt;&lt;rec-number&gt;402&lt;/rec-number&gt;&lt;foreign-keys&gt;&lt;key app="EN" db-id="0a0zttz0gewd9befav559p5osxw5sftwfpdv" timestamp="1581052675"&gt;402&lt;/key&gt;&lt;/foreign-keys&gt;&lt;ref-type name="Journal Article"&gt;17&lt;/ref-type&gt;&lt;contributors&gt;&lt;authors&gt;&lt;author&gt;Tonkin, Z.D.&lt;/author&gt;&lt;author&gt;Ramsey, D.S.L.&lt;/author&gt;&lt;author&gt;King, A.J., &lt;/author&gt;&lt;/authors&gt;&lt;/contributors&gt;&lt;titles&gt;&lt;title&gt;Larval and juvenile Australian smelt Retropinna semoni somatic and otolith growth parameters–implications for growth interpretation of wild fish&lt;/title&gt;&lt;secondary-title&gt;Ecology of Freshwater Fish&lt;/secondary-title&gt;&lt;/titles&gt;&lt;periodical&gt;&lt;full-title&gt;Ecology of Freshwater Fish&lt;/full-title&gt;&lt;/periodical&gt;&lt;pages&gt;489-494&lt;/pages&gt;&lt;volume&gt;17&lt;/volume&gt;&lt;number&gt;3&lt;/number&gt;&lt;dates&gt;&lt;year&gt;2008&lt;/year&gt;&lt;/dates&gt;&lt;urls&gt;&lt;/urls&gt;&lt;/record&gt;&lt;/Cite&gt;&lt;/EndNote&gt;</w:instrText>
      </w:r>
      <w:r w:rsidR="009538DA">
        <w:rPr>
          <w:rFonts w:cstheme="minorHAnsi"/>
          <w:lang w:val="en-US"/>
        </w:rPr>
        <w:fldChar w:fldCharType="separate"/>
      </w:r>
      <w:r w:rsidR="009538DA">
        <w:rPr>
          <w:rFonts w:cstheme="minorHAnsi"/>
          <w:noProof/>
          <w:lang w:val="en-US"/>
        </w:rPr>
        <w:t>(Tonkin et al. 2008a, Tonkin et al. 2008c)</w:t>
      </w:r>
      <w:r w:rsidR="009538DA">
        <w:rPr>
          <w:rFonts w:cstheme="minorHAnsi"/>
          <w:lang w:val="en-US"/>
        </w:rPr>
        <w:fldChar w:fldCharType="end"/>
      </w:r>
      <w:r w:rsidR="00535F48">
        <w:rPr>
          <w:rFonts w:cstheme="minorHAnsi"/>
          <w:lang w:val="en-US"/>
        </w:rPr>
        <w:t xml:space="preserve"> </w:t>
      </w:r>
      <w:r w:rsidRPr="00F9271F">
        <w:rPr>
          <w:rFonts w:cstheme="minorHAnsi"/>
        </w:rPr>
        <w:t xml:space="preserve">These species represent a species targeted by </w:t>
      </w:r>
      <w:r w:rsidR="00E920BC">
        <w:rPr>
          <w:rFonts w:cstheme="minorHAnsi"/>
        </w:rPr>
        <w:t>Commonwealth environmental water</w:t>
      </w:r>
      <w:r w:rsidR="00E920BC" w:rsidRPr="00F9271F">
        <w:rPr>
          <w:rFonts w:cstheme="minorHAnsi"/>
        </w:rPr>
        <w:t xml:space="preserve"> </w:t>
      </w:r>
      <w:r w:rsidRPr="00F9271F">
        <w:rPr>
          <w:rFonts w:cstheme="minorHAnsi"/>
        </w:rPr>
        <w:t>in the river system (Murray cod) and a small bodied species (Australian smelt) that represents an important food source for larger species in the catchment. This project examined 30</w:t>
      </w:r>
      <w:r w:rsidR="00E920BC">
        <w:rPr>
          <w:rFonts w:cstheme="minorHAnsi"/>
        </w:rPr>
        <w:t xml:space="preserve"> individuals of</w:t>
      </w:r>
      <w:r w:rsidRPr="00F9271F">
        <w:rPr>
          <w:rFonts w:cstheme="minorHAnsi"/>
        </w:rPr>
        <w:t xml:space="preserve"> each species for each year that they were present in samples (2014, 2015, 2017 and 2018). All fish were taken from a single site (Lanes Bridge) to minimise variation among sites. Larval fish </w:t>
      </w:r>
      <w:r>
        <w:rPr>
          <w:rFonts w:cstheme="minorHAnsi"/>
        </w:rPr>
        <w:t xml:space="preserve">sagittal </w:t>
      </w:r>
      <w:r w:rsidRPr="00F9271F">
        <w:rPr>
          <w:rFonts w:cstheme="minorHAnsi"/>
        </w:rPr>
        <w:t>otoliths were removed and processed at Fish Aging Services (Vic</w:t>
      </w:r>
      <w:r>
        <w:rPr>
          <w:rFonts w:cstheme="minorHAnsi"/>
        </w:rPr>
        <w:t>toria</w:t>
      </w:r>
      <w:r w:rsidRPr="00F9271F">
        <w:rPr>
          <w:rFonts w:cstheme="minorHAnsi"/>
        </w:rPr>
        <w:t>). From this an age estimate and measurement</w:t>
      </w:r>
      <w:r w:rsidR="00E920BC">
        <w:rPr>
          <w:rFonts w:cstheme="minorHAnsi"/>
        </w:rPr>
        <w:t>s</w:t>
      </w:r>
      <w:r w:rsidRPr="00F9271F">
        <w:rPr>
          <w:rFonts w:cstheme="minorHAnsi"/>
        </w:rPr>
        <w:t xml:space="preserve"> of daily increments were made</w:t>
      </w:r>
      <w:r>
        <w:rPr>
          <w:rFonts w:cstheme="minorHAnsi"/>
        </w:rPr>
        <w:t xml:space="preserve"> (</w:t>
      </w:r>
      <w:r>
        <w:rPr>
          <w:rFonts w:cstheme="minorHAnsi"/>
        </w:rPr>
        <w:fldChar w:fldCharType="begin"/>
      </w:r>
      <w:r>
        <w:rPr>
          <w:rFonts w:cstheme="minorHAnsi"/>
        </w:rPr>
        <w:instrText xml:space="preserve"> REF _Ref26524147 \h  \* MERGEFORMAT </w:instrText>
      </w:r>
      <w:r>
        <w:rPr>
          <w:rFonts w:cstheme="minorHAnsi"/>
        </w:rPr>
      </w:r>
      <w:r>
        <w:rPr>
          <w:rFonts w:cstheme="minorHAnsi"/>
        </w:rPr>
        <w:fldChar w:fldCharType="separate"/>
      </w:r>
      <w:r w:rsidR="007F7607" w:rsidRPr="007F7607">
        <w:rPr>
          <w:rFonts w:cstheme="minorHAnsi"/>
        </w:rPr>
        <w:t>Figure 64</w:t>
      </w:r>
      <w:r>
        <w:rPr>
          <w:rFonts w:cstheme="minorHAnsi"/>
        </w:rPr>
        <w:fldChar w:fldCharType="end"/>
      </w:r>
      <w:r>
        <w:rPr>
          <w:rFonts w:cstheme="minorHAnsi"/>
        </w:rPr>
        <w:t>)</w:t>
      </w:r>
      <w:r w:rsidRPr="00F9271F">
        <w:rPr>
          <w:rFonts w:cstheme="minorHAnsi"/>
        </w:rPr>
        <w:t xml:space="preserve">. </w:t>
      </w:r>
      <w:r>
        <w:rPr>
          <w:rFonts w:cstheme="minorHAnsi"/>
        </w:rPr>
        <w:t>A hatch check (otolith increment which is darker and indicates time of hatching</w:t>
      </w:r>
      <w:r w:rsidR="00535F48">
        <w:rPr>
          <w:rFonts w:cstheme="minorHAnsi"/>
        </w:rPr>
        <w:t>,</w:t>
      </w:r>
      <w:r>
        <w:rPr>
          <w:rFonts w:cstheme="minorHAnsi"/>
        </w:rPr>
        <w:t xml:space="preserve"> Humphries 2005) was present for Murray cod otoliths</w:t>
      </w:r>
      <w:r w:rsidRPr="00F9271F">
        <w:rPr>
          <w:rFonts w:cstheme="minorHAnsi"/>
        </w:rPr>
        <w:t xml:space="preserve"> </w:t>
      </w:r>
      <w:r>
        <w:rPr>
          <w:rFonts w:cstheme="minorHAnsi"/>
        </w:rPr>
        <w:t>at a mean distance from the core of 23.01 ± 0.25 µm (range 17.36 – 30.48</w:t>
      </w:r>
      <w:r w:rsidRPr="00066F67">
        <w:rPr>
          <w:rFonts w:cstheme="minorHAnsi"/>
        </w:rPr>
        <w:t xml:space="preserve"> </w:t>
      </w:r>
      <w:r>
        <w:rPr>
          <w:rFonts w:cstheme="minorHAnsi"/>
        </w:rPr>
        <w:t xml:space="preserve">µm). This mark was considered day 0 and age was </w:t>
      </w:r>
      <w:r w:rsidR="00E920BC">
        <w:rPr>
          <w:rFonts w:cstheme="minorHAnsi"/>
        </w:rPr>
        <w:t xml:space="preserve">calculated </w:t>
      </w:r>
      <w:r>
        <w:rPr>
          <w:rFonts w:cstheme="minorHAnsi"/>
        </w:rPr>
        <w:t xml:space="preserve">based on number of increments outside the hatch check increment. </w:t>
      </w:r>
    </w:p>
    <w:p w14:paraId="47DFF19B" w14:textId="6404091E" w:rsidR="00ED69E9" w:rsidRDefault="009E08B1" w:rsidP="00ED69E9">
      <w:pPr>
        <w:rPr>
          <w:lang w:val="en-US"/>
        </w:rPr>
      </w:pPr>
      <w:r w:rsidRPr="009E08B1">
        <w:t xml:space="preserve"> </w:t>
      </w:r>
      <w:r>
        <w:rPr>
          <w:noProof/>
          <w:lang w:eastAsia="en-AU"/>
        </w:rPr>
        <w:drawing>
          <wp:inline distT="0" distB="0" distL="0" distR="0" wp14:anchorId="2C01622A" wp14:editId="6024B69D">
            <wp:extent cx="5732145" cy="4163060"/>
            <wp:effectExtent l="0" t="0" r="1905" b="889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732145" cy="4163060"/>
                    </a:xfrm>
                    <a:prstGeom prst="rect">
                      <a:avLst/>
                    </a:prstGeom>
                    <a:noFill/>
                    <a:ln>
                      <a:noFill/>
                    </a:ln>
                  </pic:spPr>
                </pic:pic>
              </a:graphicData>
            </a:graphic>
          </wp:inline>
        </w:drawing>
      </w:r>
    </w:p>
    <w:p w14:paraId="7544A3C4" w14:textId="30A95EA5" w:rsidR="00ED69E9" w:rsidRPr="00DE5DD3" w:rsidRDefault="00ED69E9" w:rsidP="00ED69E9">
      <w:pPr>
        <w:pStyle w:val="Caption"/>
        <w:rPr>
          <w:lang w:val="en-US"/>
        </w:rPr>
      </w:pPr>
      <w:bookmarkStart w:id="478" w:name="_Ref26524147"/>
      <w:bookmarkStart w:id="479" w:name="_Toc31985628"/>
      <w:r w:rsidRPr="00DE5DD3">
        <w:rPr>
          <w:lang w:val="en-US"/>
        </w:rPr>
        <w:t xml:space="preserve">Figure </w:t>
      </w:r>
      <w:r w:rsidRPr="00DE5DD3">
        <w:rPr>
          <w:lang w:val="en-US"/>
        </w:rPr>
        <w:fldChar w:fldCharType="begin"/>
      </w:r>
      <w:r w:rsidRPr="00DE5DD3">
        <w:rPr>
          <w:lang w:val="en-US"/>
        </w:rPr>
        <w:instrText xml:space="preserve"> SEQ Figure \* ARABIC </w:instrText>
      </w:r>
      <w:r w:rsidRPr="00DE5DD3">
        <w:rPr>
          <w:lang w:val="en-US"/>
        </w:rPr>
        <w:fldChar w:fldCharType="separate"/>
      </w:r>
      <w:r w:rsidR="007F7607">
        <w:rPr>
          <w:noProof/>
          <w:lang w:val="en-US"/>
        </w:rPr>
        <w:t>64</w:t>
      </w:r>
      <w:r w:rsidRPr="00DE5DD3">
        <w:rPr>
          <w:lang w:val="en-US"/>
        </w:rPr>
        <w:fldChar w:fldCharType="end"/>
      </w:r>
      <w:bookmarkEnd w:id="478"/>
      <w:r w:rsidRPr="00DE5DD3">
        <w:rPr>
          <w:lang w:val="en-US"/>
        </w:rPr>
        <w:t>. A sagittal otolith from a</w:t>
      </w:r>
      <w:r>
        <w:rPr>
          <w:lang w:val="en-US"/>
        </w:rPr>
        <w:t>n</w:t>
      </w:r>
      <w:r w:rsidRPr="00DE5DD3">
        <w:rPr>
          <w:lang w:val="en-US"/>
        </w:rPr>
        <w:t xml:space="preserve"> 8.87 mm long Murray cod larvae with an estimated age of 11 days (Photo: Fish aging services).</w:t>
      </w:r>
      <w:bookmarkEnd w:id="479"/>
    </w:p>
    <w:p w14:paraId="654B9BF3" w14:textId="77777777" w:rsidR="00ED69E9" w:rsidRPr="00F9271F" w:rsidRDefault="00ED69E9" w:rsidP="00ED69E9">
      <w:pPr>
        <w:rPr>
          <w:rFonts w:cstheme="minorHAnsi"/>
        </w:rPr>
      </w:pPr>
    </w:p>
    <w:p w14:paraId="20AA9BF6" w14:textId="77777777" w:rsidR="00ED69E9" w:rsidRPr="00F9271F" w:rsidRDefault="00ED69E9" w:rsidP="00ED69E9">
      <w:pPr>
        <w:pStyle w:val="Heading3"/>
      </w:pPr>
      <w:bookmarkStart w:id="480" w:name="_Toc31985519"/>
      <w:r w:rsidRPr="00F9271F">
        <w:t>Stream metabolism data</w:t>
      </w:r>
      <w:bookmarkEnd w:id="480"/>
    </w:p>
    <w:p w14:paraId="4C2DE84F" w14:textId="09DEC1B5" w:rsidR="00ED69E9" w:rsidRPr="00F9271F" w:rsidRDefault="00ED69E9" w:rsidP="00ED69E9">
      <w:pPr>
        <w:rPr>
          <w:rFonts w:cstheme="minorHAnsi"/>
        </w:rPr>
      </w:pPr>
      <w:r w:rsidRPr="00F9271F">
        <w:rPr>
          <w:rFonts w:cstheme="minorHAnsi"/>
        </w:rPr>
        <w:t xml:space="preserve">Stream metabolism data </w:t>
      </w:r>
      <w:r w:rsidR="00E920BC">
        <w:rPr>
          <w:rFonts w:cstheme="minorHAnsi"/>
        </w:rPr>
        <w:t>were</w:t>
      </w:r>
      <w:r w:rsidR="00E920BC" w:rsidRPr="00F9271F">
        <w:rPr>
          <w:rFonts w:cstheme="minorHAnsi"/>
        </w:rPr>
        <w:t xml:space="preserve"> </w:t>
      </w:r>
      <w:r w:rsidRPr="00F9271F">
        <w:rPr>
          <w:rFonts w:cstheme="minorHAnsi"/>
        </w:rPr>
        <w:t xml:space="preserve">collected as part of the LTIM monitoring program. Data </w:t>
      </w:r>
      <w:r w:rsidR="00E920BC">
        <w:rPr>
          <w:rFonts w:cstheme="minorHAnsi"/>
        </w:rPr>
        <w:t xml:space="preserve">from the corresponding site </w:t>
      </w:r>
      <w:r w:rsidRPr="00F9271F">
        <w:rPr>
          <w:rFonts w:cstheme="minorHAnsi"/>
        </w:rPr>
        <w:t>(Lanes Bridge)</w:t>
      </w:r>
      <w:r w:rsidR="00E920BC" w:rsidRPr="00E920BC">
        <w:rPr>
          <w:rFonts w:cstheme="minorHAnsi"/>
        </w:rPr>
        <w:t xml:space="preserve"> </w:t>
      </w:r>
      <w:r w:rsidR="00E920BC">
        <w:rPr>
          <w:rFonts w:cstheme="minorHAnsi"/>
        </w:rPr>
        <w:t>from which the larval fish were collected were used for analysis.</w:t>
      </w:r>
    </w:p>
    <w:p w14:paraId="18360488" w14:textId="77777777" w:rsidR="00ED69E9" w:rsidRPr="00F9271F" w:rsidRDefault="00ED69E9" w:rsidP="00ED69E9">
      <w:pPr>
        <w:rPr>
          <w:rFonts w:cstheme="minorHAnsi"/>
          <w:i/>
        </w:rPr>
      </w:pPr>
    </w:p>
    <w:p w14:paraId="6B58831C" w14:textId="77777777" w:rsidR="00ED69E9" w:rsidRPr="00F9271F" w:rsidRDefault="00ED69E9" w:rsidP="00ED69E9">
      <w:pPr>
        <w:pStyle w:val="Heading3"/>
      </w:pPr>
      <w:bookmarkStart w:id="481" w:name="_Toc31985520"/>
      <w:r w:rsidRPr="00F9271F">
        <w:t>Analysis</w:t>
      </w:r>
      <w:bookmarkEnd w:id="481"/>
    </w:p>
    <w:p w14:paraId="3DAAC1BB" w14:textId="4E7B1DEF" w:rsidR="00ED69E9" w:rsidRDefault="00ED69E9" w:rsidP="00ED69E9">
      <w:pPr>
        <w:rPr>
          <w:rFonts w:cstheme="minorHAnsi"/>
        </w:rPr>
      </w:pPr>
      <w:r w:rsidRPr="00F9271F">
        <w:rPr>
          <w:rFonts w:cstheme="minorHAnsi"/>
        </w:rPr>
        <w:t xml:space="preserve">Estimated spawning date range for each species was calculated based on </w:t>
      </w:r>
      <w:r>
        <w:rPr>
          <w:rFonts w:cstheme="minorHAnsi"/>
        </w:rPr>
        <w:t xml:space="preserve">known and predicted </w:t>
      </w:r>
      <w:r w:rsidRPr="00F9271F">
        <w:rPr>
          <w:rFonts w:cstheme="minorHAnsi"/>
        </w:rPr>
        <w:t xml:space="preserve">age of larval fish and </w:t>
      </w:r>
      <w:r w:rsidR="00E920BC">
        <w:rPr>
          <w:rFonts w:cstheme="minorHAnsi"/>
        </w:rPr>
        <w:t xml:space="preserve">the </w:t>
      </w:r>
      <w:r w:rsidRPr="00F9271F">
        <w:rPr>
          <w:rFonts w:cstheme="minorHAnsi"/>
        </w:rPr>
        <w:t>estimate</w:t>
      </w:r>
      <w:r w:rsidR="00E920BC">
        <w:rPr>
          <w:rFonts w:cstheme="minorHAnsi"/>
        </w:rPr>
        <w:t>d</w:t>
      </w:r>
      <w:r w:rsidRPr="00F9271F">
        <w:rPr>
          <w:rFonts w:cstheme="minorHAnsi"/>
        </w:rPr>
        <w:t xml:space="preserve"> incubation time (based on water temperature related </w:t>
      </w:r>
      <w:r w:rsidR="001D72AA" w:rsidRPr="00F9271F">
        <w:rPr>
          <w:rFonts w:cstheme="minorHAnsi"/>
        </w:rPr>
        <w:t>estimate</w:t>
      </w:r>
      <w:r w:rsidR="001D72AA">
        <w:rPr>
          <w:rFonts w:cstheme="minorHAnsi"/>
        </w:rPr>
        <w:t>s</w:t>
      </w:r>
      <w:r w:rsidR="001D72AA" w:rsidRPr="00F9271F">
        <w:rPr>
          <w:rFonts w:cstheme="minorHAnsi"/>
        </w:rPr>
        <w:t xml:space="preserve"> </w:t>
      </w:r>
      <w:r w:rsidRPr="00F9271F">
        <w:rPr>
          <w:rFonts w:cstheme="minorHAnsi"/>
        </w:rPr>
        <w:t xml:space="preserve">provided by Humphries </w:t>
      </w:r>
      <w:r w:rsidR="001D72AA">
        <w:rPr>
          <w:rFonts w:cstheme="minorHAnsi"/>
        </w:rPr>
        <w:t>(</w:t>
      </w:r>
      <w:r w:rsidRPr="00F9271F">
        <w:rPr>
          <w:rFonts w:cstheme="minorHAnsi"/>
        </w:rPr>
        <w:t>2005</w:t>
      </w:r>
      <w:r w:rsidR="001D72AA">
        <w:rPr>
          <w:rFonts w:cstheme="minorHAnsi"/>
        </w:rPr>
        <w:t>)</w:t>
      </w:r>
      <w:r>
        <w:rPr>
          <w:rFonts w:cstheme="minorHAnsi"/>
        </w:rPr>
        <w:t xml:space="preserve"> for Murray cod</w:t>
      </w:r>
      <w:r w:rsidRPr="00F9271F">
        <w:rPr>
          <w:rFonts w:cstheme="minorHAnsi"/>
        </w:rPr>
        <w:t xml:space="preserve">). </w:t>
      </w:r>
      <w:r>
        <w:rPr>
          <w:rFonts w:cstheme="minorHAnsi"/>
        </w:rPr>
        <w:t>Predicted ages based on ‘existing’ models that have been used in p</w:t>
      </w:r>
      <w:r w:rsidR="001D72AA">
        <w:rPr>
          <w:rFonts w:cstheme="minorHAnsi"/>
        </w:rPr>
        <w:t>r</w:t>
      </w:r>
      <w:r>
        <w:rPr>
          <w:rFonts w:cstheme="minorHAnsi"/>
        </w:rPr>
        <w:t>evious LTIM reporting were as follows:</w:t>
      </w:r>
    </w:p>
    <w:p w14:paraId="5AD706D0" w14:textId="77777777" w:rsidR="00ED69E9" w:rsidRPr="00F6459F" w:rsidRDefault="00ED69E9" w:rsidP="00D077A5">
      <w:pPr>
        <w:pStyle w:val="ListParagraph"/>
        <w:numPr>
          <w:ilvl w:val="0"/>
          <w:numId w:val="54"/>
        </w:numPr>
        <w:spacing w:before="200" w:after="200" w:line="276" w:lineRule="auto"/>
        <w:rPr>
          <w:rFonts w:cstheme="minorHAnsi"/>
        </w:rPr>
      </w:pPr>
      <w:r w:rsidRPr="00F6459F">
        <w:rPr>
          <w:rFonts w:cstheme="minorHAnsi"/>
          <w:i/>
          <w:iCs/>
        </w:rPr>
        <w:t>Murray cod</w:t>
      </w:r>
      <w:r w:rsidRPr="00F6459F">
        <w:rPr>
          <w:rFonts w:cstheme="minorHAnsi"/>
        </w:rPr>
        <w:t xml:space="preserve"> (Linear model – Age (days) = 6.6302*standard length-48.104) (Serafini and Humphries 2004)</w:t>
      </w:r>
    </w:p>
    <w:p w14:paraId="062D3847" w14:textId="2150B22F" w:rsidR="00ED69E9" w:rsidRPr="00F6459F" w:rsidRDefault="00ED69E9" w:rsidP="00D077A5">
      <w:pPr>
        <w:pStyle w:val="ListParagraph"/>
        <w:numPr>
          <w:ilvl w:val="0"/>
          <w:numId w:val="54"/>
        </w:numPr>
        <w:spacing w:before="200" w:after="200" w:line="276" w:lineRule="auto"/>
        <w:rPr>
          <w:rFonts w:cstheme="minorHAnsi"/>
        </w:rPr>
      </w:pPr>
      <w:r w:rsidRPr="00F6459F">
        <w:rPr>
          <w:rFonts w:cstheme="minorHAnsi"/>
          <w:i/>
          <w:iCs/>
        </w:rPr>
        <w:t>Australian smelt</w:t>
      </w:r>
      <w:r w:rsidRPr="00F6459F">
        <w:rPr>
          <w:rFonts w:cstheme="minorHAnsi"/>
        </w:rPr>
        <w:t xml:space="preserve"> (Linear model – Age (days) = (Standard length * 3.63)-13.167 </w:t>
      </w:r>
      <w:r w:rsidR="00595913">
        <w:rPr>
          <w:rFonts w:cstheme="minorHAnsi"/>
        </w:rPr>
        <w:fldChar w:fldCharType="begin"/>
      </w:r>
      <w:r w:rsidR="00595913">
        <w:rPr>
          <w:rFonts w:cstheme="minorHAnsi"/>
        </w:rPr>
        <w:instrText xml:space="preserve"> ADDIN EN.CITE &lt;EndNote&gt;&lt;Cite&gt;&lt;Author&gt;Humphries&lt;/Author&gt;&lt;Year&gt;2008&lt;/Year&gt;&lt;RecNum&gt;129&lt;/RecNum&gt;&lt;DisplayText&gt;(Humphries et al. 2008)&lt;/DisplayText&gt;&lt;record&gt;&lt;rec-number&gt;129&lt;/rec-number&gt;&lt;foreign-keys&gt;&lt;key app="EN" db-id="0a0zttz0gewd9befav559p5osxw5sftwfpdv" timestamp="1472615447"&gt;129&lt;/key&gt;&lt;/foreign-keys&gt;&lt;ref-type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Centre&lt;/publisher&gt;&lt;urls&gt;&lt;/urls&gt;&lt;/record&gt;&lt;/Cite&gt;&lt;/EndNote&gt;</w:instrText>
      </w:r>
      <w:r w:rsidR="00595913">
        <w:rPr>
          <w:rFonts w:cstheme="minorHAnsi"/>
        </w:rPr>
        <w:fldChar w:fldCharType="separate"/>
      </w:r>
      <w:r w:rsidR="00595913">
        <w:rPr>
          <w:rFonts w:cstheme="minorHAnsi"/>
          <w:noProof/>
        </w:rPr>
        <w:t>(Humphries et al. 2008)</w:t>
      </w:r>
      <w:r w:rsidR="00595913">
        <w:rPr>
          <w:rFonts w:cstheme="minorHAnsi"/>
        </w:rPr>
        <w:fldChar w:fldCharType="end"/>
      </w:r>
    </w:p>
    <w:p w14:paraId="0FD49FB0" w14:textId="34300505" w:rsidR="00ED69E9" w:rsidRPr="00F9271F" w:rsidRDefault="00ED69E9" w:rsidP="00ED69E9">
      <w:pPr>
        <w:rPr>
          <w:rFonts w:cstheme="minorHAnsi"/>
        </w:rPr>
      </w:pPr>
      <w:r w:rsidRPr="00F9271F">
        <w:rPr>
          <w:rFonts w:cstheme="minorHAnsi"/>
        </w:rPr>
        <w:t xml:space="preserve">Distributions of length at age (to infer growth) were compared between years. Daily otolith increment width (as a proxy for fish growth) was examined to determine if a relationship between gross primary productivity and fish growth exists. </w:t>
      </w:r>
      <w:r w:rsidR="001D72AA">
        <w:rPr>
          <w:rFonts w:cstheme="minorHAnsi"/>
        </w:rPr>
        <w:t>While t</w:t>
      </w:r>
      <w:r w:rsidRPr="00F9271F">
        <w:rPr>
          <w:rFonts w:cstheme="minorHAnsi"/>
        </w:rPr>
        <w:t xml:space="preserve">his component </w:t>
      </w:r>
      <w:r w:rsidR="001D72AA">
        <w:rPr>
          <w:rFonts w:cstheme="minorHAnsi"/>
        </w:rPr>
        <w:t xml:space="preserve">of the study </w:t>
      </w:r>
      <w:r w:rsidRPr="00F9271F">
        <w:rPr>
          <w:rFonts w:cstheme="minorHAnsi"/>
        </w:rPr>
        <w:t>is a preliminary investigation</w:t>
      </w:r>
      <w:r w:rsidR="001D72AA">
        <w:rPr>
          <w:rFonts w:cstheme="minorHAnsi"/>
        </w:rPr>
        <w:t xml:space="preserve"> it </w:t>
      </w:r>
      <w:r w:rsidRPr="00F9271F">
        <w:rPr>
          <w:rFonts w:cstheme="minorHAnsi"/>
        </w:rPr>
        <w:t xml:space="preserve">has the potential to provide insight into the relationship between changes in </w:t>
      </w:r>
      <w:r>
        <w:rPr>
          <w:rFonts w:cstheme="minorHAnsi"/>
        </w:rPr>
        <w:t>gross primary productivity and larval fish growth.</w:t>
      </w:r>
    </w:p>
    <w:p w14:paraId="6AFED6A3" w14:textId="77777777" w:rsidR="00ED69E9" w:rsidRPr="00F9271F" w:rsidRDefault="00ED69E9" w:rsidP="00ED69E9">
      <w:pPr>
        <w:rPr>
          <w:rFonts w:cstheme="minorHAnsi"/>
          <w:lang w:val="en-US"/>
        </w:rPr>
      </w:pPr>
      <w:r w:rsidRPr="00F9271F">
        <w:rPr>
          <w:rFonts w:cstheme="minorHAnsi"/>
          <w:lang w:val="en-US"/>
        </w:rPr>
        <w:t>Growth rate of each species was estimated by fitting linear and non-linear models to fish length at age (estimated by otolith microstructure). Three common growth models were considered to model fish growth:</w:t>
      </w:r>
    </w:p>
    <w:p w14:paraId="4D7D11CB" w14:textId="77777777" w:rsidR="00ED69E9" w:rsidRPr="00F9271F" w:rsidRDefault="00ED69E9" w:rsidP="00D077A5">
      <w:pPr>
        <w:pStyle w:val="ListParagraph"/>
        <w:numPr>
          <w:ilvl w:val="0"/>
          <w:numId w:val="53"/>
        </w:numPr>
        <w:spacing w:before="200" w:after="200" w:line="276" w:lineRule="auto"/>
        <w:rPr>
          <w:rFonts w:cstheme="minorHAnsi"/>
          <w:lang w:val="en-US"/>
        </w:rPr>
      </w:pPr>
      <w:r w:rsidRPr="00F9271F">
        <w:rPr>
          <w:rFonts w:cstheme="minorHAnsi"/>
          <w:lang w:val="en-US"/>
        </w:rPr>
        <w:t>Linear: Ln = t0 + k*age</w:t>
      </w:r>
    </w:p>
    <w:p w14:paraId="522065D9" w14:textId="77777777" w:rsidR="00ED69E9" w:rsidRPr="00F9271F" w:rsidRDefault="00ED69E9" w:rsidP="00D077A5">
      <w:pPr>
        <w:pStyle w:val="ListParagraph"/>
        <w:numPr>
          <w:ilvl w:val="0"/>
          <w:numId w:val="53"/>
        </w:numPr>
        <w:spacing w:before="200" w:after="200" w:line="276" w:lineRule="auto"/>
        <w:rPr>
          <w:rFonts w:cstheme="minorHAnsi"/>
          <w:lang w:val="en-US"/>
        </w:rPr>
      </w:pPr>
      <w:r w:rsidRPr="00F9271F">
        <w:rPr>
          <w:rFonts w:cstheme="minorHAnsi"/>
          <w:lang w:val="en-US"/>
        </w:rPr>
        <w:t>Gompertz Ln = Ln = L</w:t>
      </w:r>
      <w:r w:rsidRPr="00F9271F">
        <w:rPr>
          <w:rFonts w:cstheme="minorHAnsi"/>
          <w:vertAlign w:val="subscript"/>
          <w:lang w:val="en-US"/>
        </w:rPr>
        <w:t>inf</w:t>
      </w:r>
      <w:r w:rsidRPr="00F9271F">
        <w:rPr>
          <w:rFonts w:cstheme="minorHAnsi"/>
          <w:lang w:val="en-US"/>
        </w:rPr>
        <w:t xml:space="preserve"> *e(-e(mu*e(1)/a*(lambda-t)+1))"</w:t>
      </w:r>
    </w:p>
    <w:p w14:paraId="770EF13B" w14:textId="4F6D7523" w:rsidR="00ED69E9" w:rsidRPr="00531E46" w:rsidRDefault="00ED69E9" w:rsidP="00531E46">
      <w:pPr>
        <w:pStyle w:val="ListParagraph"/>
        <w:numPr>
          <w:ilvl w:val="0"/>
          <w:numId w:val="53"/>
        </w:numPr>
        <w:spacing w:before="200" w:after="200" w:line="276" w:lineRule="auto"/>
        <w:rPr>
          <w:rFonts w:cstheme="minorHAnsi"/>
          <w:lang w:val="en-US"/>
        </w:rPr>
      </w:pPr>
      <w:r w:rsidRPr="00F9271F">
        <w:rPr>
          <w:rFonts w:cstheme="minorHAnsi"/>
          <w:lang w:val="en-US"/>
        </w:rPr>
        <w:t xml:space="preserve">Von Bertalanffy: </w:t>
      </w:r>
    </w:p>
    <w:p w14:paraId="13496610" w14:textId="77777777" w:rsidR="00ED69E9" w:rsidRPr="00F9271F" w:rsidRDefault="00ED69E9" w:rsidP="00531E46">
      <w:pPr>
        <w:ind w:left="360"/>
        <w:rPr>
          <w:rFonts w:cstheme="minorHAnsi"/>
          <w:lang w:val="en-US"/>
        </w:rPr>
      </w:pPr>
      <w:r w:rsidRPr="00F9271F">
        <w:rPr>
          <w:rFonts w:cstheme="minorHAnsi"/>
          <w:color w:val="000000"/>
          <w:bdr w:val="none" w:sz="0" w:space="0" w:color="auto" w:frame="1"/>
        </w:rPr>
        <w:t xml:space="preserve">Ln = </w:t>
      </w:r>
      <w:r w:rsidRPr="00F9271F">
        <w:rPr>
          <w:rFonts w:cstheme="minorHAnsi"/>
          <w:lang w:val="en-US"/>
        </w:rPr>
        <w:t>L</w:t>
      </w:r>
      <w:r w:rsidRPr="00F9271F">
        <w:rPr>
          <w:rFonts w:cstheme="minorHAnsi"/>
          <w:vertAlign w:val="subscript"/>
          <w:lang w:val="en-US"/>
        </w:rPr>
        <w:t>inf</w:t>
      </w:r>
      <w:r w:rsidRPr="00F9271F">
        <w:rPr>
          <w:rFonts w:cstheme="minorHAnsi"/>
          <w:color w:val="000000"/>
          <w:bdr w:val="none" w:sz="0" w:space="0" w:color="auto" w:frame="1"/>
        </w:rPr>
        <w:t>(1-e</w:t>
      </w:r>
      <w:r w:rsidRPr="00F9271F">
        <w:rPr>
          <w:rFonts w:cstheme="minorHAnsi"/>
          <w:color w:val="000000"/>
          <w:bdr w:val="none" w:sz="0" w:space="0" w:color="auto" w:frame="1"/>
          <w:vertAlign w:val="superscript"/>
        </w:rPr>
        <w:t>-K(Age - t0)</w:t>
      </w:r>
      <w:r w:rsidRPr="00F9271F">
        <w:rPr>
          <w:rFonts w:cstheme="minorHAnsi"/>
          <w:color w:val="000000"/>
          <w:bdr w:val="none" w:sz="0" w:space="0" w:color="auto" w:frame="1"/>
        </w:rPr>
        <w:t>)</w:t>
      </w:r>
    </w:p>
    <w:p w14:paraId="01DD3095" w14:textId="77777777" w:rsidR="00ED69E9" w:rsidRPr="00F9271F" w:rsidRDefault="00ED69E9" w:rsidP="00531E46">
      <w:pPr>
        <w:ind w:left="360"/>
        <w:rPr>
          <w:rFonts w:cstheme="minorHAnsi"/>
          <w:lang w:val="en-US"/>
        </w:rPr>
      </w:pPr>
      <w:r w:rsidRPr="00F9271F">
        <w:rPr>
          <w:rFonts w:cstheme="minorHAnsi"/>
          <w:lang w:val="en-US"/>
        </w:rPr>
        <w:t>Age = (1/-K)*log(1-(Ln/Linf))+t0</w:t>
      </w:r>
    </w:p>
    <w:p w14:paraId="1D9D8385" w14:textId="34CA41B0" w:rsidR="00ED69E9" w:rsidRPr="00F9271F" w:rsidRDefault="001D72AA" w:rsidP="001D72AA">
      <w:pPr>
        <w:rPr>
          <w:rFonts w:cstheme="minorHAnsi"/>
          <w:lang w:val="en-US"/>
        </w:rPr>
      </w:pPr>
      <w:r>
        <w:rPr>
          <w:rFonts w:cstheme="minorHAnsi"/>
          <w:lang w:val="en-US"/>
        </w:rPr>
        <w:t xml:space="preserve">Where </w:t>
      </w:r>
      <w:r w:rsidR="00ED69E9" w:rsidRPr="00F9271F">
        <w:rPr>
          <w:rFonts w:cstheme="minorHAnsi"/>
          <w:lang w:val="en-US"/>
        </w:rPr>
        <w:t>Ln = Length at age, L</w:t>
      </w:r>
      <w:r w:rsidR="00ED69E9" w:rsidRPr="00F9271F">
        <w:rPr>
          <w:rFonts w:cstheme="minorHAnsi"/>
          <w:vertAlign w:val="subscript"/>
          <w:lang w:val="en-US"/>
        </w:rPr>
        <w:t>inf</w:t>
      </w:r>
      <w:r w:rsidR="00ED69E9" w:rsidRPr="00F9271F">
        <w:rPr>
          <w:rFonts w:cstheme="minorHAnsi"/>
          <w:lang w:val="en-US"/>
        </w:rPr>
        <w:t xml:space="preserve"> = asymptotic length, K = instantaneous growth rate and t0 is the predicted length at which age is 0. Model selection procedures using Akaike’s Information Criterion (AIC) were used to select the best fit growth models for each species. Non-linear models were not able to be run for the Murray cod data.</w:t>
      </w:r>
    </w:p>
    <w:p w14:paraId="3ECB526C" w14:textId="7CA1AD42" w:rsidR="00ED69E9" w:rsidRPr="00F9271F" w:rsidRDefault="00ED69E9" w:rsidP="00ED69E9">
      <w:pPr>
        <w:rPr>
          <w:rFonts w:cstheme="minorHAnsi"/>
          <w:lang w:val="en-US"/>
        </w:rPr>
      </w:pPr>
      <w:r w:rsidRPr="00F9271F">
        <w:rPr>
          <w:rFonts w:cstheme="minorHAnsi"/>
          <w:lang w:val="en-US"/>
        </w:rPr>
        <w:t>To analy</w:t>
      </w:r>
      <w:r w:rsidR="00535F48">
        <w:rPr>
          <w:rFonts w:cstheme="minorHAnsi"/>
          <w:lang w:val="en-US"/>
        </w:rPr>
        <w:t>z</w:t>
      </w:r>
      <w:r w:rsidRPr="00F9271F">
        <w:rPr>
          <w:rFonts w:cstheme="minorHAnsi"/>
          <w:lang w:val="en-US"/>
        </w:rPr>
        <w:t xml:space="preserve">e differences between aging methods on the estimated spawning intensities for each species, a kernel density plot was constructed. This plot is a smoothed histogram with a bandwidth of 5 days. </w:t>
      </w:r>
    </w:p>
    <w:p w14:paraId="584AF22A" w14:textId="77777777" w:rsidR="00ED69E9" w:rsidRPr="00A75B17" w:rsidRDefault="00ED69E9" w:rsidP="00ED69E9">
      <w:pPr>
        <w:pStyle w:val="Heading2"/>
        <w:rPr>
          <w:lang w:bidi="th-TH"/>
        </w:rPr>
      </w:pPr>
      <w:bookmarkStart w:id="482" w:name="_Toc31985521"/>
      <w:r w:rsidRPr="00A75B17">
        <w:rPr>
          <w:lang w:bidi="th-TH"/>
        </w:rPr>
        <w:t>Results</w:t>
      </w:r>
      <w:bookmarkEnd w:id="482"/>
    </w:p>
    <w:p w14:paraId="4E391158" w14:textId="77777777" w:rsidR="00ED69E9" w:rsidRPr="00A75B17" w:rsidRDefault="00ED69E9" w:rsidP="00ED69E9">
      <w:pPr>
        <w:pStyle w:val="Heading3"/>
        <w:rPr>
          <w:rFonts w:eastAsia="Calibri"/>
          <w:lang w:bidi="th-TH"/>
        </w:rPr>
      </w:pPr>
      <w:bookmarkStart w:id="483" w:name="_Toc31985522"/>
      <w:r w:rsidRPr="00A75B17">
        <w:rPr>
          <w:rFonts w:eastAsia="Calibri"/>
          <w:lang w:bidi="th-TH"/>
        </w:rPr>
        <w:t>Determining length at age</w:t>
      </w:r>
      <w:bookmarkEnd w:id="483"/>
    </w:p>
    <w:p w14:paraId="7E5B3FDF" w14:textId="77777777" w:rsidR="00ED69E9" w:rsidRPr="00AB4B5B" w:rsidRDefault="00ED69E9" w:rsidP="00ED69E9">
      <w:pPr>
        <w:pStyle w:val="Heading4"/>
      </w:pPr>
      <w:r w:rsidRPr="00AB4B5B">
        <w:t>Australian smelt</w:t>
      </w:r>
    </w:p>
    <w:p w14:paraId="0DAE453A" w14:textId="68A7FE95" w:rsidR="00ED69E9" w:rsidRPr="00F9271F" w:rsidRDefault="00ED69E9" w:rsidP="00ED69E9">
      <w:pPr>
        <w:rPr>
          <w:lang w:val="en-US"/>
        </w:rPr>
      </w:pPr>
      <w:r w:rsidRPr="00F9271F">
        <w:rPr>
          <w:lang w:val="en-US"/>
        </w:rPr>
        <w:t>Model selection applied to the three growth rate models indicated that all three models were very similar in fit, with the Von Bertalanffy growth model</w:t>
      </w:r>
      <w:r w:rsidR="001D72AA">
        <w:rPr>
          <w:lang w:val="en-US"/>
        </w:rPr>
        <w:t xml:space="preserve"> (VBGM)</w:t>
      </w:r>
      <w:r w:rsidRPr="00F9271F">
        <w:rPr>
          <w:lang w:val="en-US"/>
        </w:rPr>
        <w:t xml:space="preserve"> the best (AIC = 383.5), followed by the Gompertz model AIC) (386.78) then linear model (AIC = 415.91) (</w:t>
      </w:r>
      <w:r>
        <w:rPr>
          <w:lang w:val="en-US"/>
        </w:rPr>
        <w:fldChar w:fldCharType="begin"/>
      </w:r>
      <w:r>
        <w:rPr>
          <w:lang w:val="en-US"/>
        </w:rPr>
        <w:instrText xml:space="preserve"> REF _Ref26446939 \h  \* MERGEFORMAT </w:instrText>
      </w:r>
      <w:r>
        <w:rPr>
          <w:lang w:val="en-US"/>
        </w:rPr>
      </w:r>
      <w:r>
        <w:rPr>
          <w:lang w:val="en-US"/>
        </w:rPr>
        <w:fldChar w:fldCharType="separate"/>
      </w:r>
      <w:r w:rsidR="007F7607" w:rsidRPr="007F7607">
        <w:rPr>
          <w:lang w:val="en-US"/>
        </w:rPr>
        <w:t>Figure 65</w:t>
      </w:r>
      <w:r>
        <w:rPr>
          <w:lang w:val="en-US"/>
        </w:rPr>
        <w:fldChar w:fldCharType="end"/>
      </w:r>
      <w:r w:rsidRPr="00F9271F">
        <w:rPr>
          <w:lang w:val="en-US"/>
        </w:rPr>
        <w:t xml:space="preserve">). The newly constructed </w:t>
      </w:r>
      <w:r w:rsidRPr="00FC6747">
        <w:rPr>
          <w:lang w:val="en-US"/>
        </w:rPr>
        <w:t>VBGM</w:t>
      </w:r>
      <w:r w:rsidRPr="00F9271F">
        <w:rPr>
          <w:lang w:val="en-US"/>
        </w:rPr>
        <w:t xml:space="preserve"> for the Lachlan was far more accurate in estimating age based on length then the previously applied equation, with 60% of age estimates less than 5 days different from known age</w:t>
      </w:r>
      <w:r>
        <w:rPr>
          <w:lang w:val="en-US"/>
        </w:rPr>
        <w:t xml:space="preserve"> (</w:t>
      </w:r>
      <w:r>
        <w:rPr>
          <w:lang w:val="en-US"/>
        </w:rPr>
        <w:fldChar w:fldCharType="begin"/>
      </w:r>
      <w:r>
        <w:rPr>
          <w:lang w:val="en-US"/>
        </w:rPr>
        <w:instrText xml:space="preserve"> REF _Ref26447599 \h </w:instrText>
      </w:r>
      <w:r>
        <w:rPr>
          <w:lang w:val="en-US"/>
        </w:rPr>
      </w:r>
      <w:r>
        <w:rPr>
          <w:lang w:val="en-US"/>
        </w:rPr>
        <w:fldChar w:fldCharType="separate"/>
      </w:r>
      <w:r w:rsidR="007F7607" w:rsidRPr="00C31A88">
        <w:rPr>
          <w:lang w:val="en-US"/>
        </w:rPr>
        <w:t xml:space="preserve">Figure </w:t>
      </w:r>
      <w:r w:rsidR="007F7607">
        <w:rPr>
          <w:noProof/>
          <w:lang w:val="en-US"/>
        </w:rPr>
        <w:t>66</w:t>
      </w:r>
      <w:r>
        <w:rPr>
          <w:lang w:val="en-US"/>
        </w:rPr>
        <w:fldChar w:fldCharType="end"/>
      </w:r>
      <w:r>
        <w:rPr>
          <w:lang w:val="en-US"/>
        </w:rPr>
        <w:t>)</w:t>
      </w:r>
      <w:r w:rsidRPr="00F9271F">
        <w:rPr>
          <w:lang w:val="en-US"/>
        </w:rPr>
        <w:t>. The existing linear model used for age estimates applied previously tended to over-estimate age of individuals. The parameters of the Von Bertalanffy model were estimated to be L</w:t>
      </w:r>
      <w:r w:rsidRPr="00F9271F">
        <w:rPr>
          <w:vertAlign w:val="subscript"/>
          <w:lang w:val="en-US"/>
        </w:rPr>
        <w:t>inf</w:t>
      </w:r>
      <w:r w:rsidRPr="00F9271F">
        <w:rPr>
          <w:lang w:val="en-US"/>
        </w:rPr>
        <w:t xml:space="preserve"> = 19.738043, K = 0.059904 , t0  = 3.712221. </w:t>
      </w:r>
      <w:r w:rsidR="001D72AA">
        <w:rPr>
          <w:lang w:val="en-US"/>
        </w:rPr>
        <w:t xml:space="preserve">The models developed had </w:t>
      </w:r>
      <w:r w:rsidRPr="00F9271F">
        <w:rPr>
          <w:lang w:val="en-US"/>
        </w:rPr>
        <w:t>L</w:t>
      </w:r>
      <w:r w:rsidRPr="00F9271F">
        <w:rPr>
          <w:vertAlign w:val="subscript"/>
          <w:lang w:val="en-US"/>
        </w:rPr>
        <w:t>inf</w:t>
      </w:r>
      <w:r w:rsidRPr="00F9271F">
        <w:rPr>
          <w:lang w:val="en-US"/>
        </w:rPr>
        <w:t xml:space="preserve"> </w:t>
      </w:r>
      <w:r w:rsidR="001D72AA">
        <w:rPr>
          <w:lang w:val="en-US"/>
        </w:rPr>
        <w:t xml:space="preserve">of </w:t>
      </w:r>
      <w:r w:rsidRPr="00F9271F">
        <w:rPr>
          <w:lang w:val="en-US"/>
        </w:rPr>
        <w:t>only 19.</w:t>
      </w:r>
      <w:r w:rsidR="001D72AA" w:rsidRPr="00F9271F">
        <w:rPr>
          <w:lang w:val="en-US"/>
        </w:rPr>
        <w:t>7</w:t>
      </w:r>
      <w:r w:rsidR="001D72AA">
        <w:rPr>
          <w:lang w:val="en-US"/>
        </w:rPr>
        <w:t xml:space="preserve"> mm</w:t>
      </w:r>
      <w:r w:rsidR="001D72AA" w:rsidRPr="00F9271F">
        <w:rPr>
          <w:lang w:val="en-US"/>
        </w:rPr>
        <w:t xml:space="preserve"> </w:t>
      </w:r>
      <w:r w:rsidRPr="00F9271F">
        <w:rPr>
          <w:lang w:val="en-US"/>
        </w:rPr>
        <w:t xml:space="preserve">(the theoretical longest length) </w:t>
      </w:r>
      <w:r w:rsidR="001D72AA">
        <w:rPr>
          <w:lang w:val="en-US"/>
        </w:rPr>
        <w:t xml:space="preserve">which means </w:t>
      </w:r>
      <w:r w:rsidRPr="00F9271F">
        <w:rPr>
          <w:lang w:val="en-US"/>
        </w:rPr>
        <w:t xml:space="preserve">that calculation of age for fish </w:t>
      </w:r>
      <w:r w:rsidR="001D72AA">
        <w:rPr>
          <w:lang w:val="en-US"/>
        </w:rPr>
        <w:t xml:space="preserve">greater than </w:t>
      </w:r>
      <w:r w:rsidRPr="00F9271F">
        <w:rPr>
          <w:lang w:val="en-US"/>
        </w:rPr>
        <w:t>this length was not possible. This means that to estimate age from length the following equation is to be applied (i.e. the inverse of the Von Bertalanffy growth model equation):</w:t>
      </w:r>
    </w:p>
    <w:p w14:paraId="71A2753E" w14:textId="77777777" w:rsidR="00ED69E9" w:rsidRPr="00F9271F" w:rsidRDefault="00ED69E9" w:rsidP="00ED69E9">
      <w:pPr>
        <w:rPr>
          <w:lang w:val="en-US"/>
        </w:rPr>
      </w:pPr>
      <w:r w:rsidRPr="00F9271F">
        <w:rPr>
          <w:lang w:val="en-US"/>
        </w:rPr>
        <w:t>Age = -1/0.059904*log10(1-Larval fish length/19.738043)</w:t>
      </w:r>
      <w:r>
        <w:rPr>
          <w:lang w:val="en-US"/>
        </w:rPr>
        <w:t xml:space="preserve"> </w:t>
      </w:r>
      <w:r w:rsidRPr="00F9271F">
        <w:rPr>
          <w:lang w:val="en-US"/>
        </w:rPr>
        <w:t>+</w:t>
      </w:r>
      <w:r>
        <w:rPr>
          <w:lang w:val="en-US"/>
        </w:rPr>
        <w:t xml:space="preserve"> </w:t>
      </w:r>
      <w:r w:rsidRPr="00F9271F">
        <w:rPr>
          <w:lang w:val="en-US"/>
        </w:rPr>
        <w:t>3.712221</w:t>
      </w:r>
    </w:p>
    <w:p w14:paraId="0078CE0E" w14:textId="76BEE833" w:rsidR="00ED69E9" w:rsidRPr="00F9271F" w:rsidRDefault="00ED69E9" w:rsidP="00ED69E9">
      <w:pPr>
        <w:rPr>
          <w:lang w:val="en-US"/>
        </w:rPr>
      </w:pPr>
      <w:r w:rsidRPr="00F9271F">
        <w:rPr>
          <w:lang w:val="en-US"/>
        </w:rPr>
        <w:t xml:space="preserve">Note: Maximum age in the current study was 56 days, so the predicted age maximum is set at 60 days for calculation of age (i.e. if an individual is longer than 19.738 mm then its age is automatically estimated </w:t>
      </w:r>
      <w:r w:rsidR="001D72AA">
        <w:rPr>
          <w:lang w:val="en-US"/>
        </w:rPr>
        <w:t>to be</w:t>
      </w:r>
      <w:r w:rsidR="001D72AA" w:rsidRPr="00F9271F">
        <w:rPr>
          <w:lang w:val="en-US"/>
        </w:rPr>
        <w:t xml:space="preserve"> </w:t>
      </w:r>
      <w:r w:rsidRPr="00F9271F">
        <w:rPr>
          <w:lang w:val="en-US"/>
        </w:rPr>
        <w:t>60 days).</w:t>
      </w:r>
    </w:p>
    <w:p w14:paraId="35858C62" w14:textId="6209C0DD" w:rsidR="00ED69E9" w:rsidRDefault="00ED69E9" w:rsidP="00ED69E9">
      <w:pPr>
        <w:rPr>
          <w:lang w:val="en-US"/>
        </w:rPr>
      </w:pPr>
      <w:r>
        <w:rPr>
          <w:noProof/>
          <w:lang w:eastAsia="en-AU"/>
        </w:rPr>
        <w:drawing>
          <wp:inline distT="0" distB="0" distL="0" distR="0" wp14:anchorId="54A9E46F" wp14:editId="3A067474">
            <wp:extent cx="5731510" cy="3500120"/>
            <wp:effectExtent l="0" t="0" r="2540" b="508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5731510" cy="3500120"/>
                    </a:xfrm>
                    <a:prstGeom prst="rect">
                      <a:avLst/>
                    </a:prstGeom>
                    <a:noFill/>
                    <a:ln>
                      <a:noFill/>
                    </a:ln>
                    <a:extLst>
                      <a:ext uri="{53640926-AAD7-44D8-BBD7-CCE9431645EC}">
                        <a14:shadowObscured xmlns:a14="http://schemas.microsoft.com/office/drawing/2010/main"/>
                      </a:ext>
                    </a:extLst>
                  </pic:spPr>
                </pic:pic>
              </a:graphicData>
            </a:graphic>
          </wp:inline>
        </w:drawing>
      </w:r>
    </w:p>
    <w:p w14:paraId="5F676644" w14:textId="12D0B47E" w:rsidR="00ED69E9" w:rsidRPr="00C31A88" w:rsidRDefault="00ED69E9" w:rsidP="00ED69E9">
      <w:pPr>
        <w:pStyle w:val="Caption"/>
        <w:rPr>
          <w:lang w:val="en-US"/>
        </w:rPr>
      </w:pPr>
      <w:bookmarkStart w:id="484" w:name="_Ref26446939"/>
      <w:bookmarkStart w:id="485" w:name="_Toc31985629"/>
      <w:r w:rsidRPr="00C31A88">
        <w:t xml:space="preserve">Figure </w:t>
      </w:r>
      <w:r>
        <w:fldChar w:fldCharType="begin"/>
      </w:r>
      <w:r>
        <w:instrText>SEQ Figure \* ARABIC</w:instrText>
      </w:r>
      <w:r>
        <w:fldChar w:fldCharType="separate"/>
      </w:r>
      <w:r w:rsidR="007F7607">
        <w:rPr>
          <w:noProof/>
        </w:rPr>
        <w:t>65</w:t>
      </w:r>
      <w:r>
        <w:fldChar w:fldCharType="end"/>
      </w:r>
      <w:bookmarkEnd w:id="484"/>
      <w:r w:rsidRPr="00C31A88">
        <w:rPr>
          <w:lang w:val="en-US"/>
        </w:rPr>
        <w:t>. Relationship between standard length (mm) and estimated ages (days) for Australian smelt predicted by the Von Bertalanffy model (dashed line), Gompertz model (solid line) and linear model (dotted line). Open circles indicate actual length age data.</w:t>
      </w:r>
      <w:bookmarkEnd w:id="485"/>
      <w:r w:rsidRPr="00C31A88">
        <w:rPr>
          <w:lang w:val="en-US"/>
        </w:rPr>
        <w:t xml:space="preserve"> </w:t>
      </w:r>
    </w:p>
    <w:p w14:paraId="1CCB1BC4" w14:textId="77777777" w:rsidR="00ED69E9" w:rsidRDefault="00ED69E9" w:rsidP="00ED69E9">
      <w:pPr>
        <w:rPr>
          <w:lang w:val="en-US"/>
        </w:rPr>
      </w:pPr>
      <w:r>
        <w:rPr>
          <w:noProof/>
          <w:lang w:eastAsia="en-AU"/>
        </w:rPr>
        <w:drawing>
          <wp:inline distT="0" distB="0" distL="0" distR="0" wp14:anchorId="56737DBE" wp14:editId="27ABBA11">
            <wp:extent cx="5731510" cy="3542030"/>
            <wp:effectExtent l="0" t="0" r="254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6CBBADB0" w14:textId="12DF8E6D" w:rsidR="00535F48" w:rsidRPr="00535F48" w:rsidRDefault="00ED69E9" w:rsidP="00535F48">
      <w:pPr>
        <w:pStyle w:val="Caption"/>
        <w:rPr>
          <w:lang w:val="en-US"/>
        </w:rPr>
      </w:pPr>
      <w:bookmarkStart w:id="486" w:name="_Ref26447599"/>
      <w:bookmarkStart w:id="487" w:name="_Toc31985630"/>
      <w:r w:rsidRPr="00C31A88">
        <w:rPr>
          <w:lang w:val="en-US"/>
        </w:rPr>
        <w:t xml:space="preserve">Figure </w:t>
      </w:r>
      <w:r w:rsidRPr="00C31A88">
        <w:rPr>
          <w:lang w:val="en-US"/>
        </w:rPr>
        <w:fldChar w:fldCharType="begin"/>
      </w:r>
      <w:r w:rsidRPr="00C31A88">
        <w:rPr>
          <w:lang w:val="en-US"/>
        </w:rPr>
        <w:instrText xml:space="preserve"> SEQ Figure \* ARABIC </w:instrText>
      </w:r>
      <w:r w:rsidRPr="00C31A88">
        <w:rPr>
          <w:lang w:val="en-US"/>
        </w:rPr>
        <w:fldChar w:fldCharType="separate"/>
      </w:r>
      <w:r w:rsidR="007F7607">
        <w:rPr>
          <w:noProof/>
          <w:lang w:val="en-US"/>
        </w:rPr>
        <w:t>66</w:t>
      </w:r>
      <w:r w:rsidRPr="00C31A88">
        <w:rPr>
          <w:lang w:val="en-US"/>
        </w:rPr>
        <w:fldChar w:fldCharType="end"/>
      </w:r>
      <w:bookmarkEnd w:id="486"/>
      <w:r w:rsidRPr="00C31A88">
        <w:rPr>
          <w:lang w:val="en-US"/>
        </w:rPr>
        <w:t xml:space="preserve">. </w:t>
      </w:r>
      <w:r>
        <w:rPr>
          <w:lang w:val="en-US"/>
        </w:rPr>
        <w:t>Frequency histogram of e</w:t>
      </w:r>
      <w:r w:rsidRPr="00C31A88">
        <w:rPr>
          <w:lang w:val="en-US"/>
        </w:rPr>
        <w:t>rror (days) in the estimated age of Australian smelt larvae between existing predictive linear model and newly derived Von Bertalanffy growth model compared with known age of samples (Dark grey = existing age estimate model, light grey indicates newly developed Von Bertalanffy growth model).</w:t>
      </w:r>
      <w:bookmarkEnd w:id="487"/>
      <w:r w:rsidR="00535F48">
        <w:rPr>
          <w:lang w:val="en-US"/>
        </w:rPr>
        <w:br w:type="page"/>
      </w:r>
    </w:p>
    <w:p w14:paraId="5DB3C708" w14:textId="77777777" w:rsidR="00ED69E9" w:rsidRDefault="00ED69E9" w:rsidP="00ED69E9">
      <w:pPr>
        <w:pStyle w:val="Heading4"/>
      </w:pPr>
      <w:r>
        <w:t>Murray cod</w:t>
      </w:r>
    </w:p>
    <w:p w14:paraId="54E7721E" w14:textId="5F165744" w:rsidR="00ED69E9" w:rsidRDefault="00ED69E9" w:rsidP="00ED69E9">
      <w:pPr>
        <w:rPr>
          <w:lang w:val="en-US"/>
        </w:rPr>
      </w:pPr>
      <w:r>
        <w:rPr>
          <w:lang w:val="en-US"/>
        </w:rPr>
        <w:t>Only the linear model was appropriate for growth of Murray cod in the lower Lachlan River, which returned a significant relationship (P &lt; 0.001) and an r-squared value of 0.3669 between age and growth (</w:t>
      </w:r>
      <w:r>
        <w:rPr>
          <w:lang w:val="en-US"/>
        </w:rPr>
        <w:fldChar w:fldCharType="begin"/>
      </w:r>
      <w:r>
        <w:rPr>
          <w:lang w:val="en-US"/>
        </w:rPr>
        <w:instrText xml:space="preserve"> REF _Ref26448603 \h  \* MERGEFORMAT </w:instrText>
      </w:r>
      <w:r>
        <w:rPr>
          <w:lang w:val="en-US"/>
        </w:rPr>
      </w:r>
      <w:r>
        <w:rPr>
          <w:lang w:val="en-US"/>
        </w:rPr>
        <w:fldChar w:fldCharType="separate"/>
      </w:r>
      <w:r w:rsidR="007F7607" w:rsidRPr="00227731">
        <w:rPr>
          <w:lang w:val="en-US"/>
        </w:rPr>
        <w:t xml:space="preserve">Figure </w:t>
      </w:r>
      <w:r w:rsidR="007F7607">
        <w:rPr>
          <w:lang w:val="en-US"/>
        </w:rPr>
        <w:t>67</w:t>
      </w:r>
      <w:r>
        <w:rPr>
          <w:lang w:val="en-US"/>
        </w:rPr>
        <w:fldChar w:fldCharType="end"/>
      </w:r>
      <w:r>
        <w:rPr>
          <w:lang w:val="en-US"/>
        </w:rPr>
        <w:t>). The newly constructed linear growth model was slightly more accurate than the existing model being used for the system, with only 13% of estimates having an error of more than 5 days from the known age, compared to 15% of estimates using the existing model (</w:t>
      </w:r>
      <w:r>
        <w:rPr>
          <w:lang w:val="en-US"/>
        </w:rPr>
        <w:fldChar w:fldCharType="begin"/>
      </w:r>
      <w:r>
        <w:rPr>
          <w:lang w:val="en-US"/>
        </w:rPr>
        <w:instrText xml:space="preserve"> REF _Ref26448609 \h  \* MERGEFORMAT </w:instrText>
      </w:r>
      <w:r>
        <w:rPr>
          <w:lang w:val="en-US"/>
        </w:rPr>
      </w:r>
      <w:r>
        <w:rPr>
          <w:lang w:val="en-US"/>
        </w:rPr>
        <w:fldChar w:fldCharType="separate"/>
      </w:r>
      <w:r w:rsidR="007F7607" w:rsidRPr="00227731">
        <w:rPr>
          <w:lang w:val="en-US"/>
        </w:rPr>
        <w:t xml:space="preserve">Figure </w:t>
      </w:r>
      <w:r w:rsidR="007F7607">
        <w:rPr>
          <w:lang w:val="en-US"/>
        </w:rPr>
        <w:t>68</w:t>
      </w:r>
      <w:r>
        <w:rPr>
          <w:lang w:val="en-US"/>
        </w:rPr>
        <w:fldChar w:fldCharType="end"/>
      </w:r>
      <w:r>
        <w:rPr>
          <w:lang w:val="en-US"/>
        </w:rPr>
        <w:t>).</w:t>
      </w:r>
    </w:p>
    <w:p w14:paraId="4E11DE89" w14:textId="77777777" w:rsidR="00ED69E9" w:rsidRDefault="00ED69E9" w:rsidP="00ED69E9">
      <w:pPr>
        <w:rPr>
          <w:lang w:val="en-US"/>
        </w:rPr>
      </w:pPr>
      <w:r>
        <w:rPr>
          <w:lang w:val="en-US"/>
        </w:rPr>
        <w:t>The revised equation to calculate age of larval Murray cod in the lower Lachlan River based on standard length is:</w:t>
      </w:r>
    </w:p>
    <w:p w14:paraId="1E930E5B" w14:textId="77777777" w:rsidR="00ED69E9" w:rsidRPr="00A75B17" w:rsidRDefault="00ED69E9" w:rsidP="00ED69E9">
      <w:pPr>
        <w:rPr>
          <w:lang w:val="en-US"/>
        </w:rPr>
      </w:pPr>
      <w:r>
        <w:rPr>
          <w:lang w:val="en-US"/>
        </w:rPr>
        <w:t>Age = -14.2478+(2.78*standard length)+1.924</w:t>
      </w:r>
    </w:p>
    <w:p w14:paraId="0A9A71B5" w14:textId="77777777" w:rsidR="00ED69E9" w:rsidRDefault="00ED69E9" w:rsidP="00ED69E9">
      <w:pPr>
        <w:rPr>
          <w:lang w:val="en-US"/>
        </w:rPr>
      </w:pPr>
      <w:r>
        <w:rPr>
          <w:noProof/>
          <w:lang w:eastAsia="en-AU"/>
        </w:rPr>
        <w:drawing>
          <wp:inline distT="0" distB="0" distL="0" distR="0" wp14:anchorId="020DE211" wp14:editId="69A64904">
            <wp:extent cx="5731510" cy="3542030"/>
            <wp:effectExtent l="0" t="0" r="254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6208EC84" w14:textId="7DBF9A69" w:rsidR="00ED69E9" w:rsidRDefault="00ED69E9" w:rsidP="00ED69E9">
      <w:pPr>
        <w:pStyle w:val="Caption"/>
        <w:rPr>
          <w:lang w:val="en-US"/>
        </w:rPr>
      </w:pPr>
      <w:bookmarkStart w:id="488" w:name="_Ref26448603"/>
      <w:bookmarkStart w:id="489" w:name="_Toc31985631"/>
      <w:r w:rsidRPr="00227731">
        <w:rPr>
          <w:lang w:val="en-US"/>
        </w:rPr>
        <w:t xml:space="preserve">Figure </w:t>
      </w:r>
      <w:r w:rsidRPr="00227731">
        <w:rPr>
          <w:lang w:val="en-US"/>
        </w:rPr>
        <w:fldChar w:fldCharType="begin"/>
      </w:r>
      <w:r w:rsidRPr="00227731">
        <w:rPr>
          <w:lang w:val="en-US"/>
        </w:rPr>
        <w:instrText xml:space="preserve"> SEQ Figure \* ARABIC </w:instrText>
      </w:r>
      <w:r w:rsidRPr="00227731">
        <w:rPr>
          <w:lang w:val="en-US"/>
        </w:rPr>
        <w:fldChar w:fldCharType="separate"/>
      </w:r>
      <w:r w:rsidR="007F7607">
        <w:rPr>
          <w:noProof/>
          <w:lang w:val="en-US"/>
        </w:rPr>
        <w:t>67</w:t>
      </w:r>
      <w:r w:rsidRPr="00227731">
        <w:rPr>
          <w:lang w:val="en-US"/>
        </w:rPr>
        <w:fldChar w:fldCharType="end"/>
      </w:r>
      <w:bookmarkEnd w:id="488"/>
      <w:r w:rsidRPr="00227731">
        <w:rPr>
          <w:lang w:val="en-US"/>
        </w:rPr>
        <w:t xml:space="preserve">. Relationship between standard length and </w:t>
      </w:r>
      <w:r>
        <w:rPr>
          <w:lang w:val="en-US"/>
        </w:rPr>
        <w:t xml:space="preserve">known </w:t>
      </w:r>
      <w:r w:rsidRPr="00227731">
        <w:rPr>
          <w:lang w:val="en-US"/>
        </w:rPr>
        <w:t>age for Murray cod (red = 2014, green = 2015, blue = 2017, purple = 2018).</w:t>
      </w:r>
      <w:bookmarkEnd w:id="489"/>
    </w:p>
    <w:p w14:paraId="0B6673E6" w14:textId="77777777" w:rsidR="00ED69E9" w:rsidRPr="00A75B17" w:rsidRDefault="00ED69E9" w:rsidP="00ED69E9">
      <w:pPr>
        <w:rPr>
          <w:lang w:val="en-US"/>
        </w:rPr>
      </w:pPr>
    </w:p>
    <w:p w14:paraId="74790044" w14:textId="77777777" w:rsidR="00ED69E9" w:rsidRDefault="00ED69E9" w:rsidP="00ED69E9">
      <w:pPr>
        <w:rPr>
          <w:lang w:val="en-US"/>
        </w:rPr>
      </w:pPr>
      <w:r>
        <w:rPr>
          <w:noProof/>
          <w:lang w:eastAsia="en-AU"/>
        </w:rPr>
        <w:drawing>
          <wp:inline distT="0" distB="0" distL="0" distR="0" wp14:anchorId="2B4C0A0E" wp14:editId="1F2A7F46">
            <wp:extent cx="4762500" cy="3542030"/>
            <wp:effectExtent l="0" t="0" r="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4762500" cy="3542030"/>
                    </a:xfrm>
                    <a:prstGeom prst="rect">
                      <a:avLst/>
                    </a:prstGeom>
                    <a:noFill/>
                    <a:ln>
                      <a:noFill/>
                    </a:ln>
                    <a:extLst>
                      <a:ext uri="{53640926-AAD7-44D8-BBD7-CCE9431645EC}">
                        <a14:shadowObscured xmlns:a14="http://schemas.microsoft.com/office/drawing/2010/main"/>
                      </a:ext>
                    </a:extLst>
                  </pic:spPr>
                </pic:pic>
              </a:graphicData>
            </a:graphic>
          </wp:inline>
        </w:drawing>
      </w:r>
    </w:p>
    <w:p w14:paraId="610C1601" w14:textId="26FD0E75" w:rsidR="00ED69E9" w:rsidRPr="00227731" w:rsidRDefault="00ED69E9" w:rsidP="00ED69E9">
      <w:pPr>
        <w:pStyle w:val="Caption"/>
        <w:rPr>
          <w:lang w:val="en-US"/>
        </w:rPr>
      </w:pPr>
      <w:bookmarkStart w:id="490" w:name="_Ref26448609"/>
      <w:bookmarkStart w:id="491" w:name="_Toc31985632"/>
      <w:r w:rsidRPr="00227731">
        <w:rPr>
          <w:lang w:val="en-US"/>
        </w:rPr>
        <w:t xml:space="preserve">Figure </w:t>
      </w:r>
      <w:r w:rsidRPr="00227731">
        <w:rPr>
          <w:lang w:val="en-US"/>
        </w:rPr>
        <w:fldChar w:fldCharType="begin"/>
      </w:r>
      <w:r w:rsidRPr="00227731">
        <w:rPr>
          <w:lang w:val="en-US"/>
        </w:rPr>
        <w:instrText xml:space="preserve"> SEQ Figure \* ARABIC </w:instrText>
      </w:r>
      <w:r w:rsidRPr="00227731">
        <w:rPr>
          <w:lang w:val="en-US"/>
        </w:rPr>
        <w:fldChar w:fldCharType="separate"/>
      </w:r>
      <w:r w:rsidR="007F7607">
        <w:rPr>
          <w:noProof/>
          <w:lang w:val="en-US"/>
        </w:rPr>
        <w:t>68</w:t>
      </w:r>
      <w:r w:rsidRPr="00227731">
        <w:rPr>
          <w:lang w:val="en-US"/>
        </w:rPr>
        <w:fldChar w:fldCharType="end"/>
      </w:r>
      <w:bookmarkEnd w:id="490"/>
      <w:r w:rsidRPr="00227731">
        <w:rPr>
          <w:lang w:val="en-US"/>
        </w:rPr>
        <w:t>.</w:t>
      </w:r>
      <w:r>
        <w:rPr>
          <w:lang w:val="en-US"/>
        </w:rPr>
        <w:t xml:space="preserve"> Frequency histogram of e</w:t>
      </w:r>
      <w:r w:rsidRPr="00227731">
        <w:rPr>
          <w:lang w:val="en-US"/>
        </w:rPr>
        <w:t>rror (days) in the estimated age of Murray cod larvae between existing predictive model and newly derived linear model compared with known age of samples (Dark grey = existing age estimate model, light grey indicates newly developed linear model).</w:t>
      </w:r>
      <w:bookmarkEnd w:id="491"/>
    </w:p>
    <w:p w14:paraId="68DBBC48" w14:textId="77777777" w:rsidR="00ED69E9" w:rsidRPr="00535F48" w:rsidRDefault="00ED69E9" w:rsidP="00ED69E9">
      <w:pPr>
        <w:rPr>
          <w:sz w:val="20"/>
          <w:szCs w:val="20"/>
          <w:lang w:val="en-US"/>
        </w:rPr>
      </w:pPr>
    </w:p>
    <w:p w14:paraId="50D2F756" w14:textId="77777777" w:rsidR="00ED69E9" w:rsidRPr="00ED69E9" w:rsidRDefault="00ED69E9" w:rsidP="00ED69E9">
      <w:pPr>
        <w:pStyle w:val="Heading3"/>
        <w:rPr>
          <w:rFonts w:eastAsia="Calibri"/>
        </w:rPr>
      </w:pPr>
      <w:bookmarkStart w:id="492" w:name="_Toc31985523"/>
      <w:r w:rsidRPr="00ED69E9">
        <w:rPr>
          <w:rFonts w:eastAsia="Calibri"/>
        </w:rPr>
        <w:t>Estimating spawning dates</w:t>
      </w:r>
      <w:bookmarkEnd w:id="492"/>
    </w:p>
    <w:p w14:paraId="48678EA2" w14:textId="77777777" w:rsidR="00ED69E9" w:rsidRDefault="00ED69E9" w:rsidP="00ED69E9">
      <w:pPr>
        <w:pStyle w:val="Heading4"/>
      </w:pPr>
      <w:r w:rsidRPr="00AB4B5B">
        <w:t>Australian smelt</w:t>
      </w:r>
    </w:p>
    <w:p w14:paraId="47D7C860" w14:textId="1B8DBA8F" w:rsidR="00ED69E9" w:rsidRDefault="00ED69E9" w:rsidP="00ED69E9">
      <w:pPr>
        <w:rPr>
          <w:lang w:val="en-US"/>
        </w:rPr>
      </w:pPr>
      <w:r w:rsidRPr="00F9271F">
        <w:rPr>
          <w:lang w:val="en-US"/>
        </w:rPr>
        <w:t xml:space="preserve">Estimated spawning ranges </w:t>
      </w:r>
      <w:r>
        <w:rPr>
          <w:lang w:val="en-US"/>
        </w:rPr>
        <w:t xml:space="preserve">of Australian smelt </w:t>
      </w:r>
      <w:r w:rsidRPr="00F9271F">
        <w:rPr>
          <w:lang w:val="en-US"/>
        </w:rPr>
        <w:t>based on age calculation</w:t>
      </w:r>
      <w:r w:rsidR="001D72AA">
        <w:rPr>
          <w:lang w:val="en-US"/>
        </w:rPr>
        <w:t>s</w:t>
      </w:r>
      <w:r w:rsidRPr="00F9271F">
        <w:rPr>
          <w:lang w:val="en-US"/>
        </w:rPr>
        <w:t xml:space="preserve"> using the VBGM were aligned much more closely with known age spawning estimates than the existing linear model use for previous assessments (</w:t>
      </w:r>
      <w:r>
        <w:rPr>
          <w:lang w:val="en-US"/>
        </w:rPr>
        <w:fldChar w:fldCharType="begin"/>
      </w:r>
      <w:r>
        <w:rPr>
          <w:lang w:val="en-US"/>
        </w:rPr>
        <w:instrText xml:space="preserve"> REF _Ref26522862 \h  \* MERGEFORMAT </w:instrText>
      </w:r>
      <w:r>
        <w:rPr>
          <w:lang w:val="en-US"/>
        </w:rPr>
      </w:r>
      <w:r>
        <w:rPr>
          <w:lang w:val="en-US"/>
        </w:rPr>
        <w:fldChar w:fldCharType="separate"/>
      </w:r>
      <w:r w:rsidR="007F7607" w:rsidRPr="00444AD4">
        <w:rPr>
          <w:lang w:val="en-US"/>
        </w:rPr>
        <w:t xml:space="preserve">Table </w:t>
      </w:r>
      <w:r w:rsidR="007F7607">
        <w:rPr>
          <w:lang w:val="en-US"/>
        </w:rPr>
        <w:t>22</w:t>
      </w:r>
      <w:r>
        <w:rPr>
          <w:lang w:val="en-US"/>
        </w:rPr>
        <w:fldChar w:fldCharType="end"/>
      </w:r>
      <w:r w:rsidRPr="00F9271F">
        <w:rPr>
          <w:lang w:val="en-US"/>
        </w:rPr>
        <w:t>). Spawning density overlap was more consistent between the newly constructed VBGM and the known age estimates for all years except for 2017 (</w:t>
      </w:r>
      <w:r>
        <w:rPr>
          <w:lang w:val="en-US"/>
        </w:rPr>
        <w:fldChar w:fldCharType="begin"/>
      </w:r>
      <w:r>
        <w:rPr>
          <w:lang w:val="en-US"/>
        </w:rPr>
        <w:instrText xml:space="preserve"> REF _Ref26447617 \h  \* MERGEFORMAT </w:instrText>
      </w:r>
      <w:r>
        <w:rPr>
          <w:lang w:val="en-US"/>
        </w:rPr>
      </w:r>
      <w:r>
        <w:rPr>
          <w:lang w:val="en-US"/>
        </w:rPr>
        <w:fldChar w:fldCharType="separate"/>
      </w:r>
      <w:r w:rsidR="007F7607" w:rsidRPr="00227731">
        <w:rPr>
          <w:lang w:val="en-US"/>
        </w:rPr>
        <w:t xml:space="preserve">Figure </w:t>
      </w:r>
      <w:r w:rsidR="007F7607">
        <w:rPr>
          <w:lang w:val="en-US"/>
        </w:rPr>
        <w:t>69</w:t>
      </w:r>
      <w:r>
        <w:rPr>
          <w:lang w:val="en-US"/>
        </w:rPr>
        <w:fldChar w:fldCharType="end"/>
      </w:r>
      <w:r w:rsidRPr="00F9271F">
        <w:rPr>
          <w:lang w:val="en-US"/>
        </w:rPr>
        <w:t>).</w:t>
      </w:r>
    </w:p>
    <w:p w14:paraId="3E655946" w14:textId="77777777" w:rsidR="00E60765" w:rsidRPr="00E60765" w:rsidRDefault="00E60765" w:rsidP="00ED69E9">
      <w:pPr>
        <w:rPr>
          <w:sz w:val="20"/>
          <w:szCs w:val="20"/>
          <w:lang w:val="en-US"/>
        </w:rPr>
      </w:pPr>
    </w:p>
    <w:p w14:paraId="3C2ED774" w14:textId="2B09521E" w:rsidR="00ED69E9" w:rsidRPr="00444AD4" w:rsidRDefault="00ED69E9" w:rsidP="00ED69E9">
      <w:pPr>
        <w:pStyle w:val="Caption"/>
        <w:rPr>
          <w:lang w:val="en-US"/>
        </w:rPr>
      </w:pPr>
      <w:bookmarkStart w:id="493" w:name="_Ref26522862"/>
      <w:bookmarkStart w:id="494" w:name="_Toc31985689"/>
      <w:r w:rsidRPr="00444AD4">
        <w:rPr>
          <w:lang w:val="en-US"/>
        </w:rPr>
        <w:t xml:space="preserve">Table </w:t>
      </w:r>
      <w:r w:rsidRPr="00444AD4">
        <w:rPr>
          <w:lang w:val="en-US"/>
        </w:rPr>
        <w:fldChar w:fldCharType="begin"/>
      </w:r>
      <w:r w:rsidRPr="00444AD4">
        <w:rPr>
          <w:lang w:val="en-US"/>
        </w:rPr>
        <w:instrText xml:space="preserve"> SEQ Table \* ARABIC </w:instrText>
      </w:r>
      <w:r w:rsidRPr="00444AD4">
        <w:rPr>
          <w:lang w:val="en-US"/>
        </w:rPr>
        <w:fldChar w:fldCharType="separate"/>
      </w:r>
      <w:r w:rsidR="007F7607">
        <w:rPr>
          <w:noProof/>
          <w:lang w:val="en-US"/>
        </w:rPr>
        <w:t>22</w:t>
      </w:r>
      <w:r w:rsidRPr="00444AD4">
        <w:rPr>
          <w:lang w:val="en-US"/>
        </w:rPr>
        <w:fldChar w:fldCharType="end"/>
      </w:r>
      <w:bookmarkEnd w:id="493"/>
      <w:r>
        <w:rPr>
          <w:lang w:val="en-US"/>
        </w:rPr>
        <w:t>.</w:t>
      </w:r>
      <w:r w:rsidRPr="00444AD4">
        <w:rPr>
          <w:lang w:val="en-US"/>
        </w:rPr>
        <w:t xml:space="preserve"> Estimated spawning window on Australian smelt based on known age, new linear model and existing linear model for each year (n = 30 per year).</w:t>
      </w:r>
      <w:bookmarkEnd w:id="494"/>
    </w:p>
    <w:tbl>
      <w:tblPr>
        <w:tblStyle w:val="GridTable4-Accent3"/>
        <w:tblW w:w="0" w:type="auto"/>
        <w:tblLook w:val="04A0" w:firstRow="1" w:lastRow="0" w:firstColumn="1" w:lastColumn="0" w:noHBand="0" w:noVBand="1"/>
      </w:tblPr>
      <w:tblGrid>
        <w:gridCol w:w="1555"/>
        <w:gridCol w:w="1842"/>
        <w:gridCol w:w="1843"/>
        <w:gridCol w:w="1843"/>
        <w:gridCol w:w="1843"/>
      </w:tblGrid>
      <w:tr w:rsidR="00ED69E9" w:rsidRPr="00535F48" w14:paraId="33FBF285" w14:textId="77777777" w:rsidTr="00535F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C0C490A" w14:textId="77777777" w:rsidR="00ED69E9" w:rsidRPr="00535F48" w:rsidRDefault="00ED69E9" w:rsidP="00E60765">
            <w:pPr>
              <w:rPr>
                <w:b w:val="0"/>
                <w:bCs w:val="0"/>
                <w:sz w:val="20"/>
                <w:szCs w:val="20"/>
                <w:lang w:val="en-US"/>
              </w:rPr>
            </w:pPr>
            <w:r w:rsidRPr="00535F48">
              <w:rPr>
                <w:sz w:val="20"/>
                <w:szCs w:val="20"/>
                <w:lang w:val="en-US"/>
              </w:rPr>
              <w:t>Estimate method</w:t>
            </w:r>
          </w:p>
        </w:tc>
        <w:tc>
          <w:tcPr>
            <w:tcW w:w="1842" w:type="dxa"/>
          </w:tcPr>
          <w:p w14:paraId="2E5B04E9" w14:textId="77777777" w:rsidR="00ED69E9" w:rsidRPr="00535F48" w:rsidRDefault="00ED69E9" w:rsidP="00E60765">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2014</w:t>
            </w:r>
          </w:p>
        </w:tc>
        <w:tc>
          <w:tcPr>
            <w:tcW w:w="1843" w:type="dxa"/>
          </w:tcPr>
          <w:p w14:paraId="74D83748" w14:textId="77777777" w:rsidR="00ED69E9" w:rsidRPr="00535F48" w:rsidRDefault="00ED69E9" w:rsidP="00E60765">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2015</w:t>
            </w:r>
          </w:p>
        </w:tc>
        <w:tc>
          <w:tcPr>
            <w:tcW w:w="1843" w:type="dxa"/>
          </w:tcPr>
          <w:p w14:paraId="25CDC0CA" w14:textId="77777777" w:rsidR="00ED69E9" w:rsidRPr="00535F48" w:rsidRDefault="00ED69E9" w:rsidP="00E60765">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2017</w:t>
            </w:r>
          </w:p>
        </w:tc>
        <w:tc>
          <w:tcPr>
            <w:tcW w:w="1843" w:type="dxa"/>
          </w:tcPr>
          <w:p w14:paraId="6169D421" w14:textId="77777777" w:rsidR="00ED69E9" w:rsidRPr="00535F48" w:rsidRDefault="00ED69E9" w:rsidP="00E60765">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2018</w:t>
            </w:r>
          </w:p>
        </w:tc>
      </w:tr>
      <w:tr w:rsidR="00ED69E9" w:rsidRPr="00535F48" w14:paraId="5BF21B76" w14:textId="77777777" w:rsidTr="00535F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393ADCF" w14:textId="77777777" w:rsidR="00ED69E9" w:rsidRPr="00535F48" w:rsidRDefault="00ED69E9" w:rsidP="00535F48">
            <w:pPr>
              <w:rPr>
                <w:i/>
                <w:iCs/>
                <w:sz w:val="20"/>
                <w:szCs w:val="20"/>
                <w:lang w:val="en-US"/>
              </w:rPr>
            </w:pPr>
            <w:r w:rsidRPr="00535F48">
              <w:rPr>
                <w:i/>
                <w:iCs/>
                <w:sz w:val="20"/>
                <w:szCs w:val="20"/>
                <w:lang w:val="en-US"/>
              </w:rPr>
              <w:t>Known age</w:t>
            </w:r>
          </w:p>
        </w:tc>
        <w:tc>
          <w:tcPr>
            <w:tcW w:w="1842" w:type="dxa"/>
            <w:vAlign w:val="center"/>
          </w:tcPr>
          <w:p w14:paraId="337FC1B5" w14:textId="73412AB1"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30/8 – 3/11/14</w:t>
            </w:r>
          </w:p>
        </w:tc>
        <w:tc>
          <w:tcPr>
            <w:tcW w:w="1843" w:type="dxa"/>
            <w:vAlign w:val="center"/>
          </w:tcPr>
          <w:p w14:paraId="4736F89F" w14:textId="02986C59"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16/8 – 26/9/15</w:t>
            </w:r>
          </w:p>
        </w:tc>
        <w:tc>
          <w:tcPr>
            <w:tcW w:w="1843" w:type="dxa"/>
            <w:vAlign w:val="center"/>
          </w:tcPr>
          <w:p w14:paraId="22ECCA9F" w14:textId="53E6FC01"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11/9 –4/10/17</w:t>
            </w:r>
          </w:p>
        </w:tc>
        <w:tc>
          <w:tcPr>
            <w:tcW w:w="1843" w:type="dxa"/>
            <w:vAlign w:val="center"/>
          </w:tcPr>
          <w:p w14:paraId="71260DF3" w14:textId="39090EA3"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28/8 – 16/9/18</w:t>
            </w:r>
          </w:p>
        </w:tc>
      </w:tr>
      <w:tr w:rsidR="00ED69E9" w:rsidRPr="00535F48" w14:paraId="6B257EE0" w14:textId="77777777" w:rsidTr="00535F48">
        <w:tc>
          <w:tcPr>
            <w:cnfStyle w:val="001000000000" w:firstRow="0" w:lastRow="0" w:firstColumn="1" w:lastColumn="0" w:oddVBand="0" w:evenVBand="0" w:oddHBand="0" w:evenHBand="0" w:firstRowFirstColumn="0" w:firstRowLastColumn="0" w:lastRowFirstColumn="0" w:lastRowLastColumn="0"/>
            <w:tcW w:w="1555" w:type="dxa"/>
            <w:vAlign w:val="center"/>
          </w:tcPr>
          <w:p w14:paraId="72146531" w14:textId="77777777" w:rsidR="00ED69E9" w:rsidRPr="00535F48" w:rsidRDefault="00ED69E9" w:rsidP="00535F48">
            <w:pPr>
              <w:rPr>
                <w:i/>
                <w:iCs/>
                <w:sz w:val="20"/>
                <w:szCs w:val="20"/>
                <w:lang w:val="en-US"/>
              </w:rPr>
            </w:pPr>
            <w:r w:rsidRPr="00535F48">
              <w:rPr>
                <w:i/>
                <w:iCs/>
                <w:sz w:val="20"/>
                <w:szCs w:val="20"/>
                <w:lang w:val="en-US"/>
              </w:rPr>
              <w:t>Von Bertalanffy growth model</w:t>
            </w:r>
          </w:p>
        </w:tc>
        <w:tc>
          <w:tcPr>
            <w:tcW w:w="1842" w:type="dxa"/>
            <w:vAlign w:val="center"/>
          </w:tcPr>
          <w:p w14:paraId="137AF526" w14:textId="634C0DC5" w:rsidR="00ED69E9" w:rsidRPr="00535F48" w:rsidRDefault="00ED69E9" w:rsidP="00535F48">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2/9 – 2/11/14</w:t>
            </w:r>
          </w:p>
        </w:tc>
        <w:tc>
          <w:tcPr>
            <w:tcW w:w="1843" w:type="dxa"/>
            <w:vAlign w:val="center"/>
          </w:tcPr>
          <w:p w14:paraId="6F1B7F74" w14:textId="4289ADF4" w:rsidR="00ED69E9" w:rsidRPr="00535F48" w:rsidRDefault="00ED69E9" w:rsidP="00535F48">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16/8 – 26/9/15</w:t>
            </w:r>
          </w:p>
        </w:tc>
        <w:tc>
          <w:tcPr>
            <w:tcW w:w="1843" w:type="dxa"/>
            <w:vAlign w:val="center"/>
          </w:tcPr>
          <w:p w14:paraId="0CF57E61" w14:textId="75ECF0BC" w:rsidR="00ED69E9" w:rsidRPr="00535F48" w:rsidRDefault="00ED69E9" w:rsidP="00535F48">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11/9 – 13/10/17</w:t>
            </w:r>
          </w:p>
        </w:tc>
        <w:tc>
          <w:tcPr>
            <w:tcW w:w="1843" w:type="dxa"/>
            <w:vAlign w:val="center"/>
          </w:tcPr>
          <w:p w14:paraId="40FDFED1" w14:textId="5A725316" w:rsidR="00ED69E9" w:rsidRPr="00535F48" w:rsidRDefault="00ED69E9" w:rsidP="00535F48">
            <w:pPr>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13/8 – 11/9/18</w:t>
            </w:r>
          </w:p>
        </w:tc>
      </w:tr>
      <w:tr w:rsidR="00ED69E9" w:rsidRPr="00535F48" w14:paraId="038E96CA" w14:textId="77777777" w:rsidTr="00535F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881473F" w14:textId="77777777" w:rsidR="00ED69E9" w:rsidRPr="00535F48" w:rsidRDefault="00ED69E9" w:rsidP="00535F48">
            <w:pPr>
              <w:rPr>
                <w:i/>
                <w:iCs/>
                <w:sz w:val="20"/>
                <w:szCs w:val="20"/>
                <w:lang w:val="en-US"/>
              </w:rPr>
            </w:pPr>
            <w:r w:rsidRPr="00535F48">
              <w:rPr>
                <w:i/>
                <w:iCs/>
                <w:sz w:val="20"/>
                <w:szCs w:val="20"/>
                <w:lang w:val="en-US"/>
              </w:rPr>
              <w:t>Existing linear model</w:t>
            </w:r>
          </w:p>
        </w:tc>
        <w:tc>
          <w:tcPr>
            <w:tcW w:w="1842" w:type="dxa"/>
            <w:vAlign w:val="center"/>
          </w:tcPr>
          <w:p w14:paraId="3296F6B5" w14:textId="6D6FCB42"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11/8 – 27/10/14</w:t>
            </w:r>
          </w:p>
        </w:tc>
        <w:tc>
          <w:tcPr>
            <w:tcW w:w="1843" w:type="dxa"/>
            <w:vAlign w:val="center"/>
          </w:tcPr>
          <w:p w14:paraId="648347C8" w14:textId="145B9D44"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8/8 – 30/9/15</w:t>
            </w:r>
          </w:p>
        </w:tc>
        <w:tc>
          <w:tcPr>
            <w:tcW w:w="1843" w:type="dxa"/>
            <w:vAlign w:val="center"/>
          </w:tcPr>
          <w:p w14:paraId="1B65AF2E" w14:textId="28FC2AFB"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8/9 – 26/9/17</w:t>
            </w:r>
          </w:p>
        </w:tc>
        <w:tc>
          <w:tcPr>
            <w:tcW w:w="1843" w:type="dxa"/>
            <w:vAlign w:val="center"/>
          </w:tcPr>
          <w:p w14:paraId="26FE444A" w14:textId="20FDF9C9" w:rsidR="00ED69E9" w:rsidRPr="00535F48" w:rsidRDefault="00ED69E9" w:rsidP="00535F48">
            <w:pPr>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12/8 – 1/9/18</w:t>
            </w:r>
          </w:p>
        </w:tc>
      </w:tr>
    </w:tbl>
    <w:p w14:paraId="63AFB57F" w14:textId="77777777" w:rsidR="00ED69E9" w:rsidRDefault="00ED69E9" w:rsidP="00ED69E9">
      <w:pPr>
        <w:rPr>
          <w:lang w:val="en-US"/>
        </w:rPr>
      </w:pPr>
      <w:r>
        <w:rPr>
          <w:noProof/>
          <w:lang w:eastAsia="en-AU"/>
        </w:rPr>
        <w:drawing>
          <wp:inline distT="0" distB="0" distL="0" distR="0" wp14:anchorId="3C615F25" wp14:editId="7E8BE98D">
            <wp:extent cx="5731510" cy="3540760"/>
            <wp:effectExtent l="0" t="0" r="254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731510" cy="3540760"/>
                    </a:xfrm>
                    <a:prstGeom prst="rect">
                      <a:avLst/>
                    </a:prstGeom>
                    <a:noFill/>
                    <a:ln>
                      <a:noFill/>
                    </a:ln>
                  </pic:spPr>
                </pic:pic>
              </a:graphicData>
            </a:graphic>
          </wp:inline>
        </w:drawing>
      </w:r>
    </w:p>
    <w:p w14:paraId="66D2BE19" w14:textId="70C36A43" w:rsidR="00ED69E9" w:rsidRPr="00227731" w:rsidRDefault="00ED69E9" w:rsidP="00ED69E9">
      <w:pPr>
        <w:pStyle w:val="Caption"/>
        <w:rPr>
          <w:lang w:val="en-US"/>
        </w:rPr>
      </w:pPr>
      <w:bookmarkStart w:id="495" w:name="_Ref26447617"/>
      <w:bookmarkStart w:id="496" w:name="_Toc31985633"/>
      <w:r w:rsidRPr="00227731">
        <w:rPr>
          <w:lang w:val="en-US"/>
        </w:rPr>
        <w:t xml:space="preserve">Figure </w:t>
      </w:r>
      <w:r w:rsidRPr="00227731">
        <w:rPr>
          <w:lang w:val="en-US"/>
        </w:rPr>
        <w:fldChar w:fldCharType="begin"/>
      </w:r>
      <w:r w:rsidRPr="00227731">
        <w:rPr>
          <w:lang w:val="en-US"/>
        </w:rPr>
        <w:instrText xml:space="preserve"> SEQ Figure \* ARABIC </w:instrText>
      </w:r>
      <w:r w:rsidRPr="00227731">
        <w:rPr>
          <w:lang w:val="en-US"/>
        </w:rPr>
        <w:fldChar w:fldCharType="separate"/>
      </w:r>
      <w:r w:rsidR="007F7607">
        <w:rPr>
          <w:noProof/>
          <w:lang w:val="en-US"/>
        </w:rPr>
        <w:t>69</w:t>
      </w:r>
      <w:r w:rsidRPr="00227731">
        <w:rPr>
          <w:lang w:val="en-US"/>
        </w:rPr>
        <w:fldChar w:fldCharType="end"/>
      </w:r>
      <w:bookmarkEnd w:id="495"/>
      <w:r w:rsidRPr="00227731">
        <w:rPr>
          <w:lang w:val="en-US"/>
        </w:rPr>
        <w:t xml:space="preserve">. Spawning density </w:t>
      </w:r>
      <w:r>
        <w:rPr>
          <w:lang w:val="en-US"/>
        </w:rPr>
        <w:t xml:space="preserve">estimates for each age model for </w:t>
      </w:r>
      <w:r w:rsidRPr="00227731">
        <w:rPr>
          <w:lang w:val="en-US"/>
        </w:rPr>
        <w:t>Australian smelt</w:t>
      </w:r>
      <w:r>
        <w:rPr>
          <w:lang w:val="en-US"/>
        </w:rPr>
        <w:t xml:space="preserve"> for each year</w:t>
      </w:r>
      <w:r w:rsidRPr="00227731">
        <w:rPr>
          <w:lang w:val="en-US"/>
        </w:rPr>
        <w:t xml:space="preserve"> (red = </w:t>
      </w:r>
      <w:r>
        <w:rPr>
          <w:lang w:val="en-US"/>
        </w:rPr>
        <w:t xml:space="preserve">known </w:t>
      </w:r>
      <w:r w:rsidRPr="00227731">
        <w:rPr>
          <w:lang w:val="en-US"/>
        </w:rPr>
        <w:t xml:space="preserve">age, blue = </w:t>
      </w:r>
      <w:r>
        <w:rPr>
          <w:lang w:val="en-US"/>
        </w:rPr>
        <w:t>Von Bertalanffy Growth Model</w:t>
      </w:r>
      <w:r w:rsidRPr="00227731">
        <w:rPr>
          <w:lang w:val="en-US"/>
        </w:rPr>
        <w:t xml:space="preserve">, green = existing </w:t>
      </w:r>
      <w:r>
        <w:rPr>
          <w:lang w:val="en-US"/>
        </w:rPr>
        <w:t>linear model</w:t>
      </w:r>
      <w:r w:rsidRPr="00227731">
        <w:rPr>
          <w:lang w:val="en-US"/>
        </w:rPr>
        <w:t>)</w:t>
      </w:r>
      <w:r>
        <w:rPr>
          <w:lang w:val="en-US"/>
        </w:rPr>
        <w:t>.</w:t>
      </w:r>
      <w:bookmarkEnd w:id="496"/>
    </w:p>
    <w:p w14:paraId="3DD3B3AD" w14:textId="77777777" w:rsidR="00ED69E9" w:rsidRDefault="00ED69E9" w:rsidP="00ED69E9">
      <w:pPr>
        <w:rPr>
          <w:lang w:val="en-US"/>
        </w:rPr>
      </w:pPr>
    </w:p>
    <w:p w14:paraId="7DA0D194" w14:textId="77777777" w:rsidR="00ED69E9" w:rsidRDefault="00ED69E9" w:rsidP="00ED69E9">
      <w:pPr>
        <w:pStyle w:val="Heading4"/>
      </w:pPr>
      <w:r>
        <w:t>Murray cod</w:t>
      </w:r>
    </w:p>
    <w:p w14:paraId="1D9523E3" w14:textId="08F7885A" w:rsidR="00ED69E9" w:rsidRPr="00F43697" w:rsidRDefault="00ED69E9" w:rsidP="00ED69E9">
      <w:pPr>
        <w:rPr>
          <w:lang w:val="en-US"/>
        </w:rPr>
      </w:pPr>
      <w:r w:rsidRPr="00F43697">
        <w:rPr>
          <w:lang w:val="en-US"/>
        </w:rPr>
        <w:t>Estimates of spawning windows of Murray cod of both the newly constructed and existing linear models aligned closely with the estimates based on known ages of larvae</w:t>
      </w:r>
      <w:r w:rsidR="00E60765">
        <w:rPr>
          <w:lang w:val="en-US"/>
        </w:rPr>
        <w:t xml:space="preserve"> (</w:t>
      </w:r>
      <w:r w:rsidR="00E60765">
        <w:rPr>
          <w:lang w:val="en-US"/>
        </w:rPr>
        <w:fldChar w:fldCharType="begin"/>
      </w:r>
      <w:r w:rsidR="00E60765">
        <w:rPr>
          <w:lang w:val="en-US"/>
        </w:rPr>
        <w:instrText xml:space="preserve"> REF _Ref31982232 \h </w:instrText>
      </w:r>
      <w:r w:rsidR="00E60765">
        <w:rPr>
          <w:lang w:val="en-US"/>
        </w:rPr>
      </w:r>
      <w:r w:rsidR="00E60765">
        <w:rPr>
          <w:lang w:val="en-US"/>
        </w:rPr>
        <w:fldChar w:fldCharType="separate"/>
      </w:r>
      <w:r w:rsidR="007F7607" w:rsidRPr="00444AD4">
        <w:rPr>
          <w:lang w:val="en-US"/>
        </w:rPr>
        <w:t xml:space="preserve">Table </w:t>
      </w:r>
      <w:r w:rsidR="007F7607">
        <w:rPr>
          <w:noProof/>
          <w:lang w:val="en-US"/>
        </w:rPr>
        <w:t>23</w:t>
      </w:r>
      <w:r w:rsidR="00E60765">
        <w:rPr>
          <w:lang w:val="en-US"/>
        </w:rPr>
        <w:fldChar w:fldCharType="end"/>
      </w:r>
      <w:r w:rsidR="00E60765">
        <w:rPr>
          <w:lang w:val="en-US"/>
        </w:rPr>
        <w:t>)</w:t>
      </w:r>
      <w:r w:rsidRPr="00F43697">
        <w:rPr>
          <w:lang w:val="en-US"/>
        </w:rPr>
        <w:t>. The main difference being that the existing model tended to estimate onset of spawning window 5 – 10 days prior to the known age spawning estimate</w:t>
      </w:r>
      <w:r w:rsidR="00E60765">
        <w:rPr>
          <w:lang w:val="en-US"/>
        </w:rPr>
        <w:t xml:space="preserve">. </w:t>
      </w:r>
      <w:r w:rsidRPr="00F43697">
        <w:rPr>
          <w:lang w:val="en-US"/>
        </w:rPr>
        <w:t>Spawning densit</w:t>
      </w:r>
      <w:r>
        <w:rPr>
          <w:lang w:val="en-US"/>
        </w:rPr>
        <w:t xml:space="preserve">y </w:t>
      </w:r>
      <w:r w:rsidRPr="00F43697">
        <w:rPr>
          <w:lang w:val="en-US"/>
        </w:rPr>
        <w:t>estimates had significant overlap between all three estimate methods for each year (</w:t>
      </w:r>
      <w:r>
        <w:rPr>
          <w:lang w:val="en-US"/>
        </w:rPr>
        <w:fldChar w:fldCharType="begin"/>
      </w:r>
      <w:r>
        <w:rPr>
          <w:lang w:val="en-US"/>
        </w:rPr>
        <w:instrText xml:space="preserve"> REF _Ref26522995 \h  \* MERGEFORMAT </w:instrText>
      </w:r>
      <w:r>
        <w:rPr>
          <w:lang w:val="en-US"/>
        </w:rPr>
      </w:r>
      <w:r>
        <w:rPr>
          <w:lang w:val="en-US"/>
        </w:rPr>
        <w:fldChar w:fldCharType="separate"/>
      </w:r>
      <w:r w:rsidR="007F7607" w:rsidRPr="00227731">
        <w:rPr>
          <w:lang w:val="en-US"/>
        </w:rPr>
        <w:t xml:space="preserve">Figure </w:t>
      </w:r>
      <w:r w:rsidR="007F7607">
        <w:rPr>
          <w:lang w:val="en-US"/>
        </w:rPr>
        <w:t>70</w:t>
      </w:r>
      <w:r>
        <w:rPr>
          <w:lang w:val="en-US"/>
        </w:rPr>
        <w:fldChar w:fldCharType="end"/>
      </w:r>
      <w:r w:rsidRPr="00F43697">
        <w:rPr>
          <w:lang w:val="en-US"/>
        </w:rPr>
        <w:t>).</w:t>
      </w:r>
    </w:p>
    <w:p w14:paraId="7D8E7E86" w14:textId="77777777" w:rsidR="00ED69E9" w:rsidRDefault="00ED69E9" w:rsidP="00ED69E9">
      <w:pPr>
        <w:rPr>
          <w:lang w:val="en-US"/>
        </w:rPr>
      </w:pPr>
    </w:p>
    <w:p w14:paraId="5E98CA52" w14:textId="7306A260" w:rsidR="00ED69E9" w:rsidRPr="00444AD4" w:rsidRDefault="00682B8E" w:rsidP="00ED69E9">
      <w:pPr>
        <w:pStyle w:val="Caption"/>
        <w:rPr>
          <w:lang w:val="en-US"/>
        </w:rPr>
      </w:pPr>
      <w:bookmarkStart w:id="497" w:name="_Ref31982232"/>
      <w:bookmarkStart w:id="498" w:name="_Toc31985690"/>
      <w:r w:rsidRPr="00444AD4">
        <w:rPr>
          <w:lang w:val="en-US"/>
        </w:rPr>
        <w:t xml:space="preserve">Table </w:t>
      </w:r>
      <w:r w:rsidRPr="00444AD4">
        <w:rPr>
          <w:lang w:val="en-US"/>
        </w:rPr>
        <w:fldChar w:fldCharType="begin"/>
      </w:r>
      <w:r w:rsidRPr="00444AD4">
        <w:rPr>
          <w:lang w:val="en-US"/>
        </w:rPr>
        <w:instrText xml:space="preserve"> SEQ Table \* ARABIC </w:instrText>
      </w:r>
      <w:r w:rsidRPr="00444AD4">
        <w:rPr>
          <w:lang w:val="en-US"/>
        </w:rPr>
        <w:fldChar w:fldCharType="separate"/>
      </w:r>
      <w:r w:rsidR="007F7607">
        <w:rPr>
          <w:noProof/>
          <w:lang w:val="en-US"/>
        </w:rPr>
        <w:t>23</w:t>
      </w:r>
      <w:r w:rsidRPr="00444AD4">
        <w:rPr>
          <w:lang w:val="en-US"/>
        </w:rPr>
        <w:fldChar w:fldCharType="end"/>
      </w:r>
      <w:bookmarkEnd w:id="497"/>
      <w:r>
        <w:rPr>
          <w:lang w:val="en-US"/>
        </w:rPr>
        <w:t>.</w:t>
      </w:r>
      <w:r w:rsidRPr="00444AD4">
        <w:rPr>
          <w:lang w:val="en-US"/>
        </w:rPr>
        <w:t xml:space="preserve"> </w:t>
      </w:r>
      <w:r w:rsidR="00ED69E9" w:rsidRPr="00444AD4">
        <w:rPr>
          <w:lang w:val="en-US"/>
        </w:rPr>
        <w:t>Estimated spawning window on Murray cod based on known age, new linear model and existing linear model for each year.</w:t>
      </w:r>
      <w:bookmarkEnd w:id="498"/>
    </w:p>
    <w:tbl>
      <w:tblPr>
        <w:tblStyle w:val="GridTable4-Accent3"/>
        <w:tblW w:w="0" w:type="auto"/>
        <w:tblLook w:val="04A0" w:firstRow="1" w:lastRow="0" w:firstColumn="1" w:lastColumn="0" w:noHBand="0" w:noVBand="1"/>
      </w:tblPr>
      <w:tblGrid>
        <w:gridCol w:w="1555"/>
        <w:gridCol w:w="1842"/>
        <w:gridCol w:w="1843"/>
        <w:gridCol w:w="1843"/>
        <w:gridCol w:w="1843"/>
      </w:tblGrid>
      <w:tr w:rsidR="00ED69E9" w:rsidRPr="00535F48" w14:paraId="282B15E3" w14:textId="77777777" w:rsidTr="00535F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6969E82" w14:textId="77777777" w:rsidR="00ED69E9" w:rsidRPr="00535F48" w:rsidRDefault="00ED69E9" w:rsidP="00E60765">
            <w:pPr>
              <w:spacing w:line="264" w:lineRule="auto"/>
              <w:rPr>
                <w:b w:val="0"/>
                <w:bCs w:val="0"/>
                <w:sz w:val="20"/>
                <w:szCs w:val="20"/>
                <w:lang w:val="en-US"/>
              </w:rPr>
            </w:pPr>
            <w:r w:rsidRPr="00535F48">
              <w:rPr>
                <w:sz w:val="20"/>
                <w:szCs w:val="20"/>
                <w:lang w:val="en-US"/>
              </w:rPr>
              <w:t>Estimate method</w:t>
            </w:r>
          </w:p>
        </w:tc>
        <w:tc>
          <w:tcPr>
            <w:tcW w:w="1842" w:type="dxa"/>
            <w:vAlign w:val="center"/>
          </w:tcPr>
          <w:p w14:paraId="7B4B9838" w14:textId="77777777" w:rsidR="00ED69E9" w:rsidRPr="00535F48" w:rsidRDefault="00ED69E9" w:rsidP="00E60765">
            <w:pPr>
              <w:spacing w:line="264"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2014</w:t>
            </w:r>
          </w:p>
        </w:tc>
        <w:tc>
          <w:tcPr>
            <w:tcW w:w="1843" w:type="dxa"/>
            <w:vAlign w:val="center"/>
          </w:tcPr>
          <w:p w14:paraId="1E1BA8FD" w14:textId="77777777" w:rsidR="00ED69E9" w:rsidRPr="00535F48" w:rsidRDefault="00ED69E9" w:rsidP="00E60765">
            <w:pPr>
              <w:spacing w:line="264"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2015</w:t>
            </w:r>
          </w:p>
        </w:tc>
        <w:tc>
          <w:tcPr>
            <w:tcW w:w="1843" w:type="dxa"/>
            <w:vAlign w:val="center"/>
          </w:tcPr>
          <w:p w14:paraId="262EA324" w14:textId="77777777" w:rsidR="00ED69E9" w:rsidRPr="00535F48" w:rsidRDefault="00ED69E9" w:rsidP="00E60765">
            <w:pPr>
              <w:spacing w:line="264"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2017</w:t>
            </w:r>
          </w:p>
        </w:tc>
        <w:tc>
          <w:tcPr>
            <w:tcW w:w="1843" w:type="dxa"/>
            <w:vAlign w:val="center"/>
          </w:tcPr>
          <w:p w14:paraId="66355C84" w14:textId="77777777" w:rsidR="00ED69E9" w:rsidRPr="00535F48" w:rsidRDefault="00ED69E9" w:rsidP="00E60765">
            <w:pPr>
              <w:spacing w:line="264"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535F48">
              <w:rPr>
                <w:sz w:val="20"/>
                <w:szCs w:val="20"/>
                <w:lang w:val="en-US"/>
              </w:rPr>
              <w:t>2018</w:t>
            </w:r>
          </w:p>
        </w:tc>
      </w:tr>
      <w:tr w:rsidR="00ED69E9" w:rsidRPr="00535F48" w14:paraId="6E7461C0" w14:textId="77777777" w:rsidTr="00535F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7F36874" w14:textId="77777777" w:rsidR="00ED69E9" w:rsidRPr="00535F48" w:rsidRDefault="00ED69E9" w:rsidP="00E60765">
            <w:pPr>
              <w:spacing w:line="264" w:lineRule="auto"/>
              <w:rPr>
                <w:i/>
                <w:iCs/>
                <w:sz w:val="20"/>
                <w:szCs w:val="20"/>
                <w:lang w:val="en-US"/>
              </w:rPr>
            </w:pPr>
            <w:r w:rsidRPr="00535F48">
              <w:rPr>
                <w:i/>
                <w:iCs/>
                <w:sz w:val="20"/>
                <w:szCs w:val="20"/>
                <w:lang w:val="en-US"/>
              </w:rPr>
              <w:t>Known age</w:t>
            </w:r>
          </w:p>
        </w:tc>
        <w:tc>
          <w:tcPr>
            <w:tcW w:w="1842" w:type="dxa"/>
            <w:vAlign w:val="center"/>
          </w:tcPr>
          <w:p w14:paraId="6FFAEC73" w14:textId="0CDAF313"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1/10 – 28/10/14</w:t>
            </w:r>
          </w:p>
        </w:tc>
        <w:tc>
          <w:tcPr>
            <w:tcW w:w="1843" w:type="dxa"/>
            <w:vAlign w:val="center"/>
          </w:tcPr>
          <w:p w14:paraId="084DEE78" w14:textId="773FFD5F"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17/10 – 20/10/15</w:t>
            </w:r>
          </w:p>
        </w:tc>
        <w:tc>
          <w:tcPr>
            <w:tcW w:w="1843" w:type="dxa"/>
            <w:vAlign w:val="center"/>
          </w:tcPr>
          <w:p w14:paraId="30C21A48" w14:textId="3ECF9998"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28/9</w:t>
            </w:r>
            <w:r w:rsidR="00535F48">
              <w:rPr>
                <w:sz w:val="20"/>
                <w:szCs w:val="20"/>
                <w:lang w:val="en-US"/>
              </w:rPr>
              <w:t xml:space="preserve"> </w:t>
            </w:r>
            <w:r w:rsidRPr="00535F48">
              <w:rPr>
                <w:sz w:val="20"/>
                <w:szCs w:val="20"/>
                <w:lang w:val="en-US"/>
              </w:rPr>
              <w:t>– 27/10/17</w:t>
            </w:r>
          </w:p>
        </w:tc>
        <w:tc>
          <w:tcPr>
            <w:tcW w:w="1843" w:type="dxa"/>
            <w:vAlign w:val="center"/>
          </w:tcPr>
          <w:p w14:paraId="217707D6" w14:textId="3ED5B6EC"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3/10 – 11/10/18</w:t>
            </w:r>
          </w:p>
        </w:tc>
      </w:tr>
      <w:tr w:rsidR="00ED69E9" w:rsidRPr="00535F48" w14:paraId="02DCFE4C" w14:textId="77777777" w:rsidTr="00535F48">
        <w:tc>
          <w:tcPr>
            <w:cnfStyle w:val="001000000000" w:firstRow="0" w:lastRow="0" w:firstColumn="1" w:lastColumn="0" w:oddVBand="0" w:evenVBand="0" w:oddHBand="0" w:evenHBand="0" w:firstRowFirstColumn="0" w:firstRowLastColumn="0" w:lastRowFirstColumn="0" w:lastRowLastColumn="0"/>
            <w:tcW w:w="1555" w:type="dxa"/>
          </w:tcPr>
          <w:p w14:paraId="01D6E7C2" w14:textId="77777777" w:rsidR="00ED69E9" w:rsidRPr="00535F48" w:rsidRDefault="00ED69E9" w:rsidP="00E60765">
            <w:pPr>
              <w:spacing w:line="264" w:lineRule="auto"/>
              <w:rPr>
                <w:i/>
                <w:iCs/>
                <w:sz w:val="20"/>
                <w:szCs w:val="20"/>
                <w:lang w:val="en-US"/>
              </w:rPr>
            </w:pPr>
            <w:r w:rsidRPr="00535F48">
              <w:rPr>
                <w:i/>
                <w:iCs/>
                <w:sz w:val="20"/>
                <w:szCs w:val="20"/>
                <w:lang w:val="en-US"/>
              </w:rPr>
              <w:t>New linear model</w:t>
            </w:r>
          </w:p>
        </w:tc>
        <w:tc>
          <w:tcPr>
            <w:tcW w:w="1842" w:type="dxa"/>
            <w:vAlign w:val="center"/>
          </w:tcPr>
          <w:p w14:paraId="2C85AB42" w14:textId="0D0B784E" w:rsidR="00ED69E9" w:rsidRPr="00535F48" w:rsidRDefault="00ED69E9" w:rsidP="00E60765">
            <w:pPr>
              <w:spacing w:line="264" w:lineRule="auto"/>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3/10 – 23/10/14</w:t>
            </w:r>
          </w:p>
        </w:tc>
        <w:tc>
          <w:tcPr>
            <w:tcW w:w="1843" w:type="dxa"/>
            <w:vAlign w:val="center"/>
          </w:tcPr>
          <w:p w14:paraId="1F07DC25" w14:textId="6AE2943F" w:rsidR="00ED69E9" w:rsidRPr="00535F48" w:rsidRDefault="00ED69E9" w:rsidP="00E60765">
            <w:pPr>
              <w:spacing w:line="264" w:lineRule="auto"/>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11/10 – 16/10/15</w:t>
            </w:r>
          </w:p>
        </w:tc>
        <w:tc>
          <w:tcPr>
            <w:tcW w:w="1843" w:type="dxa"/>
            <w:vAlign w:val="center"/>
          </w:tcPr>
          <w:p w14:paraId="0B9547C5" w14:textId="62DB8039" w:rsidR="00ED69E9" w:rsidRPr="00535F48" w:rsidRDefault="00ED69E9" w:rsidP="00E60765">
            <w:pPr>
              <w:spacing w:line="264" w:lineRule="auto"/>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26/9 – 25/10/17</w:t>
            </w:r>
          </w:p>
        </w:tc>
        <w:tc>
          <w:tcPr>
            <w:tcW w:w="1843" w:type="dxa"/>
            <w:vAlign w:val="center"/>
          </w:tcPr>
          <w:p w14:paraId="78EEF940" w14:textId="309854A1" w:rsidR="00ED69E9" w:rsidRPr="00535F48" w:rsidRDefault="00ED69E9" w:rsidP="00E60765">
            <w:pPr>
              <w:spacing w:line="264" w:lineRule="auto"/>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535F48">
              <w:rPr>
                <w:sz w:val="20"/>
                <w:szCs w:val="20"/>
                <w:lang w:val="en-US"/>
              </w:rPr>
              <w:t>2/10 – 9/10/18</w:t>
            </w:r>
          </w:p>
        </w:tc>
      </w:tr>
      <w:tr w:rsidR="00ED69E9" w:rsidRPr="00535F48" w14:paraId="0E5D108A" w14:textId="77777777" w:rsidTr="00535F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144867" w14:textId="77777777" w:rsidR="00ED69E9" w:rsidRPr="00535F48" w:rsidRDefault="00ED69E9" w:rsidP="00E60765">
            <w:pPr>
              <w:spacing w:line="264" w:lineRule="auto"/>
              <w:rPr>
                <w:i/>
                <w:iCs/>
                <w:sz w:val="20"/>
                <w:szCs w:val="20"/>
                <w:lang w:val="en-US"/>
              </w:rPr>
            </w:pPr>
            <w:r w:rsidRPr="00535F48">
              <w:rPr>
                <w:i/>
                <w:iCs/>
                <w:sz w:val="20"/>
                <w:szCs w:val="20"/>
                <w:lang w:val="en-US"/>
              </w:rPr>
              <w:t>Existing linear model</w:t>
            </w:r>
          </w:p>
        </w:tc>
        <w:tc>
          <w:tcPr>
            <w:tcW w:w="1842" w:type="dxa"/>
            <w:vAlign w:val="center"/>
          </w:tcPr>
          <w:p w14:paraId="6C2A8A5C" w14:textId="58946A77"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26/9 – 26/10/14</w:t>
            </w:r>
          </w:p>
        </w:tc>
        <w:tc>
          <w:tcPr>
            <w:tcW w:w="1843" w:type="dxa"/>
            <w:vAlign w:val="center"/>
          </w:tcPr>
          <w:p w14:paraId="370ACE67" w14:textId="15C88836"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9/10 – 20/10/15</w:t>
            </w:r>
          </w:p>
        </w:tc>
        <w:tc>
          <w:tcPr>
            <w:tcW w:w="1843" w:type="dxa"/>
            <w:vAlign w:val="center"/>
          </w:tcPr>
          <w:p w14:paraId="349D1D4F" w14:textId="1103CA6F"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18/9 – 26/10/17</w:t>
            </w:r>
          </w:p>
        </w:tc>
        <w:tc>
          <w:tcPr>
            <w:tcW w:w="1843" w:type="dxa"/>
            <w:vAlign w:val="center"/>
          </w:tcPr>
          <w:p w14:paraId="0A7A3C04" w14:textId="452B857F" w:rsidR="00ED69E9" w:rsidRPr="00535F48" w:rsidRDefault="00ED69E9" w:rsidP="00E60765">
            <w:pPr>
              <w:spacing w:line="264" w:lineRule="auto"/>
              <w:jc w:val="center"/>
              <w:cnfStyle w:val="000000100000" w:firstRow="0" w:lastRow="0" w:firstColumn="0" w:lastColumn="0" w:oddVBand="0" w:evenVBand="0" w:oddHBand="1" w:evenHBand="0" w:firstRowFirstColumn="0" w:firstRowLastColumn="0" w:lastRowFirstColumn="0" w:lastRowLastColumn="0"/>
              <w:rPr>
                <w:sz w:val="20"/>
                <w:szCs w:val="20"/>
                <w:lang w:val="en-US"/>
              </w:rPr>
            </w:pPr>
            <w:r w:rsidRPr="00535F48">
              <w:rPr>
                <w:sz w:val="20"/>
                <w:szCs w:val="20"/>
                <w:lang w:val="en-US"/>
              </w:rPr>
              <w:t>24/9 – 11/10/18</w:t>
            </w:r>
          </w:p>
        </w:tc>
      </w:tr>
    </w:tbl>
    <w:p w14:paraId="2350429F" w14:textId="77777777" w:rsidR="00ED69E9" w:rsidRDefault="00ED69E9" w:rsidP="00ED69E9">
      <w:pPr>
        <w:rPr>
          <w:lang w:val="en-US"/>
        </w:rPr>
      </w:pPr>
    </w:p>
    <w:p w14:paraId="591881FC" w14:textId="77777777" w:rsidR="00ED69E9" w:rsidRDefault="00ED69E9" w:rsidP="00ED69E9">
      <w:pPr>
        <w:rPr>
          <w:lang w:val="en-US"/>
        </w:rPr>
      </w:pPr>
      <w:r>
        <w:rPr>
          <w:noProof/>
          <w:lang w:eastAsia="en-AU"/>
        </w:rPr>
        <w:drawing>
          <wp:inline distT="0" distB="0" distL="0" distR="0" wp14:anchorId="588BC1A1" wp14:editId="04901DA0">
            <wp:extent cx="5731510" cy="3542030"/>
            <wp:effectExtent l="0" t="0" r="254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1C3F918B" w14:textId="4DC8EC58" w:rsidR="00ED69E9" w:rsidRDefault="00ED69E9" w:rsidP="00ED69E9">
      <w:pPr>
        <w:pStyle w:val="Caption"/>
        <w:rPr>
          <w:lang w:val="en-US"/>
        </w:rPr>
      </w:pPr>
      <w:bookmarkStart w:id="499" w:name="_Ref26522995"/>
      <w:bookmarkStart w:id="500" w:name="_Toc31985634"/>
      <w:r w:rsidRPr="00227731">
        <w:rPr>
          <w:lang w:val="en-US"/>
        </w:rPr>
        <w:t xml:space="preserve">Figure </w:t>
      </w:r>
      <w:r w:rsidRPr="00227731">
        <w:rPr>
          <w:lang w:val="en-US"/>
        </w:rPr>
        <w:fldChar w:fldCharType="begin"/>
      </w:r>
      <w:r w:rsidRPr="00227731">
        <w:rPr>
          <w:lang w:val="en-US"/>
        </w:rPr>
        <w:instrText xml:space="preserve"> SEQ Figure \* ARABIC </w:instrText>
      </w:r>
      <w:r w:rsidRPr="00227731">
        <w:rPr>
          <w:lang w:val="en-US"/>
        </w:rPr>
        <w:fldChar w:fldCharType="separate"/>
      </w:r>
      <w:r w:rsidR="007F7607">
        <w:rPr>
          <w:noProof/>
          <w:lang w:val="en-US"/>
        </w:rPr>
        <w:t>70</w:t>
      </w:r>
      <w:r w:rsidRPr="00227731">
        <w:rPr>
          <w:lang w:val="en-US"/>
        </w:rPr>
        <w:fldChar w:fldCharType="end"/>
      </w:r>
      <w:bookmarkEnd w:id="499"/>
      <w:r w:rsidRPr="00227731">
        <w:rPr>
          <w:lang w:val="en-US"/>
        </w:rPr>
        <w:t xml:space="preserve">. Spawning density </w:t>
      </w:r>
      <w:r>
        <w:rPr>
          <w:lang w:val="en-US"/>
        </w:rPr>
        <w:t>estimates for each age model for Murray cod for each year</w:t>
      </w:r>
      <w:r w:rsidRPr="00227731">
        <w:rPr>
          <w:lang w:val="en-US"/>
        </w:rPr>
        <w:t xml:space="preserve"> (red = </w:t>
      </w:r>
      <w:r>
        <w:rPr>
          <w:lang w:val="en-US"/>
        </w:rPr>
        <w:t xml:space="preserve">known </w:t>
      </w:r>
      <w:r w:rsidRPr="00227731">
        <w:rPr>
          <w:lang w:val="en-US"/>
        </w:rPr>
        <w:t xml:space="preserve">age, blue = </w:t>
      </w:r>
      <w:r>
        <w:rPr>
          <w:lang w:val="en-US"/>
        </w:rPr>
        <w:t>newly constructed linear model,</w:t>
      </w:r>
      <w:r w:rsidRPr="00227731">
        <w:rPr>
          <w:lang w:val="en-US"/>
        </w:rPr>
        <w:t xml:space="preserve"> green = existing </w:t>
      </w:r>
      <w:r>
        <w:rPr>
          <w:lang w:val="en-US"/>
        </w:rPr>
        <w:t>linear model</w:t>
      </w:r>
      <w:r w:rsidRPr="00227731">
        <w:rPr>
          <w:lang w:val="en-US"/>
        </w:rPr>
        <w:t>)</w:t>
      </w:r>
      <w:r>
        <w:rPr>
          <w:lang w:val="en-US"/>
        </w:rPr>
        <w:t>.</w:t>
      </w:r>
      <w:bookmarkEnd w:id="500"/>
    </w:p>
    <w:p w14:paraId="1EDAFABA" w14:textId="77777777" w:rsidR="00E60765" w:rsidRPr="00E60765" w:rsidRDefault="00E60765" w:rsidP="00E60765">
      <w:pPr>
        <w:rPr>
          <w:lang w:val="en-US"/>
        </w:rPr>
      </w:pPr>
    </w:p>
    <w:p w14:paraId="4DBF31AD" w14:textId="77777777" w:rsidR="00ED69E9" w:rsidRPr="00ED69E9" w:rsidRDefault="00ED69E9" w:rsidP="00ED69E9">
      <w:pPr>
        <w:pStyle w:val="Heading3"/>
        <w:rPr>
          <w:rFonts w:eastAsia="Calibri"/>
        </w:rPr>
      </w:pPr>
      <w:bookmarkStart w:id="501" w:name="_Toc31985524"/>
      <w:r w:rsidRPr="00ED69E9">
        <w:rPr>
          <w:rFonts w:eastAsia="Calibri"/>
        </w:rPr>
        <w:t>Growth</w:t>
      </w:r>
      <w:bookmarkEnd w:id="501"/>
    </w:p>
    <w:p w14:paraId="3AE18BD2" w14:textId="77777777" w:rsidR="00ED69E9" w:rsidRDefault="00ED69E9" w:rsidP="00ED69E9">
      <w:pPr>
        <w:pStyle w:val="Heading4"/>
      </w:pPr>
      <w:r w:rsidRPr="00AB4B5B">
        <w:t>Australian smelt</w:t>
      </w:r>
    </w:p>
    <w:p w14:paraId="79BDC62F" w14:textId="4BADA77E" w:rsidR="00ED69E9" w:rsidRPr="00085792" w:rsidRDefault="00ED69E9" w:rsidP="00ED69E9">
      <w:pPr>
        <w:rPr>
          <w:lang w:val="en-US"/>
        </w:rPr>
      </w:pPr>
      <w:r w:rsidRPr="00F9271F">
        <w:rPr>
          <w:lang w:val="en-US"/>
        </w:rPr>
        <w:t>Our data suggest that there were some differences between growth of Australian smelt between years. For the same ages, individuals captured in 2015 were larger than those captured in 2017 (</w:t>
      </w:r>
      <w:r>
        <w:rPr>
          <w:lang w:val="en-US"/>
        </w:rPr>
        <w:fldChar w:fldCharType="begin"/>
      </w:r>
      <w:r>
        <w:rPr>
          <w:lang w:val="en-US"/>
        </w:rPr>
        <w:instrText xml:space="preserve"> REF _Ref26447631 \h  \* MERGEFORMAT </w:instrText>
      </w:r>
      <w:r>
        <w:rPr>
          <w:lang w:val="en-US"/>
        </w:rPr>
      </w:r>
      <w:r>
        <w:rPr>
          <w:lang w:val="en-US"/>
        </w:rPr>
        <w:fldChar w:fldCharType="separate"/>
      </w:r>
      <w:r w:rsidR="007F7607" w:rsidRPr="00A75B17">
        <w:rPr>
          <w:lang w:val="en-US"/>
        </w:rPr>
        <w:t xml:space="preserve">Figure </w:t>
      </w:r>
      <w:r w:rsidR="007F7607">
        <w:rPr>
          <w:lang w:val="en-US"/>
        </w:rPr>
        <w:t>71</w:t>
      </w:r>
      <w:r>
        <w:rPr>
          <w:lang w:val="en-US"/>
        </w:rPr>
        <w:fldChar w:fldCharType="end"/>
      </w:r>
      <w:r w:rsidRPr="00F9271F">
        <w:rPr>
          <w:lang w:val="en-US"/>
        </w:rPr>
        <w:t xml:space="preserve">). </w:t>
      </w:r>
      <w:r>
        <w:rPr>
          <w:lang w:val="en-US"/>
        </w:rPr>
        <w:t>I</w:t>
      </w:r>
      <w:r w:rsidRPr="00F9271F">
        <w:rPr>
          <w:lang w:val="en-US"/>
        </w:rPr>
        <w:t>ndividuals from 2014 and 2015 appeared to follow the same size at age trajectory and were similar to individuals captured in 2018 (</w:t>
      </w:r>
      <w:r>
        <w:rPr>
          <w:lang w:val="en-US"/>
        </w:rPr>
        <w:fldChar w:fldCharType="begin"/>
      </w:r>
      <w:r>
        <w:rPr>
          <w:lang w:val="en-US"/>
        </w:rPr>
        <w:instrText xml:space="preserve"> REF _Ref26447631 \h  \* MERGEFORMAT </w:instrText>
      </w:r>
      <w:r>
        <w:rPr>
          <w:lang w:val="en-US"/>
        </w:rPr>
      </w:r>
      <w:r>
        <w:rPr>
          <w:lang w:val="en-US"/>
        </w:rPr>
        <w:fldChar w:fldCharType="separate"/>
      </w:r>
      <w:r w:rsidR="007F7607" w:rsidRPr="00A75B17">
        <w:rPr>
          <w:lang w:val="en-US"/>
        </w:rPr>
        <w:t xml:space="preserve">Figure </w:t>
      </w:r>
      <w:r w:rsidR="007F7607">
        <w:rPr>
          <w:lang w:val="en-US"/>
        </w:rPr>
        <w:t>71</w:t>
      </w:r>
      <w:r>
        <w:rPr>
          <w:lang w:val="en-US"/>
        </w:rPr>
        <w:fldChar w:fldCharType="end"/>
      </w:r>
      <w:r w:rsidRPr="00F9271F">
        <w:rPr>
          <w:lang w:val="en-US"/>
        </w:rPr>
        <w:t>).</w:t>
      </w:r>
      <w:r>
        <w:rPr>
          <w:lang w:val="en-US"/>
        </w:rPr>
        <w:t xml:space="preserve"> In general, there was a positive relationship between gross primary productivity (GPP) and daily growth of Australian smelt</w:t>
      </w:r>
      <w:r w:rsidR="00617FB3">
        <w:rPr>
          <w:lang w:val="en-US"/>
        </w:rPr>
        <w:t>.</w:t>
      </w:r>
      <w:r>
        <w:rPr>
          <w:lang w:val="en-US"/>
        </w:rPr>
        <w:t xml:space="preserve"> </w:t>
      </w:r>
      <w:r w:rsidR="00617FB3">
        <w:rPr>
          <w:lang w:val="en-US"/>
        </w:rPr>
        <w:t>T</w:t>
      </w:r>
      <w:r>
        <w:rPr>
          <w:lang w:val="en-US"/>
        </w:rPr>
        <w:t>he exception was 2015 where there was a very weak negative relationship (</w:t>
      </w:r>
      <w:r>
        <w:rPr>
          <w:lang w:val="en-US"/>
        </w:rPr>
        <w:fldChar w:fldCharType="begin"/>
      </w:r>
      <w:r>
        <w:rPr>
          <w:lang w:val="en-US"/>
        </w:rPr>
        <w:instrText xml:space="preserve"> REF _Ref26447657 \h  \* MERGEFORMAT </w:instrText>
      </w:r>
      <w:r>
        <w:rPr>
          <w:lang w:val="en-US"/>
        </w:rPr>
      </w:r>
      <w:r>
        <w:rPr>
          <w:lang w:val="en-US"/>
        </w:rPr>
        <w:fldChar w:fldCharType="separate"/>
      </w:r>
      <w:r w:rsidR="007F7607" w:rsidRPr="00A75B17">
        <w:rPr>
          <w:lang w:val="en-US"/>
        </w:rPr>
        <w:t xml:space="preserve">Figure </w:t>
      </w:r>
      <w:r w:rsidR="007F7607">
        <w:rPr>
          <w:lang w:val="en-US"/>
        </w:rPr>
        <w:t>72</w:t>
      </w:r>
      <w:r>
        <w:rPr>
          <w:lang w:val="en-US"/>
        </w:rPr>
        <w:fldChar w:fldCharType="end"/>
      </w:r>
      <w:r>
        <w:rPr>
          <w:lang w:val="en-US"/>
        </w:rPr>
        <w:t xml:space="preserve">). Relationships between daily growth and GPP </w:t>
      </w:r>
      <w:r w:rsidR="00617FB3">
        <w:rPr>
          <w:lang w:val="en-US"/>
        </w:rPr>
        <w:t xml:space="preserve">were </w:t>
      </w:r>
      <w:r>
        <w:rPr>
          <w:lang w:val="en-US"/>
        </w:rPr>
        <w:t>significant for all years and models tested, but the models only provided a weak explanation of the relationship (indicated by low R-squared values). The strongest relationship between GPP and daily growth of Australian smelt occurred in 2014 (</w:t>
      </w:r>
      <w:r>
        <w:rPr>
          <w:lang w:val="en-US"/>
        </w:rPr>
        <w:fldChar w:fldCharType="begin"/>
      </w:r>
      <w:r>
        <w:rPr>
          <w:lang w:val="en-US"/>
        </w:rPr>
        <w:instrText xml:space="preserve"> REF _Ref26522901 \h  \* MERGEFORMAT </w:instrText>
      </w:r>
      <w:r>
        <w:rPr>
          <w:lang w:val="en-US"/>
        </w:rPr>
      </w:r>
      <w:r>
        <w:rPr>
          <w:lang w:val="en-US"/>
        </w:rPr>
        <w:fldChar w:fldCharType="separate"/>
      </w:r>
      <w:r w:rsidR="007F7607" w:rsidRPr="00444AD4">
        <w:rPr>
          <w:lang w:val="en-US"/>
        </w:rPr>
        <w:t xml:space="preserve">Table </w:t>
      </w:r>
      <w:r w:rsidR="007F7607">
        <w:rPr>
          <w:lang w:val="en-US"/>
        </w:rPr>
        <w:t>24</w:t>
      </w:r>
      <w:r>
        <w:rPr>
          <w:lang w:val="en-US"/>
        </w:rPr>
        <w:fldChar w:fldCharType="end"/>
      </w:r>
      <w:r>
        <w:rPr>
          <w:lang w:val="en-US"/>
        </w:rPr>
        <w:t xml:space="preserve"> and </w:t>
      </w:r>
      <w:r>
        <w:rPr>
          <w:lang w:val="en-US"/>
        </w:rPr>
        <w:fldChar w:fldCharType="begin"/>
      </w:r>
      <w:r>
        <w:rPr>
          <w:lang w:val="en-US"/>
        </w:rPr>
        <w:instrText xml:space="preserve"> REF _Ref26447657 \h  \* MERGEFORMAT </w:instrText>
      </w:r>
      <w:r>
        <w:rPr>
          <w:lang w:val="en-US"/>
        </w:rPr>
      </w:r>
      <w:r>
        <w:rPr>
          <w:lang w:val="en-US"/>
        </w:rPr>
        <w:fldChar w:fldCharType="separate"/>
      </w:r>
      <w:r w:rsidR="007F7607" w:rsidRPr="00A75B17">
        <w:rPr>
          <w:lang w:val="en-US"/>
        </w:rPr>
        <w:t xml:space="preserve">Figure </w:t>
      </w:r>
      <w:r w:rsidR="007F7607">
        <w:rPr>
          <w:lang w:val="en-US"/>
        </w:rPr>
        <w:t>72</w:t>
      </w:r>
      <w:r>
        <w:rPr>
          <w:lang w:val="en-US"/>
        </w:rPr>
        <w:fldChar w:fldCharType="end"/>
      </w:r>
      <w:r>
        <w:rPr>
          <w:lang w:val="en-US"/>
        </w:rPr>
        <w:t>). Differentials in rolling mean lag (</w:t>
      </w:r>
      <w:r w:rsidR="00531E46">
        <w:rPr>
          <w:lang w:val="en-US"/>
        </w:rPr>
        <w:t xml:space="preserve">i.e. mean GPP over the previous </w:t>
      </w:r>
      <w:r>
        <w:rPr>
          <w:lang w:val="en-US"/>
        </w:rPr>
        <w:t>3, 5 or 7 days) did not seem to significantly change the strength of the relationships between daily growth and GPP.</w:t>
      </w:r>
    </w:p>
    <w:p w14:paraId="57B9B8BF" w14:textId="77777777" w:rsidR="00ED69E9" w:rsidRDefault="00ED69E9" w:rsidP="00ED69E9">
      <w:pPr>
        <w:rPr>
          <w:lang w:val="en-US"/>
        </w:rPr>
      </w:pPr>
      <w:r>
        <w:rPr>
          <w:noProof/>
          <w:lang w:eastAsia="en-AU"/>
        </w:rPr>
        <w:drawing>
          <wp:inline distT="0" distB="0" distL="0" distR="0" wp14:anchorId="27CD3853" wp14:editId="442911E9">
            <wp:extent cx="5209530" cy="32194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234816" cy="3235077"/>
                    </a:xfrm>
                    <a:prstGeom prst="rect">
                      <a:avLst/>
                    </a:prstGeom>
                    <a:noFill/>
                    <a:ln>
                      <a:noFill/>
                    </a:ln>
                  </pic:spPr>
                </pic:pic>
              </a:graphicData>
            </a:graphic>
          </wp:inline>
        </w:drawing>
      </w:r>
    </w:p>
    <w:p w14:paraId="0AF15BA5" w14:textId="391888E9" w:rsidR="00ED69E9" w:rsidRPr="00A75B17" w:rsidRDefault="00ED69E9" w:rsidP="00ED69E9">
      <w:pPr>
        <w:pStyle w:val="Caption"/>
        <w:rPr>
          <w:lang w:val="en-US"/>
        </w:rPr>
      </w:pPr>
      <w:bookmarkStart w:id="502" w:name="_Ref26447631"/>
      <w:bookmarkStart w:id="503" w:name="_Toc31985635"/>
      <w:r w:rsidRPr="00A75B17">
        <w:rPr>
          <w:lang w:val="en-US"/>
        </w:rPr>
        <w:t xml:space="preserve">Figure </w:t>
      </w:r>
      <w:r w:rsidRPr="00A75B17">
        <w:rPr>
          <w:lang w:val="en-US"/>
        </w:rPr>
        <w:fldChar w:fldCharType="begin"/>
      </w:r>
      <w:r w:rsidRPr="00A75B17">
        <w:rPr>
          <w:lang w:val="en-US"/>
        </w:rPr>
        <w:instrText xml:space="preserve"> SEQ Figure \* ARABIC </w:instrText>
      </w:r>
      <w:r w:rsidRPr="00A75B17">
        <w:rPr>
          <w:lang w:val="en-US"/>
        </w:rPr>
        <w:fldChar w:fldCharType="separate"/>
      </w:r>
      <w:r w:rsidR="007F7607">
        <w:rPr>
          <w:noProof/>
          <w:lang w:val="en-US"/>
        </w:rPr>
        <w:t>71</w:t>
      </w:r>
      <w:r w:rsidRPr="00A75B17">
        <w:rPr>
          <w:lang w:val="en-US"/>
        </w:rPr>
        <w:fldChar w:fldCharType="end"/>
      </w:r>
      <w:bookmarkEnd w:id="502"/>
      <w:r w:rsidRPr="00A75B17">
        <w:rPr>
          <w:lang w:val="en-US"/>
        </w:rPr>
        <w:t>. Relationship between standard length (mm) and age (days) for Australian smelt for each monitoring year. Red = 2014, Green = 2015, Blue = 2017 and Purple = 2018.</w:t>
      </w:r>
      <w:bookmarkEnd w:id="503"/>
    </w:p>
    <w:p w14:paraId="34EE8B63" w14:textId="77777777" w:rsidR="00ED69E9" w:rsidRDefault="00ED69E9" w:rsidP="00ED69E9">
      <w:pPr>
        <w:rPr>
          <w:lang w:val="en-US"/>
        </w:rPr>
      </w:pPr>
    </w:p>
    <w:p w14:paraId="3E6618ED" w14:textId="77777777" w:rsidR="00ED69E9" w:rsidRDefault="00ED69E9" w:rsidP="00ED69E9">
      <w:pPr>
        <w:rPr>
          <w:lang w:val="en-US"/>
        </w:rPr>
      </w:pPr>
      <w:r>
        <w:rPr>
          <w:noProof/>
          <w:lang w:eastAsia="en-AU"/>
        </w:rPr>
        <w:drawing>
          <wp:inline distT="0" distB="0" distL="0" distR="0" wp14:anchorId="3E7DA146" wp14:editId="74A0D145">
            <wp:extent cx="5731510" cy="3542030"/>
            <wp:effectExtent l="0" t="0" r="254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6DD70C45" w14:textId="4D0E6AFF" w:rsidR="00ED69E9" w:rsidRPr="00A75B17" w:rsidRDefault="00ED69E9" w:rsidP="00ED69E9">
      <w:pPr>
        <w:pStyle w:val="Caption"/>
        <w:rPr>
          <w:lang w:val="en-US"/>
        </w:rPr>
      </w:pPr>
      <w:bookmarkStart w:id="504" w:name="_Ref26447657"/>
      <w:bookmarkStart w:id="505" w:name="_Toc31985636"/>
      <w:r w:rsidRPr="00A75B17">
        <w:rPr>
          <w:lang w:val="en-US"/>
        </w:rPr>
        <w:t xml:space="preserve">Figure </w:t>
      </w:r>
      <w:r w:rsidRPr="00A75B17">
        <w:rPr>
          <w:lang w:val="en-US"/>
        </w:rPr>
        <w:fldChar w:fldCharType="begin"/>
      </w:r>
      <w:r w:rsidRPr="00A75B17">
        <w:rPr>
          <w:lang w:val="en-US"/>
        </w:rPr>
        <w:instrText xml:space="preserve"> SEQ Figure \* ARABIC </w:instrText>
      </w:r>
      <w:r w:rsidRPr="00A75B17">
        <w:rPr>
          <w:lang w:val="en-US"/>
        </w:rPr>
        <w:fldChar w:fldCharType="separate"/>
      </w:r>
      <w:r w:rsidR="007F7607">
        <w:rPr>
          <w:noProof/>
          <w:lang w:val="en-US"/>
        </w:rPr>
        <w:t>72</w:t>
      </w:r>
      <w:r w:rsidRPr="00A75B17">
        <w:rPr>
          <w:lang w:val="en-US"/>
        </w:rPr>
        <w:fldChar w:fldCharType="end"/>
      </w:r>
      <w:bookmarkEnd w:id="504"/>
      <w:r w:rsidRPr="00A75B17">
        <w:rPr>
          <w:lang w:val="en-US"/>
        </w:rPr>
        <w:t>. Relationships between Australian smelt daily increment width (daily growth) and rolling mean lag of gross primary productivity in the Lachlan River. (GPP3 = rolling mean lag of GPP for the past 3 days, GPP5 = rolling mean lag of GPP for the past 5 days, GPP7 = rolling mean lag of GPP for the past 7 days). Blue line indicates linear model with dark grey shading indicating 95% confidence intervals.</w:t>
      </w:r>
      <w:bookmarkEnd w:id="505"/>
    </w:p>
    <w:p w14:paraId="6DFE9A8A" w14:textId="77777777" w:rsidR="00ED69E9" w:rsidRDefault="00ED69E9" w:rsidP="00ED69E9">
      <w:pPr>
        <w:rPr>
          <w:lang w:val="en-US"/>
        </w:rPr>
      </w:pPr>
    </w:p>
    <w:p w14:paraId="5B7B9A7D" w14:textId="1D900AD2" w:rsidR="00ED69E9" w:rsidRPr="00444AD4" w:rsidRDefault="00ED69E9" w:rsidP="00ED69E9">
      <w:pPr>
        <w:pStyle w:val="Caption"/>
        <w:rPr>
          <w:lang w:val="en-US"/>
        </w:rPr>
      </w:pPr>
      <w:bookmarkStart w:id="506" w:name="_Ref26522901"/>
      <w:bookmarkStart w:id="507" w:name="_Toc31985691"/>
      <w:r w:rsidRPr="00444AD4">
        <w:rPr>
          <w:lang w:val="en-US"/>
        </w:rPr>
        <w:t xml:space="preserve">Table </w:t>
      </w:r>
      <w:r w:rsidRPr="00444AD4">
        <w:rPr>
          <w:lang w:val="en-US"/>
        </w:rPr>
        <w:fldChar w:fldCharType="begin"/>
      </w:r>
      <w:r w:rsidRPr="00444AD4">
        <w:rPr>
          <w:lang w:val="en-US"/>
        </w:rPr>
        <w:instrText xml:space="preserve"> SEQ Table \* ARABIC </w:instrText>
      </w:r>
      <w:r w:rsidRPr="00444AD4">
        <w:rPr>
          <w:lang w:val="en-US"/>
        </w:rPr>
        <w:fldChar w:fldCharType="separate"/>
      </w:r>
      <w:r w:rsidR="007F7607">
        <w:rPr>
          <w:noProof/>
          <w:lang w:val="en-US"/>
        </w:rPr>
        <w:t>24</w:t>
      </w:r>
      <w:r w:rsidRPr="00444AD4">
        <w:rPr>
          <w:lang w:val="en-US"/>
        </w:rPr>
        <w:fldChar w:fldCharType="end"/>
      </w:r>
      <w:bookmarkEnd w:id="506"/>
      <w:r>
        <w:rPr>
          <w:lang w:val="en-US"/>
        </w:rPr>
        <w:t xml:space="preserve">. </w:t>
      </w:r>
      <w:r w:rsidRPr="00444AD4">
        <w:rPr>
          <w:lang w:val="en-US"/>
        </w:rPr>
        <w:t>Daily growth of Australian smelt (indicated by slope of linear model) as a function of the linear model between daily growth and rolling lag mean of GPP for rolling lags of 3, 5 and 7 days, for each monitoring year.</w:t>
      </w:r>
      <w:bookmarkEnd w:id="507"/>
    </w:p>
    <w:tbl>
      <w:tblPr>
        <w:tblStyle w:val="GridTable4-Accent3"/>
        <w:tblW w:w="0" w:type="auto"/>
        <w:tblLook w:val="04A0" w:firstRow="1" w:lastRow="0" w:firstColumn="1" w:lastColumn="0" w:noHBand="0" w:noVBand="1"/>
      </w:tblPr>
      <w:tblGrid>
        <w:gridCol w:w="1529"/>
        <w:gridCol w:w="1727"/>
        <w:gridCol w:w="2409"/>
        <w:gridCol w:w="1701"/>
        <w:gridCol w:w="1560"/>
      </w:tblGrid>
      <w:tr w:rsidR="00ED69E9" w:rsidRPr="003845C1" w14:paraId="29ED4781" w14:textId="77777777" w:rsidTr="00ED69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2FE29F14" w14:textId="77777777" w:rsidR="00ED69E9" w:rsidRPr="003845C1" w:rsidRDefault="00ED69E9" w:rsidP="003845C1">
            <w:pPr>
              <w:spacing w:before="40" w:after="40"/>
              <w:rPr>
                <w:b w:val="0"/>
                <w:bCs w:val="0"/>
                <w:sz w:val="20"/>
                <w:szCs w:val="20"/>
                <w:lang w:val="en-US"/>
              </w:rPr>
            </w:pPr>
            <w:r w:rsidRPr="003845C1">
              <w:rPr>
                <w:sz w:val="20"/>
                <w:szCs w:val="20"/>
                <w:lang w:val="en-US"/>
              </w:rPr>
              <w:t>Year</w:t>
            </w:r>
          </w:p>
        </w:tc>
        <w:tc>
          <w:tcPr>
            <w:tcW w:w="1727" w:type="dxa"/>
          </w:tcPr>
          <w:p w14:paraId="23FD8ACC" w14:textId="77777777" w:rsidR="00ED69E9" w:rsidRPr="003845C1" w:rsidRDefault="00ED69E9" w:rsidP="003845C1">
            <w:pPr>
              <w:spacing w:before="40" w:after="4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3845C1">
              <w:rPr>
                <w:sz w:val="20"/>
                <w:szCs w:val="20"/>
                <w:lang w:val="en-US"/>
              </w:rPr>
              <w:t>GPP lag</w:t>
            </w:r>
          </w:p>
        </w:tc>
        <w:tc>
          <w:tcPr>
            <w:tcW w:w="2409" w:type="dxa"/>
          </w:tcPr>
          <w:p w14:paraId="50C2875B" w14:textId="77777777" w:rsidR="00ED69E9" w:rsidRPr="003845C1" w:rsidRDefault="00ED69E9" w:rsidP="003845C1">
            <w:pPr>
              <w:spacing w:before="40" w:after="4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3845C1">
              <w:rPr>
                <w:sz w:val="20"/>
                <w:szCs w:val="20"/>
                <w:lang w:val="en-US"/>
              </w:rPr>
              <w:t>Slope</w:t>
            </w:r>
          </w:p>
        </w:tc>
        <w:tc>
          <w:tcPr>
            <w:tcW w:w="1701" w:type="dxa"/>
          </w:tcPr>
          <w:p w14:paraId="51CF8054" w14:textId="77777777" w:rsidR="00ED69E9" w:rsidRPr="003845C1" w:rsidRDefault="00ED69E9" w:rsidP="003845C1">
            <w:pPr>
              <w:spacing w:before="40" w:after="40"/>
              <w:cnfStyle w:val="100000000000" w:firstRow="1" w:lastRow="0" w:firstColumn="0" w:lastColumn="0" w:oddVBand="0" w:evenVBand="0" w:oddHBand="0" w:evenHBand="0" w:firstRowFirstColumn="0" w:firstRowLastColumn="0" w:lastRowFirstColumn="0" w:lastRowLastColumn="0"/>
              <w:rPr>
                <w:b w:val="0"/>
                <w:bCs w:val="0"/>
                <w:i/>
                <w:iCs/>
                <w:sz w:val="20"/>
                <w:szCs w:val="20"/>
                <w:lang w:val="en-US"/>
              </w:rPr>
            </w:pPr>
            <w:r w:rsidRPr="003845C1">
              <w:rPr>
                <w:i/>
                <w:iCs/>
                <w:sz w:val="20"/>
                <w:szCs w:val="20"/>
                <w:lang w:val="en-US"/>
              </w:rPr>
              <w:t>P</w:t>
            </w:r>
          </w:p>
        </w:tc>
        <w:tc>
          <w:tcPr>
            <w:tcW w:w="1560" w:type="dxa"/>
          </w:tcPr>
          <w:p w14:paraId="207B014A" w14:textId="77777777" w:rsidR="00ED69E9" w:rsidRPr="003845C1" w:rsidRDefault="00ED69E9" w:rsidP="003845C1">
            <w:pPr>
              <w:spacing w:before="40" w:after="40"/>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r w:rsidRPr="003845C1">
              <w:rPr>
                <w:sz w:val="20"/>
                <w:szCs w:val="20"/>
                <w:lang w:val="en-US"/>
              </w:rPr>
              <w:t>R</w:t>
            </w:r>
            <w:r w:rsidRPr="003845C1">
              <w:rPr>
                <w:sz w:val="20"/>
                <w:szCs w:val="20"/>
                <w:vertAlign w:val="superscript"/>
                <w:lang w:val="en-US"/>
              </w:rPr>
              <w:t>2</w:t>
            </w:r>
          </w:p>
        </w:tc>
      </w:tr>
      <w:tr w:rsidR="00ED69E9" w14:paraId="7888A27D"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0EDCEE9E"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2014</w:t>
            </w:r>
          </w:p>
        </w:tc>
        <w:tc>
          <w:tcPr>
            <w:tcW w:w="1727" w:type="dxa"/>
          </w:tcPr>
          <w:p w14:paraId="4CBAD334"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textcell"/>
                <w:rFonts w:ascii="Segoe UI" w:hAnsi="Segoe UI" w:cs="Segoe UI"/>
                <w:color w:val="000000"/>
                <w:sz w:val="17"/>
                <w:szCs w:val="17"/>
              </w:rPr>
            </w:pPr>
            <w:r>
              <w:rPr>
                <w:rStyle w:val="textcell"/>
                <w:rFonts w:ascii="Segoe UI" w:hAnsi="Segoe UI" w:cs="Segoe UI"/>
                <w:color w:val="000000"/>
                <w:sz w:val="17"/>
                <w:szCs w:val="17"/>
              </w:rPr>
              <w:t>GPP3</w:t>
            </w:r>
          </w:p>
        </w:tc>
        <w:tc>
          <w:tcPr>
            <w:tcW w:w="2409" w:type="dxa"/>
          </w:tcPr>
          <w:p w14:paraId="36454762"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2.56062052</w:t>
            </w:r>
          </w:p>
        </w:tc>
        <w:tc>
          <w:tcPr>
            <w:tcW w:w="1701" w:type="dxa"/>
          </w:tcPr>
          <w:p w14:paraId="1AD05E1C"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1.901098e-07</w:t>
            </w:r>
          </w:p>
        </w:tc>
        <w:tc>
          <w:tcPr>
            <w:tcW w:w="1560" w:type="dxa"/>
          </w:tcPr>
          <w:p w14:paraId="46B7140A"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0.22673875</w:t>
            </w:r>
          </w:p>
        </w:tc>
      </w:tr>
      <w:tr w:rsidR="00ED69E9" w14:paraId="6A08DAED"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2CCE93F7"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2014</w:t>
            </w:r>
          </w:p>
        </w:tc>
        <w:tc>
          <w:tcPr>
            <w:tcW w:w="1727" w:type="dxa"/>
          </w:tcPr>
          <w:p w14:paraId="0C0F3CA1"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GPP5</w:t>
            </w:r>
          </w:p>
        </w:tc>
        <w:tc>
          <w:tcPr>
            <w:tcW w:w="2409" w:type="dxa"/>
          </w:tcPr>
          <w:p w14:paraId="3F95B46B"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2.82324482</w:t>
            </w:r>
          </w:p>
        </w:tc>
        <w:tc>
          <w:tcPr>
            <w:tcW w:w="1701" w:type="dxa"/>
          </w:tcPr>
          <w:p w14:paraId="6D375518"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5.818659e-08</w:t>
            </w:r>
          </w:p>
        </w:tc>
        <w:tc>
          <w:tcPr>
            <w:tcW w:w="1560" w:type="dxa"/>
          </w:tcPr>
          <w:p w14:paraId="7EC86CF4"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0.24335118</w:t>
            </w:r>
          </w:p>
        </w:tc>
      </w:tr>
      <w:tr w:rsidR="00ED69E9" w14:paraId="6B9289B0"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70C3B3E6"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2014</w:t>
            </w:r>
          </w:p>
        </w:tc>
        <w:tc>
          <w:tcPr>
            <w:tcW w:w="1727" w:type="dxa"/>
          </w:tcPr>
          <w:p w14:paraId="1ED97DC9"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textcell"/>
                <w:rFonts w:ascii="Segoe UI" w:hAnsi="Segoe UI" w:cs="Segoe UI"/>
                <w:color w:val="000000"/>
                <w:sz w:val="17"/>
                <w:szCs w:val="17"/>
              </w:rPr>
              <w:t>GPP7</w:t>
            </w:r>
          </w:p>
        </w:tc>
        <w:tc>
          <w:tcPr>
            <w:tcW w:w="2409" w:type="dxa"/>
          </w:tcPr>
          <w:p w14:paraId="18BB4BFB"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numbercell"/>
                <w:rFonts w:ascii="Segoe UI" w:hAnsi="Segoe UI" w:cs="Segoe UI"/>
                <w:color w:val="000000"/>
                <w:sz w:val="17"/>
                <w:szCs w:val="17"/>
              </w:rPr>
              <w:t>2.88815383</w:t>
            </w:r>
          </w:p>
        </w:tc>
        <w:tc>
          <w:tcPr>
            <w:tcW w:w="1701" w:type="dxa"/>
          </w:tcPr>
          <w:p w14:paraId="645EAC5B"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9.308877e-08</w:t>
            </w:r>
          </w:p>
        </w:tc>
        <w:tc>
          <w:tcPr>
            <w:tcW w:w="1560" w:type="dxa"/>
          </w:tcPr>
          <w:p w14:paraId="1F070689"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0.23679617</w:t>
            </w:r>
          </w:p>
        </w:tc>
      </w:tr>
      <w:tr w:rsidR="00ED69E9" w14:paraId="3C63A9DA"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6FB90F8F"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2015</w:t>
            </w:r>
          </w:p>
        </w:tc>
        <w:tc>
          <w:tcPr>
            <w:tcW w:w="1727" w:type="dxa"/>
          </w:tcPr>
          <w:p w14:paraId="2996CD13"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GPP3</w:t>
            </w:r>
          </w:p>
        </w:tc>
        <w:tc>
          <w:tcPr>
            <w:tcW w:w="2409" w:type="dxa"/>
          </w:tcPr>
          <w:p w14:paraId="19460994"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-0.01405262</w:t>
            </w:r>
          </w:p>
        </w:tc>
        <w:tc>
          <w:tcPr>
            <w:tcW w:w="1701" w:type="dxa"/>
          </w:tcPr>
          <w:p w14:paraId="2EEA24AB"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3.206809e-02</w:t>
            </w:r>
          </w:p>
        </w:tc>
        <w:tc>
          <w:tcPr>
            <w:tcW w:w="1560" w:type="dxa"/>
          </w:tcPr>
          <w:p w14:paraId="678D8CE9"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0.01040025</w:t>
            </w:r>
          </w:p>
        </w:tc>
      </w:tr>
      <w:tr w:rsidR="00ED69E9" w14:paraId="4D8047A9"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5677D68D"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2015</w:t>
            </w:r>
          </w:p>
        </w:tc>
        <w:tc>
          <w:tcPr>
            <w:tcW w:w="1727" w:type="dxa"/>
          </w:tcPr>
          <w:p w14:paraId="4E6ECE91"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textcell"/>
                <w:rFonts w:ascii="Segoe UI" w:hAnsi="Segoe UI" w:cs="Segoe UI"/>
                <w:color w:val="000000"/>
                <w:sz w:val="17"/>
                <w:szCs w:val="17"/>
              </w:rPr>
              <w:t>GPP5</w:t>
            </w:r>
          </w:p>
        </w:tc>
        <w:tc>
          <w:tcPr>
            <w:tcW w:w="2409" w:type="dxa"/>
          </w:tcPr>
          <w:p w14:paraId="0BF7675F"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numbercell"/>
                <w:rFonts w:ascii="Segoe UI" w:hAnsi="Segoe UI" w:cs="Segoe UI"/>
                <w:color w:val="000000"/>
                <w:sz w:val="17"/>
                <w:szCs w:val="17"/>
              </w:rPr>
              <w:t>-0.02254497</w:t>
            </w:r>
          </w:p>
        </w:tc>
        <w:tc>
          <w:tcPr>
            <w:tcW w:w="1701" w:type="dxa"/>
          </w:tcPr>
          <w:p w14:paraId="2D45610F"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1.896637e-03</w:t>
            </w:r>
          </w:p>
        </w:tc>
        <w:tc>
          <w:tcPr>
            <w:tcW w:w="1560" w:type="dxa"/>
          </w:tcPr>
          <w:p w14:paraId="59A9431B"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0.02171068</w:t>
            </w:r>
          </w:p>
        </w:tc>
      </w:tr>
      <w:tr w:rsidR="00ED69E9" w14:paraId="65C82B29"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4D4A0AF7"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2015</w:t>
            </w:r>
          </w:p>
        </w:tc>
        <w:tc>
          <w:tcPr>
            <w:tcW w:w="1727" w:type="dxa"/>
          </w:tcPr>
          <w:p w14:paraId="2C938724"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GPP7</w:t>
            </w:r>
          </w:p>
        </w:tc>
        <w:tc>
          <w:tcPr>
            <w:tcW w:w="2409" w:type="dxa"/>
          </w:tcPr>
          <w:p w14:paraId="32B428A6"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-0.03100193</w:t>
            </w:r>
          </w:p>
        </w:tc>
        <w:tc>
          <w:tcPr>
            <w:tcW w:w="1701" w:type="dxa"/>
          </w:tcPr>
          <w:p w14:paraId="44884777"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1.613587e-04</w:t>
            </w:r>
          </w:p>
        </w:tc>
        <w:tc>
          <w:tcPr>
            <w:tcW w:w="1560" w:type="dxa"/>
          </w:tcPr>
          <w:p w14:paraId="3B2A6DEF"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0.03186961</w:t>
            </w:r>
          </w:p>
        </w:tc>
      </w:tr>
      <w:tr w:rsidR="00ED69E9" w14:paraId="3B2C5157"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4B2CACB8"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2017</w:t>
            </w:r>
          </w:p>
        </w:tc>
        <w:tc>
          <w:tcPr>
            <w:tcW w:w="1727" w:type="dxa"/>
          </w:tcPr>
          <w:p w14:paraId="0BEAED1B"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textcell"/>
                <w:rFonts w:ascii="Segoe UI" w:hAnsi="Segoe UI" w:cs="Segoe UI"/>
                <w:color w:val="000000"/>
                <w:sz w:val="17"/>
                <w:szCs w:val="17"/>
              </w:rPr>
              <w:t>GPP3</w:t>
            </w:r>
          </w:p>
        </w:tc>
        <w:tc>
          <w:tcPr>
            <w:tcW w:w="2409" w:type="dxa"/>
          </w:tcPr>
          <w:p w14:paraId="4E96EB9E"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numbercell"/>
                <w:rFonts w:ascii="Segoe UI" w:hAnsi="Segoe UI" w:cs="Segoe UI"/>
                <w:color w:val="000000"/>
                <w:sz w:val="17"/>
                <w:szCs w:val="17"/>
              </w:rPr>
              <w:t>0.28641504</w:t>
            </w:r>
          </w:p>
        </w:tc>
        <w:tc>
          <w:tcPr>
            <w:tcW w:w="1701" w:type="dxa"/>
          </w:tcPr>
          <w:p w14:paraId="0ED9D8D4"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4.710655e-17</w:t>
            </w:r>
          </w:p>
        </w:tc>
        <w:tc>
          <w:tcPr>
            <w:tcW w:w="1560" w:type="dxa"/>
          </w:tcPr>
          <w:p w14:paraId="565FFAFB"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0.05525549</w:t>
            </w:r>
          </w:p>
        </w:tc>
      </w:tr>
      <w:tr w:rsidR="00ED69E9" w14:paraId="049E1AB9"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2E394E7F"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2017</w:t>
            </w:r>
          </w:p>
        </w:tc>
        <w:tc>
          <w:tcPr>
            <w:tcW w:w="1727" w:type="dxa"/>
          </w:tcPr>
          <w:p w14:paraId="67853A72"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GPP5</w:t>
            </w:r>
          </w:p>
        </w:tc>
        <w:tc>
          <w:tcPr>
            <w:tcW w:w="2409" w:type="dxa"/>
          </w:tcPr>
          <w:p w14:paraId="7D201F39"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0.19934765</w:t>
            </w:r>
          </w:p>
        </w:tc>
        <w:tc>
          <w:tcPr>
            <w:tcW w:w="1701" w:type="dxa"/>
          </w:tcPr>
          <w:p w14:paraId="545AB88E"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1.349347e-10</w:t>
            </w:r>
          </w:p>
        </w:tc>
        <w:tc>
          <w:tcPr>
            <w:tcW w:w="1560" w:type="dxa"/>
          </w:tcPr>
          <w:p w14:paraId="3766FA53"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0.03272069</w:t>
            </w:r>
          </w:p>
        </w:tc>
      </w:tr>
      <w:tr w:rsidR="00ED69E9" w14:paraId="5C97616C"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4073D325"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2017</w:t>
            </w:r>
          </w:p>
        </w:tc>
        <w:tc>
          <w:tcPr>
            <w:tcW w:w="1727" w:type="dxa"/>
          </w:tcPr>
          <w:p w14:paraId="3678052A"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textcell"/>
                <w:rFonts w:ascii="Segoe UI" w:hAnsi="Segoe UI" w:cs="Segoe UI"/>
                <w:color w:val="000000"/>
                <w:sz w:val="17"/>
                <w:szCs w:val="17"/>
              </w:rPr>
              <w:t>GPP7</w:t>
            </w:r>
          </w:p>
        </w:tc>
        <w:tc>
          <w:tcPr>
            <w:tcW w:w="2409" w:type="dxa"/>
          </w:tcPr>
          <w:p w14:paraId="356AE41D"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numbercell"/>
                <w:rFonts w:ascii="Segoe UI" w:hAnsi="Segoe UI" w:cs="Segoe UI"/>
                <w:color w:val="000000"/>
                <w:sz w:val="17"/>
                <w:szCs w:val="17"/>
              </w:rPr>
              <w:t>0.12198463</w:t>
            </w:r>
          </w:p>
        </w:tc>
        <w:tc>
          <w:tcPr>
            <w:tcW w:w="1701" w:type="dxa"/>
          </w:tcPr>
          <w:p w14:paraId="60BE0DCA"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3.045677e-05</w:t>
            </w:r>
          </w:p>
        </w:tc>
        <w:tc>
          <w:tcPr>
            <w:tcW w:w="1560" w:type="dxa"/>
          </w:tcPr>
          <w:p w14:paraId="7623F5BE"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0.01393117</w:t>
            </w:r>
          </w:p>
        </w:tc>
      </w:tr>
      <w:tr w:rsidR="00ED69E9" w14:paraId="5E3AA4DC"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36815F8D"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2018</w:t>
            </w:r>
          </w:p>
        </w:tc>
        <w:tc>
          <w:tcPr>
            <w:tcW w:w="1727" w:type="dxa"/>
          </w:tcPr>
          <w:p w14:paraId="1C3B6C9B"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GPP3</w:t>
            </w:r>
          </w:p>
        </w:tc>
        <w:tc>
          <w:tcPr>
            <w:tcW w:w="2409" w:type="dxa"/>
          </w:tcPr>
          <w:p w14:paraId="2EC23B9E"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0.80937792</w:t>
            </w:r>
          </w:p>
        </w:tc>
        <w:tc>
          <w:tcPr>
            <w:tcW w:w="1701" w:type="dxa"/>
          </w:tcPr>
          <w:p w14:paraId="6C75F6E9"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6.612442e-04</w:t>
            </w:r>
          </w:p>
        </w:tc>
        <w:tc>
          <w:tcPr>
            <w:tcW w:w="1560" w:type="dxa"/>
          </w:tcPr>
          <w:p w14:paraId="048E32AC"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0.02955470</w:t>
            </w:r>
          </w:p>
        </w:tc>
      </w:tr>
      <w:tr w:rsidR="00ED69E9" w14:paraId="008BED47"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0AD3647E"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2018</w:t>
            </w:r>
          </w:p>
        </w:tc>
        <w:tc>
          <w:tcPr>
            <w:tcW w:w="1727" w:type="dxa"/>
          </w:tcPr>
          <w:p w14:paraId="6AC2DDB5"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textcell"/>
                <w:rFonts w:ascii="Segoe UI" w:hAnsi="Segoe UI" w:cs="Segoe UI"/>
                <w:color w:val="000000"/>
                <w:sz w:val="17"/>
                <w:szCs w:val="17"/>
              </w:rPr>
              <w:t>GPP5</w:t>
            </w:r>
          </w:p>
        </w:tc>
        <w:tc>
          <w:tcPr>
            <w:tcW w:w="2409" w:type="dxa"/>
          </w:tcPr>
          <w:p w14:paraId="50C061D6"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lang w:val="en-US"/>
              </w:rPr>
            </w:pPr>
            <w:r>
              <w:rPr>
                <w:rStyle w:val="numbercell"/>
                <w:rFonts w:ascii="Segoe UI" w:hAnsi="Segoe UI" w:cs="Segoe UI"/>
                <w:color w:val="000000"/>
                <w:sz w:val="17"/>
                <w:szCs w:val="17"/>
              </w:rPr>
              <w:t>1.09137700</w:t>
            </w:r>
          </w:p>
        </w:tc>
        <w:tc>
          <w:tcPr>
            <w:tcW w:w="1701" w:type="dxa"/>
          </w:tcPr>
          <w:p w14:paraId="7F763CF5"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9.057340e-05</w:t>
            </w:r>
          </w:p>
        </w:tc>
        <w:tc>
          <w:tcPr>
            <w:tcW w:w="1560" w:type="dxa"/>
          </w:tcPr>
          <w:p w14:paraId="760D8A9F" w14:textId="77777777" w:rsidR="00ED69E9"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0.03887146</w:t>
            </w:r>
          </w:p>
        </w:tc>
      </w:tr>
      <w:tr w:rsidR="00ED69E9" w14:paraId="7157842F"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131A657B" w14:textId="77777777" w:rsidR="00ED69E9" w:rsidRDefault="00ED69E9" w:rsidP="003845C1">
            <w:pPr>
              <w:spacing w:before="20" w:after="20" w:line="264" w:lineRule="auto"/>
              <w:rPr>
                <w:rStyle w:val="textcell"/>
                <w:rFonts w:ascii="Segoe UI" w:hAnsi="Segoe UI" w:cs="Segoe UI"/>
                <w:color w:val="000000"/>
                <w:sz w:val="17"/>
                <w:szCs w:val="17"/>
              </w:rPr>
            </w:pPr>
            <w:r>
              <w:rPr>
                <w:rStyle w:val="numbercell"/>
                <w:rFonts w:ascii="Segoe UI" w:hAnsi="Segoe UI" w:cs="Segoe UI"/>
                <w:color w:val="000000"/>
                <w:sz w:val="17"/>
                <w:szCs w:val="17"/>
              </w:rPr>
              <w:t>2018</w:t>
            </w:r>
          </w:p>
        </w:tc>
        <w:tc>
          <w:tcPr>
            <w:tcW w:w="1727" w:type="dxa"/>
          </w:tcPr>
          <w:p w14:paraId="76B3EB5C"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textcell"/>
                <w:rFonts w:ascii="Segoe UI" w:hAnsi="Segoe UI" w:cs="Segoe UI"/>
                <w:color w:val="000000"/>
                <w:sz w:val="17"/>
                <w:szCs w:val="17"/>
              </w:rPr>
              <w:t>GPP7</w:t>
            </w:r>
          </w:p>
        </w:tc>
        <w:tc>
          <w:tcPr>
            <w:tcW w:w="2409" w:type="dxa"/>
          </w:tcPr>
          <w:p w14:paraId="6F591F4B"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lang w:val="en-US"/>
              </w:rPr>
            </w:pPr>
            <w:r>
              <w:rPr>
                <w:rStyle w:val="numbercell"/>
                <w:rFonts w:ascii="Segoe UI" w:hAnsi="Segoe UI" w:cs="Segoe UI"/>
                <w:color w:val="000000"/>
                <w:sz w:val="17"/>
                <w:szCs w:val="17"/>
              </w:rPr>
              <w:t>1.26384293</w:t>
            </w:r>
          </w:p>
        </w:tc>
        <w:tc>
          <w:tcPr>
            <w:tcW w:w="1701" w:type="dxa"/>
          </w:tcPr>
          <w:p w14:paraId="49127403"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1.196961e-04</w:t>
            </w:r>
          </w:p>
        </w:tc>
        <w:tc>
          <w:tcPr>
            <w:tcW w:w="1560" w:type="dxa"/>
          </w:tcPr>
          <w:p w14:paraId="63F962FE" w14:textId="77777777" w:rsidR="00ED69E9"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ascii="Segoe UI" w:hAnsi="Segoe UI" w:cs="Segoe UI"/>
                <w:color w:val="000000"/>
                <w:sz w:val="17"/>
                <w:szCs w:val="17"/>
              </w:rPr>
            </w:pPr>
            <w:r>
              <w:rPr>
                <w:rStyle w:val="numbercell"/>
                <w:rFonts w:ascii="Segoe UI" w:hAnsi="Segoe UI" w:cs="Segoe UI"/>
                <w:color w:val="000000"/>
                <w:sz w:val="17"/>
                <w:szCs w:val="17"/>
              </w:rPr>
              <w:t>0.03756200</w:t>
            </w:r>
          </w:p>
        </w:tc>
      </w:tr>
    </w:tbl>
    <w:p w14:paraId="1DF616A3" w14:textId="77777777" w:rsidR="00ED69E9" w:rsidRDefault="00ED69E9" w:rsidP="00ED69E9">
      <w:pPr>
        <w:pStyle w:val="Heading4"/>
      </w:pPr>
      <w:r>
        <w:t>Murray cod</w:t>
      </w:r>
    </w:p>
    <w:p w14:paraId="04CF2E78" w14:textId="2A32EA3A" w:rsidR="00ED69E9" w:rsidRPr="002E6210" w:rsidRDefault="00ED69E9" w:rsidP="00ED69E9">
      <w:pPr>
        <w:rPr>
          <w:lang w:val="en-US"/>
        </w:rPr>
      </w:pPr>
      <w:r w:rsidRPr="002E6210">
        <w:rPr>
          <w:lang w:val="en-US"/>
        </w:rPr>
        <w:t>Frequency distribution of length age ratios of Murray cod indicate that there is some differences in length at age between years (</w:t>
      </w:r>
      <w:r>
        <w:rPr>
          <w:lang w:val="en-US"/>
        </w:rPr>
        <w:fldChar w:fldCharType="begin"/>
      </w:r>
      <w:r>
        <w:rPr>
          <w:lang w:val="en-US"/>
        </w:rPr>
        <w:instrText xml:space="preserve"> REF _Ref26522950 \h  \* MERGEFORMAT </w:instrText>
      </w:r>
      <w:r>
        <w:rPr>
          <w:lang w:val="en-US"/>
        </w:rPr>
      </w:r>
      <w:r>
        <w:rPr>
          <w:lang w:val="en-US"/>
        </w:rPr>
        <w:fldChar w:fldCharType="separate"/>
      </w:r>
      <w:r w:rsidR="007F7607" w:rsidRPr="002E6210">
        <w:rPr>
          <w:lang w:val="en-US"/>
        </w:rPr>
        <w:t xml:space="preserve">Figure </w:t>
      </w:r>
      <w:r w:rsidR="007F7607">
        <w:rPr>
          <w:lang w:val="en-US"/>
        </w:rPr>
        <w:t>73</w:t>
      </w:r>
      <w:r>
        <w:rPr>
          <w:lang w:val="en-US"/>
        </w:rPr>
        <w:fldChar w:fldCharType="end"/>
      </w:r>
      <w:r w:rsidRPr="002E6210">
        <w:rPr>
          <w:lang w:val="en-US"/>
        </w:rPr>
        <w:t xml:space="preserve">). </w:t>
      </w:r>
      <w:r>
        <w:rPr>
          <w:lang w:val="en-US"/>
        </w:rPr>
        <w:t xml:space="preserve">Individuals collected in </w:t>
      </w:r>
      <w:r w:rsidRPr="002E6210">
        <w:rPr>
          <w:lang w:val="en-US"/>
        </w:rPr>
        <w:t>2015 had higher length age ratios than all other years, especially 2014 and 2018 (</w:t>
      </w:r>
      <w:r>
        <w:rPr>
          <w:lang w:val="en-US"/>
        </w:rPr>
        <w:fldChar w:fldCharType="begin"/>
      </w:r>
      <w:r>
        <w:rPr>
          <w:lang w:val="en-US"/>
        </w:rPr>
        <w:instrText xml:space="preserve"> REF _Ref26522950 \h  \* MERGEFORMAT </w:instrText>
      </w:r>
      <w:r>
        <w:rPr>
          <w:lang w:val="en-US"/>
        </w:rPr>
      </w:r>
      <w:r>
        <w:rPr>
          <w:lang w:val="en-US"/>
        </w:rPr>
        <w:fldChar w:fldCharType="separate"/>
      </w:r>
      <w:r w:rsidR="007F7607" w:rsidRPr="002E6210">
        <w:rPr>
          <w:lang w:val="en-US"/>
        </w:rPr>
        <w:t xml:space="preserve">Figure </w:t>
      </w:r>
      <w:r w:rsidR="007F7607">
        <w:rPr>
          <w:lang w:val="en-US"/>
        </w:rPr>
        <w:t>73</w:t>
      </w:r>
      <w:r>
        <w:rPr>
          <w:lang w:val="en-US"/>
        </w:rPr>
        <w:fldChar w:fldCharType="end"/>
      </w:r>
      <w:r w:rsidRPr="002E6210">
        <w:rPr>
          <w:lang w:val="en-US"/>
        </w:rPr>
        <w:t>).</w:t>
      </w:r>
      <w:r>
        <w:rPr>
          <w:lang w:val="en-US"/>
        </w:rPr>
        <w:t xml:space="preserve"> Despite a small number of significant relationships (e.g. 2-15 rolling lag of 3 days, 2017 rolling lags of 3 and 7 days) our results suggest that there is no discernible relationship between GPP and daily growth of larval Murray cod (</w:t>
      </w:r>
      <w:r>
        <w:rPr>
          <w:lang w:val="en-US"/>
        </w:rPr>
        <w:fldChar w:fldCharType="begin"/>
      </w:r>
      <w:r>
        <w:rPr>
          <w:lang w:val="en-US"/>
        </w:rPr>
        <w:instrText xml:space="preserve"> REF _Ref26522921 \h  \* MERGEFORMAT </w:instrText>
      </w:r>
      <w:r>
        <w:rPr>
          <w:lang w:val="en-US"/>
        </w:rPr>
      </w:r>
      <w:r>
        <w:rPr>
          <w:lang w:val="en-US"/>
        </w:rPr>
        <w:fldChar w:fldCharType="separate"/>
      </w:r>
      <w:r w:rsidR="007F7607" w:rsidRPr="00444AD4">
        <w:rPr>
          <w:lang w:val="en-US"/>
        </w:rPr>
        <w:t xml:space="preserve">Table </w:t>
      </w:r>
      <w:r w:rsidR="007F7607">
        <w:rPr>
          <w:lang w:val="en-US"/>
        </w:rPr>
        <w:t>25</w:t>
      </w:r>
      <w:r>
        <w:rPr>
          <w:lang w:val="en-US"/>
        </w:rPr>
        <w:fldChar w:fldCharType="end"/>
      </w:r>
      <w:r>
        <w:rPr>
          <w:lang w:val="en-US"/>
        </w:rPr>
        <w:t xml:space="preserve"> and </w:t>
      </w:r>
      <w:r>
        <w:rPr>
          <w:lang w:val="en-US"/>
        </w:rPr>
        <w:fldChar w:fldCharType="begin"/>
      </w:r>
      <w:r>
        <w:rPr>
          <w:lang w:val="en-US"/>
        </w:rPr>
        <w:instrText xml:space="preserve"> REF _Ref26522941 \h  \* MERGEFORMAT </w:instrText>
      </w:r>
      <w:r>
        <w:rPr>
          <w:lang w:val="en-US"/>
        </w:rPr>
      </w:r>
      <w:r>
        <w:rPr>
          <w:lang w:val="en-US"/>
        </w:rPr>
        <w:fldChar w:fldCharType="separate"/>
      </w:r>
      <w:r w:rsidR="007F7607" w:rsidRPr="00444AD4">
        <w:rPr>
          <w:lang w:val="en-US"/>
        </w:rPr>
        <w:t xml:space="preserve">Figure </w:t>
      </w:r>
      <w:r w:rsidR="007F7607">
        <w:rPr>
          <w:lang w:val="en-US"/>
        </w:rPr>
        <w:t>74</w:t>
      </w:r>
      <w:r>
        <w:rPr>
          <w:lang w:val="en-US"/>
        </w:rPr>
        <w:fldChar w:fldCharType="end"/>
      </w:r>
      <w:r>
        <w:rPr>
          <w:lang w:val="en-US"/>
        </w:rPr>
        <w:t xml:space="preserve">). </w:t>
      </w:r>
    </w:p>
    <w:p w14:paraId="1B3652C1" w14:textId="77777777" w:rsidR="00ED69E9" w:rsidRDefault="00ED69E9" w:rsidP="00ED69E9">
      <w:pPr>
        <w:rPr>
          <w:lang w:val="en-US"/>
        </w:rPr>
      </w:pPr>
      <w:r>
        <w:rPr>
          <w:noProof/>
          <w:lang w:eastAsia="en-AU"/>
        </w:rPr>
        <w:drawing>
          <wp:inline distT="0" distB="0" distL="0" distR="0" wp14:anchorId="588931E9" wp14:editId="224C9C93">
            <wp:extent cx="5731510" cy="3542030"/>
            <wp:effectExtent l="0" t="0" r="254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4D3604C5" w14:textId="4D9565E8" w:rsidR="003845C1" w:rsidRPr="003845C1" w:rsidRDefault="00ED69E9" w:rsidP="003845C1">
      <w:pPr>
        <w:pStyle w:val="Caption"/>
        <w:rPr>
          <w:lang w:val="en-US"/>
        </w:rPr>
      </w:pPr>
      <w:bookmarkStart w:id="508" w:name="_Ref26522950"/>
      <w:bookmarkStart w:id="509" w:name="_Toc31985637"/>
      <w:r w:rsidRPr="002E6210">
        <w:rPr>
          <w:lang w:val="en-US"/>
        </w:rPr>
        <w:t xml:space="preserve">Figure </w:t>
      </w:r>
      <w:r w:rsidRPr="002E6210">
        <w:rPr>
          <w:lang w:val="en-US"/>
        </w:rPr>
        <w:fldChar w:fldCharType="begin"/>
      </w:r>
      <w:r w:rsidRPr="002E6210">
        <w:rPr>
          <w:lang w:val="en-US"/>
        </w:rPr>
        <w:instrText xml:space="preserve"> SEQ Figure \* ARABIC </w:instrText>
      </w:r>
      <w:r w:rsidRPr="002E6210">
        <w:rPr>
          <w:lang w:val="en-US"/>
        </w:rPr>
        <w:fldChar w:fldCharType="separate"/>
      </w:r>
      <w:r w:rsidR="007F7607">
        <w:rPr>
          <w:noProof/>
          <w:lang w:val="en-US"/>
        </w:rPr>
        <w:t>73</w:t>
      </w:r>
      <w:r w:rsidRPr="002E6210">
        <w:rPr>
          <w:lang w:val="en-US"/>
        </w:rPr>
        <w:fldChar w:fldCharType="end"/>
      </w:r>
      <w:bookmarkEnd w:id="508"/>
      <w:r>
        <w:rPr>
          <w:lang w:val="en-US"/>
        </w:rPr>
        <w:t xml:space="preserve">. </w:t>
      </w:r>
      <w:r w:rsidRPr="002E6210">
        <w:rPr>
          <w:lang w:val="en-US"/>
        </w:rPr>
        <w:t>Frequency histogram of length age ratios for larval Murray cod between sampling years.</w:t>
      </w:r>
      <w:bookmarkEnd w:id="509"/>
      <w:r w:rsidR="003845C1">
        <w:rPr>
          <w:lang w:val="en-US"/>
        </w:rPr>
        <w:br w:type="page"/>
      </w:r>
    </w:p>
    <w:p w14:paraId="1CA6AB61" w14:textId="77777777" w:rsidR="00ED69E9" w:rsidRDefault="00ED69E9" w:rsidP="00ED69E9">
      <w:pPr>
        <w:rPr>
          <w:lang w:val="en-US"/>
        </w:rPr>
      </w:pPr>
      <w:r>
        <w:rPr>
          <w:noProof/>
          <w:lang w:eastAsia="en-AU"/>
        </w:rPr>
        <w:drawing>
          <wp:inline distT="0" distB="0" distL="0" distR="0" wp14:anchorId="701F8093" wp14:editId="03948B0E">
            <wp:extent cx="5731510" cy="3542030"/>
            <wp:effectExtent l="0" t="0" r="254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731510" cy="3542030"/>
                    </a:xfrm>
                    <a:prstGeom prst="rect">
                      <a:avLst/>
                    </a:prstGeom>
                    <a:noFill/>
                    <a:ln>
                      <a:noFill/>
                    </a:ln>
                  </pic:spPr>
                </pic:pic>
              </a:graphicData>
            </a:graphic>
          </wp:inline>
        </w:drawing>
      </w:r>
    </w:p>
    <w:p w14:paraId="41095EA3" w14:textId="0C91A789" w:rsidR="00ED69E9" w:rsidRPr="00444AD4" w:rsidRDefault="00ED69E9" w:rsidP="00ED69E9">
      <w:pPr>
        <w:pStyle w:val="Caption"/>
        <w:rPr>
          <w:lang w:val="en-US"/>
        </w:rPr>
      </w:pPr>
      <w:bookmarkStart w:id="510" w:name="_Ref26522941"/>
      <w:bookmarkStart w:id="511" w:name="_Toc31985638"/>
      <w:r w:rsidRPr="00444AD4">
        <w:rPr>
          <w:lang w:val="en-US"/>
        </w:rPr>
        <w:t xml:space="preserve">Figure </w:t>
      </w:r>
      <w:r w:rsidRPr="00444AD4">
        <w:rPr>
          <w:lang w:val="en-US"/>
        </w:rPr>
        <w:fldChar w:fldCharType="begin"/>
      </w:r>
      <w:r w:rsidRPr="00444AD4">
        <w:rPr>
          <w:lang w:val="en-US"/>
        </w:rPr>
        <w:instrText xml:space="preserve"> SEQ Figure \* ARABIC </w:instrText>
      </w:r>
      <w:r w:rsidRPr="00444AD4">
        <w:rPr>
          <w:lang w:val="en-US"/>
        </w:rPr>
        <w:fldChar w:fldCharType="separate"/>
      </w:r>
      <w:r w:rsidR="007F7607">
        <w:rPr>
          <w:noProof/>
          <w:lang w:val="en-US"/>
        </w:rPr>
        <w:t>74</w:t>
      </w:r>
      <w:r w:rsidRPr="00444AD4">
        <w:rPr>
          <w:lang w:val="en-US"/>
        </w:rPr>
        <w:fldChar w:fldCharType="end"/>
      </w:r>
      <w:bookmarkEnd w:id="510"/>
      <w:r>
        <w:rPr>
          <w:lang w:val="en-US"/>
        </w:rPr>
        <w:t xml:space="preserve">. </w:t>
      </w:r>
      <w:r w:rsidRPr="00444AD4">
        <w:rPr>
          <w:lang w:val="en-US"/>
        </w:rPr>
        <w:t>Relationships between Murray cod daily increment width (daily growth) and rolling mean lag of gross primary productivity in the Lachlan River. (GPP3 = rolling mean lag of GPP for the past 3 days, GPP5 = rolling mean lag of GPP for the past 5 days, GPP7 = rolling mean lag of GPP for the past 7 days). Blue line indicates linear model with dark grey shading indicating 95% confidence intervals.</w:t>
      </w:r>
      <w:bookmarkEnd w:id="511"/>
    </w:p>
    <w:p w14:paraId="1F80681C" w14:textId="77777777" w:rsidR="00ED69E9" w:rsidRDefault="00ED69E9" w:rsidP="00ED69E9">
      <w:pPr>
        <w:rPr>
          <w:lang w:val="en-US"/>
        </w:rPr>
      </w:pPr>
    </w:p>
    <w:p w14:paraId="1C26CC4C" w14:textId="6130B797" w:rsidR="00ED69E9" w:rsidRPr="00444AD4" w:rsidRDefault="00ED69E9" w:rsidP="00ED69E9">
      <w:pPr>
        <w:pStyle w:val="Caption"/>
        <w:rPr>
          <w:lang w:val="en-US"/>
        </w:rPr>
      </w:pPr>
      <w:bookmarkStart w:id="512" w:name="_Ref26522921"/>
      <w:bookmarkStart w:id="513" w:name="_Toc31985692"/>
      <w:r w:rsidRPr="00444AD4">
        <w:rPr>
          <w:lang w:val="en-US"/>
        </w:rPr>
        <w:t xml:space="preserve">Table </w:t>
      </w:r>
      <w:r w:rsidRPr="00444AD4">
        <w:rPr>
          <w:lang w:val="en-US"/>
        </w:rPr>
        <w:fldChar w:fldCharType="begin"/>
      </w:r>
      <w:r w:rsidRPr="00444AD4">
        <w:rPr>
          <w:lang w:val="en-US"/>
        </w:rPr>
        <w:instrText xml:space="preserve"> SEQ Table \* ARABIC </w:instrText>
      </w:r>
      <w:r w:rsidRPr="00444AD4">
        <w:rPr>
          <w:lang w:val="en-US"/>
        </w:rPr>
        <w:fldChar w:fldCharType="separate"/>
      </w:r>
      <w:r w:rsidR="007F7607">
        <w:rPr>
          <w:noProof/>
          <w:lang w:val="en-US"/>
        </w:rPr>
        <w:t>25</w:t>
      </w:r>
      <w:r w:rsidRPr="00444AD4">
        <w:rPr>
          <w:lang w:val="en-US"/>
        </w:rPr>
        <w:fldChar w:fldCharType="end"/>
      </w:r>
      <w:bookmarkEnd w:id="512"/>
      <w:r w:rsidRPr="00444AD4">
        <w:rPr>
          <w:lang w:val="en-US"/>
        </w:rPr>
        <w:t>. Daily growth of Murray cod (indicated by slope of linear model) as a function of the linear model between daily growth and rolling lag mean of GPP for rolling lags of 3, 5 and 7 days, for each monitoring year.</w:t>
      </w:r>
      <w:bookmarkEnd w:id="513"/>
    </w:p>
    <w:tbl>
      <w:tblPr>
        <w:tblStyle w:val="GridTable4-Accent3"/>
        <w:tblW w:w="0" w:type="auto"/>
        <w:tblLook w:val="04A0" w:firstRow="1" w:lastRow="0" w:firstColumn="1" w:lastColumn="0" w:noHBand="0" w:noVBand="1"/>
      </w:tblPr>
      <w:tblGrid>
        <w:gridCol w:w="1529"/>
        <w:gridCol w:w="1301"/>
        <w:gridCol w:w="1964"/>
        <w:gridCol w:w="1722"/>
        <w:gridCol w:w="2410"/>
      </w:tblGrid>
      <w:tr w:rsidR="00ED69E9" w:rsidRPr="003845C1" w14:paraId="6A5C4685" w14:textId="77777777" w:rsidTr="00ED69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17783616" w14:textId="77777777" w:rsidR="00ED69E9" w:rsidRPr="003845C1" w:rsidRDefault="00ED69E9" w:rsidP="003845C1">
            <w:pPr>
              <w:spacing w:before="20" w:after="20" w:line="264" w:lineRule="auto"/>
              <w:rPr>
                <w:rFonts w:cstheme="minorHAnsi"/>
                <w:b w:val="0"/>
                <w:bCs w:val="0"/>
                <w:sz w:val="20"/>
                <w:szCs w:val="20"/>
                <w:lang w:val="en-US"/>
              </w:rPr>
            </w:pPr>
            <w:r w:rsidRPr="003845C1">
              <w:rPr>
                <w:rFonts w:cstheme="minorHAnsi"/>
                <w:sz w:val="20"/>
                <w:szCs w:val="20"/>
                <w:lang w:val="en-US"/>
              </w:rPr>
              <w:t>Year</w:t>
            </w:r>
          </w:p>
        </w:tc>
        <w:tc>
          <w:tcPr>
            <w:tcW w:w="1301" w:type="dxa"/>
          </w:tcPr>
          <w:p w14:paraId="79BF9F7D" w14:textId="77777777" w:rsidR="00ED69E9" w:rsidRPr="003845C1" w:rsidRDefault="00ED69E9" w:rsidP="003845C1">
            <w:pPr>
              <w:spacing w:before="20" w:after="20" w:line="264" w:lineRule="auto"/>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val="en-US"/>
              </w:rPr>
            </w:pPr>
            <w:r w:rsidRPr="003845C1">
              <w:rPr>
                <w:rFonts w:cstheme="minorHAnsi"/>
                <w:sz w:val="20"/>
                <w:szCs w:val="20"/>
                <w:lang w:val="en-US"/>
              </w:rPr>
              <w:t>GPP lag</w:t>
            </w:r>
          </w:p>
        </w:tc>
        <w:tc>
          <w:tcPr>
            <w:tcW w:w="1964" w:type="dxa"/>
          </w:tcPr>
          <w:p w14:paraId="475672C6" w14:textId="77777777" w:rsidR="00ED69E9" w:rsidRPr="003845C1" w:rsidRDefault="00ED69E9" w:rsidP="003845C1">
            <w:pPr>
              <w:spacing w:before="20" w:after="20" w:line="264" w:lineRule="auto"/>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val="en-US"/>
              </w:rPr>
            </w:pPr>
            <w:r w:rsidRPr="003845C1">
              <w:rPr>
                <w:rFonts w:cstheme="minorHAnsi"/>
                <w:sz w:val="20"/>
                <w:szCs w:val="20"/>
                <w:lang w:val="en-US"/>
              </w:rPr>
              <w:t>Slope</w:t>
            </w:r>
          </w:p>
        </w:tc>
        <w:tc>
          <w:tcPr>
            <w:tcW w:w="1722" w:type="dxa"/>
          </w:tcPr>
          <w:p w14:paraId="5A7DF337" w14:textId="77777777" w:rsidR="00ED69E9" w:rsidRPr="003845C1" w:rsidRDefault="00ED69E9" w:rsidP="003845C1">
            <w:pPr>
              <w:spacing w:before="20" w:after="20" w:line="264" w:lineRule="auto"/>
              <w:cnfStyle w:val="100000000000" w:firstRow="1" w:lastRow="0" w:firstColumn="0" w:lastColumn="0" w:oddVBand="0" w:evenVBand="0" w:oddHBand="0" w:evenHBand="0" w:firstRowFirstColumn="0" w:firstRowLastColumn="0" w:lastRowFirstColumn="0" w:lastRowLastColumn="0"/>
              <w:rPr>
                <w:rFonts w:cstheme="minorHAnsi"/>
                <w:b w:val="0"/>
                <w:bCs w:val="0"/>
                <w:i/>
                <w:iCs/>
                <w:sz w:val="20"/>
                <w:szCs w:val="20"/>
                <w:lang w:val="en-US"/>
              </w:rPr>
            </w:pPr>
            <w:r w:rsidRPr="003845C1">
              <w:rPr>
                <w:rFonts w:cstheme="minorHAnsi"/>
                <w:i/>
                <w:iCs/>
                <w:sz w:val="20"/>
                <w:szCs w:val="20"/>
                <w:lang w:val="en-US"/>
              </w:rPr>
              <w:t>P</w:t>
            </w:r>
          </w:p>
        </w:tc>
        <w:tc>
          <w:tcPr>
            <w:tcW w:w="2410" w:type="dxa"/>
          </w:tcPr>
          <w:p w14:paraId="2CE8644A" w14:textId="77777777" w:rsidR="00ED69E9" w:rsidRPr="003845C1" w:rsidRDefault="00ED69E9" w:rsidP="003845C1">
            <w:pPr>
              <w:spacing w:before="20" w:after="20" w:line="264" w:lineRule="auto"/>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val="en-US"/>
              </w:rPr>
            </w:pPr>
            <w:r w:rsidRPr="003845C1">
              <w:rPr>
                <w:rFonts w:cstheme="minorHAnsi"/>
                <w:sz w:val="20"/>
                <w:szCs w:val="20"/>
                <w:lang w:val="en-US"/>
              </w:rPr>
              <w:t>R</w:t>
            </w:r>
            <w:r w:rsidRPr="003845C1">
              <w:rPr>
                <w:rFonts w:cstheme="minorHAnsi"/>
                <w:sz w:val="20"/>
                <w:szCs w:val="20"/>
                <w:vertAlign w:val="superscript"/>
                <w:lang w:val="en-US"/>
              </w:rPr>
              <w:t>2</w:t>
            </w:r>
          </w:p>
        </w:tc>
      </w:tr>
      <w:tr w:rsidR="00ED69E9" w:rsidRPr="003845C1" w14:paraId="34076239"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710A3BC6"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2014</w:t>
            </w:r>
          </w:p>
        </w:tc>
        <w:tc>
          <w:tcPr>
            <w:tcW w:w="1301" w:type="dxa"/>
          </w:tcPr>
          <w:p w14:paraId="30A40481"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textcell"/>
                <w:rFonts w:cstheme="minorHAnsi"/>
                <w:color w:val="000000"/>
                <w:sz w:val="20"/>
                <w:szCs w:val="20"/>
              </w:rPr>
            </w:pPr>
            <w:r w:rsidRPr="003845C1">
              <w:rPr>
                <w:rStyle w:val="textcell"/>
                <w:rFonts w:cstheme="minorHAnsi"/>
                <w:color w:val="000000"/>
                <w:sz w:val="20"/>
                <w:szCs w:val="20"/>
              </w:rPr>
              <w:t>GPP3</w:t>
            </w:r>
          </w:p>
        </w:tc>
        <w:tc>
          <w:tcPr>
            <w:tcW w:w="1964" w:type="dxa"/>
          </w:tcPr>
          <w:p w14:paraId="1F4DA028"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-0.0050417283</w:t>
            </w:r>
          </w:p>
        </w:tc>
        <w:tc>
          <w:tcPr>
            <w:tcW w:w="1722" w:type="dxa"/>
          </w:tcPr>
          <w:p w14:paraId="0005E977"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7.032276e-01</w:t>
            </w:r>
          </w:p>
        </w:tc>
        <w:tc>
          <w:tcPr>
            <w:tcW w:w="2410" w:type="dxa"/>
          </w:tcPr>
          <w:p w14:paraId="7DDA1FEA"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1.823906e-03</w:t>
            </w:r>
          </w:p>
        </w:tc>
      </w:tr>
      <w:tr w:rsidR="00ED69E9" w:rsidRPr="003845C1" w14:paraId="7F791B12"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1A50030B"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2014</w:t>
            </w:r>
          </w:p>
        </w:tc>
        <w:tc>
          <w:tcPr>
            <w:tcW w:w="1301" w:type="dxa"/>
          </w:tcPr>
          <w:p w14:paraId="0A918AC6"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GPP5</w:t>
            </w:r>
          </w:p>
        </w:tc>
        <w:tc>
          <w:tcPr>
            <w:tcW w:w="1964" w:type="dxa"/>
          </w:tcPr>
          <w:p w14:paraId="0C85963D"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-0.0058085867</w:t>
            </w:r>
          </w:p>
        </w:tc>
        <w:tc>
          <w:tcPr>
            <w:tcW w:w="1722" w:type="dxa"/>
          </w:tcPr>
          <w:p w14:paraId="7BE1607F"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5.680948e-01</w:t>
            </w:r>
          </w:p>
        </w:tc>
        <w:tc>
          <w:tcPr>
            <w:tcW w:w="2410" w:type="dxa"/>
          </w:tcPr>
          <w:p w14:paraId="103FED23"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3.084112e-03</w:t>
            </w:r>
          </w:p>
        </w:tc>
      </w:tr>
      <w:tr w:rsidR="00ED69E9" w:rsidRPr="003845C1" w14:paraId="4EA2BF83"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64108D0E"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2014</w:t>
            </w:r>
          </w:p>
        </w:tc>
        <w:tc>
          <w:tcPr>
            <w:tcW w:w="1301" w:type="dxa"/>
          </w:tcPr>
          <w:p w14:paraId="6A003451"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GPP7</w:t>
            </w:r>
          </w:p>
        </w:tc>
        <w:tc>
          <w:tcPr>
            <w:tcW w:w="1964" w:type="dxa"/>
          </w:tcPr>
          <w:p w14:paraId="24E3E649"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0.0008381241</w:t>
            </w:r>
          </w:p>
        </w:tc>
        <w:tc>
          <w:tcPr>
            <w:tcW w:w="1722" w:type="dxa"/>
          </w:tcPr>
          <w:p w14:paraId="560656B6"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9.217370e-01</w:t>
            </w:r>
          </w:p>
        </w:tc>
        <w:tc>
          <w:tcPr>
            <w:tcW w:w="2410" w:type="dxa"/>
          </w:tcPr>
          <w:p w14:paraId="4C3955F0"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7.453147e-05</w:t>
            </w:r>
          </w:p>
        </w:tc>
      </w:tr>
      <w:tr w:rsidR="00ED69E9" w:rsidRPr="003845C1" w14:paraId="269636BC"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5499F0EF"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2015</w:t>
            </w:r>
          </w:p>
        </w:tc>
        <w:tc>
          <w:tcPr>
            <w:tcW w:w="1301" w:type="dxa"/>
          </w:tcPr>
          <w:p w14:paraId="30BCF3B1"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GPP3</w:t>
            </w:r>
          </w:p>
        </w:tc>
        <w:tc>
          <w:tcPr>
            <w:tcW w:w="1964" w:type="dxa"/>
          </w:tcPr>
          <w:p w14:paraId="5BDD923C"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-0.0824344301</w:t>
            </w:r>
          </w:p>
        </w:tc>
        <w:tc>
          <w:tcPr>
            <w:tcW w:w="1722" w:type="dxa"/>
          </w:tcPr>
          <w:p w14:paraId="5E3FE5D5"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3.590261e-02</w:t>
            </w:r>
          </w:p>
        </w:tc>
        <w:tc>
          <w:tcPr>
            <w:tcW w:w="2410" w:type="dxa"/>
          </w:tcPr>
          <w:p w14:paraId="5460F4A5"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1.791440e-02</w:t>
            </w:r>
          </w:p>
        </w:tc>
      </w:tr>
      <w:tr w:rsidR="00ED69E9" w:rsidRPr="003845C1" w14:paraId="20E2C8D2"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6BBE8723"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2015</w:t>
            </w:r>
          </w:p>
        </w:tc>
        <w:tc>
          <w:tcPr>
            <w:tcW w:w="1301" w:type="dxa"/>
          </w:tcPr>
          <w:p w14:paraId="07533671"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GPP5</w:t>
            </w:r>
          </w:p>
        </w:tc>
        <w:tc>
          <w:tcPr>
            <w:tcW w:w="1964" w:type="dxa"/>
          </w:tcPr>
          <w:p w14:paraId="1E5C2FBF"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0.0032301759</w:t>
            </w:r>
          </w:p>
        </w:tc>
        <w:tc>
          <w:tcPr>
            <w:tcW w:w="1722" w:type="dxa"/>
          </w:tcPr>
          <w:p w14:paraId="51A069AF"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9.665717e-01</w:t>
            </w:r>
          </w:p>
        </w:tc>
        <w:tc>
          <w:tcPr>
            <w:tcW w:w="2410" w:type="dxa"/>
          </w:tcPr>
          <w:p w14:paraId="12033A5D"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7.212776e-06</w:t>
            </w:r>
          </w:p>
        </w:tc>
      </w:tr>
      <w:tr w:rsidR="00ED69E9" w:rsidRPr="003845C1" w14:paraId="22EEC030"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373EDB42"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2015</w:t>
            </w:r>
          </w:p>
        </w:tc>
        <w:tc>
          <w:tcPr>
            <w:tcW w:w="1301" w:type="dxa"/>
          </w:tcPr>
          <w:p w14:paraId="016E4AF2"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GPP7</w:t>
            </w:r>
          </w:p>
        </w:tc>
        <w:tc>
          <w:tcPr>
            <w:tcW w:w="1964" w:type="dxa"/>
          </w:tcPr>
          <w:p w14:paraId="7F3DE2D4"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-0.0803378331</w:t>
            </w:r>
          </w:p>
        </w:tc>
        <w:tc>
          <w:tcPr>
            <w:tcW w:w="1722" w:type="dxa"/>
          </w:tcPr>
          <w:p w14:paraId="0433D2B6"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5.430800e-01</w:t>
            </w:r>
          </w:p>
        </w:tc>
        <w:tc>
          <w:tcPr>
            <w:tcW w:w="2410" w:type="dxa"/>
          </w:tcPr>
          <w:p w14:paraId="53273A27"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1.517780e-03</w:t>
            </w:r>
          </w:p>
        </w:tc>
      </w:tr>
      <w:tr w:rsidR="00ED69E9" w:rsidRPr="003845C1" w14:paraId="7C4D848F"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3C4FB8FF"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2017</w:t>
            </w:r>
          </w:p>
        </w:tc>
        <w:tc>
          <w:tcPr>
            <w:tcW w:w="1301" w:type="dxa"/>
          </w:tcPr>
          <w:p w14:paraId="5978D405"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GPP3</w:t>
            </w:r>
          </w:p>
        </w:tc>
        <w:tc>
          <w:tcPr>
            <w:tcW w:w="1964" w:type="dxa"/>
          </w:tcPr>
          <w:p w14:paraId="0B6AA54D"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0.0707109289</w:t>
            </w:r>
          </w:p>
        </w:tc>
        <w:tc>
          <w:tcPr>
            <w:tcW w:w="1722" w:type="dxa"/>
          </w:tcPr>
          <w:p w14:paraId="15543A84"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4.071493e-05</w:t>
            </w:r>
          </w:p>
        </w:tc>
        <w:tc>
          <w:tcPr>
            <w:tcW w:w="2410" w:type="dxa"/>
          </w:tcPr>
          <w:p w14:paraId="5B558EA0"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5.396730e-02</w:t>
            </w:r>
          </w:p>
        </w:tc>
      </w:tr>
      <w:tr w:rsidR="00ED69E9" w:rsidRPr="003845C1" w14:paraId="4B355F91"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44E36C7E"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2017</w:t>
            </w:r>
          </w:p>
        </w:tc>
        <w:tc>
          <w:tcPr>
            <w:tcW w:w="1301" w:type="dxa"/>
          </w:tcPr>
          <w:p w14:paraId="63C5F211"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GPP5</w:t>
            </w:r>
          </w:p>
        </w:tc>
        <w:tc>
          <w:tcPr>
            <w:tcW w:w="1964" w:type="dxa"/>
          </w:tcPr>
          <w:p w14:paraId="3BE45D47"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-0.0020040486</w:t>
            </w:r>
          </w:p>
        </w:tc>
        <w:tc>
          <w:tcPr>
            <w:tcW w:w="1722" w:type="dxa"/>
          </w:tcPr>
          <w:p w14:paraId="42DB443C"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8.909577e-01</w:t>
            </w:r>
          </w:p>
        </w:tc>
        <w:tc>
          <w:tcPr>
            <w:tcW w:w="2410" w:type="dxa"/>
          </w:tcPr>
          <w:p w14:paraId="70D58AA9"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6.192341e-05</w:t>
            </w:r>
          </w:p>
        </w:tc>
      </w:tr>
      <w:tr w:rsidR="00ED69E9" w:rsidRPr="003845C1" w14:paraId="54ECD393"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59A02659"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2017</w:t>
            </w:r>
          </w:p>
        </w:tc>
        <w:tc>
          <w:tcPr>
            <w:tcW w:w="1301" w:type="dxa"/>
          </w:tcPr>
          <w:p w14:paraId="6FEC1B04"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GPP7</w:t>
            </w:r>
          </w:p>
        </w:tc>
        <w:tc>
          <w:tcPr>
            <w:tcW w:w="1964" w:type="dxa"/>
          </w:tcPr>
          <w:p w14:paraId="4FD55DDD"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-0.0523359931</w:t>
            </w:r>
          </w:p>
        </w:tc>
        <w:tc>
          <w:tcPr>
            <w:tcW w:w="1722" w:type="dxa"/>
          </w:tcPr>
          <w:p w14:paraId="477ED967"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6.125678e-03</w:t>
            </w:r>
          </w:p>
        </w:tc>
        <w:tc>
          <w:tcPr>
            <w:tcW w:w="2410" w:type="dxa"/>
          </w:tcPr>
          <w:p w14:paraId="68671065"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2.445039e-02</w:t>
            </w:r>
          </w:p>
        </w:tc>
      </w:tr>
      <w:tr w:rsidR="00ED69E9" w:rsidRPr="003845C1" w14:paraId="3168100C"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1C7D82ED"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2018</w:t>
            </w:r>
          </w:p>
        </w:tc>
        <w:tc>
          <w:tcPr>
            <w:tcW w:w="1301" w:type="dxa"/>
          </w:tcPr>
          <w:p w14:paraId="16146D61"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GPP3</w:t>
            </w:r>
          </w:p>
        </w:tc>
        <w:tc>
          <w:tcPr>
            <w:tcW w:w="1964" w:type="dxa"/>
          </w:tcPr>
          <w:p w14:paraId="28B4ED51"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0.0121677419</w:t>
            </w:r>
          </w:p>
        </w:tc>
        <w:tc>
          <w:tcPr>
            <w:tcW w:w="1722" w:type="dxa"/>
          </w:tcPr>
          <w:p w14:paraId="4001166A"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7.213658e-01</w:t>
            </w:r>
          </w:p>
        </w:tc>
        <w:tc>
          <w:tcPr>
            <w:tcW w:w="2410" w:type="dxa"/>
          </w:tcPr>
          <w:p w14:paraId="04C5C01F"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2.209430e-03</w:t>
            </w:r>
          </w:p>
        </w:tc>
      </w:tr>
      <w:tr w:rsidR="00ED69E9" w:rsidRPr="003845C1" w14:paraId="78B05BCA" w14:textId="77777777" w:rsidTr="00ED69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9" w:type="dxa"/>
          </w:tcPr>
          <w:p w14:paraId="003C6B57"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2018</w:t>
            </w:r>
          </w:p>
        </w:tc>
        <w:tc>
          <w:tcPr>
            <w:tcW w:w="1301" w:type="dxa"/>
          </w:tcPr>
          <w:p w14:paraId="28EE86F4"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GPP5</w:t>
            </w:r>
          </w:p>
        </w:tc>
        <w:tc>
          <w:tcPr>
            <w:tcW w:w="1964" w:type="dxa"/>
          </w:tcPr>
          <w:p w14:paraId="61BC07C5"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0.0228660687</w:t>
            </w:r>
          </w:p>
        </w:tc>
        <w:tc>
          <w:tcPr>
            <w:tcW w:w="1722" w:type="dxa"/>
          </w:tcPr>
          <w:p w14:paraId="05830396"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2.821333e-01</w:t>
            </w:r>
          </w:p>
        </w:tc>
        <w:tc>
          <w:tcPr>
            <w:tcW w:w="2410" w:type="dxa"/>
          </w:tcPr>
          <w:p w14:paraId="0E2D3E01" w14:textId="77777777" w:rsidR="00ED69E9" w:rsidRPr="003845C1" w:rsidRDefault="00ED69E9" w:rsidP="003845C1">
            <w:pPr>
              <w:spacing w:before="20" w:after="20" w:line="264" w:lineRule="auto"/>
              <w:cnfStyle w:val="000000100000" w:firstRow="0" w:lastRow="0" w:firstColumn="0" w:lastColumn="0" w:oddVBand="0" w:evenVBand="0" w:oddHBand="1"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9.796554e-03</w:t>
            </w:r>
          </w:p>
        </w:tc>
      </w:tr>
      <w:tr w:rsidR="00ED69E9" w:rsidRPr="003845C1" w14:paraId="6B3D8BE6" w14:textId="77777777" w:rsidTr="00ED69E9">
        <w:tc>
          <w:tcPr>
            <w:cnfStyle w:val="001000000000" w:firstRow="0" w:lastRow="0" w:firstColumn="1" w:lastColumn="0" w:oddVBand="0" w:evenVBand="0" w:oddHBand="0" w:evenHBand="0" w:firstRowFirstColumn="0" w:firstRowLastColumn="0" w:lastRowFirstColumn="0" w:lastRowLastColumn="0"/>
            <w:tcW w:w="1529" w:type="dxa"/>
          </w:tcPr>
          <w:p w14:paraId="20BE53C3" w14:textId="77777777" w:rsidR="00ED69E9" w:rsidRPr="003845C1" w:rsidRDefault="00ED69E9" w:rsidP="003845C1">
            <w:pPr>
              <w:spacing w:before="20" w:after="20" w:line="264" w:lineRule="auto"/>
              <w:rPr>
                <w:rStyle w:val="textcell"/>
                <w:rFonts w:cstheme="minorHAnsi"/>
                <w:color w:val="000000"/>
                <w:sz w:val="20"/>
                <w:szCs w:val="20"/>
              </w:rPr>
            </w:pPr>
            <w:r w:rsidRPr="003845C1">
              <w:rPr>
                <w:rStyle w:val="numbercell"/>
                <w:rFonts w:cstheme="minorHAnsi"/>
                <w:color w:val="000000"/>
                <w:sz w:val="20"/>
                <w:szCs w:val="20"/>
              </w:rPr>
              <w:t>2018</w:t>
            </w:r>
          </w:p>
        </w:tc>
        <w:tc>
          <w:tcPr>
            <w:tcW w:w="1301" w:type="dxa"/>
          </w:tcPr>
          <w:p w14:paraId="40A03196"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textcell"/>
                <w:rFonts w:cstheme="minorHAnsi"/>
                <w:color w:val="000000"/>
                <w:sz w:val="20"/>
                <w:szCs w:val="20"/>
              </w:rPr>
              <w:t>GPP7</w:t>
            </w:r>
          </w:p>
        </w:tc>
        <w:tc>
          <w:tcPr>
            <w:tcW w:w="1964" w:type="dxa"/>
          </w:tcPr>
          <w:p w14:paraId="5C9B27D9"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en-US"/>
              </w:rPr>
            </w:pPr>
            <w:r w:rsidRPr="003845C1">
              <w:rPr>
                <w:rStyle w:val="numbercell"/>
                <w:rFonts w:cstheme="minorHAnsi"/>
                <w:color w:val="000000"/>
                <w:sz w:val="20"/>
                <w:szCs w:val="20"/>
              </w:rPr>
              <w:t>0.0090550700</w:t>
            </w:r>
          </w:p>
        </w:tc>
        <w:tc>
          <w:tcPr>
            <w:tcW w:w="1722" w:type="dxa"/>
          </w:tcPr>
          <w:p w14:paraId="4754A04D"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5.468287e-01</w:t>
            </w:r>
          </w:p>
        </w:tc>
        <w:tc>
          <w:tcPr>
            <w:tcW w:w="2410" w:type="dxa"/>
          </w:tcPr>
          <w:p w14:paraId="1496761A" w14:textId="77777777" w:rsidR="00ED69E9" w:rsidRPr="003845C1" w:rsidRDefault="00ED69E9" w:rsidP="003845C1">
            <w:pPr>
              <w:spacing w:before="20" w:after="20" w:line="264" w:lineRule="auto"/>
              <w:cnfStyle w:val="000000000000" w:firstRow="0" w:lastRow="0" w:firstColumn="0" w:lastColumn="0" w:oddVBand="0" w:evenVBand="0" w:oddHBand="0" w:evenHBand="0" w:firstRowFirstColumn="0" w:firstRowLastColumn="0" w:lastRowFirstColumn="0" w:lastRowLastColumn="0"/>
              <w:rPr>
                <w:rStyle w:val="numbercell"/>
                <w:rFonts w:cstheme="minorHAnsi"/>
                <w:color w:val="000000"/>
                <w:sz w:val="20"/>
                <w:szCs w:val="20"/>
              </w:rPr>
            </w:pPr>
            <w:r w:rsidRPr="003845C1">
              <w:rPr>
                <w:rStyle w:val="numbercell"/>
                <w:rFonts w:cstheme="minorHAnsi"/>
                <w:color w:val="000000"/>
                <w:sz w:val="20"/>
                <w:szCs w:val="20"/>
              </w:rPr>
              <w:t>2.043136e-03</w:t>
            </w:r>
          </w:p>
        </w:tc>
      </w:tr>
    </w:tbl>
    <w:p w14:paraId="332CE932" w14:textId="77777777" w:rsidR="00ED69E9" w:rsidRDefault="00ED69E9" w:rsidP="00ED69E9">
      <w:pPr>
        <w:rPr>
          <w:lang w:val="en-US"/>
        </w:rPr>
      </w:pPr>
    </w:p>
    <w:p w14:paraId="5CFAF9B4" w14:textId="77777777" w:rsidR="00ED69E9" w:rsidRPr="00A75B17" w:rsidRDefault="00ED69E9" w:rsidP="00ED69E9">
      <w:pPr>
        <w:pStyle w:val="Heading2"/>
        <w:rPr>
          <w:lang w:bidi="th-TH"/>
        </w:rPr>
      </w:pPr>
      <w:bookmarkStart w:id="514" w:name="_Toc31985525"/>
      <w:r w:rsidRPr="00A75B17">
        <w:rPr>
          <w:lang w:bidi="th-TH"/>
        </w:rPr>
        <w:t>Discussion</w:t>
      </w:r>
      <w:bookmarkEnd w:id="514"/>
    </w:p>
    <w:p w14:paraId="234A66BA" w14:textId="4A4B6D8A" w:rsidR="00ED69E9" w:rsidRPr="002B446A" w:rsidRDefault="00ED69E9" w:rsidP="00ED69E9">
      <w:pPr>
        <w:rPr>
          <w:lang w:val="en-US"/>
        </w:rPr>
      </w:pPr>
      <w:r w:rsidRPr="002B446A">
        <w:rPr>
          <w:lang w:val="en-US"/>
        </w:rPr>
        <w:t>The Von Bertalanffy growth model (VBGM) was the best predictor of the relationship between age and length for larval Australian smelt in this study. Tonkin et al. (2008</w:t>
      </w:r>
      <w:r w:rsidR="009538DA">
        <w:rPr>
          <w:lang w:val="en-US"/>
        </w:rPr>
        <w:t>c</w:t>
      </w:r>
      <w:r w:rsidRPr="002B446A">
        <w:rPr>
          <w:lang w:val="en-US"/>
        </w:rPr>
        <w:t xml:space="preserve">) found that the Gompertz growth model was the best fit for their length age data of Australian smelt, though the VBGM was the next best. Similar in our study, Gompertz growth model was very similar to the VBGM in its suitability for predicting age from length of larval Australian smelt. In the current study, the VBGM aligned well with estimate spawning ranges and densities based on known age estimates. </w:t>
      </w:r>
      <w:r w:rsidR="00531E46">
        <w:rPr>
          <w:lang w:val="en-US"/>
        </w:rPr>
        <w:t xml:space="preserve">The use of less accurate models may fail to detect contributions of environmental water to spawning intensity. </w:t>
      </w:r>
      <w:r w:rsidRPr="002B446A">
        <w:rPr>
          <w:lang w:val="en-US"/>
        </w:rPr>
        <w:t xml:space="preserve">Based on our results, we recommend that the VBGM be used for </w:t>
      </w:r>
      <w:r w:rsidR="00617FB3">
        <w:rPr>
          <w:lang w:val="en-US"/>
        </w:rPr>
        <w:t xml:space="preserve">future </w:t>
      </w:r>
      <w:r w:rsidRPr="002B446A">
        <w:rPr>
          <w:lang w:val="en-US"/>
        </w:rPr>
        <w:t>calculations of age based on length.</w:t>
      </w:r>
    </w:p>
    <w:p w14:paraId="7853BC77" w14:textId="4C941681" w:rsidR="00ED69E9" w:rsidRPr="002B446A" w:rsidRDefault="00ED69E9" w:rsidP="00ED69E9">
      <w:pPr>
        <w:rPr>
          <w:lang w:val="en-US"/>
        </w:rPr>
      </w:pPr>
      <w:r w:rsidRPr="002B446A">
        <w:rPr>
          <w:lang w:val="en-US"/>
        </w:rPr>
        <w:t xml:space="preserve">The linear model of the relationship between age and growth of Murray cod was robust statistically, and accurate compared to known age samples in this study. Koehn and Harrington </w:t>
      </w:r>
      <w:r w:rsidR="00595913">
        <w:rPr>
          <w:lang w:val="en-US"/>
        </w:rPr>
        <w:fldChar w:fldCharType="begin"/>
      </w:r>
      <w:r w:rsidR="00595913">
        <w:rPr>
          <w:lang w:val="en-US"/>
        </w:rPr>
        <w:instrText xml:space="preserve"> ADDIN EN.CITE &lt;EndNote&gt;&lt;Cite ExcludeAuth="1"&gt;&lt;Author&gt;Koehn&lt;/Author&gt;&lt;Year&gt;2006&lt;/Year&gt;&lt;RecNum&gt;131&lt;/RecNum&gt;&lt;DisplayText&gt;(2006)&lt;/DisplayText&gt;&lt;record&gt;&lt;rec-number&gt;131&lt;/rec-number&gt;&lt;foreign-keys&gt;&lt;key app="EN" db-id="0a0zttz0gewd9befav559p5osxw5sftwfpdv" timestamp="1472615724"&gt;131&lt;/key&gt;&lt;/foreign-keys&gt;&lt;ref-type name="Journal Article"&gt;17&lt;/ref-type&gt;&lt;contributors&gt;&lt;authors&gt;&lt;author&gt;Koehn, J.D.&lt;/author&gt;&lt;author&gt;Harrington, D.J.&lt;/author&gt;&lt;/authors&gt;&lt;/contributors&gt;&lt;titles&gt;&lt;title&gt;Environmental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Applications&lt;/full-title&gt;&lt;/periodical&gt;&lt;pages&gt;327-342&lt;/pages&gt;&lt;volume&gt;18&lt;/volume&gt;&lt;dates&gt;&lt;year&gt;2006&lt;/year&gt;&lt;/dates&gt;&lt;urls&gt;&lt;/urls&gt;&lt;/record&gt;&lt;/Cite&gt;&lt;/EndNote&gt;</w:instrText>
      </w:r>
      <w:r w:rsidR="00595913">
        <w:rPr>
          <w:lang w:val="en-US"/>
        </w:rPr>
        <w:fldChar w:fldCharType="separate"/>
      </w:r>
      <w:r w:rsidR="00595913">
        <w:rPr>
          <w:noProof/>
          <w:lang w:val="en-US"/>
        </w:rPr>
        <w:t>(2006)</w:t>
      </w:r>
      <w:r w:rsidR="00595913">
        <w:rPr>
          <w:lang w:val="en-US"/>
        </w:rPr>
        <w:fldChar w:fldCharType="end"/>
      </w:r>
      <w:r w:rsidRPr="002B446A">
        <w:rPr>
          <w:lang w:val="en-US"/>
        </w:rPr>
        <w:t xml:space="preserve"> also found a strong linear relationship between length and age for larval Murray cod, though the relationship in that </w:t>
      </w:r>
      <w:r>
        <w:rPr>
          <w:lang w:val="en-US"/>
        </w:rPr>
        <w:t>study</w:t>
      </w:r>
      <w:r w:rsidRPr="002B446A">
        <w:rPr>
          <w:lang w:val="en-US"/>
        </w:rPr>
        <w:t xml:space="preserve"> was statistically stronger for their data. In the current study, </w:t>
      </w:r>
      <w:r>
        <w:rPr>
          <w:lang w:val="en-US"/>
        </w:rPr>
        <w:t>spawning date ranges and densities based on the linear model</w:t>
      </w:r>
      <w:r w:rsidRPr="002B446A">
        <w:rPr>
          <w:lang w:val="en-US"/>
        </w:rPr>
        <w:t xml:space="preserve"> aligned well with </w:t>
      </w:r>
      <w:r>
        <w:rPr>
          <w:lang w:val="en-US"/>
        </w:rPr>
        <w:t xml:space="preserve">those </w:t>
      </w:r>
      <w:r w:rsidRPr="002B446A">
        <w:rPr>
          <w:lang w:val="en-US"/>
        </w:rPr>
        <w:t>based on known age estimates</w:t>
      </w:r>
      <w:r w:rsidR="00EB77C1">
        <w:rPr>
          <w:lang w:val="en-US"/>
        </w:rPr>
        <w:t>.</w:t>
      </w:r>
      <w:r w:rsidRPr="002B446A">
        <w:rPr>
          <w:lang w:val="en-US"/>
        </w:rPr>
        <w:t xml:space="preserve"> </w:t>
      </w:r>
      <w:r w:rsidR="00531E46">
        <w:rPr>
          <w:lang w:val="en-US"/>
        </w:rPr>
        <w:t>Although very similar to the existing length age model being use</w:t>
      </w:r>
      <w:r w:rsidR="00707848">
        <w:rPr>
          <w:lang w:val="en-US"/>
        </w:rPr>
        <w:t>d currently for LTIM, w</w:t>
      </w:r>
      <w:r w:rsidRPr="002B446A">
        <w:rPr>
          <w:lang w:val="en-US"/>
        </w:rPr>
        <w:t>e recommend the use of the newly constructed linear growth model for estimating age based on length for larval Murray cod in the lower Lachlan river</w:t>
      </w:r>
      <w:r w:rsidR="00707848">
        <w:rPr>
          <w:lang w:val="en-US"/>
        </w:rPr>
        <w:t xml:space="preserve"> as it is more accurate for this system and will lead to more accurate spawning date estimates.</w:t>
      </w:r>
      <w:r w:rsidRPr="002B446A">
        <w:rPr>
          <w:lang w:val="en-US"/>
        </w:rPr>
        <w:t xml:space="preserve">  </w:t>
      </w:r>
    </w:p>
    <w:p w14:paraId="3F722BB3" w14:textId="4801E34B" w:rsidR="00ED69E9" w:rsidRDefault="00ED69E9" w:rsidP="00ED69E9">
      <w:pPr>
        <w:rPr>
          <w:lang w:val="en-US"/>
        </w:rPr>
      </w:pPr>
      <w:r w:rsidRPr="00BE26F6">
        <w:rPr>
          <w:lang w:val="en-US"/>
        </w:rPr>
        <w:t>Australian smelt exhibited some difference in growth between years, with 2017 having lower length at age measurements compared to other years. Tonkin et al. (2008</w:t>
      </w:r>
      <w:r w:rsidR="009538DA">
        <w:rPr>
          <w:lang w:val="en-US"/>
        </w:rPr>
        <w:t>b</w:t>
      </w:r>
      <w:r w:rsidRPr="00BE26F6">
        <w:rPr>
          <w:lang w:val="en-US"/>
        </w:rPr>
        <w:t>) found that food density had the great effects on growth of Australian smelt. The reason that growth was slower in 2017 compared to other years in the current study may be food related. Abundances of Australian smelt larvae captured in sampling in 2017 were 60-fold that of 2015, which may have resulted in some intraspecific competition for resources and impacted on growth.</w:t>
      </w:r>
    </w:p>
    <w:p w14:paraId="1A033F48" w14:textId="4F3DC469" w:rsidR="00ED69E9" w:rsidRDefault="00ED69E9" w:rsidP="00ED69E9">
      <w:pPr>
        <w:rPr>
          <w:lang w:val="en-US"/>
        </w:rPr>
      </w:pPr>
      <w:r>
        <w:rPr>
          <w:lang w:val="en-US"/>
        </w:rPr>
        <w:t>Daily growth of Australian smelt appeared to be positively influenced by gross primary productivity, especially in 2014. This is somewhat expected as fish production and growth has been linked to gross primary production or chlorophyll-a concentrations previously</w:t>
      </w:r>
      <w:r w:rsidR="00942FEA">
        <w:rPr>
          <w:lang w:val="en-US"/>
        </w:rPr>
        <w:t xml:space="preserve"> </w:t>
      </w:r>
      <w:r w:rsidR="00AC4FB2">
        <w:rPr>
          <w:lang w:val="en-US"/>
        </w:rPr>
        <w:fldChar w:fldCharType="begin"/>
      </w:r>
      <w:r w:rsidR="00AC4FB2">
        <w:rPr>
          <w:lang w:val="en-US"/>
        </w:rPr>
        <w:instrText xml:space="preserve"> ADDIN EN.CITE &lt;EndNote&gt;&lt;Cite&gt;&lt;Author&gt;Yusoff&lt;/Author&gt;&lt;Year&gt;1989&lt;/Year&gt;&lt;RecNum&gt;400&lt;/RecNum&gt;&lt;Prefix&gt;e.g. &lt;/Prefix&gt;&lt;DisplayText&gt;(e.g. Yusoff and McNabb 1989, Martino et al. 2019)&lt;/DisplayText&gt;&lt;record&gt;&lt;rec-number&gt;400&lt;/rec-number&gt;&lt;foreign-keys&gt;&lt;key app="EN" db-id="0a0zttz0gewd9befav559p5osxw5sftwfpdv" timestamp="1581051752"&gt;400&lt;/key&gt;&lt;/foreign-keys&gt;&lt;ref-type name="Journal Article"&gt;17&lt;/ref-type&gt;&lt;contributors&gt;&lt;authors&gt;&lt;author&gt;Yusoff, F.M.&lt;/author&gt;&lt;author&gt;McNabb, C.D.&lt;/author&gt;&lt;/authors&gt;&lt;/contributors&gt;&lt;titles&gt;&lt;title&gt;Effects of nutrient availability on primary productivity and fish production in fertilized tropical ponds&lt;/title&gt;&lt;secondary-title&gt;Aquaculture&lt;/secondary-title&gt;&lt;/titles&gt;&lt;periodical&gt;&lt;full-title&gt;Aquaculture&lt;/full-title&gt;&lt;/periodical&gt;&lt;pages&gt;303-319&lt;/pages&gt;&lt;volume&gt;78&lt;/volume&gt;&lt;number&gt;3-4&lt;/number&gt;&lt;dates&gt;&lt;year&gt;1989&lt;/year&gt;&lt;/dates&gt;&lt;urls&gt;&lt;/urls&gt;&lt;/record&gt;&lt;/Cite&gt;&lt;Cite&gt;&lt;Author&gt;Martino&lt;/Author&gt;&lt;Year&gt;2019&lt;/Year&gt;&lt;RecNum&gt;401&lt;/RecNum&gt;&lt;record&gt;&lt;rec-number&gt;401&lt;/rec-number&gt;&lt;foreign-keys&gt;&lt;key app="EN" db-id="0a0zttz0gewd9befav559p5osxw5sftwfpdv" timestamp="1581052120"&gt;401&lt;/key&gt;&lt;/foreign-keys&gt;&lt;ref-type name="Journal Article"&gt;17&lt;/ref-type&gt;&lt;contributors&gt;&lt;authors&gt;&lt;author&gt;Martino, J.C.&lt;/author&gt;&lt;author&gt;Fowler, A.J.&lt;/author&gt;&lt;author&gt;Doubleday, Z.A.&lt;/author&gt;&lt;author&gt;Grammer, G.L.&lt;/author</w:instrText>
      </w:r>
      <w:r w:rsidR="00AC4FB2">
        <w:rPr>
          <w:rFonts w:hint="eastAsia"/>
          <w:lang w:val="en-US"/>
        </w:rPr>
        <w:instrText>&gt;&lt;author&gt;Gillanders, B.M., &lt;/author&gt;&lt;/authors&gt;&lt;/contributors&gt;&lt;titles&gt;&lt;title&gt;Using otolith chronologies to understand long</w:instrText>
      </w:r>
      <w:r w:rsidR="00AC4FB2">
        <w:rPr>
          <w:rFonts w:hint="eastAsia"/>
          <w:lang w:val="en-US"/>
        </w:rPr>
        <w:instrText>‐</w:instrText>
      </w:r>
      <w:r w:rsidR="00AC4FB2">
        <w:rPr>
          <w:rFonts w:hint="eastAsia"/>
          <w:lang w:val="en-US"/>
        </w:rPr>
        <w:instrText>term trends and extrinsic drivers of growth in fisheries&lt;/title&gt;&lt;secondary-title&gt;Ecosphere&lt;/secondary-title&gt;&lt;/titles&gt;&lt;periodical&gt;&lt;ful</w:instrText>
      </w:r>
      <w:r w:rsidR="00AC4FB2">
        <w:rPr>
          <w:lang w:val="en-US"/>
        </w:rPr>
        <w:instrText>l-title&gt;Ecosphere&lt;/full-title&gt;&lt;/periodical&gt;&lt;pages&gt;e02553&lt;/pages&gt;&lt;volume&gt;10&lt;/volume&gt;&lt;number&gt;1&lt;/number&gt;&lt;dates&gt;&lt;year&gt;2019&lt;/year&gt;&lt;/dates&gt;&lt;urls&gt;&lt;/urls&gt;&lt;/record&gt;&lt;/Cite&gt;&lt;/EndNote&gt;</w:instrText>
      </w:r>
      <w:r w:rsidR="00AC4FB2">
        <w:rPr>
          <w:lang w:val="en-US"/>
        </w:rPr>
        <w:fldChar w:fldCharType="separate"/>
      </w:r>
      <w:r w:rsidR="00AC4FB2">
        <w:rPr>
          <w:noProof/>
          <w:lang w:val="en-US"/>
        </w:rPr>
        <w:t>(e.g. Yusoff and McNabb 1989, Martino et al. 2019)</w:t>
      </w:r>
      <w:r w:rsidR="00AC4FB2">
        <w:rPr>
          <w:lang w:val="en-US"/>
        </w:rPr>
        <w:fldChar w:fldCharType="end"/>
      </w:r>
      <w:r w:rsidR="00AC4FB2">
        <w:rPr>
          <w:lang w:val="en-US"/>
        </w:rPr>
        <w:t xml:space="preserve">. </w:t>
      </w:r>
      <w:r>
        <w:rPr>
          <w:lang w:val="en-US"/>
        </w:rPr>
        <w:t>Furthermore, increase food resources have been found to increase growth of Australian smelt (Tonkin et al. 2008</w:t>
      </w:r>
      <w:r w:rsidR="009538DA">
        <w:rPr>
          <w:lang w:val="en-US"/>
        </w:rPr>
        <w:t>b</w:t>
      </w:r>
      <w:r>
        <w:rPr>
          <w:lang w:val="en-US"/>
        </w:rPr>
        <w:t xml:space="preserve">). It is likely that other factors such as competition and temperature are influencing Australian smelt growth at various timescales. It must be noted, that there were many days where GPP was not able to be measured </w:t>
      </w:r>
      <w:r w:rsidR="00617FB3">
        <w:rPr>
          <w:lang w:val="en-US"/>
        </w:rPr>
        <w:t xml:space="preserve">because of a range of </w:t>
      </w:r>
      <w:r>
        <w:rPr>
          <w:lang w:val="en-US"/>
        </w:rPr>
        <w:t xml:space="preserve">factors </w:t>
      </w:r>
      <w:r w:rsidR="00617FB3">
        <w:rPr>
          <w:lang w:val="en-US"/>
        </w:rPr>
        <w:t xml:space="preserve">(see Section </w:t>
      </w:r>
      <w:r w:rsidR="00595913">
        <w:rPr>
          <w:lang w:val="en-US"/>
        </w:rPr>
        <w:fldChar w:fldCharType="begin"/>
      </w:r>
      <w:r w:rsidR="00595913">
        <w:rPr>
          <w:lang w:val="en-US"/>
        </w:rPr>
        <w:instrText xml:space="preserve"> REF _Ref31983239 \r \h </w:instrText>
      </w:r>
      <w:r w:rsidR="00595913">
        <w:rPr>
          <w:lang w:val="en-US"/>
        </w:rPr>
      </w:r>
      <w:r w:rsidR="00595913">
        <w:rPr>
          <w:lang w:val="en-US"/>
        </w:rPr>
        <w:fldChar w:fldCharType="separate"/>
      </w:r>
      <w:r w:rsidR="007F7607">
        <w:rPr>
          <w:lang w:val="en-US"/>
        </w:rPr>
        <w:t>5</w:t>
      </w:r>
      <w:r w:rsidR="00595913">
        <w:rPr>
          <w:lang w:val="en-US"/>
        </w:rPr>
        <w:fldChar w:fldCharType="end"/>
      </w:r>
      <w:r w:rsidR="00617FB3">
        <w:rPr>
          <w:lang w:val="en-US"/>
        </w:rPr>
        <w:t>)</w:t>
      </w:r>
      <w:r>
        <w:rPr>
          <w:lang w:val="en-US"/>
        </w:rPr>
        <w:t>, this was especially the case in 2014 and 2015 and during elevated discharges. This study provides some preliminary support for the hypothesis that an increase in GPP will result in increased growth of larval fish.</w:t>
      </w:r>
      <w:r w:rsidR="00531E46">
        <w:rPr>
          <w:lang w:val="en-US"/>
        </w:rPr>
        <w:t xml:space="preserve"> This preliminary investigation indicates that in a year of low flows, the productivity pulse provided by e</w:t>
      </w:r>
      <w:r w:rsidR="00EA3246">
        <w:rPr>
          <w:lang w:val="en-US"/>
        </w:rPr>
        <w:t xml:space="preserve">nvironmental </w:t>
      </w:r>
      <w:r w:rsidR="00531E46">
        <w:rPr>
          <w:lang w:val="en-US"/>
        </w:rPr>
        <w:t>water is likely to be a significant contributor to overall stream productivity and can be observed in the growth of larval fish.  Further work is recommended to test this finding further, but it would suggest that in 2014, CEW contributed to the growth of Australian smelt.</w:t>
      </w:r>
    </w:p>
    <w:p w14:paraId="099F6B0D" w14:textId="51EF321F" w:rsidR="00ED69E9" w:rsidRDefault="00ED69E9" w:rsidP="00ED69E9">
      <w:pPr>
        <w:rPr>
          <w:lang w:val="en-US"/>
        </w:rPr>
      </w:pPr>
      <w:r>
        <w:rPr>
          <w:lang w:val="en-US"/>
        </w:rPr>
        <w:t>In contrast to Australian smelt, there was no discernible relationship between GPP and Murray cod daily growth in the current study. The growth histories (i.e. ages) of Murray cod in the current study (maximum age 21 days, mean 12 days) were far shorter than Australian smelt (maximum age 56 days, mean 34 days), which meant that Murray cod larvae were not as exposed to as large of a range of conditions during their growth. Furthermore, early stage of Murray cod development are supported by remaining yolk sac, even well after leaving the nest</w:t>
      </w:r>
      <w:r w:rsidR="00531E46">
        <w:rPr>
          <w:lang w:val="en-US"/>
        </w:rPr>
        <w:t xml:space="preserve"> (days to weeks)</w:t>
      </w:r>
      <w:r w:rsidR="00595913">
        <w:rPr>
          <w:lang w:val="en-US"/>
        </w:rPr>
        <w:t xml:space="preserve"> </w:t>
      </w:r>
      <w:r w:rsidR="00595913">
        <w:rPr>
          <w:lang w:val="en-US"/>
        </w:rPr>
        <w:fldChar w:fldCharType="begin"/>
      </w:r>
      <w:r w:rsidR="00942FEA">
        <w:rPr>
          <w:lang w:val="en-US"/>
        </w:rPr>
        <w:instrText xml:space="preserve"> ADDIN EN.CITE &lt;EndNote&gt;&lt;Cite&gt;&lt;Author&gt;Kaminskas&lt;/Author&gt;&lt;Year&gt;2009&lt;/Year&gt;&lt;RecNum&gt;399&lt;/RecNum&gt;&lt;DisplayText&gt;(Humphries 2005, Kaminskas and Humphries 2009)&lt;/DisplayText&gt;&lt;record&gt;&lt;rec-number&gt;399&lt;/rec-number&gt;&lt;foreign-keys&gt;&lt;key app="EN" db-id="0a0zttz0gewd9befav559p5osxw5sftwfpdv" timestamp="1581051362"&gt;399&lt;/key&gt;&lt;/foreign-keys&gt;&lt;ref-type name="Journal Article"&gt;17&lt;/ref-type&gt;&lt;contributors&gt;&lt;authors&gt;&lt;author&gt;Kaminskas, S.&lt;/author&gt;&lt;author&gt;Humphries, P.&lt;/author&gt;&lt;/authors&gt;&lt;/contributors&gt;&lt;titles&gt;&lt;title&gt;&lt;style face="normal" font="default" size="100%"&gt;Diet of Murray cod (&lt;/style&gt;&lt;style face="italic" font="default" size="100%"&gt;Maccullochella peelii peelii&lt;/style&gt;&lt;style face="normal" font="default" size="100%"&gt;) (Mitchell) larvae in an Australian lowland river in low flow and high flow years&lt;/style&gt;&lt;/title&gt;&lt;secondary-title&gt;Hydrobiologia&lt;/secondary-title&gt;&lt;/titles&gt;&lt;periodical&gt;&lt;full-title&gt;Hydrobiologia&lt;/full-title&gt;&lt;abbr-1&gt;Hydrobiologia&lt;/abbr-1&gt;&lt;/periodical&gt;&lt;pages&gt;449-461&lt;/pages&gt;&lt;volume&gt;636&lt;/volume&gt;&lt;dates&gt;&lt;year&gt;2009&lt;/year&gt;&lt;/dates&gt;&lt;urls&gt;&lt;/urls&gt;&lt;/record&gt;&lt;/Cite&gt;&lt;Cite&gt;&lt;Author&gt;Humphries&lt;/Author&gt;&lt;Year&gt;2005&lt;/Year&gt;&lt;RecNum&gt;128&lt;/RecNum&gt;&lt;record&gt;&lt;rec-number&gt;128&lt;/rec-number&gt;&lt;foreign-keys&gt;&lt;key app="EN" db-id="0a0zttz0gewd9befav559p5osxw5sftwfpdv" timestamp="1472615257"&gt;128&lt;/key&gt;&lt;/foreign-keys&gt;&lt;ref-type name="Journal Article"&gt;17&lt;/ref-type&gt;&lt;contributors&gt;&lt;authors&gt;&lt;author&gt;Humphries, P.&lt;/author&gt;&lt;/authors&gt;&lt;/contributors&gt;&lt;titles&gt;&lt;title&gt;&lt;style face="normal" font="default" size="100%"&gt;Spawning time and early life history of Murray cod&lt;/style&gt;&lt;style face="italic" font="default" size="100%"&gt;, &lt;/style&gt;&lt;style face="normal" font="default" size="100%"&gt;Maccullochella peelii peelii (Mitchell) in an Australian River&lt;/style&gt;&lt;/title&gt;&lt;secondary-title&gt;Environmental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Fishes&lt;/full-title&gt;&lt;/periodical&gt;&lt;pages&gt;393-407&lt;/pages&gt;&lt;volume&gt;72&lt;/volume&gt;&lt;number&gt;4&lt;/number&gt;&lt;dates&gt;&lt;year&gt;2005&lt;/year&gt;&lt;/dates&gt;&lt;urls&gt;&lt;/urls&gt;&lt;/record&gt;&lt;/Cite&gt;&lt;/EndNote&gt;</w:instrText>
      </w:r>
      <w:r w:rsidR="00595913">
        <w:rPr>
          <w:lang w:val="en-US"/>
        </w:rPr>
        <w:fldChar w:fldCharType="separate"/>
      </w:r>
      <w:r w:rsidR="00942FEA">
        <w:rPr>
          <w:noProof/>
          <w:lang w:val="en-US"/>
        </w:rPr>
        <w:t>(Humphries 2005, Kaminskas and Humphries 2009)</w:t>
      </w:r>
      <w:r w:rsidR="00595913">
        <w:rPr>
          <w:lang w:val="en-US"/>
        </w:rPr>
        <w:fldChar w:fldCharType="end"/>
      </w:r>
      <w:r>
        <w:rPr>
          <w:lang w:val="en-US"/>
        </w:rPr>
        <w:t xml:space="preserve"> which may mask any daily responses to changes in GPP. Length age ratios of larval Murray cod captured in 2015 were higher than other years and had very high values of GPP during early development of Murray cod. </w:t>
      </w:r>
      <w:r w:rsidR="00617FB3">
        <w:rPr>
          <w:lang w:val="en-US"/>
        </w:rPr>
        <w:t xml:space="preserve">While </w:t>
      </w:r>
      <w:r>
        <w:rPr>
          <w:lang w:val="en-US"/>
        </w:rPr>
        <w:t>far from conclusive, this final result indicates that there may be some effect of GPP on larval Murray cod growth but operating at temporal scales not examined in the current study.</w:t>
      </w:r>
    </w:p>
    <w:p w14:paraId="43DA868C" w14:textId="77777777" w:rsidR="00ED69E9" w:rsidRPr="00AA31A8" w:rsidRDefault="00ED69E9" w:rsidP="00ED69E9">
      <w:pPr>
        <w:pStyle w:val="Heading2"/>
        <w:rPr>
          <w:lang w:bidi="th-TH"/>
        </w:rPr>
      </w:pPr>
      <w:bookmarkStart w:id="515" w:name="_Toc31985526"/>
      <w:r w:rsidRPr="00AA31A8">
        <w:rPr>
          <w:lang w:bidi="th-TH"/>
        </w:rPr>
        <w:t>Conclusions and recommendations</w:t>
      </w:r>
      <w:bookmarkEnd w:id="515"/>
    </w:p>
    <w:p w14:paraId="316884DF" w14:textId="77777777" w:rsidR="00ED69E9" w:rsidRDefault="00ED69E9" w:rsidP="00D077A5">
      <w:pPr>
        <w:pStyle w:val="ListParagraph"/>
        <w:numPr>
          <w:ilvl w:val="0"/>
          <w:numId w:val="53"/>
        </w:numPr>
        <w:spacing w:before="120" w:after="360" w:line="276" w:lineRule="auto"/>
        <w:ind w:left="714" w:hanging="357"/>
        <w:rPr>
          <w:lang w:val="en-US"/>
        </w:rPr>
      </w:pPr>
      <w:r>
        <w:rPr>
          <w:lang w:val="en-US"/>
        </w:rPr>
        <w:t>There is some interannual variation in growth of Australian smelt, but the constructed Von Bertalanffy growth model is the most accurate model for predicting age from length for the lower Lachlan River.</w:t>
      </w:r>
    </w:p>
    <w:p w14:paraId="11BE3AF4" w14:textId="77777777" w:rsidR="00ED69E9" w:rsidRDefault="00ED69E9" w:rsidP="00D077A5">
      <w:pPr>
        <w:pStyle w:val="ListParagraph"/>
        <w:numPr>
          <w:ilvl w:val="0"/>
          <w:numId w:val="53"/>
        </w:numPr>
        <w:spacing w:before="120" w:after="360" w:line="276" w:lineRule="auto"/>
        <w:ind w:left="714" w:hanging="357"/>
        <w:rPr>
          <w:lang w:val="en-US"/>
        </w:rPr>
      </w:pPr>
      <w:r>
        <w:rPr>
          <w:lang w:val="en-US"/>
        </w:rPr>
        <w:t>The newly constructed linear model for Murray cod growth is a slight improvement on the existing model, and should be used for back calculating age of Murray cod for the lower Lachlan River.</w:t>
      </w:r>
    </w:p>
    <w:p w14:paraId="49E8513F" w14:textId="78871443" w:rsidR="00ED69E9" w:rsidRDefault="00ED69E9" w:rsidP="00D077A5">
      <w:pPr>
        <w:pStyle w:val="ListParagraph"/>
        <w:numPr>
          <w:ilvl w:val="0"/>
          <w:numId w:val="53"/>
        </w:numPr>
        <w:spacing w:before="120" w:after="360" w:line="276" w:lineRule="auto"/>
        <w:ind w:left="714" w:hanging="357"/>
        <w:rPr>
          <w:lang w:val="en-US"/>
        </w:rPr>
      </w:pPr>
      <w:r>
        <w:rPr>
          <w:lang w:val="en-US"/>
        </w:rPr>
        <w:t>Preliminary results suggest some positive relationship between Australian smelt daily growth and gross primary productivity. The effect of GPP on Australian smelt growth warrants further targeted investigation</w:t>
      </w:r>
      <w:r w:rsidR="00531E46">
        <w:rPr>
          <w:lang w:val="en-US"/>
        </w:rPr>
        <w:t xml:space="preserve"> to more accurately determine the relationship</w:t>
      </w:r>
    </w:p>
    <w:p w14:paraId="71213870" w14:textId="5AC6ADF4" w:rsidR="00531E46" w:rsidRDefault="00531E46" w:rsidP="00D077A5">
      <w:pPr>
        <w:pStyle w:val="ListParagraph"/>
        <w:numPr>
          <w:ilvl w:val="0"/>
          <w:numId w:val="53"/>
        </w:numPr>
        <w:spacing w:before="120" w:after="360" w:line="276" w:lineRule="auto"/>
        <w:ind w:left="714" w:hanging="357"/>
        <w:rPr>
          <w:lang w:val="en-US"/>
        </w:rPr>
      </w:pPr>
      <w:r>
        <w:rPr>
          <w:lang w:val="en-US"/>
        </w:rPr>
        <w:t>During years of low flows, environmental watering has the potential to significant contribute to food resources and growth of larval fish</w:t>
      </w:r>
    </w:p>
    <w:p w14:paraId="7081B6F9" w14:textId="77777777" w:rsidR="00ED69E9" w:rsidRDefault="00ED69E9" w:rsidP="00D077A5">
      <w:pPr>
        <w:pStyle w:val="ListParagraph"/>
        <w:numPr>
          <w:ilvl w:val="0"/>
          <w:numId w:val="53"/>
        </w:numPr>
        <w:spacing w:before="120" w:after="360" w:line="276" w:lineRule="auto"/>
        <w:ind w:left="714" w:hanging="357"/>
        <w:rPr>
          <w:lang w:val="en-US"/>
        </w:rPr>
      </w:pPr>
      <w:r>
        <w:rPr>
          <w:lang w:val="en-US"/>
        </w:rPr>
        <w:t>There was no discernible relationship between daily growth of Murray cod and GPP. It is likely that yolk is being used as a supplementary food source by larval Murray cod, masking any effects of food density in early life history.</w:t>
      </w:r>
    </w:p>
    <w:p w14:paraId="3B556D89" w14:textId="2E07A138" w:rsidR="00ED69E9" w:rsidRDefault="00ED69E9" w:rsidP="00D077A5">
      <w:pPr>
        <w:pStyle w:val="ListParagraph"/>
        <w:numPr>
          <w:ilvl w:val="0"/>
          <w:numId w:val="53"/>
        </w:numPr>
        <w:spacing w:before="120" w:after="360" w:line="276" w:lineRule="auto"/>
        <w:ind w:left="714" w:hanging="357"/>
        <w:rPr>
          <w:lang w:val="en-US"/>
        </w:rPr>
      </w:pPr>
      <w:r>
        <w:rPr>
          <w:lang w:val="en-US"/>
        </w:rPr>
        <w:t xml:space="preserve">Aging of other species of interest is recommended to develop accurate age : length models for the lower Lachlan river (especially </w:t>
      </w:r>
      <w:r w:rsidR="00B04728">
        <w:rPr>
          <w:lang w:val="en-US"/>
        </w:rPr>
        <w:t>flatheaded</w:t>
      </w:r>
      <w:r>
        <w:rPr>
          <w:lang w:val="en-US"/>
        </w:rPr>
        <w:t xml:space="preserve"> gudgeon).</w:t>
      </w:r>
    </w:p>
    <w:p w14:paraId="5757FD01" w14:textId="77777777" w:rsidR="00ED69E9" w:rsidRDefault="00ED69E9" w:rsidP="00D077A5">
      <w:pPr>
        <w:pStyle w:val="ListParagraph"/>
        <w:numPr>
          <w:ilvl w:val="0"/>
          <w:numId w:val="53"/>
        </w:numPr>
        <w:spacing w:before="120" w:after="360" w:line="276" w:lineRule="auto"/>
        <w:ind w:left="714" w:hanging="357"/>
        <w:rPr>
          <w:lang w:val="en-US"/>
        </w:rPr>
      </w:pPr>
      <w:r>
        <w:rPr>
          <w:lang w:val="en-US"/>
        </w:rPr>
        <w:t>Examination of the effect of changes in GPP to changes in daily growth should be explored for other native small bodied species (Flat headed gudgeon).</w:t>
      </w:r>
    </w:p>
    <w:p w14:paraId="07853082" w14:textId="0E9B86E6" w:rsidR="00266C96" w:rsidRPr="00682B8E" w:rsidRDefault="00266C96" w:rsidP="00266C96">
      <w:pPr>
        <w:rPr>
          <w:lang w:val="en-US"/>
        </w:rPr>
      </w:pPr>
    </w:p>
    <w:p w14:paraId="3B7D1567" w14:textId="27E15613" w:rsidR="00266C96" w:rsidRDefault="00266C96">
      <w:pPr>
        <w:spacing w:before="0" w:after="0"/>
      </w:pPr>
      <w:r>
        <w:br w:type="page"/>
      </w:r>
    </w:p>
    <w:p w14:paraId="37B453FA" w14:textId="77777777" w:rsidR="00924476" w:rsidRPr="00924476" w:rsidRDefault="00924476" w:rsidP="00F02B1E">
      <w:pPr>
        <w:pStyle w:val="Heading1"/>
      </w:pPr>
      <w:bookmarkStart w:id="516" w:name="_Toc499912016"/>
      <w:bookmarkStart w:id="517" w:name="_Toc31985527"/>
      <w:r w:rsidRPr="00924476">
        <w:t>Vegetation</w:t>
      </w:r>
      <w:bookmarkEnd w:id="516"/>
      <w:bookmarkEnd w:id="517"/>
    </w:p>
    <w:p w14:paraId="1B75C0BC" w14:textId="77777777" w:rsidR="007163E8" w:rsidRPr="00924476" w:rsidRDefault="007163E8" w:rsidP="007163E8">
      <w:pPr>
        <w:pStyle w:val="Heading2"/>
      </w:pPr>
      <w:bookmarkStart w:id="518" w:name="_Toc467776136"/>
      <w:bookmarkStart w:id="519" w:name="_Toc499912017"/>
      <w:bookmarkStart w:id="520" w:name="_Toc4574817"/>
      <w:bookmarkStart w:id="521" w:name="_Toc31985528"/>
      <w:r w:rsidRPr="00924476">
        <w:t>Introduction</w:t>
      </w:r>
      <w:bookmarkEnd w:id="518"/>
      <w:bookmarkEnd w:id="519"/>
      <w:bookmarkEnd w:id="520"/>
      <w:bookmarkEnd w:id="521"/>
    </w:p>
    <w:p w14:paraId="0F6F99C8" w14:textId="41DB18A8" w:rsidR="007163E8" w:rsidRPr="00F430C3" w:rsidRDefault="007163E8" w:rsidP="007163E8">
      <w:pPr>
        <w:rPr>
          <w:rFonts w:asciiTheme="minorHAnsi" w:eastAsiaTheme="minorHAnsi" w:hAnsiTheme="minorHAnsi" w:cstheme="minorBidi"/>
          <w:lang w:val="en-US"/>
        </w:rPr>
      </w:pPr>
      <w:r w:rsidRPr="00924476">
        <w:t>The Lower Lachlan river system contains many wetlands considered to be of national, regional and local importance. These are sites of high-value wetland plant communities including black box (</w:t>
      </w:r>
      <w:r w:rsidRPr="00924476">
        <w:rPr>
          <w:i/>
          <w:iCs/>
        </w:rPr>
        <w:t>Eucalyptus largiflorens</w:t>
      </w:r>
      <w:r w:rsidRPr="00924476">
        <w:t>), river cooba (</w:t>
      </w:r>
      <w:r w:rsidRPr="00924476">
        <w:rPr>
          <w:i/>
          <w:iCs/>
        </w:rPr>
        <w:t>Acacia stenophylla</w:t>
      </w:r>
      <w:r w:rsidRPr="00924476">
        <w:t>), extensive reedbeds (</w:t>
      </w:r>
      <w:r w:rsidRPr="00924476">
        <w:rPr>
          <w:i/>
          <w:iCs/>
        </w:rPr>
        <w:t>Phragmites australis</w:t>
      </w:r>
      <w:r w:rsidRPr="00924476">
        <w:t>) and substantial areas of riparian fringing river red gum forest (</w:t>
      </w:r>
      <w:r w:rsidRPr="00924476">
        <w:rPr>
          <w:i/>
          <w:iCs/>
        </w:rPr>
        <w:t>Eucalyptus camaldulensis</w:t>
      </w:r>
      <w:r w:rsidRPr="00924476">
        <w:t>) and woodland. These vegetation communities provide food and habitat for water birds, amphibians, fish, terrestrial vertebrates and a variety of other biota and support breeding events for tens of thousands of colonial nesting birds.</w:t>
      </w:r>
      <w:r>
        <w:t xml:space="preserve"> </w:t>
      </w:r>
      <w:r>
        <w:rPr>
          <w:lang w:val="en-US"/>
        </w:rPr>
        <w:t>For instance,</w:t>
      </w:r>
      <w:r w:rsidRPr="00924476">
        <w:t xml:space="preserve"> </w:t>
      </w:r>
      <w:r>
        <w:t>t</w:t>
      </w:r>
      <w:r w:rsidRPr="00924476">
        <w:t xml:space="preserve">he Great Cumbung Swamp </w:t>
      </w:r>
      <w:r>
        <w:rPr>
          <w:lang w:val="en-US"/>
        </w:rPr>
        <w:t>that lies at the terminus of the</w:t>
      </w:r>
      <w:r w:rsidRPr="0014071B">
        <w:rPr>
          <w:lang w:val="en-US"/>
        </w:rPr>
        <w:t xml:space="preserve"> Lachlan River system, west of Hay, NSW</w:t>
      </w:r>
      <w:r>
        <w:rPr>
          <w:lang w:val="en-US"/>
        </w:rPr>
        <w:t xml:space="preserve">, </w:t>
      </w:r>
      <w:r>
        <w:t xml:space="preserve">supports one of the largest areas of common reed </w:t>
      </w:r>
      <w:r w:rsidRPr="00924476">
        <w:t>(</w:t>
      </w:r>
      <w:r w:rsidRPr="00924476">
        <w:rPr>
          <w:i/>
          <w:iCs/>
        </w:rPr>
        <w:t>Phragmites australis</w:t>
      </w:r>
      <w:r w:rsidRPr="00924476">
        <w:t xml:space="preserve">) </w:t>
      </w:r>
      <w:r>
        <w:t xml:space="preserve">and stands of river red gum in NSW </w:t>
      </w:r>
      <w:r>
        <w:rPr>
          <w:lang w:val="en-US"/>
        </w:rPr>
        <w:fldChar w:fldCharType="begin"/>
      </w:r>
      <w:r w:rsidR="00D275DE">
        <w:rPr>
          <w:lang w:val="en-US"/>
        </w:rPr>
        <w:instrText xml:space="preserve"> ADDIN EN.CITE &lt;EndNote&gt;&lt;Cite&gt;&lt;Author&gt;MDBA&lt;/Author&gt;&lt;Year&gt;2012&lt;/Year&gt;&lt;RecNum&gt;366&lt;/RecNum&gt;&lt;DisplayText&gt;(MDBA 2012a)&lt;/DisplayText&gt;&lt;record&gt;&lt;rec-number&gt;366&lt;/rec-number&gt;&lt;foreign-keys&gt;&lt;key app="EN" db-id="0a0zttz0gewd9befav559p5osxw5sftwfpdv" timestamp="1567053242"&gt;366&lt;/key&gt;&lt;/foreign-keys&gt;&lt;ref-type name="Report"&gt;27&lt;/ref-type&gt;&lt;contributors&gt;&lt;authors&gt;&lt;author&gt;MDBA&lt;/author&gt;&lt;/authors&gt;&lt;/contributors&gt;&lt;titles&gt;&lt;title&gt;Assessment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Swamp&lt;/title&gt;&lt;/titles&gt;&lt;dates&gt;&lt;year&gt;2012&lt;/year&gt;&lt;/dates&gt;&lt;pub-location&gt;Canberra&lt;/pub-location&gt;&lt;publisher&gt;MBDA&lt;/publisher&gt;&lt;urls&gt;&lt;/urls&gt;&lt;/record&gt;&lt;/Cite&gt;&lt;/EndNote&gt;</w:instrText>
      </w:r>
      <w:r>
        <w:rPr>
          <w:lang w:val="en-US"/>
        </w:rPr>
        <w:fldChar w:fldCharType="separate"/>
      </w:r>
      <w:r>
        <w:rPr>
          <w:noProof/>
          <w:lang w:val="en-US"/>
        </w:rPr>
        <w:t>(MDBA 2012a)</w:t>
      </w:r>
      <w:r>
        <w:rPr>
          <w:lang w:val="en-US"/>
        </w:rPr>
        <w:fldChar w:fldCharType="end"/>
      </w:r>
      <w:r w:rsidRPr="00924476">
        <w:t xml:space="preserve">. </w:t>
      </w:r>
      <w:r w:rsidRPr="00F430C3">
        <w:rPr>
          <w:rFonts w:asciiTheme="minorHAnsi" w:eastAsiaTheme="minorHAnsi" w:hAnsiTheme="minorHAnsi" w:cstheme="minorBidi"/>
          <w:lang w:val="en-US"/>
        </w:rPr>
        <w:t>The G</w:t>
      </w:r>
      <w:r>
        <w:rPr>
          <w:rFonts w:asciiTheme="minorHAnsi" w:eastAsiaTheme="minorHAnsi" w:hAnsiTheme="minorHAnsi" w:cstheme="minorBidi"/>
          <w:lang w:val="en-US"/>
        </w:rPr>
        <w:t xml:space="preserve">reat </w:t>
      </w:r>
      <w:r w:rsidRPr="00F430C3">
        <w:rPr>
          <w:rFonts w:asciiTheme="minorHAnsi" w:eastAsiaTheme="minorHAnsi" w:hAnsiTheme="minorHAnsi" w:cstheme="minorBidi"/>
          <w:lang w:val="en-US"/>
        </w:rPr>
        <w:t>C</w:t>
      </w:r>
      <w:r>
        <w:rPr>
          <w:rFonts w:asciiTheme="minorHAnsi" w:eastAsiaTheme="minorHAnsi" w:hAnsiTheme="minorHAnsi" w:cstheme="minorBidi"/>
          <w:lang w:val="en-US"/>
        </w:rPr>
        <w:t xml:space="preserve">umbung </w:t>
      </w:r>
      <w:r w:rsidRPr="00F430C3">
        <w:rPr>
          <w:rFonts w:asciiTheme="minorHAnsi" w:eastAsiaTheme="minorHAnsi" w:hAnsiTheme="minorHAnsi" w:cstheme="minorBidi"/>
          <w:lang w:val="en-US"/>
        </w:rPr>
        <w:t>S</w:t>
      </w:r>
      <w:r>
        <w:rPr>
          <w:rFonts w:asciiTheme="minorHAnsi" w:eastAsiaTheme="minorHAnsi" w:hAnsiTheme="minorHAnsi" w:cstheme="minorBidi"/>
          <w:lang w:val="en-US"/>
        </w:rPr>
        <w:t>wamp</w:t>
      </w:r>
      <w:r w:rsidRPr="00F430C3">
        <w:rPr>
          <w:rFonts w:asciiTheme="minorHAnsi" w:eastAsiaTheme="minorHAnsi" w:hAnsiTheme="minorHAnsi" w:cstheme="minorBidi"/>
          <w:lang w:val="en-US"/>
        </w:rPr>
        <w:t xml:space="preserve"> supports or is capable of supporting a large number of water bird species, including species listed as threatened under Commonwealth and state legislation as well as species which are recognized in international migratory bird agreements </w:t>
      </w:r>
      <w:r w:rsidRPr="00F430C3">
        <w:rPr>
          <w:rFonts w:asciiTheme="minorHAnsi" w:eastAsiaTheme="minorHAnsi" w:hAnsiTheme="minorHAnsi" w:cstheme="minorBidi"/>
          <w:lang w:val="en-US"/>
        </w:rPr>
        <w:fldChar w:fldCharType="begin"/>
      </w:r>
      <w:r w:rsidR="00740557">
        <w:rPr>
          <w:rFonts w:asciiTheme="minorHAnsi" w:eastAsiaTheme="minorHAnsi" w:hAnsiTheme="minorHAnsi" w:cstheme="minorBidi"/>
          <w:lang w:val="en-US"/>
        </w:rPr>
        <w:instrText xml:space="preserve"> ADDIN EN.CITE &lt;EndNote&gt;&lt;Cite&gt;&lt;Author&gt;Maher&lt;/Author&gt;&lt;Year&gt;1990&lt;/Year&gt;&lt;RecNum&gt;40&lt;/RecNum&gt;&lt;DisplayText&gt;(Maher 1990, MDBA 2012a)&lt;/DisplayText&gt;&lt;record&gt;&lt;rec-number&gt;40&lt;/rec-number&gt;&lt;foreign-keys&gt;&lt;key app="EN" db-id="0a0zttz0gewd9befav559p5osxw5sftwfpdv" timestamp="1397352874"&gt;40&lt;/key&gt;&lt;/foreign-keys&gt;&lt;ref-type name="Report"&gt;27&lt;/ref-type&gt;&lt;contributors&gt;&lt;authors&gt;&lt;author&gt;Maher, P.N.&lt;/author&gt;&lt;/authors&gt;&lt;secondary-authors&gt;&lt;author&gt;Report to NSW National Parks and Wildlife Service.&lt;/author&gt;&lt;/secondary-authors&gt;&lt;tertiary-authors&gt;&lt;author&gt;Report to NSW National Parks and Wildlife Service.&lt;/author&gt;&lt;/tertiary-authors&gt;&lt;/contributors&gt;&lt;titles&gt;&lt;title&gt;Bird survey of the Lachlan/Murrumbidgee conﬂuence wetlands&lt;/title&gt;&lt;/titles&gt;&lt;dates&gt;&lt;year&gt;1990&lt;/year&gt;&lt;/dates&gt;&lt;urls&gt;&lt;/urls&gt;&lt;/record&gt;&lt;/Cite&gt;&lt;Cite&gt;&lt;Author&gt;MDBA&lt;/Author&gt;&lt;Year&gt;2012&lt;/Year&gt;&lt;RecNum&gt;366&lt;/RecNum&gt;&lt;record&gt;&lt;rec-number&gt;366&lt;/rec-number&gt;&lt;foreign-keys&gt;&lt;key app="EN" db-id="0a0zttz0gewd9befav559p5osxw5sftwfpdv" timestamp="1567053242"&gt;366&lt;/key&gt;&lt;/foreign-keys&gt;&lt;ref-type name="Report"&gt;27&lt;/ref-type&gt;&lt;contributors&gt;&lt;authors&gt;&lt;author&gt;MDBA&lt;/author&gt;&lt;/authors&gt;&lt;/contributors&gt;&lt;titles&gt;&lt;title&gt;Assessment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Swamp&lt;/title&gt;&lt;/titles&gt;&lt;dates&gt;&lt;year&gt;2012&lt;/year&gt;&lt;/dates&gt;&lt;pub-location&gt;Canberra&lt;/pub-location&gt;&lt;publisher&gt;MBDA&lt;/publisher&gt;&lt;urls&gt;&lt;/urls&gt;&lt;/record&gt;&lt;/Cite&gt;&lt;/EndNote&gt;</w:instrText>
      </w:r>
      <w:r w:rsidRPr="00F430C3">
        <w:rPr>
          <w:rFonts w:asciiTheme="minorHAnsi" w:eastAsiaTheme="minorHAnsi" w:hAnsiTheme="minorHAnsi" w:cstheme="minorBidi"/>
          <w:lang w:val="en-US"/>
        </w:rPr>
        <w:fldChar w:fldCharType="separate"/>
      </w:r>
      <w:r w:rsidR="00D275DE">
        <w:rPr>
          <w:rFonts w:asciiTheme="minorHAnsi" w:eastAsiaTheme="minorHAnsi" w:hAnsiTheme="minorHAnsi" w:cstheme="minorBidi"/>
          <w:noProof/>
          <w:lang w:val="en-US"/>
        </w:rPr>
        <w:t>(Maher 1990, MDBA 2012a)</w:t>
      </w:r>
      <w:r w:rsidRPr="00F430C3">
        <w:rPr>
          <w:rFonts w:asciiTheme="minorHAnsi" w:eastAsiaTheme="minorHAnsi" w:hAnsiTheme="minorHAnsi" w:cstheme="minorBidi"/>
          <w:lang w:val="en-US"/>
        </w:rPr>
        <w:fldChar w:fldCharType="end"/>
      </w:r>
      <w:r w:rsidRPr="00F430C3">
        <w:rPr>
          <w:rFonts w:asciiTheme="minorHAnsi" w:eastAsiaTheme="minorHAnsi" w:hAnsiTheme="minorHAnsi" w:cstheme="minorBidi"/>
          <w:lang w:val="en-US"/>
        </w:rPr>
        <w:t>. The central reedbeds of the G</w:t>
      </w:r>
      <w:r>
        <w:rPr>
          <w:rFonts w:asciiTheme="minorHAnsi" w:eastAsiaTheme="minorHAnsi" w:hAnsiTheme="minorHAnsi" w:cstheme="minorBidi"/>
          <w:lang w:val="en-US"/>
        </w:rPr>
        <w:t xml:space="preserve">reat </w:t>
      </w:r>
      <w:r w:rsidRPr="00F430C3">
        <w:rPr>
          <w:rFonts w:asciiTheme="minorHAnsi" w:eastAsiaTheme="minorHAnsi" w:hAnsiTheme="minorHAnsi" w:cstheme="minorBidi"/>
          <w:lang w:val="en-US"/>
        </w:rPr>
        <w:t>C</w:t>
      </w:r>
      <w:r>
        <w:rPr>
          <w:rFonts w:asciiTheme="minorHAnsi" w:eastAsiaTheme="minorHAnsi" w:hAnsiTheme="minorHAnsi" w:cstheme="minorBidi"/>
          <w:lang w:val="en-US"/>
        </w:rPr>
        <w:t xml:space="preserve">umbung </w:t>
      </w:r>
      <w:r w:rsidRPr="00F430C3">
        <w:rPr>
          <w:rFonts w:asciiTheme="minorHAnsi" w:eastAsiaTheme="minorHAnsi" w:hAnsiTheme="minorHAnsi" w:cstheme="minorBidi"/>
          <w:lang w:val="en-US"/>
        </w:rPr>
        <w:t>S</w:t>
      </w:r>
      <w:r>
        <w:rPr>
          <w:rFonts w:asciiTheme="minorHAnsi" w:eastAsiaTheme="minorHAnsi" w:hAnsiTheme="minorHAnsi" w:cstheme="minorBidi"/>
          <w:lang w:val="en-US"/>
        </w:rPr>
        <w:t>wamp</w:t>
      </w:r>
      <w:r w:rsidRPr="00F430C3">
        <w:rPr>
          <w:rFonts w:asciiTheme="minorHAnsi" w:eastAsiaTheme="minorHAnsi" w:hAnsiTheme="minorHAnsi" w:cstheme="minorBidi"/>
          <w:lang w:val="en-US"/>
        </w:rPr>
        <w:t xml:space="preserve"> also provide an important drought refuge for birds </w:t>
      </w:r>
      <w:r w:rsidRPr="00F430C3">
        <w:rPr>
          <w:rFonts w:asciiTheme="minorHAnsi" w:eastAsiaTheme="minorHAnsi" w:hAnsiTheme="minorHAnsi" w:cstheme="minorBidi"/>
          <w:lang w:val="en-US"/>
        </w:rPr>
        <w:fldChar w:fldCharType="begin"/>
      </w:r>
      <w:r w:rsidR="00D275DE">
        <w:rPr>
          <w:rFonts w:asciiTheme="minorHAnsi" w:eastAsiaTheme="minorHAnsi" w:hAnsiTheme="minorHAnsi" w:cstheme="minorBidi"/>
          <w:lang w:val="en-US"/>
        </w:rPr>
        <w:instrText xml:space="preserve"> ADDIN EN.CITE &lt;EndNote&gt;&lt;Cite&gt;&lt;Author&gt;MDBA&lt;/Author&gt;&lt;Year&gt;2012&lt;/Year&gt;&lt;RecNum&gt;366&lt;/RecNum&gt;&lt;DisplayText&gt;(MDBA 2012a)&lt;/DisplayText&gt;&lt;record&gt;&lt;rec-number&gt;366&lt;/rec-number&gt;&lt;foreign-keys&gt;&lt;key app="EN" db-id="0a0zttz0gewd9befav559p5osxw5sftwfpdv" timestamp="1567053242"&gt;366&lt;/key&gt;&lt;/foreign-keys&gt;&lt;ref-type name="Report"&gt;27&lt;/ref-type&gt;&lt;contributors&gt;&lt;authors&gt;&lt;author&gt;MDBA&lt;/author&gt;&lt;/authors&gt;&lt;/contributors&gt;&lt;titles&gt;&lt;title&gt;Assessment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Swamp&lt;/title&gt;&lt;/titles&gt;&lt;dates&gt;&lt;year&gt;2012&lt;/year&gt;&lt;/dates&gt;&lt;pub-location&gt;Canberra&lt;/pub-location&gt;&lt;publisher&gt;MBDA&lt;/publisher&gt;&lt;urls&gt;&lt;/urls&gt;&lt;/record&gt;&lt;/Cite&gt;&lt;/EndNote&gt;</w:instrText>
      </w:r>
      <w:r w:rsidRPr="00F430C3">
        <w:rPr>
          <w:rFonts w:asciiTheme="minorHAnsi" w:eastAsiaTheme="minorHAnsi" w:hAnsiTheme="minorHAnsi" w:cstheme="minorBidi"/>
          <w:lang w:val="en-US"/>
        </w:rPr>
        <w:fldChar w:fldCharType="separate"/>
      </w:r>
      <w:r w:rsidR="00D275DE">
        <w:rPr>
          <w:rFonts w:asciiTheme="minorHAnsi" w:eastAsiaTheme="minorHAnsi" w:hAnsiTheme="minorHAnsi" w:cstheme="minorBidi"/>
          <w:noProof/>
          <w:lang w:val="en-US"/>
        </w:rPr>
        <w:t>(MDBA 2012a)</w:t>
      </w:r>
      <w:r w:rsidRPr="00F430C3">
        <w:rPr>
          <w:rFonts w:asciiTheme="minorHAnsi" w:eastAsiaTheme="minorHAnsi" w:hAnsiTheme="minorHAnsi" w:cstheme="minorBidi"/>
          <w:lang w:val="en-US"/>
        </w:rPr>
        <w:fldChar w:fldCharType="end"/>
      </w:r>
      <w:r w:rsidRPr="00F430C3">
        <w:rPr>
          <w:rFonts w:asciiTheme="minorHAnsi" w:eastAsiaTheme="minorHAnsi" w:hAnsiTheme="minorHAnsi" w:cstheme="minorBidi"/>
          <w:lang w:val="en-US"/>
        </w:rPr>
        <w:t>.</w:t>
      </w:r>
    </w:p>
    <w:p w14:paraId="476B4AF3" w14:textId="24DCB206" w:rsidR="007163E8" w:rsidRDefault="007163E8" w:rsidP="007163E8">
      <w:r>
        <w:t>The past five years of monitoring (2014 – 2019) within the lower Lachlan river system has encompassed highly variable river hydrology and local rainfall conditions, and consequently a large variation in environmental conditions have been observed on the floodplains and wetlands of the Lachlan river. Rivers in semi-arid regions such as those of the lower Lachlan</w:t>
      </w:r>
      <w:r w:rsidR="00810699">
        <w:t>,</w:t>
      </w:r>
      <w:r>
        <w:t xml:space="preserve"> exhibit extreme variability in flow and inundation of floodplains relies on rainfall during particularly wet years </w:t>
      </w:r>
      <w:r>
        <w:fldChar w:fldCharType="begin"/>
      </w:r>
      <w:r w:rsidR="00D275DE">
        <w:instrText xml:space="preserve"> ADDIN EN.CITE &lt;EndNote&gt;&lt;Cite&gt;&lt;Author&gt;Walker&lt;/Author&gt;&lt;Year&gt;1995&lt;/Year&gt;&lt;RecNum&gt;368&lt;/RecNum&gt;&lt;DisplayText&gt;(Walker et al. 1995)&lt;/DisplayText&gt;&lt;record&gt;&lt;rec-number&gt;368&lt;/rec-number&gt;&lt;foreign-keys&gt;&lt;key app="EN" db-id="0a0zttz0gewd9befav559p5osxw5sftwfpdv" timestamp="1567053560"&gt;368&lt;/key&gt;&lt;/foreign-keys&gt;&lt;ref-type name="Journal Article"&gt;17&lt;/ref-type&gt;&lt;contributors&gt;&lt;authors&gt;&lt;author&gt;Walker, K. F.&lt;/author&gt;&lt;author&gt;Sheldon, F.&lt;/author&gt;&lt;author&gt;Puckridge, J. T.&lt;/author&gt;&lt;/authors&gt;&lt;/contributors&gt;&lt;titles&gt;&lt;title&gt;A perspective on dryland river ecosystems&lt;/title&gt;&lt;secondary-title&gt;Regulated Rivers: Research &amp;amp; Management&lt;/secondary-title&gt;&lt;/titles&gt;&lt;periodical&gt;&lt;full-title&gt;Regulated Rivers: Research &amp;amp; Management&lt;/full-title&gt;&lt;/periodical&gt;&lt;pages&gt;85-104&lt;/pages&gt;&lt;volume&gt;11&lt;/volume&gt;&lt;number&gt;1&lt;/number&gt;&lt;dates&gt;&lt;year&gt;1995&lt;/year&gt;&lt;/dates&gt;&lt;isbn&gt;1099-1646&amp;#xD;&lt;/isbn&gt;&lt;urls&gt;&lt;/urls&gt;&lt;/record&gt;&lt;/Cite&gt;&lt;/EndNote&gt;</w:instrText>
      </w:r>
      <w:r>
        <w:fldChar w:fldCharType="separate"/>
      </w:r>
      <w:r>
        <w:rPr>
          <w:noProof/>
        </w:rPr>
        <w:t>(Walker et al. 1995)</w:t>
      </w:r>
      <w:r>
        <w:fldChar w:fldCharType="end"/>
      </w:r>
      <w:r>
        <w:t xml:space="preserve">. The rainfall of the </w:t>
      </w:r>
      <w:r w:rsidR="000B24AE">
        <w:t>L</w:t>
      </w:r>
      <w:r>
        <w:t xml:space="preserve">ower Lachlan has a high degree of inter-annual variability </w:t>
      </w:r>
      <w:r w:rsidRPr="00812C74">
        <w:t xml:space="preserve">(ranging from 101 mm to 820 mm annually at Hillston Airport, data from 1881 to 2018) </w:t>
      </w:r>
      <w:r w:rsidRPr="00812C74">
        <w:fldChar w:fldCharType="begin"/>
      </w:r>
      <w:r w:rsidR="000A630A">
        <w:instrText xml:space="preserve"> ADDIN EN.CITE &lt;EndNote&gt;&lt;Cite&gt;&lt;Author&gt;Bureau of Meteorology&lt;/Author&gt;&lt;Year&gt;2017&lt;/Year&gt;&lt;RecNum&gt;370&lt;/RecNum&gt;&lt;DisplayText&gt;(Bureau of Meteorology 2017)&lt;/DisplayText&gt;&lt;record&gt;&lt;rec-number&gt;370&lt;/rec-number&gt;&lt;foreign-keys&gt;&lt;key app="EN" db-id="0a0zttz0gewd9befav559p5osxw5sftwfpdv" timestamp="1567054508"&gt;370&lt;/key&gt;&lt;/foreign-keys&gt;&lt;ref-type name="Online Database"&gt;45&lt;/ref-type&gt;&lt;contributors&gt;&lt;authors&gt;&lt;author&gt;Bureau of Meteorology,&lt;/author&gt;&lt;/authors&gt;&lt;/contributors&gt;&lt;titles&gt;&lt;title&gt;Climate statistics for Australian locations, Summary statistics Hillston Airport&lt;/title&gt;&lt;/titles&gt;&lt;dates&gt;&lt;year&gt;2017&lt;/year&gt;&lt;pub-dates&gt;&lt;date&gt;24-11-2018&lt;/date&gt;&lt;/pub-dates&gt;&lt;/dates&gt;&lt;pub-location&gt;http://www.bom.gov.au/climate/data/&lt;/pub-location&gt;&lt;urls&gt;&lt;related-urls&gt;&lt;url&gt;http://www.bom.gov.au/climate/data-services/station-data.shtml&lt;/url&gt;&lt;/related-urls&gt;&lt;/urls&gt;&lt;/record&gt;&lt;/Cite&gt;&lt;/EndNote&gt;</w:instrText>
      </w:r>
      <w:r w:rsidRPr="00812C74">
        <w:fldChar w:fldCharType="separate"/>
      </w:r>
      <w:r w:rsidRPr="00812C74">
        <w:rPr>
          <w:noProof/>
        </w:rPr>
        <w:t>(Bureau of Meteorology 2017)</w:t>
      </w:r>
      <w:r w:rsidRPr="00812C74">
        <w:fldChar w:fldCharType="end"/>
      </w:r>
      <w:r w:rsidRPr="00812C74">
        <w:t>.</w:t>
      </w:r>
      <w:r>
        <w:t xml:space="preserve"> As such, the inter annual variability observed in the lower Lachlan system over this five-year period may not be considered unusual.</w:t>
      </w:r>
    </w:p>
    <w:p w14:paraId="7A271614" w14:textId="2EAA94C4" w:rsidR="007163E8" w:rsidRDefault="007163E8" w:rsidP="007163E8">
      <w:r>
        <w:t xml:space="preserve">While floodplain inundation in semi-arid regions is temporally irregular, flooding is ecologically very important </w:t>
      </w:r>
      <w:r>
        <w:fldChar w:fldCharType="begin"/>
      </w:r>
      <w:r w:rsidR="00AE4BFE">
        <w:instrText xml:space="preserve"> ADDIN EN.CITE &lt;EndNote&gt;&lt;Cite&gt;&lt;Author&gt;Poff&lt;/Author&gt;&lt;Year&gt;1989&lt;/Year&gt;&lt;RecNum&gt;367&lt;/RecNum&gt;&lt;DisplayText&gt;(Poff and Ward 1989, Reid et al. 2016)&lt;/DisplayText&gt;&lt;record&gt;&lt;rec-number&gt;367&lt;/rec-number&gt;&lt;foreign-keys&gt;&lt;key app="EN" db-id="0a0zttz0gewd9befav559p5osxw5sftwfpdv" timestamp="1567053465"&gt;367&lt;/key&gt;&lt;/foreign-keys&gt;&lt;ref-type name="Journal Article"&gt;17&lt;/ref-type&gt;&lt;contributors&gt;&lt;authors&gt;&lt;author&gt;Poff, N.L.R.&lt;/author&gt;&lt;author&gt;Ward, J.C.&lt;/author&gt;&lt;/authors&gt;&lt;/contributors&gt;&lt;titles&gt;&lt;title&gt;Implications of streamflow variability and predictability for lotic community structure: a regional analysis of streamflow patterns&lt;/title&gt;&lt;secondary-title&gt;Canadian journal of fisheries and aquatic sciences&lt;/secondary-title&gt;&lt;/titles&gt;&lt;periodical&gt;&lt;full-title&gt;Canadian Journal of Fisheries and Aquatic Sciences&lt;/full-title&gt;&lt;/periodical&gt;&lt;pages&gt;1805-1818&lt;/pages&gt;&lt;volume&gt;46&lt;/volume&gt;&lt;number&gt;10&lt;/number&gt;&lt;dates&gt;&lt;year&gt;1989&lt;/year&gt;&lt;/dates&gt;&lt;isbn&gt;0706-652X&lt;/isbn&gt;&lt;urls&gt;&lt;/urls&gt;&lt;/record&gt;&lt;/Cite&gt;&lt;Cite&gt;&lt;Author&gt;Reid&lt;/Author&gt;&lt;Year&gt;2016&lt;/Year&gt;&lt;RecNum&gt;371&lt;/RecNum&gt;&lt;record&gt;&lt;rec-number&gt;371&lt;/rec-number&gt;&lt;foreign-keys&gt;&lt;key app="EN" db-id="0a0zttz0gewd9befav559p5osxw5sftwfpdv" timestamp="1567054685"&gt;371&lt;/key&gt;&lt;/foreign-keys&gt;&lt;ref-type name="Journal Article"&gt;17&lt;/ref-type&gt;&lt;contributors&gt;&lt;authors&gt;&lt;author&gt;Reid, M.A.&lt;/author&gt;&lt;author&gt;Reid, M.C.&lt;/author&gt;&lt;author&gt;Thoms, M.C.&lt;/author&gt;&lt;/authors&gt;&lt;/contributors&gt;&lt;titles&gt;&lt;title&gt;Ecological significance of hydrological connectivity for wetland plant communities on a dryland floodplain river, MacIntyre River, Australia&lt;/title&gt;&lt;secondary-title&gt;Aquatic Sciences&lt;/secondary-title&gt;&lt;/titles&gt;&lt;periodical&gt;&lt;full-title&gt;Aquatic Sciences&lt;/full-title&gt;&lt;/periodical&gt;&lt;pages&gt;139-158&lt;/pages&gt;&lt;volume&gt;78&lt;/volume&gt;&lt;number&gt;1&lt;/number&gt;&lt;dates&gt;&lt;year&gt;2016&lt;/year&gt;&lt;/dates&gt;&lt;isbn&gt;1015-1621&amp;#xD;&lt;/isbn&gt;&lt;urls&gt;&lt;/urls&gt;&lt;/record&gt;&lt;/Cite&gt;&lt;/EndNote&gt;</w:instrText>
      </w:r>
      <w:r>
        <w:fldChar w:fldCharType="separate"/>
      </w:r>
      <w:r w:rsidR="000A630A">
        <w:rPr>
          <w:noProof/>
        </w:rPr>
        <w:t>(Poff and Ward 1989, Reid et al. 2016)</w:t>
      </w:r>
      <w:r>
        <w:fldChar w:fldCharType="end"/>
      </w:r>
      <w:r>
        <w:t xml:space="preserve">. Important characteristics of the flooding regime on floodplains include flood frequency, flood duration, number of days between floods, and flood predictability </w:t>
      </w:r>
      <w:r>
        <w:fldChar w:fldCharType="begin"/>
      </w:r>
      <w:r w:rsidR="00AE4BFE">
        <w:instrText xml:space="preserve"> ADDIN EN.CITE &lt;EndNote&gt;&lt;Cite&gt;&lt;Author&gt;Poff&lt;/Author&gt;&lt;Year&gt;1989&lt;/Year&gt;&lt;RecNum&gt;367&lt;/RecNum&gt;&lt;DisplayText&gt;(Poff and Ward 1989)&lt;/DisplayText&gt;&lt;record&gt;&lt;rec-number&gt;367&lt;/rec-number&gt;&lt;foreign-keys&gt;&lt;key app="EN" db-id="0a0zttz0gewd9befav559p5osxw5sftwfpdv" timestamp="1567053465"&gt;367&lt;/key&gt;&lt;/foreign-keys&gt;&lt;ref-type name="Journal Article"&gt;17&lt;/ref-type&gt;&lt;contributors&gt;&lt;authors&gt;&lt;author&gt;Poff, N.L.R.&lt;/author&gt;&lt;author&gt;Ward, J.C.&lt;/author&gt;&lt;/authors&gt;&lt;/contributors&gt;&lt;titles&gt;&lt;title&gt;Implications of streamflow variability and predictability for lotic community structure: a regional analysis of streamflow patterns&lt;/title&gt;&lt;secondary-title&gt;Canadian journal of fisheries and aquatic sciences&lt;/secondary-title&gt;&lt;/titles&gt;&lt;periodical&gt;&lt;full-title&gt;Canadian Journal of Fisheries and Aquatic Sciences&lt;/full-title&gt;&lt;/periodical&gt;&lt;pages&gt;1805-1818&lt;/pages&gt;&lt;volume&gt;46&lt;/volume&gt;&lt;number&gt;10&lt;/number&gt;&lt;dates&gt;&lt;year&gt;1989&lt;/year&gt;&lt;/dates&gt;&lt;isbn&gt;0706-652X&lt;/isbn&gt;&lt;urls&gt;&lt;/urls&gt;&lt;/record&gt;&lt;/Cite&gt;&lt;/EndNote&gt;</w:instrText>
      </w:r>
      <w:r>
        <w:fldChar w:fldCharType="separate"/>
      </w:r>
      <w:r w:rsidR="000A630A">
        <w:rPr>
          <w:noProof/>
        </w:rPr>
        <w:t>(Poff and Ward 1989)</w:t>
      </w:r>
      <w:r>
        <w:fldChar w:fldCharType="end"/>
      </w:r>
      <w:r>
        <w:t>. As plants on floodplains are adapted to certain hydrological attributes (such as depth, duration and frequency of flooding), spatial variability in the flooding regime across floodplains influences their distribution and abundance, related to species specific requirements and tolerances for flooding and drying</w:t>
      </w:r>
      <w:r w:rsidR="00D275DE">
        <w:t xml:space="preserve"> </w:t>
      </w:r>
      <w:r w:rsidR="00D275DE">
        <w:fldChar w:fldCharType="begin"/>
      </w:r>
      <w:r w:rsidR="00D275DE">
        <w:instrText xml:space="preserve"> ADDIN EN.CITE &lt;EndNote&gt;&lt;Cite&gt;&lt;Author&gt;Roberts&lt;/Author&gt;&lt;Year&gt;2016&lt;/Year&gt;&lt;RecNum&gt;365&lt;/RecNum&gt;&lt;DisplayText&gt;(Roberts et al. 2016)&lt;/DisplayText&gt;&lt;record&gt;&lt;rec-number&gt;365&lt;/rec-number&gt;&lt;foreign-keys&gt;&lt;key app="EN" db-id="0a0zttz0gewd9befav559p5osxw5sftwfpdv" timestamp="1567053123"&gt;365&lt;/key&gt;&lt;/foreign-keys&gt;&lt;ref-type name="Book Section"&gt;5&lt;/ref-type&gt;&lt;contributors&gt;&lt;authors&gt;&lt;author&gt;Roberts, J.&lt;/author&gt;&lt;author&gt;Colloff, M.&lt;/author&gt;&lt;author&gt;Doody, T. &lt;/author&gt;&lt;/authors&gt;&lt;secondary-authors&gt;&lt;author&gt;Capon, S.&lt;/author&gt;&lt;author&gt;Jame</w:instrText>
      </w:r>
      <w:r w:rsidR="00D275DE">
        <w:rPr>
          <w:rFonts w:hint="eastAsia"/>
        </w:rPr>
        <w:instrText>s, C.&lt;/author&gt;&lt;author&gt;Reid, M.&lt;/author&gt;&lt;/secondary-authors&gt;&lt;/contributors&gt;&lt;titles&gt;&lt;title&gt;Riverine vegetation of inland south</w:instrText>
      </w:r>
      <w:r w:rsidR="00D275DE">
        <w:rPr>
          <w:rFonts w:hint="eastAsia"/>
        </w:rPr>
        <w:instrText>‐</w:instrText>
      </w:r>
      <w:r w:rsidR="00D275DE">
        <w:rPr>
          <w:rFonts w:hint="eastAsia"/>
        </w:rPr>
        <w:instrText>eastern Australia&lt;/title&gt;&lt;secondary-title&gt;Vegetation of Australian Riverine Landscapes: Biology, Ecology and Management&lt;/secondary</w:instrText>
      </w:r>
      <w:r w:rsidR="00D275DE">
        <w:instrText>-title&gt;&lt;/titles&gt;&lt;pages&gt;177-199&lt;/pages&gt;&lt;dates&gt;&lt;year&gt;2016&lt;/year&gt;&lt;/dates&gt;&lt;publisher&gt;CSIRO, Melbourn&lt;/publisher&gt;&lt;urls&gt;&lt;/urls&gt;&lt;/record&gt;&lt;/Cite&gt;&lt;/EndNote&gt;</w:instrText>
      </w:r>
      <w:r w:rsidR="00D275DE">
        <w:fldChar w:fldCharType="separate"/>
      </w:r>
      <w:r w:rsidR="00D275DE">
        <w:rPr>
          <w:noProof/>
        </w:rPr>
        <w:t>(Roberts et al. 2016)</w:t>
      </w:r>
      <w:r w:rsidR="00D275DE">
        <w:fldChar w:fldCharType="end"/>
      </w:r>
      <w:r w:rsidR="00D275DE">
        <w:t>.</w:t>
      </w:r>
    </w:p>
    <w:p w14:paraId="4886FA3F" w14:textId="73B40728" w:rsidR="007163E8" w:rsidRPr="00924476" w:rsidRDefault="007163E8" w:rsidP="007163E8">
      <w:r>
        <w:t>T</w:t>
      </w:r>
      <w:r w:rsidRPr="00924476">
        <w:t xml:space="preserve">he diversity, type and condition of riparian and wetland vegetation communities are strongly influenced by the frequency, duration and timing of inundation </w:t>
      </w:r>
      <w:r>
        <w:fldChar w:fldCharType="begin"/>
      </w:r>
      <w:r>
        <w:instrText xml:space="preserve"> ADDIN EN.CITE &lt;EndNote&gt;&lt;Cite&gt;&lt;Author&gt;Brock&lt;/Author&gt;&lt;Year&gt;1997&lt;/Year&gt;&lt;RecNum&gt;113&lt;/RecNum&gt;&lt;DisplayText&gt;(Brock and Casanova 1997, Nilsson and Svedmark 2002)&lt;/DisplayText&gt;&lt;record&gt;&lt;rec-number&gt;113&lt;/rec-number&gt;&lt;foreign-keys&gt;&lt;key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Science&lt;/publisher&gt;&lt;urls&gt;&lt;/urls&gt;&lt;/record&gt;&lt;/Cite&gt;&lt;Cite&gt;&lt;Author&gt;Nilsson&lt;/Author&gt;&lt;Year&gt;2002&lt;/Year&gt;&lt;RecNum&gt;242&lt;/RecNum&gt;&lt;record&gt;&lt;rec-number&gt;242&lt;/rec-number&gt;&lt;foreign-keys&gt;&lt;key app="EN" db-id="0a0zttz0gewd9befav559p5osxw5sftwfpdv" timestamp="1542596032"&gt;242&lt;/key&gt;&lt;/foreign-keys&gt;&lt;ref-type name="Journal Article"&gt;17&lt;/ref-type&gt;&lt;contributors&gt;&lt;authors&gt;&lt;author&gt;Nilsson, C.&lt;/author&gt;&lt;author&gt;Svedmark, M.&lt;/author&gt;&lt;/authors&gt;&lt;/contributors&gt;&lt;titles&gt;&lt;title&gt;Basic Principles and Ecological Consequences of Changing Water Regimes: Riparian Plant Communities&lt;/title&gt;&lt;secondary-title&gt;Environmental Management&lt;/secondary-title&gt;&lt;/titles&gt;&lt;periodical&gt;&lt;full-title&gt;Environmental Management&lt;/full-title&gt;&lt;/periodical&gt;&lt;pages&gt;468-480&lt;/pages&gt;&lt;volume&gt;30&lt;/volume&gt;&lt;number&gt;4&lt;/number&gt;&lt;dates&gt;&lt;year&gt;2002&lt;/year&gt;&lt;pub-dates&gt;&lt;date&gt;October 01&lt;/date&gt;&lt;/pub-dates&gt;&lt;/dates&gt;&lt;isbn&gt;1432-1009&lt;/isbn&gt;&lt;label&gt;NILSSON2002&lt;/label&gt;&lt;work-type&gt;journal article&lt;/work-type&gt;&lt;urls&gt;&lt;related-urls&gt;&lt;url&gt;https://doi.org/10.1007/s00267-002-2735-2&lt;/url&gt;&lt;/related-urls&gt;&lt;/urls&gt;&lt;electronic-resource-num&gt;10.1007/s00267-002-2735-2&lt;/electronic-resource-num&gt;&lt;/record&gt;&lt;/Cite&gt;&lt;/EndNote&gt;</w:instrText>
      </w:r>
      <w:r>
        <w:fldChar w:fldCharType="separate"/>
      </w:r>
      <w:r>
        <w:rPr>
          <w:noProof/>
        </w:rPr>
        <w:t>(Brock and Casanova 1997, Nilsson and Svedmark 2002)</w:t>
      </w:r>
      <w:r>
        <w:fldChar w:fldCharType="end"/>
      </w:r>
      <w:r>
        <w:t>.</w:t>
      </w:r>
      <w:r w:rsidRPr="00924476">
        <w:t xml:space="preserve"> The alteration of flow regimes, because of the combined effects of flow regulation and abstraction, have had widespread and significant effects on riparian and wetland vegetation</w:t>
      </w:r>
      <w:r>
        <w:t xml:space="preserve"> </w:t>
      </w:r>
      <w:r>
        <w:fldChar w:fldCharType="begin">
          <w:fldData xml:space="preserve">PEVuZE5vdGU+PENpdGU+PEF1dGhvcj5OaWxzc29uPC9BdXRob3I+PFllYXI+MjAwMDwvWWVhcj48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</w:fldData>
        </w:fldChar>
      </w:r>
      <w:r>
        <w:instrText xml:space="preserve"> ADDIN EN.CITE </w:instrText>
      </w:r>
      <w:r>
        <w:fldChar w:fldCharType="begin">
          <w:fldData xml:space="preserve">PEVuZE5vdGU+PENpdGU+PEF1dGhvcj5OaWxzc29uPC9BdXRob3I+PFllYXI+MjAwMDwvWWVhcj48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</w:fldData>
        </w:fldChar>
      </w:r>
      <w:r>
        <w:instrText xml:space="preserve"> ADDIN EN.CITE.DATA </w:instrText>
      </w:r>
      <w:r>
        <w:fldChar w:fldCharType="end"/>
      </w:r>
      <w:r>
        <w:fldChar w:fldCharType="separate"/>
      </w:r>
      <w:r>
        <w:rPr>
          <w:noProof/>
        </w:rPr>
        <w:t>(Nilsson and Berggren 2000, Horner et al. 2009)</w:t>
      </w:r>
      <w:r>
        <w:fldChar w:fldCharType="end"/>
      </w:r>
      <w:r>
        <w:t>,</w:t>
      </w:r>
      <w:r w:rsidRPr="00924476">
        <w:t xml:space="preserve"> particularly in arid and semi-arid environments</w:t>
      </w:r>
      <w:r>
        <w:t xml:space="preserve"> </w:t>
      </w:r>
      <w:r>
        <w:fldChar w:fldCharType="begin"/>
      </w:r>
      <w:r>
        <w:instrText xml:space="preserve"> ADDIN EN.CITE &lt;EndNote&gt;&lt;Cite&gt;&lt;Author&gt;Busch&lt;/Author&gt;&lt;Year&gt;1995&lt;/Year&gt;&lt;RecNum&gt;244&lt;/RecNum&gt;&lt;DisplayText&gt;(Busch and Smith 1995)&lt;/DisplayText&gt;&lt;record&gt;&lt;rec-number&gt;244&lt;/rec-number&gt;&lt;foreign-keys&gt;&lt;key app="EN" db-id="0a0zttz0gewd9befav559p5osxw5sftwfpdv" timestamp="1542596344"&gt;244&lt;/key&gt;&lt;/foreign-keys&gt;&lt;ref-type name="Journal Article"&gt;17&lt;/ref-type&gt;&lt;contributors&gt;&lt;authors&gt;&lt;author&gt;Busch, D.E.&lt;/author&gt;&lt;author&gt;Smith, S.D.&lt;/author&gt;&lt;/authors&gt;&lt;/contributors&gt;&lt;titles&gt;&lt;title&gt;Mechanisms associated with decline of woody species in riparian ecosystems of the Southwestern U.S.&lt;/title&gt;&lt;secondary-title&gt;Ecological Monographs&lt;/secondary-title&gt;&lt;/titles&gt;&lt;periodical&gt;&lt;full-title&gt;Ecological Monographs&lt;/full-title&gt;&lt;/periodical&gt;&lt;pages&gt;347-370&lt;/pages&gt;&lt;volume&gt;65&lt;/volume&gt;&lt;number&gt;3&lt;/number&gt;&lt;dates&gt;&lt;year&gt;1995&lt;/year&gt;&lt;/dates&gt;&lt;urls&gt;&lt;/urls&gt;&lt;/record&gt;&lt;/Cite&gt;&lt;/EndNote&gt;</w:instrText>
      </w:r>
      <w:r>
        <w:fldChar w:fldCharType="separate"/>
      </w:r>
      <w:r>
        <w:rPr>
          <w:noProof/>
        </w:rPr>
        <w:t>(Busch and Smith 1995)</w:t>
      </w:r>
      <w:r>
        <w:fldChar w:fldCharType="end"/>
      </w:r>
      <w:r>
        <w:t xml:space="preserve">. </w:t>
      </w:r>
      <w:r w:rsidRPr="00924476">
        <w:t>To address these effects, environmental flows are often used to try to improve vegetation condition and diversity</w:t>
      </w:r>
      <w:r>
        <w:t xml:space="preserve"> </w:t>
      </w:r>
      <w:r>
        <w:fldChar w:fldCharType="begin"/>
      </w:r>
      <w:r w:rsidR="00AE4BFE">
        <w:instrText xml:space="preserve"> ADDIN EN.CITE &lt;EndNote&gt;&lt;Cite&gt;&lt;Author&gt;Merritt&lt;/Author&gt;&lt;Year&gt;2010&lt;/Year&gt;&lt;RecNum&gt;245&lt;/RecNum&gt;&lt;DisplayText&gt;(Merritt et al. 2010)&lt;/DisplayText&gt;&lt;record&gt;&lt;rec-number&gt;245&lt;/rec-number&gt;&lt;foreign-keys&gt;&lt;key app="EN" db-id="0a0zttz0gewd9befav559p5osxw5sftwfpdv" timestamp="1542596425"&gt;245&lt;/key&gt;&lt;/foreign-keys&gt;&lt;ref-type name="Journal Article"&gt;17&lt;/ref-type&gt;&lt;contributors&gt;&lt;authors&gt;&lt;author&gt;Merritt, D.M.&lt;/author&gt;&lt;author&gt;Scott, M.L.&lt;/author&gt;&lt;author&gt;Poff, N.L.R.&lt;/author&gt;&lt;author&gt;Auble, G.T.&lt;/author&gt;&lt;author&gt;Lytle, D.A. &lt;/author&gt;&lt;/</w:instrText>
      </w:r>
      <w:r w:rsidR="00AE4BFE">
        <w:rPr>
          <w:rFonts w:hint="eastAsia"/>
        </w:rPr>
        <w:instrText>authors&gt;&lt;/contributors&gt;&lt;titles&gt;&lt;title&gt;Theory, methods and tools for determining environmental flows for riparian vegetation: riparian vegetation</w:instrText>
      </w:r>
      <w:r w:rsidR="00AE4BFE">
        <w:rPr>
          <w:rFonts w:hint="eastAsia"/>
        </w:rPr>
        <w:instrText>‐</w:instrText>
      </w:r>
      <w:r w:rsidR="00AE4BFE">
        <w:rPr>
          <w:rFonts w:hint="eastAsia"/>
        </w:rPr>
        <w:instrText>flow response guilds&lt;/title&gt;&lt;secondary-title&gt;Freshwater Biology&lt;/secondary-title&gt;&lt;/titles&gt;&lt;periodical&gt;&lt;full-ti</w:instrText>
      </w:r>
      <w:r w:rsidR="00AE4BFE">
        <w:instrText>tle&gt;Freshwater Biology&lt;/full-title&gt;&lt;/periodical&gt;&lt;pages&gt;206-225&lt;/pages&gt;&lt;volume&gt;55&lt;/volume&gt;&lt;number&gt;1&lt;/number&gt;&lt;dates&gt;&lt;year&gt;2010&lt;/year&gt;&lt;/dates&gt;&lt;urls&gt;&lt;/urls&gt;&lt;/record&gt;&lt;/Cite&gt;&lt;/EndNote&gt;</w:instrText>
      </w:r>
      <w:r>
        <w:fldChar w:fldCharType="separate"/>
      </w:r>
      <w:r>
        <w:rPr>
          <w:noProof/>
        </w:rPr>
        <w:t>(Merritt et al. 2010)</w:t>
      </w:r>
      <w:r>
        <w:fldChar w:fldCharType="end"/>
      </w:r>
      <w:r>
        <w:t>.</w:t>
      </w:r>
      <w:r w:rsidRPr="00924476">
        <w:t xml:space="preserve"> </w:t>
      </w:r>
    </w:p>
    <w:p w14:paraId="7D3B1BD3" w14:textId="2B6E8F48" w:rsidR="007163E8" w:rsidRPr="00924476" w:rsidRDefault="007163E8" w:rsidP="007163E8">
      <w:pPr>
        <w:rPr>
          <w:lang w:val="en-GB"/>
        </w:rPr>
      </w:pPr>
      <w:r w:rsidRPr="00924476">
        <w:t xml:space="preserve">The floodplain and wetland vegetation communities of the Lower Lachlan river system </w:t>
      </w:r>
      <w:r>
        <w:t xml:space="preserve">naturally </w:t>
      </w:r>
      <w:r w:rsidRPr="00924476">
        <w:t xml:space="preserve">display sequences of dry and wet phases depending on regional climatic conditions. </w:t>
      </w:r>
      <w:r>
        <w:t>However, d</w:t>
      </w:r>
      <w:r w:rsidRPr="00924476">
        <w:t>uring the Millennium drought (2001-2009), the health of the wetland vegetation declined rapidly</w:t>
      </w:r>
      <w:r>
        <w:t xml:space="preserve"> with reductions in river red gum canopy cover recorded at a number of significant wetlands</w:t>
      </w:r>
      <w:r w:rsidRPr="00924476">
        <w:t xml:space="preserve"> </w:t>
      </w:r>
      <w:r w:rsidRPr="00924476">
        <w:fldChar w:fldCharType="begin"/>
      </w:r>
      <w:r>
        <w:instrText xml:space="preserve"> ADDIN EN.CITE &lt;EndNote&gt;&lt;Cite&gt;&lt;Author&gt;Armstrong&lt;/Author&gt;&lt;Year&gt;2009&lt;/Year&gt;&lt;RecNum&gt;102&lt;/RecNum&gt;&lt;DisplayText&gt;(Armstrong et al. 2009)&lt;/DisplayText&gt;&lt;record&gt;&lt;rec-number&gt;102&lt;/rec-number&gt;&lt;foreign-keys&gt;&lt;key app="EN" db-id="0a0zttz0gewd9befav559p5osxw5sftwfpdv" timestamp="1472604328"&gt;102&lt;/key&gt;&lt;/foreign-keys&gt;&lt;ref-type name="Report"&gt;27&lt;/ref-type&gt;&lt;contributors&gt;&lt;authors&gt;&lt;author&gt;Armstrong, J.L.&lt;/author&gt;&lt;author&gt;Kingsford, R. T.&lt;/author&gt;&lt;author&gt;Jenkins, K.M.&lt;/author&gt;&lt;/authors&gt;&lt;/contributors&gt;&lt;titles&gt;&lt;title&gt;The effect of regulating the Lachlan River on the Booligal Wetlands - the floodplain red gum swamps&lt;/title&gt;&lt;/titles&gt;&lt;dates&gt;&lt;year&gt;2009&lt;/year&gt;&lt;/dates&gt;&lt;pub-location&gt;Sydney&lt;/pub-location&gt;&lt;publisher&gt;Wetlands and River, School of Earth and Environmental Sciences, University of New South Wales&lt;/publisher&gt;&lt;urls&gt;&lt;/urls&gt;&lt;/record&gt;&lt;/Cite&gt;&lt;/EndNote&gt;</w:instrText>
      </w:r>
      <w:r w:rsidRPr="00924476">
        <w:fldChar w:fldCharType="separate"/>
      </w:r>
      <w:r>
        <w:rPr>
          <w:noProof/>
        </w:rPr>
        <w:t>(Armstrong et al. 2009)</w:t>
      </w:r>
      <w:r w:rsidRPr="00924476">
        <w:fldChar w:fldCharType="end"/>
      </w:r>
      <w:r w:rsidRPr="00924476">
        <w:t xml:space="preserve">. </w:t>
      </w:r>
      <w:r w:rsidRPr="00924476">
        <w:rPr>
          <w:lang w:val="en-GB"/>
        </w:rPr>
        <w:t>Observations and measurement</w:t>
      </w:r>
      <w:r>
        <w:rPr>
          <w:lang w:val="en-GB"/>
        </w:rPr>
        <w:t>s of the reedbeds and river red gums</w:t>
      </w:r>
      <w:r w:rsidRPr="00924476">
        <w:rPr>
          <w:lang w:val="en-GB"/>
        </w:rPr>
        <w:t xml:space="preserve"> made during the years immediately after the drought (2010-2012) suggested some degree of drought recovery was occurring within wetland vegetation communities, but by early 2012 aquatic vegetation, such as within the Great Cumbung Swamp, Lake Bullogal and Lake Merrimajeel was starting to show drought effects again </w:t>
      </w:r>
      <w:r w:rsidRPr="00924476">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ZGItaWQ9IjBhMHp0dHowZ2V3ZDliZWZhdjU1OXA1b3N4dzVzZnR3ZnBkdiIgdGltZXN0YW1wPSIx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</w:fldData>
        </w:fldChar>
      </w:r>
      <w:r>
        <w:instrText xml:space="preserve"> ADDIN EN.CITE </w:instrText>
      </w:r>
      <w:r>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ZGItaWQ9IjBhMHp0dHowZ2V3ZDliZWZhdjU1OXA1b3N4dzVzZnR3ZnBkdiIgdGltZXN0YW1wPSIx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</w:fldData>
        </w:fldChar>
      </w:r>
      <w:r>
        <w:instrText xml:space="preserve"> ADDIN EN.CITE.DATA </w:instrText>
      </w:r>
      <w:r>
        <w:fldChar w:fldCharType="end"/>
      </w:r>
      <w:r w:rsidRPr="00924476">
        <w:fldChar w:fldCharType="separate"/>
      </w:r>
      <w:r>
        <w:rPr>
          <w:noProof/>
        </w:rPr>
        <w:t>(Driver et al. 2011, Driver et al. 2013a, Driver et al. 2013b)</w:t>
      </w:r>
      <w:r w:rsidRPr="00924476">
        <w:fldChar w:fldCharType="end"/>
      </w:r>
      <w:r w:rsidRPr="00924476">
        <w:rPr>
          <w:lang w:val="en-GB"/>
        </w:rPr>
        <w:t>.</w:t>
      </w:r>
    </w:p>
    <w:p w14:paraId="5FA75ECB" w14:textId="3DD61630" w:rsidR="007163E8" w:rsidRDefault="007163E8" w:rsidP="007163E8">
      <w:r w:rsidRPr="00924476">
        <w:rPr>
          <w:lang w:val="en-GB"/>
        </w:rPr>
        <w:t xml:space="preserve">Monitoring of floodplain and wetland sites for the </w:t>
      </w:r>
      <w:r w:rsidR="00E05711">
        <w:rPr>
          <w:lang w:val="en-GB"/>
        </w:rPr>
        <w:t>LTIM Project</w:t>
      </w:r>
      <w:r w:rsidRPr="00924476">
        <w:rPr>
          <w:lang w:val="en-GB"/>
        </w:rPr>
        <w:t xml:space="preserve"> has been conducted since 2014 and </w:t>
      </w:r>
      <w:r w:rsidRPr="00924476">
        <w:t xml:space="preserve">has encompassed vastly different </w:t>
      </w:r>
      <w:r>
        <w:t>annual rainfall</w:t>
      </w:r>
      <w:r w:rsidRPr="00924476">
        <w:t xml:space="preserve"> and hydrological conditions. These have ranged from very dry conditions in 2014-15 </w:t>
      </w:r>
      <w:r>
        <w:t xml:space="preserve">and 2018-19 </w:t>
      </w:r>
      <w:r w:rsidRPr="00924476">
        <w:t>to the fourth large</w:t>
      </w:r>
      <w:r>
        <w:t xml:space="preserve">st flood on record in 2016-17. </w:t>
      </w:r>
      <w:r w:rsidRPr="00924476">
        <w:t>The floodplain and wetland vegetation communities have continued to display dry and wet phases depending on the prevailing conditions</w:t>
      </w:r>
      <w:r>
        <w:t xml:space="preserve"> </w:t>
      </w:r>
      <w:r>
        <w:fldChar w:fldCharType="begin"/>
      </w:r>
      <w:r>
        <w:instrText xml:space="preserve"> ADDIN EN.CITE &lt;EndNote&gt;&lt;Cite&gt;&lt;Author&gt;Dyer&lt;/Author&gt;&lt;Year&gt;2017&lt;/Year&gt;&lt;RecNum&gt;232&lt;/RecNum&gt;&lt;DisplayText&gt;(Dyer et al. 2017)&lt;/DisplayText&gt;&lt;record&gt;&lt;rec-number&gt;232&lt;/rec-number&gt;&lt;foreign-keys&gt;&lt;key app="EN" db-id="0a0zttz0gewd9befav559p5osxw5sftwfpdv" timestamp="1539572347"&gt;232&lt;/key&gt;&lt;/foreign-keys&gt;&lt;ref-type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fldChar w:fldCharType="separate"/>
      </w:r>
      <w:r>
        <w:rPr>
          <w:noProof/>
        </w:rPr>
        <w:t>(Dyer et al. 2017)</w:t>
      </w:r>
      <w:r>
        <w:fldChar w:fldCharType="end"/>
      </w:r>
      <w:r>
        <w:t xml:space="preserve">. </w:t>
      </w:r>
      <w:r w:rsidRPr="00924476">
        <w:t>The context in which the 201</w:t>
      </w:r>
      <w:r>
        <w:t>8</w:t>
      </w:r>
      <w:r w:rsidRPr="00924476">
        <w:t>-1</w:t>
      </w:r>
      <w:r>
        <w:t>9</w:t>
      </w:r>
      <w:r w:rsidRPr="00924476">
        <w:t xml:space="preserve"> environmental watering actions were delivered was one in which the wetlands were </w:t>
      </w:r>
      <w:r>
        <w:t>dry and the flow in the Lachlan River was low.</w:t>
      </w:r>
      <w:r w:rsidRPr="00924476">
        <w:t xml:space="preserve"> </w:t>
      </w:r>
      <w:r>
        <w:t>The floodplain of the lower Lachlan River had remained dry over 2018 and 2019 (</w:t>
      </w:r>
      <w:r>
        <w:fldChar w:fldCharType="begin"/>
      </w:r>
      <w:r>
        <w:instrText xml:space="preserve"> REF _Ref528316382 \h </w:instrText>
      </w:r>
      <w:r>
        <w:fldChar w:fldCharType="separate"/>
      </w:r>
      <w:r w:rsidR="007F7607" w:rsidRPr="004D2157">
        <w:t xml:space="preserve">Figure </w:t>
      </w:r>
      <w:r w:rsidR="007F7607">
        <w:rPr>
          <w:noProof/>
        </w:rPr>
        <w:t>75</w:t>
      </w:r>
      <w:r>
        <w:fldChar w:fldCharType="end"/>
      </w:r>
      <w:r>
        <w:t xml:space="preserve">), with only one site </w:t>
      </w:r>
      <w:r w:rsidR="001B3693">
        <w:t xml:space="preserve">(Nooran Lake) </w:t>
      </w:r>
      <w:r>
        <w:t xml:space="preserve">receiving environmental water during the 2018-19 watering season. The conditions dominated by local rainfall patterns more so than river hydrology. </w:t>
      </w:r>
    </w:p>
    <w:p w14:paraId="32EC7660" w14:textId="77777777" w:rsidR="007163E8" w:rsidRDefault="007163E8" w:rsidP="007163E8">
      <w:r>
        <w:rPr>
          <w:noProof/>
          <w:lang w:eastAsia="en-AU"/>
        </w:rPr>
        <w:drawing>
          <wp:inline distT="0" distB="0" distL="0" distR="0" wp14:anchorId="6659D03A" wp14:editId="62701E3F">
            <wp:extent cx="5732145" cy="278511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732145" cy="2785110"/>
                    </a:xfrm>
                    <a:prstGeom prst="rect">
                      <a:avLst/>
                    </a:prstGeom>
                    <a:noFill/>
                    <a:ln>
                      <a:noFill/>
                    </a:ln>
                  </pic:spPr>
                </pic:pic>
              </a:graphicData>
            </a:graphic>
          </wp:inline>
        </w:drawing>
      </w:r>
    </w:p>
    <w:p w14:paraId="3486188B" w14:textId="597B8F38" w:rsidR="007163E8" w:rsidRDefault="007163E8" w:rsidP="007163E8">
      <w:pPr>
        <w:pStyle w:val="Caption"/>
      </w:pPr>
      <w:bookmarkStart w:id="522" w:name="_Ref528316382"/>
      <w:bookmarkStart w:id="523" w:name="_Toc4574873"/>
      <w:bookmarkStart w:id="524" w:name="_Toc31985639"/>
      <w:r w:rsidRPr="004D2157">
        <w:t xml:space="preserve">Figure </w:t>
      </w:r>
      <w:r>
        <w:rPr>
          <w:noProof/>
        </w:rPr>
        <w:fldChar w:fldCharType="begin"/>
      </w:r>
      <w:r>
        <w:rPr>
          <w:noProof/>
        </w:rPr>
        <w:instrText xml:space="preserve"> SEQ Figure \* ARABIC </w:instrText>
      </w:r>
      <w:r>
        <w:rPr>
          <w:noProof/>
        </w:rPr>
        <w:fldChar w:fldCharType="separate"/>
      </w:r>
      <w:r w:rsidR="007F7607">
        <w:rPr>
          <w:noProof/>
        </w:rPr>
        <w:t>75</w:t>
      </w:r>
      <w:r>
        <w:rPr>
          <w:noProof/>
        </w:rPr>
        <w:fldChar w:fldCharType="end"/>
      </w:r>
      <w:bookmarkEnd w:id="522"/>
      <w:r w:rsidRPr="004D2157">
        <w:t xml:space="preserve">. </w:t>
      </w:r>
      <w:r>
        <w:t>Redgum woodland monitoring site at Whealbah</w:t>
      </w:r>
      <w:r w:rsidRPr="004D2157">
        <w:t xml:space="preserve"> on </w:t>
      </w:r>
      <w:r>
        <w:t>the 19</w:t>
      </w:r>
      <w:r w:rsidRPr="00366B7E">
        <w:rPr>
          <w:vertAlign w:val="superscript"/>
        </w:rPr>
        <w:t>th</w:t>
      </w:r>
      <w:r>
        <w:t xml:space="preserve"> of</w:t>
      </w:r>
      <w:r w:rsidRPr="004D2157">
        <w:t xml:space="preserve"> </w:t>
      </w:r>
      <w:r>
        <w:t>June</w:t>
      </w:r>
      <w:r w:rsidRPr="004D2157">
        <w:t xml:space="preserve"> 201</w:t>
      </w:r>
      <w:r>
        <w:t>9</w:t>
      </w:r>
      <w:r w:rsidRPr="004D2157">
        <w:t xml:space="preserve">. Photo: </w:t>
      </w:r>
      <w:r>
        <w:t>Yasmin Cross</w:t>
      </w:r>
      <w:r w:rsidRPr="004D2157">
        <w:t>.</w:t>
      </w:r>
      <w:bookmarkEnd w:id="523"/>
      <w:bookmarkEnd w:id="524"/>
      <w:r w:rsidRPr="004D2157">
        <w:t xml:space="preserve"> </w:t>
      </w:r>
    </w:p>
    <w:p w14:paraId="176853E8" w14:textId="0CF82C6A" w:rsidR="007163E8" w:rsidRDefault="007163E8" w:rsidP="007163E8">
      <w:r>
        <w:t>During the 2018-19 watering season, two watering actions targeted vegetation outcomes. These were a small watering action targeting riparian vegetation and habitat for aquatic species in Yarrabandai Lagoon (part of the mid Lachlan) that commenced on the 18</w:t>
      </w:r>
      <w:r w:rsidRPr="00ED4163">
        <w:rPr>
          <w:vertAlign w:val="superscript"/>
        </w:rPr>
        <w:t>th</w:t>
      </w:r>
      <w:r>
        <w:t xml:space="preserve"> March 2019 </w:t>
      </w:r>
      <w:r w:rsidR="008E187B">
        <w:t xml:space="preserve">(watering action 3) </w:t>
      </w:r>
      <w:r>
        <w:t xml:space="preserve">and </w:t>
      </w:r>
      <w:r w:rsidR="008E187B">
        <w:t xml:space="preserve">a </w:t>
      </w:r>
      <w:r>
        <w:t xml:space="preserve">watering action targeting the Great Cumbung Swamp that aimed </w:t>
      </w:r>
      <w:r w:rsidR="008E187B">
        <w:t>at</w:t>
      </w:r>
      <w:r>
        <w:t xml:space="preserve"> wetting the central reedbeds of the Great Cumbung Swamp</w:t>
      </w:r>
      <w:r w:rsidR="008E187B">
        <w:t xml:space="preserve">, with water reaching the swamp </w:t>
      </w:r>
      <w:r w:rsidR="00303E1A">
        <w:t>on</w:t>
      </w:r>
      <w:r w:rsidR="008E187B">
        <w:t xml:space="preserve"> 30</w:t>
      </w:r>
      <w:r w:rsidR="008E187B" w:rsidRPr="008E187B">
        <w:rPr>
          <w:vertAlign w:val="superscript"/>
        </w:rPr>
        <w:t>th</w:t>
      </w:r>
      <w:r w:rsidR="008E187B">
        <w:t xml:space="preserve"> June 2019 (watering action 4)</w:t>
      </w:r>
      <w:r>
        <w:t>.</w:t>
      </w:r>
      <w:r w:rsidR="005142EF">
        <w:t xml:space="preserve"> </w:t>
      </w:r>
      <w:bookmarkStart w:id="525" w:name="_Hlk31702430"/>
      <w:r w:rsidR="005142EF">
        <w:t>Neither of these sites were monitored as part of the LTIM project.</w:t>
      </w:r>
      <w:bookmarkEnd w:id="525"/>
    </w:p>
    <w:p w14:paraId="1867A2BB" w14:textId="1D9D72F3" w:rsidR="007163E8" w:rsidRDefault="007163E8" w:rsidP="007163E8">
      <w:r>
        <w:t>This technical report provides an evaluation of the outcomes for vegetation in the Lower Lachlan river system</w:t>
      </w:r>
      <w:r>
        <w:rPr>
          <w:rStyle w:val="FootnoteReference"/>
        </w:rPr>
        <w:footnoteReference w:id="1"/>
      </w:r>
      <w:r>
        <w:t xml:space="preserve"> and addresses the specific evaluation questions listed in the following sections. In doing so, the response of vegetation to the drying conditions within the catchment is described in relation to watering history. As this is the fifth year of the five-year </w:t>
      </w:r>
      <w:r w:rsidR="00E05711">
        <w:t>LTIM Project</w:t>
      </w:r>
      <w:r>
        <w:t>, the results have been described in the context of the results gathered throughout the project and in relation to the response of the vegetation to all environmental watering actions which have occurred over the five years, as well as the historic hydrological</w:t>
      </w:r>
      <w:r w:rsidR="004A0E65">
        <w:t xml:space="preserve"> and </w:t>
      </w:r>
      <w:r>
        <w:t>climatic conditions within the catchment.</w:t>
      </w:r>
    </w:p>
    <w:p w14:paraId="64ED8022" w14:textId="77777777" w:rsidR="007163E8" w:rsidRDefault="007163E8" w:rsidP="007163E8">
      <w:pPr>
        <w:pStyle w:val="Heading3"/>
        <w:numPr>
          <w:ilvl w:val="2"/>
          <w:numId w:val="8"/>
        </w:numPr>
        <w:rPr>
          <w:lang w:val="en-AU"/>
        </w:rPr>
      </w:pPr>
      <w:bookmarkStart w:id="526" w:name="_Toc4574819"/>
      <w:bookmarkStart w:id="527" w:name="_Toc31985529"/>
      <w:r>
        <w:t>Selected area specific evaluation questions</w:t>
      </w:r>
      <w:r w:rsidRPr="3734553D">
        <w:rPr>
          <w:lang w:val="en-AU"/>
        </w:rPr>
        <w:t>:</w:t>
      </w:r>
      <w:bookmarkEnd w:id="526"/>
      <w:bookmarkEnd w:id="527"/>
    </w:p>
    <w:p w14:paraId="06598FA4" w14:textId="77777777" w:rsidR="007163E8" w:rsidRPr="00A32AA5" w:rsidRDefault="007163E8" w:rsidP="007163E8">
      <w:pPr>
        <w:rPr>
          <w:lang w:eastAsia="x-none"/>
        </w:rPr>
      </w:pPr>
      <w:r>
        <w:rPr>
          <w:lang w:eastAsia="x-none"/>
        </w:rPr>
        <w:t>Given the limited monitoring sites which had received Commonwealth environmental water in 2018-19, the selected area specific evaluation questions have been re-framed in the context of watering history.</w:t>
      </w:r>
    </w:p>
    <w:p w14:paraId="34E840A6" w14:textId="77777777" w:rsidR="007163E8" w:rsidRDefault="007163E8" w:rsidP="00D437E3">
      <w:pPr>
        <w:numPr>
          <w:ilvl w:val="0"/>
          <w:numId w:val="27"/>
        </w:numPr>
      </w:pPr>
      <w:r w:rsidRPr="006B7FAE">
        <w:t>What did Commonwealth en</w:t>
      </w:r>
      <w:r>
        <w:t>vironmental water, in the context of the watering history of sites, contribute to:</w:t>
      </w:r>
    </w:p>
    <w:p w14:paraId="4D04F160" w14:textId="77777777" w:rsidR="007163E8" w:rsidRPr="006B7FAE" w:rsidRDefault="007163E8" w:rsidP="00D437E3">
      <w:pPr>
        <w:numPr>
          <w:ilvl w:val="1"/>
          <w:numId w:val="27"/>
        </w:numPr>
        <w:rPr>
          <w:lang w:eastAsia="x-none"/>
        </w:rPr>
      </w:pPr>
      <w:r w:rsidRPr="006B7FAE">
        <w:rPr>
          <w:lang w:eastAsia="x-none"/>
        </w:rPr>
        <w:t>vegetation species diversity?</w:t>
      </w:r>
    </w:p>
    <w:p w14:paraId="51ACDE3E" w14:textId="77777777" w:rsidR="007163E8" w:rsidRDefault="007163E8" w:rsidP="00D437E3">
      <w:pPr>
        <w:numPr>
          <w:ilvl w:val="1"/>
          <w:numId w:val="27"/>
        </w:numPr>
        <w:rPr>
          <w:lang w:eastAsia="x-none"/>
        </w:rPr>
      </w:pPr>
      <w:r w:rsidRPr="006B7FAE">
        <w:rPr>
          <w:lang w:eastAsia="x-none"/>
        </w:rPr>
        <w:t xml:space="preserve">vegetation community diversity? </w:t>
      </w:r>
    </w:p>
    <w:p w14:paraId="6FD6DFB7" w14:textId="77777777" w:rsidR="007163E8" w:rsidRPr="006B7FAE" w:rsidRDefault="007163E8" w:rsidP="00D437E3">
      <w:pPr>
        <w:numPr>
          <w:ilvl w:val="1"/>
          <w:numId w:val="27"/>
        </w:numPr>
        <w:rPr>
          <w:lang w:eastAsia="x-none"/>
        </w:rPr>
      </w:pPr>
      <w:r w:rsidRPr="006B7FAE">
        <w:rPr>
          <w:lang w:eastAsia="x-none"/>
        </w:rPr>
        <w:t xml:space="preserve">the condition of floodplain and riparian trees? </w:t>
      </w:r>
    </w:p>
    <w:p w14:paraId="21515E9A" w14:textId="7FAA07FB" w:rsidR="007163E8" w:rsidRDefault="007163E8" w:rsidP="00D437E3">
      <w:pPr>
        <w:numPr>
          <w:ilvl w:val="1"/>
          <w:numId w:val="27"/>
        </w:numPr>
        <w:rPr>
          <w:lang w:eastAsia="x-none"/>
        </w:rPr>
      </w:pPr>
      <w:r w:rsidRPr="006B7FAE">
        <w:rPr>
          <w:lang w:eastAsia="x-none"/>
        </w:rPr>
        <w:t xml:space="preserve">populations of long-lived </w:t>
      </w:r>
      <w:r w:rsidR="005142EF">
        <w:rPr>
          <w:lang w:eastAsia="x-none"/>
        </w:rPr>
        <w:t>plants</w:t>
      </w:r>
      <w:r w:rsidRPr="006B7FAE">
        <w:rPr>
          <w:lang w:eastAsia="x-none"/>
        </w:rPr>
        <w:t xml:space="preserve">? </w:t>
      </w:r>
    </w:p>
    <w:p w14:paraId="49A6FBCF" w14:textId="77777777" w:rsidR="007163E8" w:rsidRPr="00924476" w:rsidRDefault="007163E8" w:rsidP="007163E8">
      <w:pPr>
        <w:pStyle w:val="Heading2"/>
      </w:pPr>
      <w:bookmarkStart w:id="528" w:name="_Toc467776137"/>
      <w:bookmarkStart w:id="529" w:name="_Toc440827300"/>
      <w:bookmarkStart w:id="530" w:name="_Toc499912018"/>
      <w:bookmarkStart w:id="531" w:name="_Toc4574820"/>
      <w:bookmarkStart w:id="532" w:name="_Toc31985530"/>
      <w:r w:rsidRPr="00924476">
        <w:t>Methods</w:t>
      </w:r>
      <w:bookmarkEnd w:id="528"/>
      <w:bookmarkEnd w:id="529"/>
      <w:bookmarkEnd w:id="530"/>
      <w:bookmarkEnd w:id="531"/>
      <w:bookmarkEnd w:id="532"/>
    </w:p>
    <w:p w14:paraId="26170114" w14:textId="58875889" w:rsidR="007163E8" w:rsidRPr="00924476" w:rsidRDefault="007163E8" w:rsidP="007163E8">
      <w:r w:rsidRPr="00924476">
        <w:t>Vegetation monitoring sites were selected to provide a sample from the different vegetation communities distributed across wetlands and riparian zones with different enviro</w:t>
      </w:r>
      <w:r>
        <w:t xml:space="preserve">nmental watering probabilities, </w:t>
      </w:r>
      <w:r w:rsidRPr="00924476">
        <w:t>see</w:t>
      </w:r>
      <w:r>
        <w:t xml:space="preserve"> Dyer et al. </w:t>
      </w:r>
      <w:r>
        <w:fldChar w:fldCharType="begin"/>
      </w:r>
      <w:r w:rsidR="00D16F44">
        <w:instrText xml:space="preserve"> ADDIN EN.CITE &lt;EndNote&gt;&lt;Cite ExcludeAuth="1"&gt;&lt;Author&gt;Dyer&lt;/Author&gt;&lt;Year&gt;2014&lt;/Year&gt;&lt;RecNum&gt;84&lt;/RecNum&gt;&lt;DisplayText&gt;(2014)&lt;/DisplayText&gt;&lt;record&gt;&lt;rec-number&gt;84&lt;/rec-number&gt;&lt;foreign-keys&gt;&lt;key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D16F44">
        <w:rPr>
          <w:noProof/>
        </w:rPr>
        <w:t>(2014)</w:t>
      </w:r>
      <w:r>
        <w:fldChar w:fldCharType="end"/>
      </w:r>
      <w:r>
        <w:t xml:space="preserve"> </w:t>
      </w:r>
      <w:r w:rsidRPr="00924476">
        <w:t xml:space="preserve">and </w:t>
      </w:r>
      <w:r w:rsidRPr="00924476">
        <w:fldChar w:fldCharType="begin"/>
      </w:r>
      <w:r w:rsidRPr="00924476">
        <w:instrText xml:space="preserve"> REF _Ref457981826 \h  \* MERGEFORMAT </w:instrText>
      </w:r>
      <w:r w:rsidRPr="00924476">
        <w:fldChar w:fldCharType="separate"/>
      </w:r>
      <w:r w:rsidR="007F7607" w:rsidRPr="00A713E5">
        <w:t xml:space="preserve">Table </w:t>
      </w:r>
      <w:r w:rsidR="007F7607">
        <w:t>26</w:t>
      </w:r>
      <w:r w:rsidRPr="00924476">
        <w:fldChar w:fldCharType="end"/>
      </w:r>
      <w:r>
        <w:t xml:space="preserve"> on </w:t>
      </w:r>
      <w:r w:rsidR="00507E37">
        <w:t>p.</w:t>
      </w:r>
      <w:r w:rsidRPr="00924476">
        <w:t xml:space="preserve"> </w:t>
      </w:r>
      <w:r w:rsidRPr="00924476">
        <w:fldChar w:fldCharType="begin"/>
      </w:r>
      <w:r w:rsidRPr="00924476">
        <w:instrText xml:space="preserve"> PAGEREF _Ref493588300 \h </w:instrText>
      </w:r>
      <w:r w:rsidRPr="00924476">
        <w:fldChar w:fldCharType="separate"/>
      </w:r>
      <w:r w:rsidR="007F7607">
        <w:rPr>
          <w:noProof/>
        </w:rPr>
        <w:t>159</w:t>
      </w:r>
      <w:r w:rsidRPr="00924476">
        <w:fldChar w:fldCharType="end"/>
      </w:r>
      <w:r w:rsidRPr="00924476">
        <w:t xml:space="preserve">. </w:t>
      </w:r>
    </w:p>
    <w:p w14:paraId="5B911DAD" w14:textId="3CA0E9A2" w:rsidR="007163E8" w:rsidRPr="00924476" w:rsidRDefault="007163E8" w:rsidP="007163E8">
      <w:r w:rsidRPr="00924476">
        <w:rPr>
          <w:lang w:val="en-GB"/>
        </w:rPr>
        <w:t>The non-tree community survey was conducted along 2 replicate 100 m transects extending from the fringing woodland into the deeper section of the wetlands and billabongs at each of 10 sites (</w:t>
      </w:r>
      <w:r w:rsidRPr="00A713E5">
        <w:fldChar w:fldCharType="begin"/>
      </w:r>
      <w:r w:rsidRPr="00A713E5">
        <w:rPr>
          <w:lang w:val="en-GB"/>
        </w:rPr>
        <w:instrText xml:space="preserve"> REF _Ref457981826 \h </w:instrText>
      </w:r>
      <w:r w:rsidRPr="00A713E5">
        <w:instrText xml:space="preserve"> \* MERGEFORMAT </w:instrText>
      </w:r>
      <w:r w:rsidRPr="00A713E5">
        <w:rPr>
          <w:lang w:val="en-GB"/>
        </w:rPr>
        <w:fldChar w:fldCharType="separate"/>
      </w:r>
      <w:r w:rsidR="007F7607" w:rsidRPr="007F7607">
        <w:rPr>
          <w:bCs/>
        </w:rPr>
        <w:t xml:space="preserve">Table </w:t>
      </w:r>
      <w:r w:rsidR="007F7607" w:rsidRPr="007F7607">
        <w:rPr>
          <w:bCs/>
          <w:noProof/>
        </w:rPr>
        <w:t>26</w:t>
      </w:r>
      <w:r w:rsidRPr="00A713E5">
        <w:fldChar w:fldCharType="end"/>
      </w:r>
      <w:r w:rsidRPr="00A713E5">
        <w:rPr>
          <w:lang w:val="en-GB"/>
        </w:rPr>
        <w:t>)</w:t>
      </w:r>
      <w:r w:rsidRPr="00924476">
        <w:rPr>
          <w:lang w:val="en-GB"/>
        </w:rPr>
        <w:t xml:space="preserve"> using the methods of Driver et al. </w:t>
      </w:r>
      <w:r w:rsidRPr="00924476">
        <w:fldChar w:fldCharType="begin"/>
      </w:r>
      <w:r>
        <w:instrText xml:space="preserve"> ADDIN EN.CITE &lt;EndNote&gt;&lt;Cite ExcludeAuth="1"&gt;&lt;Author&gt;Driver&lt;/Author&gt;&lt;Year&gt;2003&lt;/Year&gt;&lt;RecNum&gt;21&lt;/RecNum&gt;&lt;DisplayText&gt;(2003)&lt;/DisplayText&gt;&lt;record&gt;&lt;rec-number&gt;21&lt;/rec-number&gt;&lt;foreign-keys&gt;&lt;key app="EN" db-id="0a0zttz0gewd9befav559p5osxw5sftwfpdv" timestamp="1397279488"&gt;21&lt;/key&gt;&lt;/foreign-keys&gt;&lt;ref-type name="Report"&gt;27&lt;/ref-type&gt;&lt;contributors&gt;&lt;authors&gt;&lt;author&gt;Driver, P.D.&lt;/author&gt;&lt;author&gt;Hardwick, L. &lt;/author&gt;&lt;author&gt;Maguire, J.&lt;/author&gt;&lt;author&gt;Lloyd-Jones, P.&lt;/author&gt;&lt;/authors&gt;&lt;secondary-authors&gt;&lt;author&gt;Chessman, B.&lt;/author&gt;&lt;/secondary-authors&gt;&lt;/contributors&gt;&lt;titles&gt;&lt;title&gt;Vegetation Survey for Billabongs&lt;/title&gt;&lt;secondary-title&gt;IIntegrated Monitoring of Environmental Flows Methods Manual. Scientific and Technical Operating Procedures. &lt;/secondary-title&gt;&lt;/titles&gt;&lt;dates&gt;&lt;year&gt;2003&lt;/year&gt;&lt;/dates&gt;&lt;publisher&gt;New South Wales Department of Infrastructure, Planning and Natural Resources.&lt;/publisher&gt;&lt;urls&gt;&lt;/urls&gt;&lt;/record&gt;&lt;/Cite&gt;&lt;/EndNote&gt;</w:instrText>
      </w:r>
      <w:r w:rsidRPr="00924476">
        <w:fldChar w:fldCharType="separate"/>
      </w:r>
      <w:r w:rsidRPr="00924476">
        <w:rPr>
          <w:noProof/>
        </w:rPr>
        <w:t>(2003)</w:t>
      </w:r>
      <w:r w:rsidRPr="00924476">
        <w:fldChar w:fldCharType="end"/>
      </w:r>
      <w:r w:rsidRPr="00924476">
        <w:rPr>
          <w:lang w:val="en-GB"/>
        </w:rPr>
        <w:t xml:space="preserve"> described in Dyer et al. </w:t>
      </w:r>
      <w:r w:rsidRPr="00924476">
        <w:fldChar w:fldCharType="begin"/>
      </w:r>
      <w:r w:rsidR="00D16F44">
        <w:instrText xml:space="preserve"> ADDIN EN.CITE &lt;EndNote&gt;&lt;Cite ExcludeAuth="1"&gt;&lt;Author&gt;Dyer&lt;/Author&gt;&lt;Year&gt;2014&lt;/Year&gt;&lt;RecNum&gt;84&lt;/RecNum&gt;&lt;DisplayText&gt;(2014)&lt;/DisplayText&gt;&lt;record&gt;&lt;rec-number&gt;84&lt;/rec-number&gt;&lt;foreign-keys&gt;&lt;key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D16F44">
        <w:rPr>
          <w:noProof/>
        </w:rPr>
        <w:t>(2014)</w:t>
      </w:r>
      <w:r w:rsidRPr="00924476">
        <w:fldChar w:fldCharType="end"/>
      </w:r>
      <w:r w:rsidRPr="00924476">
        <w:rPr>
          <w:lang w:val="en-GB"/>
        </w:rPr>
        <w:t>. Species abundance (and cover) was recorded in 1 m</w:t>
      </w:r>
      <w:r w:rsidRPr="00924476">
        <w:rPr>
          <w:vertAlign w:val="superscript"/>
          <w:lang w:val="en-GB"/>
        </w:rPr>
        <w:t>2</w:t>
      </w:r>
      <w:r w:rsidRPr="00924476">
        <w:rPr>
          <w:lang w:val="en-GB"/>
        </w:rPr>
        <w:t xml:space="preserve"> quadrats placed at 10 m intervals along the 100 m transects (n=10 per transect). </w:t>
      </w:r>
    </w:p>
    <w:p w14:paraId="692C65A3" w14:textId="0004C9FC" w:rsidR="007163E8" w:rsidRPr="00924476" w:rsidRDefault="007163E8" w:rsidP="007163E8">
      <w:r w:rsidRPr="00924476">
        <w:t>Woodland tree communities were surveyed in a minimum of 2 replicate 0.1 ha plots at each of 12 sites (</w:t>
      </w:r>
      <w:r w:rsidRPr="00A713E5">
        <w:fldChar w:fldCharType="begin"/>
      </w:r>
      <w:r w:rsidRPr="00A713E5">
        <w:instrText xml:space="preserve"> REF _Ref457981826 \h  \* MERGEFORMAT </w:instrText>
      </w:r>
      <w:r w:rsidRPr="00A713E5">
        <w:fldChar w:fldCharType="separate"/>
      </w:r>
      <w:r w:rsidR="007F7607" w:rsidRPr="007F7607">
        <w:rPr>
          <w:bCs/>
        </w:rPr>
        <w:t xml:space="preserve">Table </w:t>
      </w:r>
      <w:r w:rsidR="007F7607" w:rsidRPr="007F7607">
        <w:rPr>
          <w:bCs/>
          <w:noProof/>
        </w:rPr>
        <w:t>26</w:t>
      </w:r>
      <w:r w:rsidRPr="00A713E5">
        <w:fldChar w:fldCharType="end"/>
      </w:r>
      <w:r w:rsidRPr="00924476">
        <w:t xml:space="preserve">) using the methods of Bowen </w:t>
      </w:r>
      <w:r w:rsidRPr="00924476">
        <w:fldChar w:fldCharType="begin"/>
      </w:r>
      <w:r>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t xml:space="preserve"> </w:t>
      </w:r>
      <w:r w:rsidRPr="00924476">
        <w:rPr>
          <w:lang w:val="en-GB"/>
        </w:rPr>
        <w:t xml:space="preserve">described in Dyer et al. </w:t>
      </w:r>
      <w:r w:rsidRPr="00924476">
        <w:fldChar w:fldCharType="begin"/>
      </w:r>
      <w:r w:rsidR="00D16F44">
        <w:instrText xml:space="preserve"> ADDIN EN.CITE &lt;EndNote&gt;&lt;Cite ExcludeAuth="1"&gt;&lt;Author&gt;Dyer&lt;/Author&gt;&lt;Year&gt;2014&lt;/Year&gt;&lt;RecNum&gt;84&lt;/RecNum&gt;&lt;DisplayText&gt;(2014)&lt;/DisplayText&gt;&lt;record&gt;&lt;rec-number&gt;84&lt;/rec-number&gt;&lt;foreign-keys&gt;&lt;key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D16F44">
        <w:rPr>
          <w:noProof/>
        </w:rPr>
        <w:t>(2014)</w:t>
      </w:r>
      <w:r w:rsidRPr="00924476">
        <w:fldChar w:fldCharType="end"/>
      </w:r>
      <w:r w:rsidRPr="00924476">
        <w:t xml:space="preserve">. An understory floristic survey was undertaken in a nested 0.04 ha plot inside the 0.1 ha plots. In each 0.1 ha plot, measures of stand and tree condition (basal area, canopy openness, canopy extent, live/dead limbs) were recorded as well as </w:t>
      </w:r>
      <w:r>
        <w:t>the number of seedlings and saplings &lt;10cm dbh</w:t>
      </w:r>
      <w:r w:rsidRPr="00924476">
        <w:t xml:space="preserve">. In each 0.04 ha plot, the floristic survey recorded species abundance (of all species including trees) and cover. </w:t>
      </w:r>
    </w:p>
    <w:p w14:paraId="67441EB7" w14:textId="77777777" w:rsidR="007163E8" w:rsidRPr="00924476" w:rsidRDefault="007163E8" w:rsidP="007163E8">
      <w:r w:rsidRPr="00924476">
        <w:t>All plants observed (including grasses) were identified to species either during field surveys or from field specimens which were preserved for later identification. Where plants were not able to be identified to species (because of a lack of suitable identifying features) they were recorded to the lowest taxonomic level possible and as distinct species based on morphological differences.</w:t>
      </w:r>
    </w:p>
    <w:p w14:paraId="3B5B4007" w14:textId="77777777" w:rsidR="007163E8" w:rsidRPr="00924476" w:rsidRDefault="007163E8" w:rsidP="007163E8">
      <w:pPr>
        <w:spacing w:before="0" w:after="0"/>
        <w:rPr>
          <w:lang w:val="en-GB"/>
        </w:rPr>
        <w:sectPr w:rsidR="007163E8" w:rsidRPr="00924476">
          <w:pgSz w:w="11907" w:h="16839"/>
          <w:pgMar w:top="1440" w:right="1440" w:bottom="1440" w:left="1440" w:header="709" w:footer="709" w:gutter="0"/>
          <w:cols w:space="720"/>
        </w:sectPr>
      </w:pPr>
    </w:p>
    <w:p w14:paraId="36B41573" w14:textId="0B7BAB7C" w:rsidR="007163E8" w:rsidRPr="00A713E5" w:rsidRDefault="007163E8" w:rsidP="007163E8">
      <w:pPr>
        <w:pStyle w:val="Caption"/>
      </w:pPr>
      <w:bookmarkStart w:id="533" w:name="_Ref457981826"/>
      <w:bookmarkStart w:id="534" w:name="_Toc491259450"/>
      <w:bookmarkStart w:id="535" w:name="_Ref493588300"/>
      <w:bookmarkStart w:id="536" w:name="_Toc498514500"/>
      <w:bookmarkStart w:id="537" w:name="_Toc4574926"/>
      <w:bookmarkStart w:id="538" w:name="_Toc31985693"/>
      <w:r w:rsidRPr="00A713E5">
        <w:t xml:space="preserve">Table </w:t>
      </w:r>
      <w:r>
        <w:rPr>
          <w:noProof/>
        </w:rPr>
        <w:fldChar w:fldCharType="begin"/>
      </w:r>
      <w:r>
        <w:rPr>
          <w:noProof/>
        </w:rPr>
        <w:instrText xml:space="preserve"> SEQ Table \* ARABIC </w:instrText>
      </w:r>
      <w:r>
        <w:rPr>
          <w:noProof/>
        </w:rPr>
        <w:fldChar w:fldCharType="separate"/>
      </w:r>
      <w:r w:rsidR="007F7607">
        <w:rPr>
          <w:noProof/>
        </w:rPr>
        <w:t>26</w:t>
      </w:r>
      <w:r>
        <w:rPr>
          <w:noProof/>
        </w:rPr>
        <w:fldChar w:fldCharType="end"/>
      </w:r>
      <w:bookmarkEnd w:id="533"/>
      <w:r w:rsidRPr="00A713E5">
        <w:t>. Summary of vegetation monitoring sites.</w:t>
      </w:r>
      <w:bookmarkEnd w:id="534"/>
      <w:bookmarkEnd w:id="535"/>
      <w:bookmarkEnd w:id="536"/>
      <w:bookmarkEnd w:id="537"/>
      <w:bookmarkEnd w:id="538"/>
      <w:r>
        <w:t xml:space="preserve"> </w:t>
      </w:r>
    </w:p>
    <w:p w14:paraId="651BBBCD" w14:textId="77777777" w:rsidR="00682B8E" w:rsidRDefault="007163E8" w:rsidP="007163E8">
      <w:pPr>
        <w:pStyle w:val="Caption"/>
      </w:pPr>
      <w:r w:rsidRPr="00A713E5">
        <w:t>The location of the sites within each Zone has been provided, however we do not consider the vegetation to be clearly separated according to zone.</w:t>
      </w:r>
      <w:bookmarkStart w:id="539" w:name="_Hlk31704368"/>
    </w:p>
    <w:p w14:paraId="35A7AC81" w14:textId="31771677" w:rsidR="007163E8" w:rsidRPr="00A713E5" w:rsidRDefault="002427E0" w:rsidP="007163E8">
      <w:pPr>
        <w:pStyle w:val="Caption"/>
      </w:pPr>
      <w:r>
        <w:t xml:space="preserve">Zones </w:t>
      </w:r>
      <w:r w:rsidR="00275F65">
        <w:t>are defined in Dyer et al</w:t>
      </w:r>
      <w:r w:rsidR="002924CE">
        <w:t>.</w:t>
      </w:r>
      <w:r w:rsidR="00275F65">
        <w:t xml:space="preserve"> 2014 and shown i</w:t>
      </w:r>
      <w:r>
        <w:t xml:space="preserve">n </w:t>
      </w:r>
      <w:r w:rsidR="0007470F">
        <w:fldChar w:fldCharType="begin"/>
      </w:r>
      <w:r w:rsidR="0007470F">
        <w:instrText xml:space="preserve"> REF _Ref463860103 \h </w:instrText>
      </w:r>
      <w:r w:rsidR="0007470F">
        <w:fldChar w:fldCharType="separate"/>
      </w:r>
      <w:r w:rsidR="007F7607" w:rsidRPr="001A48D7">
        <w:t xml:space="preserve">Figure </w:t>
      </w:r>
      <w:r w:rsidR="007F7607">
        <w:rPr>
          <w:noProof/>
        </w:rPr>
        <w:t>1</w:t>
      </w:r>
      <w:r w:rsidR="0007470F">
        <w:fldChar w:fldCharType="end"/>
      </w:r>
      <w:r w:rsidR="0007470F">
        <w:t xml:space="preserve"> (page </w:t>
      </w:r>
      <w:r w:rsidR="0007470F">
        <w:fldChar w:fldCharType="begin"/>
      </w:r>
      <w:r w:rsidR="0007470F">
        <w:instrText xml:space="preserve"> PAGEREF _Ref530384643 \h </w:instrText>
      </w:r>
      <w:r w:rsidR="0007470F">
        <w:fldChar w:fldCharType="separate"/>
      </w:r>
      <w:r w:rsidR="007F7607">
        <w:rPr>
          <w:noProof/>
        </w:rPr>
        <w:t>19</w:t>
      </w:r>
      <w:r w:rsidR="0007470F">
        <w:fldChar w:fldCharType="end"/>
      </w:r>
      <w:r w:rsidR="0007470F">
        <w:t>).</w:t>
      </w:r>
    </w:p>
    <w:tbl>
      <w:tblPr>
        <w:tblStyle w:val="MediumGrid3-Accent3"/>
        <w:tblW w:w="0" w:type="auto"/>
        <w:tblLook w:val="06A0" w:firstRow="1" w:lastRow="0" w:firstColumn="1" w:lastColumn="0" w:noHBand="1" w:noVBand="1"/>
      </w:tblPr>
      <w:tblGrid>
        <w:gridCol w:w="2142"/>
        <w:gridCol w:w="2259"/>
        <w:gridCol w:w="3811"/>
        <w:gridCol w:w="1819"/>
        <w:gridCol w:w="1701"/>
        <w:gridCol w:w="1701"/>
      </w:tblGrid>
      <w:tr w:rsidR="007163E8" w:rsidRPr="00834045" w14:paraId="486155DD" w14:textId="77777777" w:rsidTr="00121F7D">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2142" w:type="dxa"/>
            <w:hideMark/>
          </w:tcPr>
          <w:bookmarkEnd w:id="539"/>
          <w:p w14:paraId="7C918E87"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SITE (CODE)</w:t>
            </w:r>
          </w:p>
        </w:tc>
        <w:tc>
          <w:tcPr>
            <w:tcW w:w="2259" w:type="dxa"/>
            <w:hideMark/>
          </w:tcPr>
          <w:p w14:paraId="7715BDB0"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GEOMORPHIC DESCRIPTION</w:t>
            </w:r>
          </w:p>
        </w:tc>
        <w:tc>
          <w:tcPr>
            <w:tcW w:w="3811" w:type="dxa"/>
            <w:hideMark/>
          </w:tcPr>
          <w:p w14:paraId="181AF177"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 xml:space="preserve">ANAE </w:t>
            </w:r>
          </w:p>
          <w:p w14:paraId="5CAE24B1"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CLASSIFICATION</w:t>
            </w:r>
          </w:p>
        </w:tc>
        <w:tc>
          <w:tcPr>
            <w:tcW w:w="1819" w:type="dxa"/>
            <w:hideMark/>
          </w:tcPr>
          <w:p w14:paraId="1FC27890"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 xml:space="preserve">VEGETATION </w:t>
            </w:r>
          </w:p>
          <w:p w14:paraId="0297F320"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COMMUNITY</w:t>
            </w:r>
          </w:p>
        </w:tc>
        <w:tc>
          <w:tcPr>
            <w:tcW w:w="1701" w:type="dxa"/>
            <w:hideMark/>
          </w:tcPr>
          <w:p w14:paraId="79FF734B" w14:textId="77777777" w:rsidR="00121F7D"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 xml:space="preserve">TREE COMMUNITY: RIPARIAN </w:t>
            </w:r>
          </w:p>
          <w:p w14:paraId="1A56B8B1" w14:textId="3ED48502"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PLOTS</w:t>
            </w:r>
          </w:p>
        </w:tc>
        <w:tc>
          <w:tcPr>
            <w:tcW w:w="1701" w:type="dxa"/>
            <w:hideMark/>
          </w:tcPr>
          <w:p w14:paraId="0BF81C46"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NON – TREE COMMUNITY: TRANSECTS</w:t>
            </w:r>
          </w:p>
        </w:tc>
      </w:tr>
      <w:tr w:rsidR="00121F7D" w:rsidRPr="00924476" w14:paraId="61D6E5AA" w14:textId="77777777" w:rsidTr="00ED69E9">
        <w:tc>
          <w:tcPr>
            <w:cnfStyle w:val="001000000000" w:firstRow="0" w:lastRow="0" w:firstColumn="1" w:lastColumn="0" w:oddVBand="0" w:evenVBand="0" w:oddHBand="0" w:evenHBand="0" w:firstRowFirstColumn="0" w:firstRowLastColumn="0" w:lastRowFirstColumn="0" w:lastRowLastColumn="0"/>
            <w:tcW w:w="13433" w:type="dxa"/>
            <w:gridSpan w:val="6"/>
            <w:hideMark/>
          </w:tcPr>
          <w:p w14:paraId="4BBB0C62" w14:textId="1BACE741" w:rsidR="00121F7D" w:rsidRPr="00834045" w:rsidRDefault="00121F7D" w:rsidP="007163E8">
            <w:pPr>
              <w:spacing w:before="0" w:after="0"/>
              <w:rPr>
                <w:sz w:val="18"/>
                <w:szCs w:val="18"/>
              </w:rPr>
            </w:pPr>
            <w:r w:rsidRPr="00834045">
              <w:rPr>
                <w:color w:val="FFFFFF" w:themeColor="background1"/>
                <w:sz w:val="18"/>
                <w:szCs w:val="18"/>
              </w:rPr>
              <w:t>ZONE 1</w:t>
            </w:r>
          </w:p>
        </w:tc>
      </w:tr>
      <w:tr w:rsidR="007163E8" w:rsidRPr="00924476" w14:paraId="675A35A5"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0C359157"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Hazelwood (HW)</w:t>
            </w:r>
          </w:p>
        </w:tc>
        <w:tc>
          <w:tcPr>
            <w:tcW w:w="2259" w:type="dxa"/>
            <w:hideMark/>
          </w:tcPr>
          <w:p w14:paraId="7E155D44"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Billabong</w:t>
            </w:r>
          </w:p>
        </w:tc>
        <w:tc>
          <w:tcPr>
            <w:tcW w:w="3811" w:type="dxa"/>
            <w:hideMark/>
          </w:tcPr>
          <w:p w14:paraId="14A7EF6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09989D2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3ED1033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7374EAA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7163E8" w:rsidRPr="00924476" w14:paraId="05078A79"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0AC8F142"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Whealbah (WB)</w:t>
            </w:r>
          </w:p>
        </w:tc>
        <w:tc>
          <w:tcPr>
            <w:tcW w:w="2259" w:type="dxa"/>
            <w:hideMark/>
          </w:tcPr>
          <w:p w14:paraId="59DC1D2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Billabong</w:t>
            </w:r>
          </w:p>
        </w:tc>
        <w:tc>
          <w:tcPr>
            <w:tcW w:w="3811" w:type="dxa"/>
            <w:hideMark/>
          </w:tcPr>
          <w:p w14:paraId="6C58745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1874B08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gum/lignum</w:t>
            </w:r>
          </w:p>
        </w:tc>
        <w:tc>
          <w:tcPr>
            <w:tcW w:w="1701" w:type="dxa"/>
            <w:hideMark/>
          </w:tcPr>
          <w:p w14:paraId="4FA62E3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3547229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7163E8" w:rsidRPr="00924476" w14:paraId="3B086A0D"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0D580898"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Moon Moon (MM)</w:t>
            </w:r>
          </w:p>
        </w:tc>
        <w:tc>
          <w:tcPr>
            <w:tcW w:w="2259" w:type="dxa"/>
            <w:hideMark/>
          </w:tcPr>
          <w:p w14:paraId="054E716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Open lake fringed with red gum</w:t>
            </w:r>
          </w:p>
        </w:tc>
        <w:tc>
          <w:tcPr>
            <w:tcW w:w="3811" w:type="dxa"/>
            <w:hideMark/>
          </w:tcPr>
          <w:p w14:paraId="2D607EF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Lt2.1: Temporary floodplain lakes</w:t>
            </w:r>
          </w:p>
          <w:p w14:paraId="69F4873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64F3A0D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716D645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0CAF457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121F7D" w:rsidRPr="00924476" w14:paraId="35A20929" w14:textId="77777777" w:rsidTr="00ED69E9">
        <w:tc>
          <w:tcPr>
            <w:cnfStyle w:val="001000000000" w:firstRow="0" w:lastRow="0" w:firstColumn="1" w:lastColumn="0" w:oddVBand="0" w:evenVBand="0" w:oddHBand="0" w:evenHBand="0" w:firstRowFirstColumn="0" w:firstRowLastColumn="0" w:lastRowFirstColumn="0" w:lastRowLastColumn="0"/>
            <w:tcW w:w="13433" w:type="dxa"/>
            <w:gridSpan w:val="6"/>
            <w:hideMark/>
          </w:tcPr>
          <w:p w14:paraId="3C08B8B0" w14:textId="2ABE3D59" w:rsidR="00121F7D" w:rsidRPr="00834045" w:rsidRDefault="00121F7D" w:rsidP="007163E8">
            <w:pPr>
              <w:spacing w:before="0" w:after="0"/>
              <w:rPr>
                <w:sz w:val="18"/>
                <w:szCs w:val="18"/>
              </w:rPr>
            </w:pPr>
            <w:r w:rsidRPr="00834045">
              <w:rPr>
                <w:color w:val="FFFFFF" w:themeColor="background1"/>
                <w:sz w:val="18"/>
                <w:szCs w:val="18"/>
              </w:rPr>
              <w:t>ZONE 2</w:t>
            </w:r>
          </w:p>
        </w:tc>
      </w:tr>
      <w:tr w:rsidR="007163E8" w:rsidRPr="00924476" w14:paraId="4E2D5D93"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24463FD7"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Bullogal (LBU)</w:t>
            </w:r>
          </w:p>
        </w:tc>
        <w:tc>
          <w:tcPr>
            <w:tcW w:w="2259" w:type="dxa"/>
            <w:hideMark/>
          </w:tcPr>
          <w:p w14:paraId="360BDBB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Channel mound wetland</w:t>
            </w:r>
          </w:p>
        </w:tc>
        <w:tc>
          <w:tcPr>
            <w:tcW w:w="3811" w:type="dxa"/>
            <w:hideMark/>
          </w:tcPr>
          <w:p w14:paraId="7FF8052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68EB23B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1FC67FF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1D2922E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7163E8" w:rsidRPr="00924476" w14:paraId="2B9AB2D5" w14:textId="77777777" w:rsidTr="00121F7D">
        <w:tc>
          <w:tcPr>
            <w:cnfStyle w:val="001000000000" w:firstRow="0" w:lastRow="0" w:firstColumn="1" w:lastColumn="0" w:oddVBand="0" w:evenVBand="0" w:oddHBand="0" w:evenHBand="0" w:firstRowFirstColumn="0" w:firstRowLastColumn="0" w:lastRowFirstColumn="0" w:lastRowLastColumn="0"/>
            <w:tcW w:w="2142" w:type="dxa"/>
            <w:vMerge w:val="restart"/>
            <w:hideMark/>
          </w:tcPr>
          <w:p w14:paraId="3D6B9FD4"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The Ville (TV)</w:t>
            </w:r>
          </w:p>
        </w:tc>
        <w:tc>
          <w:tcPr>
            <w:tcW w:w="2259" w:type="dxa"/>
            <w:vMerge w:val="restart"/>
            <w:hideMark/>
          </w:tcPr>
          <w:p w14:paraId="64DF502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Billabong</w:t>
            </w:r>
          </w:p>
        </w:tc>
        <w:tc>
          <w:tcPr>
            <w:tcW w:w="3811" w:type="dxa"/>
            <w:hideMark/>
          </w:tcPr>
          <w:p w14:paraId="66137EC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Pt1.2.1 Intermittent black box floodplain swamp</w:t>
            </w:r>
          </w:p>
        </w:tc>
        <w:tc>
          <w:tcPr>
            <w:tcW w:w="1819" w:type="dxa"/>
            <w:hideMark/>
          </w:tcPr>
          <w:p w14:paraId="14F272A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gum/black box/river cooba/lignum</w:t>
            </w:r>
          </w:p>
        </w:tc>
        <w:tc>
          <w:tcPr>
            <w:tcW w:w="1701" w:type="dxa"/>
            <w:hideMark/>
          </w:tcPr>
          <w:p w14:paraId="34244D0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6FABC46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68354A25" w14:textId="77777777" w:rsidTr="00121F7D">
        <w:tc>
          <w:tcPr>
            <w:cnfStyle w:val="001000000000" w:firstRow="0" w:lastRow="0" w:firstColumn="1" w:lastColumn="0" w:oddVBand="0" w:evenVBand="0" w:oddHBand="0" w:evenHBand="0" w:firstRowFirstColumn="0" w:firstRowLastColumn="0" w:lastRowFirstColumn="0" w:lastRowLastColumn="0"/>
            <w:tcW w:w="2142" w:type="dxa"/>
            <w:vMerge/>
          </w:tcPr>
          <w:p w14:paraId="68CB6254" w14:textId="77777777" w:rsidR="007163E8" w:rsidRPr="00834045" w:rsidRDefault="007163E8" w:rsidP="007163E8">
            <w:pPr>
              <w:spacing w:before="0" w:after="0"/>
              <w:rPr>
                <w:b w:val="0"/>
                <w:bCs w:val="0"/>
                <w:color w:val="FFFFFF" w:themeColor="background1"/>
                <w:sz w:val="18"/>
                <w:szCs w:val="18"/>
              </w:rPr>
            </w:pPr>
          </w:p>
        </w:tc>
        <w:tc>
          <w:tcPr>
            <w:tcW w:w="2259" w:type="dxa"/>
            <w:vMerge/>
          </w:tcPr>
          <w:p w14:paraId="5D881F4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3811" w:type="dxa"/>
            <w:hideMark/>
          </w:tcPr>
          <w:p w14:paraId="4A2412A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64EC44D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gum/river cooba/black box</w:t>
            </w:r>
          </w:p>
        </w:tc>
        <w:tc>
          <w:tcPr>
            <w:tcW w:w="1701" w:type="dxa"/>
            <w:hideMark/>
          </w:tcPr>
          <w:p w14:paraId="5718EFF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72BA17F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121F7D" w:rsidRPr="00924476" w14:paraId="4B153E39" w14:textId="77777777" w:rsidTr="00ED69E9">
        <w:tc>
          <w:tcPr>
            <w:cnfStyle w:val="001000000000" w:firstRow="0" w:lastRow="0" w:firstColumn="1" w:lastColumn="0" w:oddVBand="0" w:evenVBand="0" w:oddHBand="0" w:evenHBand="0" w:firstRowFirstColumn="0" w:firstRowLastColumn="0" w:lastRowFirstColumn="0" w:lastRowLastColumn="0"/>
            <w:tcW w:w="13433" w:type="dxa"/>
            <w:gridSpan w:val="6"/>
            <w:hideMark/>
          </w:tcPr>
          <w:p w14:paraId="0F6905EE" w14:textId="601FA940" w:rsidR="00121F7D" w:rsidRPr="00834045" w:rsidRDefault="00121F7D" w:rsidP="007163E8">
            <w:pPr>
              <w:spacing w:before="0" w:after="0"/>
              <w:rPr>
                <w:sz w:val="18"/>
                <w:szCs w:val="18"/>
              </w:rPr>
            </w:pPr>
            <w:r w:rsidRPr="00834045">
              <w:rPr>
                <w:color w:val="FFFFFF" w:themeColor="background1"/>
                <w:sz w:val="18"/>
                <w:szCs w:val="18"/>
              </w:rPr>
              <w:t>ZONE 3</w:t>
            </w:r>
          </w:p>
        </w:tc>
      </w:tr>
      <w:tr w:rsidR="007163E8" w:rsidRPr="00924476" w14:paraId="45F31671"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0900E47B"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Ita (LI)</w:t>
            </w:r>
            <w:r w:rsidRPr="00834045">
              <w:rPr>
                <w:color w:val="FFFFFF" w:themeColor="background1"/>
                <w:sz w:val="18"/>
                <w:szCs w:val="18"/>
                <w:vertAlign w:val="superscript"/>
              </w:rPr>
              <w:footnoteReference w:id="2"/>
            </w:r>
          </w:p>
        </w:tc>
        <w:tc>
          <w:tcPr>
            <w:tcW w:w="2259" w:type="dxa"/>
            <w:hideMark/>
          </w:tcPr>
          <w:p w14:paraId="0249F90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Open Lake fringed with black box and red gums</w:t>
            </w:r>
          </w:p>
        </w:tc>
        <w:tc>
          <w:tcPr>
            <w:tcW w:w="3811" w:type="dxa"/>
            <w:hideMark/>
          </w:tcPr>
          <w:p w14:paraId="6AE28FA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Lt2.1: Temporary floodplain lakes</w:t>
            </w:r>
          </w:p>
        </w:tc>
        <w:tc>
          <w:tcPr>
            <w:tcW w:w="1819" w:type="dxa"/>
          </w:tcPr>
          <w:p w14:paraId="10ADCFE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Black box/river cooba</w:t>
            </w:r>
          </w:p>
          <w:p w14:paraId="770E111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1701" w:type="dxa"/>
            <w:hideMark/>
          </w:tcPr>
          <w:p w14:paraId="71B3357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3</w:t>
            </w:r>
          </w:p>
        </w:tc>
        <w:tc>
          <w:tcPr>
            <w:tcW w:w="1701" w:type="dxa"/>
            <w:hideMark/>
          </w:tcPr>
          <w:p w14:paraId="0317DFD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61C025ED" w14:textId="77777777" w:rsidTr="00121F7D">
        <w:tc>
          <w:tcPr>
            <w:cnfStyle w:val="001000000000" w:firstRow="0" w:lastRow="0" w:firstColumn="1" w:lastColumn="0" w:oddVBand="0" w:evenVBand="0" w:oddHBand="0" w:evenHBand="0" w:firstRowFirstColumn="0" w:firstRowLastColumn="0" w:lastRowFirstColumn="0" w:lastRowLastColumn="0"/>
            <w:tcW w:w="2142" w:type="dxa"/>
          </w:tcPr>
          <w:p w14:paraId="19B0D701" w14:textId="77777777" w:rsidR="007163E8" w:rsidRPr="00834045" w:rsidRDefault="007163E8" w:rsidP="007163E8">
            <w:pPr>
              <w:spacing w:before="0" w:after="0"/>
              <w:rPr>
                <w:b w:val="0"/>
                <w:bCs w:val="0"/>
                <w:color w:val="FFFFFF" w:themeColor="background1"/>
                <w:sz w:val="18"/>
                <w:szCs w:val="18"/>
              </w:rPr>
            </w:pPr>
          </w:p>
        </w:tc>
        <w:tc>
          <w:tcPr>
            <w:tcW w:w="2259" w:type="dxa"/>
          </w:tcPr>
          <w:p w14:paraId="303505B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3811" w:type="dxa"/>
          </w:tcPr>
          <w:p w14:paraId="7D2870AD" w14:textId="6FBF5F0F" w:rsidR="007163E8" w:rsidRPr="00834045" w:rsidRDefault="00121F7D"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Lt2.1: Temporary floodplain lakes</w:t>
            </w:r>
          </w:p>
        </w:tc>
        <w:tc>
          <w:tcPr>
            <w:tcW w:w="1819" w:type="dxa"/>
            <w:hideMark/>
          </w:tcPr>
          <w:p w14:paraId="1377961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6DC5799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4BD5BCF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0DADA966"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237BE425"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Clear Lake (CL)</w:t>
            </w:r>
          </w:p>
        </w:tc>
        <w:tc>
          <w:tcPr>
            <w:tcW w:w="2259" w:type="dxa"/>
            <w:hideMark/>
          </w:tcPr>
          <w:p w14:paraId="62EC1A42" w14:textId="6615010A"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Lake (with reedbeds) fringed with red gum</w:t>
            </w:r>
          </w:p>
        </w:tc>
        <w:tc>
          <w:tcPr>
            <w:tcW w:w="3811" w:type="dxa"/>
            <w:hideMark/>
          </w:tcPr>
          <w:p w14:paraId="16B8465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36706FA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1278E61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431EBFB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267F0C0F"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5A486055"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Nooran Lake (NL)</w:t>
            </w:r>
          </w:p>
        </w:tc>
        <w:tc>
          <w:tcPr>
            <w:tcW w:w="2259" w:type="dxa"/>
            <w:hideMark/>
          </w:tcPr>
          <w:p w14:paraId="25A47226" w14:textId="4ED5B965"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Lake (with reedbeds) fringed with red gum</w:t>
            </w:r>
          </w:p>
        </w:tc>
        <w:tc>
          <w:tcPr>
            <w:tcW w:w="3811" w:type="dxa"/>
            <w:hideMark/>
          </w:tcPr>
          <w:p w14:paraId="30BBEA6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Lt2.1: Temporary floodplain lakes</w:t>
            </w:r>
          </w:p>
        </w:tc>
        <w:tc>
          <w:tcPr>
            <w:tcW w:w="1819" w:type="dxa"/>
            <w:hideMark/>
          </w:tcPr>
          <w:p w14:paraId="341C600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3F9C30D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6609F16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7163E8" w:rsidRPr="00924476" w14:paraId="660DF4FA"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72FE56CA"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Marrool (LM)</w:t>
            </w:r>
          </w:p>
        </w:tc>
        <w:tc>
          <w:tcPr>
            <w:tcW w:w="2259" w:type="dxa"/>
            <w:hideMark/>
          </w:tcPr>
          <w:p w14:paraId="22547E31" w14:textId="73180757" w:rsidR="00121F7D"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Open lake fringed with red gum</w:t>
            </w:r>
          </w:p>
        </w:tc>
        <w:tc>
          <w:tcPr>
            <w:tcW w:w="3811" w:type="dxa"/>
            <w:hideMark/>
          </w:tcPr>
          <w:p w14:paraId="1E79EC8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Lt2.1: Temporary floodplain lakes</w:t>
            </w:r>
          </w:p>
        </w:tc>
        <w:tc>
          <w:tcPr>
            <w:tcW w:w="1819" w:type="dxa"/>
            <w:hideMark/>
          </w:tcPr>
          <w:p w14:paraId="4674B364"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0612D8D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1C14D3C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121F7D" w:rsidRPr="00924476" w14:paraId="2CF28719" w14:textId="77777777" w:rsidTr="00ED69E9">
        <w:tc>
          <w:tcPr>
            <w:cnfStyle w:val="001000000000" w:firstRow="0" w:lastRow="0" w:firstColumn="1" w:lastColumn="0" w:oddVBand="0" w:evenVBand="0" w:oddHBand="0" w:evenHBand="0" w:firstRowFirstColumn="0" w:firstRowLastColumn="0" w:lastRowFirstColumn="0" w:lastRowLastColumn="0"/>
            <w:tcW w:w="13433" w:type="dxa"/>
            <w:gridSpan w:val="6"/>
            <w:hideMark/>
          </w:tcPr>
          <w:p w14:paraId="3E6B1432" w14:textId="7E3C60F1" w:rsidR="00121F7D" w:rsidRPr="00834045" w:rsidRDefault="00121F7D" w:rsidP="007163E8">
            <w:pPr>
              <w:spacing w:before="0" w:after="0"/>
              <w:rPr>
                <w:sz w:val="18"/>
                <w:szCs w:val="18"/>
              </w:rPr>
            </w:pPr>
            <w:r w:rsidRPr="00834045">
              <w:rPr>
                <w:color w:val="FFFFFF" w:themeColor="background1"/>
                <w:sz w:val="18"/>
                <w:szCs w:val="18"/>
              </w:rPr>
              <w:t>ZONE 4</w:t>
            </w:r>
          </w:p>
        </w:tc>
      </w:tr>
      <w:tr w:rsidR="007163E8" w:rsidRPr="00924476" w14:paraId="53F3D1E2" w14:textId="77777777" w:rsidTr="00121F7D">
        <w:trPr>
          <w:trHeight w:val="56"/>
        </w:trPr>
        <w:tc>
          <w:tcPr>
            <w:cnfStyle w:val="001000000000" w:firstRow="0" w:lastRow="0" w:firstColumn="1" w:lastColumn="0" w:oddVBand="0" w:evenVBand="0" w:oddHBand="0" w:evenHBand="0" w:firstRowFirstColumn="0" w:firstRowLastColumn="0" w:lastRowFirstColumn="0" w:lastRowLastColumn="0"/>
            <w:tcW w:w="2142" w:type="dxa"/>
            <w:hideMark/>
          </w:tcPr>
          <w:p w14:paraId="6F35A81D"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Tom's Lake (TL)</w:t>
            </w:r>
          </w:p>
        </w:tc>
        <w:tc>
          <w:tcPr>
            <w:tcW w:w="2259" w:type="dxa"/>
            <w:hideMark/>
          </w:tcPr>
          <w:p w14:paraId="787F5F2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distributary channel</w:t>
            </w:r>
          </w:p>
        </w:tc>
        <w:tc>
          <w:tcPr>
            <w:tcW w:w="3811" w:type="dxa"/>
            <w:hideMark/>
          </w:tcPr>
          <w:p w14:paraId="4972A73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Pt1.2.1 Intermittent black box floodplain swamp</w:t>
            </w:r>
          </w:p>
        </w:tc>
        <w:tc>
          <w:tcPr>
            <w:tcW w:w="1819" w:type="dxa"/>
            <w:hideMark/>
          </w:tcPr>
          <w:p w14:paraId="4E851A6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Black box/river cooba/lignum</w:t>
            </w:r>
          </w:p>
        </w:tc>
        <w:tc>
          <w:tcPr>
            <w:tcW w:w="1701" w:type="dxa"/>
            <w:hideMark/>
          </w:tcPr>
          <w:p w14:paraId="6351E6A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580BB38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00BECA61" w14:textId="77777777" w:rsidTr="00121F7D">
        <w:tc>
          <w:tcPr>
            <w:cnfStyle w:val="001000000000" w:firstRow="0" w:lastRow="0" w:firstColumn="1" w:lastColumn="0" w:oddVBand="0" w:evenVBand="0" w:oddHBand="0" w:evenHBand="0" w:firstRowFirstColumn="0" w:firstRowLastColumn="0" w:lastRowFirstColumn="0" w:lastRowLastColumn="0"/>
            <w:tcW w:w="2142" w:type="dxa"/>
            <w:vMerge w:val="restart"/>
            <w:hideMark/>
          </w:tcPr>
          <w:p w14:paraId="4BC7A4A4"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Tarwong (LT)</w:t>
            </w:r>
          </w:p>
        </w:tc>
        <w:tc>
          <w:tcPr>
            <w:tcW w:w="2259" w:type="dxa"/>
            <w:vMerge w:val="restart"/>
            <w:hideMark/>
          </w:tcPr>
          <w:p w14:paraId="450403B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wetland</w:t>
            </w:r>
          </w:p>
          <w:p w14:paraId="4610538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Channel mound wetland</w:t>
            </w:r>
          </w:p>
        </w:tc>
        <w:tc>
          <w:tcPr>
            <w:tcW w:w="3811" w:type="dxa"/>
            <w:hideMark/>
          </w:tcPr>
          <w:p w14:paraId="7B617B7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Pt1.2.1 Intermittent black box floodplain swamp</w:t>
            </w:r>
          </w:p>
        </w:tc>
        <w:tc>
          <w:tcPr>
            <w:tcW w:w="1819" w:type="dxa"/>
            <w:hideMark/>
          </w:tcPr>
          <w:p w14:paraId="65CB90F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Black box/river cooba/lignum</w:t>
            </w:r>
          </w:p>
        </w:tc>
        <w:tc>
          <w:tcPr>
            <w:tcW w:w="1701" w:type="dxa"/>
            <w:hideMark/>
          </w:tcPr>
          <w:p w14:paraId="4D85989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193AD30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0</w:t>
            </w:r>
          </w:p>
        </w:tc>
      </w:tr>
      <w:tr w:rsidR="007163E8" w:rsidRPr="00924476" w14:paraId="769F33EF" w14:textId="77777777" w:rsidTr="00121F7D">
        <w:tc>
          <w:tcPr>
            <w:cnfStyle w:val="001000000000" w:firstRow="0" w:lastRow="0" w:firstColumn="1" w:lastColumn="0" w:oddVBand="0" w:evenVBand="0" w:oddHBand="0" w:evenHBand="0" w:firstRowFirstColumn="0" w:firstRowLastColumn="0" w:lastRowFirstColumn="0" w:lastRowLastColumn="0"/>
            <w:tcW w:w="2142" w:type="dxa"/>
            <w:vMerge/>
          </w:tcPr>
          <w:p w14:paraId="32669101" w14:textId="77777777" w:rsidR="007163E8" w:rsidRPr="00834045" w:rsidRDefault="007163E8" w:rsidP="007163E8">
            <w:pPr>
              <w:spacing w:before="0" w:after="0"/>
              <w:rPr>
                <w:b w:val="0"/>
                <w:bCs w:val="0"/>
                <w:color w:val="FFFFFF" w:themeColor="background1"/>
                <w:sz w:val="18"/>
                <w:szCs w:val="18"/>
              </w:rPr>
            </w:pPr>
          </w:p>
        </w:tc>
        <w:tc>
          <w:tcPr>
            <w:tcW w:w="2259" w:type="dxa"/>
            <w:vMerge/>
          </w:tcPr>
          <w:p w14:paraId="23D59BD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3811" w:type="dxa"/>
            <w:hideMark/>
          </w:tcPr>
          <w:p w14:paraId="54C79F1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Pt1.1.1: Intermittent River red gum floodplain swamp</w:t>
            </w:r>
          </w:p>
        </w:tc>
        <w:tc>
          <w:tcPr>
            <w:tcW w:w="1819" w:type="dxa"/>
            <w:hideMark/>
          </w:tcPr>
          <w:p w14:paraId="092E343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River red gum</w:t>
            </w:r>
          </w:p>
        </w:tc>
        <w:tc>
          <w:tcPr>
            <w:tcW w:w="1701" w:type="dxa"/>
            <w:hideMark/>
          </w:tcPr>
          <w:p w14:paraId="4C960CD4"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3376FB9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r w:rsidR="00121F7D" w:rsidRPr="00924476" w14:paraId="2D4A2D72" w14:textId="77777777" w:rsidTr="00ED69E9">
        <w:tc>
          <w:tcPr>
            <w:cnfStyle w:val="001000000000" w:firstRow="0" w:lastRow="0" w:firstColumn="1" w:lastColumn="0" w:oddVBand="0" w:evenVBand="0" w:oddHBand="0" w:evenHBand="0" w:firstRowFirstColumn="0" w:firstRowLastColumn="0" w:lastRowFirstColumn="0" w:lastRowLastColumn="0"/>
            <w:tcW w:w="13433" w:type="dxa"/>
            <w:gridSpan w:val="6"/>
            <w:hideMark/>
          </w:tcPr>
          <w:p w14:paraId="1C66C2C1" w14:textId="232ADFB2" w:rsidR="00121F7D" w:rsidRPr="00834045" w:rsidRDefault="00121F7D" w:rsidP="007163E8">
            <w:pPr>
              <w:spacing w:before="0" w:after="0"/>
              <w:rPr>
                <w:sz w:val="18"/>
                <w:szCs w:val="18"/>
              </w:rPr>
            </w:pPr>
            <w:r w:rsidRPr="00834045">
              <w:rPr>
                <w:color w:val="FFFFFF" w:themeColor="background1"/>
                <w:sz w:val="18"/>
                <w:szCs w:val="18"/>
              </w:rPr>
              <w:t>ZONE 5</w:t>
            </w:r>
          </w:p>
        </w:tc>
      </w:tr>
      <w:tr w:rsidR="007163E8" w:rsidRPr="00924476" w14:paraId="1CA6C04A" w14:textId="77777777" w:rsidTr="00121F7D">
        <w:tc>
          <w:tcPr>
            <w:cnfStyle w:val="001000000000" w:firstRow="0" w:lastRow="0" w:firstColumn="1" w:lastColumn="0" w:oddVBand="0" w:evenVBand="0" w:oddHBand="0" w:evenHBand="0" w:firstRowFirstColumn="0" w:firstRowLastColumn="0" w:lastRowFirstColumn="0" w:lastRowLastColumn="0"/>
            <w:tcW w:w="2142" w:type="dxa"/>
            <w:hideMark/>
          </w:tcPr>
          <w:p w14:paraId="11BE4542"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Booligal (BO)</w:t>
            </w:r>
          </w:p>
        </w:tc>
        <w:tc>
          <w:tcPr>
            <w:tcW w:w="2259" w:type="dxa"/>
            <w:hideMark/>
          </w:tcPr>
          <w:p w14:paraId="4B73BC7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Floodplain distributary channel</w:t>
            </w:r>
          </w:p>
        </w:tc>
        <w:tc>
          <w:tcPr>
            <w:tcW w:w="3811" w:type="dxa"/>
            <w:hideMark/>
          </w:tcPr>
          <w:p w14:paraId="3211B94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Pt1.2.1 Intermittent black box floodplain swamp</w:t>
            </w:r>
          </w:p>
        </w:tc>
        <w:tc>
          <w:tcPr>
            <w:tcW w:w="1819" w:type="dxa"/>
            <w:hideMark/>
          </w:tcPr>
          <w:p w14:paraId="6CFDE4C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Black box/river cooba/lignum</w:t>
            </w:r>
          </w:p>
        </w:tc>
        <w:tc>
          <w:tcPr>
            <w:tcW w:w="1701" w:type="dxa"/>
            <w:hideMark/>
          </w:tcPr>
          <w:p w14:paraId="633DCC01"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c>
          <w:tcPr>
            <w:tcW w:w="1701" w:type="dxa"/>
            <w:hideMark/>
          </w:tcPr>
          <w:p w14:paraId="54C820F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2</w:t>
            </w:r>
          </w:p>
        </w:tc>
      </w:tr>
    </w:tbl>
    <w:p w14:paraId="442B8EB4" w14:textId="77777777" w:rsidR="007163E8" w:rsidRDefault="007163E8" w:rsidP="007163E8">
      <w:pPr>
        <w:spacing w:before="0" w:after="0"/>
      </w:pPr>
      <w:bookmarkStart w:id="540" w:name="_Ref460413302"/>
      <w:bookmarkStart w:id="541" w:name="_Ref460407667"/>
      <w:bookmarkStart w:id="542" w:name="_Ref457988687"/>
    </w:p>
    <w:p w14:paraId="03C218C5" w14:textId="77777777" w:rsidR="007163E8" w:rsidRDefault="007163E8" w:rsidP="007163E8">
      <w:pPr>
        <w:spacing w:before="0" w:after="0"/>
      </w:pPr>
      <w:r w:rsidRPr="00924476">
        <w:br w:type="page"/>
      </w:r>
      <w:bookmarkEnd w:id="540"/>
    </w:p>
    <w:p w14:paraId="1CF41DD8" w14:textId="316D8992" w:rsidR="00682B8E" w:rsidRDefault="007163E8" w:rsidP="007163E8">
      <w:pPr>
        <w:pStyle w:val="Caption"/>
      </w:pPr>
      <w:bookmarkStart w:id="543" w:name="_Ref465431525"/>
      <w:bookmarkStart w:id="544" w:name="_Toc491259451"/>
      <w:bookmarkStart w:id="545" w:name="_Toc31985694"/>
      <w:bookmarkStart w:id="546" w:name="_Toc498514501"/>
      <w:bookmarkStart w:id="547" w:name="_Toc4574927"/>
      <w:r w:rsidRPr="00834045">
        <w:t xml:space="preserve">Table </w:t>
      </w:r>
      <w:r>
        <w:rPr>
          <w:noProof/>
        </w:rPr>
        <w:fldChar w:fldCharType="begin"/>
      </w:r>
      <w:r>
        <w:rPr>
          <w:noProof/>
        </w:rPr>
        <w:instrText xml:space="preserve"> SEQ Table \* ARABIC </w:instrText>
      </w:r>
      <w:r>
        <w:rPr>
          <w:noProof/>
        </w:rPr>
        <w:fldChar w:fldCharType="separate"/>
      </w:r>
      <w:r w:rsidR="007F7607">
        <w:rPr>
          <w:noProof/>
        </w:rPr>
        <w:t>27</w:t>
      </w:r>
      <w:r>
        <w:rPr>
          <w:noProof/>
        </w:rPr>
        <w:fldChar w:fldCharType="end"/>
      </w:r>
      <w:bookmarkEnd w:id="543"/>
      <w:r w:rsidRPr="00834045">
        <w:t>. Wetland sampling dates and observations 201</w:t>
      </w:r>
      <w:r>
        <w:t>8</w:t>
      </w:r>
      <w:r w:rsidRPr="00834045">
        <w:t>-1</w:t>
      </w:r>
      <w:r>
        <w:t>9</w:t>
      </w:r>
      <w:r w:rsidRPr="00834045">
        <w:t>.</w:t>
      </w:r>
      <w:bookmarkEnd w:id="544"/>
      <w:bookmarkEnd w:id="545"/>
    </w:p>
    <w:p w14:paraId="483CFB28" w14:textId="230BFE49" w:rsidR="007163E8" w:rsidRPr="00834045" w:rsidRDefault="007163E8" w:rsidP="008F511C">
      <w:pPr>
        <w:pStyle w:val="Caption"/>
        <w:spacing w:before="40" w:after="40"/>
      </w:pPr>
      <w:r w:rsidRPr="00834045">
        <w:t>Watering categories correspond to the historical watering of the sites (see</w:t>
      </w:r>
      <w:bookmarkEnd w:id="546"/>
      <w:r w:rsidRPr="00834045">
        <w:t xml:space="preserve"> </w:t>
      </w:r>
      <w:r w:rsidRPr="00834045">
        <w:fldChar w:fldCharType="begin"/>
      </w:r>
      <w:r w:rsidRPr="00834045">
        <w:instrText xml:space="preserve"> REF _Ref465070871 \h  \* MERGEFORMAT </w:instrText>
      </w:r>
      <w:r w:rsidRPr="00834045">
        <w:fldChar w:fldCharType="separate"/>
      </w:r>
      <w:r w:rsidR="007F7607" w:rsidRPr="0094556C">
        <w:t xml:space="preserve">Table </w:t>
      </w:r>
      <w:r w:rsidR="007F7607">
        <w:t>28</w:t>
      </w:r>
      <w:r w:rsidRPr="00834045">
        <w:fldChar w:fldCharType="end"/>
      </w:r>
      <w:r w:rsidRPr="00834045">
        <w:t>)</w:t>
      </w:r>
      <w:r>
        <w:t>.</w:t>
      </w:r>
      <w:bookmarkEnd w:id="547"/>
      <w:r>
        <w:t xml:space="preserve"> </w:t>
      </w:r>
    </w:p>
    <w:bookmarkEnd w:id="541"/>
    <w:bookmarkEnd w:id="542"/>
    <w:tbl>
      <w:tblPr>
        <w:tblStyle w:val="MediumGrid3-Accent3"/>
        <w:tblW w:w="14360" w:type="dxa"/>
        <w:tblLayout w:type="fixed"/>
        <w:tblLook w:val="04A0" w:firstRow="1" w:lastRow="0" w:firstColumn="1" w:lastColumn="0" w:noHBand="0" w:noVBand="1"/>
      </w:tblPr>
      <w:tblGrid>
        <w:gridCol w:w="2190"/>
        <w:gridCol w:w="944"/>
        <w:gridCol w:w="945"/>
        <w:gridCol w:w="945"/>
        <w:gridCol w:w="945"/>
        <w:gridCol w:w="3544"/>
        <w:gridCol w:w="2894"/>
        <w:gridCol w:w="967"/>
        <w:gridCol w:w="986"/>
      </w:tblGrid>
      <w:tr w:rsidR="007163E8" w:rsidRPr="00834045" w14:paraId="4D32788F" w14:textId="77777777" w:rsidTr="008F511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90" w:type="dxa"/>
            <w:vMerge w:val="restart"/>
            <w:tcBorders>
              <w:bottom w:val="single" w:sz="8" w:space="0" w:color="FFFFFF"/>
            </w:tcBorders>
            <w:hideMark/>
          </w:tcPr>
          <w:p w14:paraId="667C1335" w14:textId="77777777" w:rsidR="007163E8" w:rsidRPr="00834045" w:rsidRDefault="007163E8" w:rsidP="007163E8">
            <w:pPr>
              <w:spacing w:before="0" w:after="0"/>
              <w:rPr>
                <w:b w:val="0"/>
                <w:bCs w:val="0"/>
                <w:color w:val="FFFFFF" w:themeColor="background1"/>
                <w:sz w:val="18"/>
                <w:szCs w:val="18"/>
              </w:rPr>
            </w:pPr>
          </w:p>
        </w:tc>
        <w:tc>
          <w:tcPr>
            <w:tcW w:w="3779" w:type="dxa"/>
            <w:gridSpan w:val="4"/>
            <w:tcBorders>
              <w:bottom w:val="single" w:sz="8" w:space="0" w:color="FFFFFF"/>
            </w:tcBorders>
            <w:shd w:val="clear" w:color="auto" w:fill="9BBB59" w:themeFill="accent3"/>
            <w:hideMark/>
          </w:tcPr>
          <w:p w14:paraId="40F9C4C0"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OBSERVATION</w:t>
            </w:r>
            <w:r>
              <w:rPr>
                <w:color w:val="FFFFFF" w:themeColor="background1"/>
                <w:sz w:val="18"/>
                <w:szCs w:val="18"/>
              </w:rPr>
              <w:t xml:space="preserve"> (inundation averaged across plots/transects at each site)</w:t>
            </w:r>
          </w:p>
        </w:tc>
        <w:tc>
          <w:tcPr>
            <w:tcW w:w="6438" w:type="dxa"/>
            <w:gridSpan w:val="2"/>
            <w:vMerge w:val="restart"/>
            <w:hideMark/>
          </w:tcPr>
          <w:p w14:paraId="48FDD430" w14:textId="77777777"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NOTES</w:t>
            </w:r>
            <w:r>
              <w:rPr>
                <w:color w:val="FFFFFF" w:themeColor="background1"/>
                <w:sz w:val="18"/>
                <w:szCs w:val="18"/>
              </w:rPr>
              <w:t xml:space="preserve"> (plot and transect specific observations)</w:t>
            </w:r>
          </w:p>
        </w:tc>
        <w:tc>
          <w:tcPr>
            <w:tcW w:w="1953" w:type="dxa"/>
            <w:gridSpan w:val="2"/>
            <w:vMerge w:val="restart"/>
            <w:hideMark/>
          </w:tcPr>
          <w:p w14:paraId="4CC2187E" w14:textId="32E97B79" w:rsidR="007163E8" w:rsidRPr="00834045" w:rsidRDefault="007163E8" w:rsidP="007163E8">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szCs w:val="18"/>
              </w:rPr>
            </w:pPr>
            <w:r w:rsidRPr="00834045">
              <w:rPr>
                <w:color w:val="FFFFFF" w:themeColor="background1"/>
                <w:sz w:val="18"/>
                <w:szCs w:val="18"/>
              </w:rPr>
              <w:t>WATERING HISTORY</w:t>
            </w:r>
            <w:r w:rsidRPr="00834045">
              <w:rPr>
                <w:color w:val="FFFFFF" w:themeColor="background1"/>
                <w:sz w:val="18"/>
                <w:szCs w:val="18"/>
              </w:rPr>
              <w:br/>
              <w:t xml:space="preserve">(see </w:t>
            </w:r>
            <w:r w:rsidRPr="00834045">
              <w:rPr>
                <w:color w:val="FFFFFF" w:themeColor="background1"/>
                <w:sz w:val="18"/>
                <w:szCs w:val="18"/>
              </w:rPr>
              <w:fldChar w:fldCharType="begin"/>
            </w:r>
            <w:r w:rsidRPr="00834045">
              <w:rPr>
                <w:color w:val="FFFFFF" w:themeColor="background1"/>
                <w:sz w:val="18"/>
                <w:szCs w:val="18"/>
              </w:rPr>
              <w:instrText xml:space="preserve"> REF _Ref465070871 \h  \* MERGEFORMAT </w:instrText>
            </w:r>
            <w:r w:rsidRPr="00834045">
              <w:rPr>
                <w:color w:val="FFFFFF" w:themeColor="background1"/>
                <w:sz w:val="18"/>
                <w:szCs w:val="18"/>
              </w:rPr>
            </w:r>
            <w:r w:rsidRPr="00834045">
              <w:rPr>
                <w:color w:val="FFFFFF" w:themeColor="background1"/>
                <w:sz w:val="18"/>
                <w:szCs w:val="18"/>
              </w:rPr>
              <w:fldChar w:fldCharType="separate"/>
            </w:r>
            <w:r w:rsidR="007F7607" w:rsidRPr="007F7607">
              <w:rPr>
                <w:color w:val="FFFFFF" w:themeColor="background1"/>
                <w:sz w:val="18"/>
                <w:szCs w:val="18"/>
              </w:rPr>
              <w:t>Table 28</w:t>
            </w:r>
            <w:r w:rsidRPr="00834045">
              <w:rPr>
                <w:color w:val="FFFFFF" w:themeColor="background1"/>
                <w:sz w:val="18"/>
                <w:szCs w:val="18"/>
              </w:rPr>
              <w:fldChar w:fldCharType="end"/>
            </w:r>
            <w:r w:rsidRPr="00834045">
              <w:rPr>
                <w:color w:val="FFFFFF" w:themeColor="background1"/>
                <w:sz w:val="18"/>
                <w:szCs w:val="18"/>
              </w:rPr>
              <w:t>)</w:t>
            </w:r>
          </w:p>
        </w:tc>
      </w:tr>
      <w:tr w:rsidR="007163E8" w:rsidRPr="00834045" w14:paraId="7827408D" w14:textId="77777777" w:rsidTr="008F511C">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190" w:type="dxa"/>
            <w:vMerge/>
            <w:tcBorders>
              <w:top w:val="single" w:sz="24" w:space="0" w:color="FFFFFF"/>
              <w:bottom w:val="single" w:sz="8" w:space="0" w:color="FFFFFF"/>
            </w:tcBorders>
            <w:hideMark/>
          </w:tcPr>
          <w:p w14:paraId="2447D72C" w14:textId="77777777" w:rsidR="007163E8" w:rsidRPr="00834045" w:rsidRDefault="007163E8" w:rsidP="007163E8">
            <w:pPr>
              <w:spacing w:before="0" w:after="0"/>
              <w:rPr>
                <w:b w:val="0"/>
                <w:bCs w:val="0"/>
                <w:color w:val="FFFFFF" w:themeColor="background1"/>
                <w:sz w:val="18"/>
                <w:szCs w:val="18"/>
              </w:rPr>
            </w:pPr>
          </w:p>
        </w:tc>
        <w:tc>
          <w:tcPr>
            <w:tcW w:w="1889" w:type="dxa"/>
            <w:gridSpan w:val="2"/>
            <w:shd w:val="clear" w:color="auto" w:fill="9BBB59" w:themeFill="accent3"/>
            <w:hideMark/>
          </w:tcPr>
          <w:p w14:paraId="731688ED" w14:textId="77777777" w:rsidR="007163E8" w:rsidRPr="0031364D"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31364D">
              <w:rPr>
                <w:b/>
                <w:bCs/>
                <w:color w:val="FFFFFF" w:themeColor="background1"/>
                <w:sz w:val="18"/>
                <w:szCs w:val="18"/>
              </w:rPr>
              <w:t xml:space="preserve">Spring 2018 </w:t>
            </w:r>
          </w:p>
        </w:tc>
        <w:tc>
          <w:tcPr>
            <w:tcW w:w="1890" w:type="dxa"/>
            <w:gridSpan w:val="2"/>
            <w:shd w:val="clear" w:color="auto" w:fill="9BBB59" w:themeFill="accent3"/>
            <w:hideMark/>
          </w:tcPr>
          <w:p w14:paraId="428FD30D" w14:textId="77777777" w:rsidR="007163E8" w:rsidRPr="0031364D"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31364D">
              <w:rPr>
                <w:b/>
                <w:bCs/>
                <w:color w:val="FFFFFF" w:themeColor="background1"/>
                <w:sz w:val="18"/>
                <w:szCs w:val="18"/>
              </w:rPr>
              <w:t>Autumn 2019</w:t>
            </w:r>
          </w:p>
        </w:tc>
        <w:tc>
          <w:tcPr>
            <w:tcW w:w="6438" w:type="dxa"/>
            <w:gridSpan w:val="2"/>
            <w:vMerge/>
            <w:hideMark/>
          </w:tcPr>
          <w:p w14:paraId="22A06361"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
        </w:tc>
        <w:tc>
          <w:tcPr>
            <w:tcW w:w="1953" w:type="dxa"/>
            <w:gridSpan w:val="2"/>
            <w:vMerge/>
            <w:hideMark/>
          </w:tcPr>
          <w:p w14:paraId="7E1148EA"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
        </w:tc>
      </w:tr>
      <w:tr w:rsidR="007163E8" w:rsidRPr="00834045" w14:paraId="2FF8C8DD" w14:textId="77777777" w:rsidTr="008F511C">
        <w:trPr>
          <w:trHeight w:val="255"/>
        </w:trPr>
        <w:tc>
          <w:tcPr>
            <w:cnfStyle w:val="001000000000" w:firstRow="0" w:lastRow="0" w:firstColumn="1" w:lastColumn="0" w:oddVBand="0" w:evenVBand="0" w:oddHBand="0" w:evenHBand="0" w:firstRowFirstColumn="0" w:firstRowLastColumn="0" w:lastRowFirstColumn="0" w:lastRowLastColumn="0"/>
            <w:tcW w:w="2190" w:type="dxa"/>
            <w:tcBorders>
              <w:top w:val="single" w:sz="8" w:space="0" w:color="FFFFFF"/>
            </w:tcBorders>
            <w:hideMark/>
          </w:tcPr>
          <w:p w14:paraId="14E451B1"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SITE (CODE)</w:t>
            </w:r>
          </w:p>
        </w:tc>
        <w:tc>
          <w:tcPr>
            <w:tcW w:w="944" w:type="dxa"/>
            <w:hideMark/>
          </w:tcPr>
          <w:p w14:paraId="161EBF81"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Transect</w:t>
            </w:r>
          </w:p>
        </w:tc>
        <w:tc>
          <w:tcPr>
            <w:tcW w:w="945" w:type="dxa"/>
            <w:hideMark/>
          </w:tcPr>
          <w:p w14:paraId="34A5874A"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Plot</w:t>
            </w:r>
          </w:p>
        </w:tc>
        <w:tc>
          <w:tcPr>
            <w:tcW w:w="945" w:type="dxa"/>
            <w:hideMark/>
          </w:tcPr>
          <w:p w14:paraId="4D43EA0A"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Transect</w:t>
            </w:r>
          </w:p>
        </w:tc>
        <w:tc>
          <w:tcPr>
            <w:tcW w:w="945" w:type="dxa"/>
            <w:hideMark/>
          </w:tcPr>
          <w:p w14:paraId="41765866"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Plot</w:t>
            </w:r>
          </w:p>
        </w:tc>
        <w:tc>
          <w:tcPr>
            <w:tcW w:w="3544" w:type="dxa"/>
            <w:hideMark/>
          </w:tcPr>
          <w:p w14:paraId="742A27EE"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Transect</w:t>
            </w:r>
          </w:p>
        </w:tc>
        <w:tc>
          <w:tcPr>
            <w:tcW w:w="2894" w:type="dxa"/>
            <w:hideMark/>
          </w:tcPr>
          <w:p w14:paraId="104ABE5D"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Plot</w:t>
            </w:r>
          </w:p>
        </w:tc>
        <w:tc>
          <w:tcPr>
            <w:tcW w:w="967" w:type="dxa"/>
            <w:hideMark/>
          </w:tcPr>
          <w:p w14:paraId="1E75B4A7"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Transect</w:t>
            </w:r>
          </w:p>
        </w:tc>
        <w:tc>
          <w:tcPr>
            <w:tcW w:w="986" w:type="dxa"/>
            <w:hideMark/>
          </w:tcPr>
          <w:p w14:paraId="24A02D5B" w14:textId="77777777" w:rsidR="007163E8" w:rsidRPr="00121F7D"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121F7D">
              <w:rPr>
                <w:sz w:val="18"/>
                <w:szCs w:val="18"/>
              </w:rPr>
              <w:t>Plot</w:t>
            </w:r>
          </w:p>
        </w:tc>
      </w:tr>
      <w:tr w:rsidR="007163E8" w:rsidRPr="00834045" w14:paraId="56DD537C"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763E80BA"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ZONE 1</w:t>
            </w:r>
          </w:p>
        </w:tc>
      </w:tr>
      <w:tr w:rsidR="007163E8" w:rsidRPr="00834045" w14:paraId="7C25B667"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03D895E4"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Hazelwood (HW)</w:t>
            </w:r>
          </w:p>
        </w:tc>
        <w:tc>
          <w:tcPr>
            <w:tcW w:w="944" w:type="dxa"/>
            <w:hideMark/>
          </w:tcPr>
          <w:p w14:paraId="26FAF72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04E7D31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4C9A810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5E55020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7E3B6C2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48B11B6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4D75861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c>
          <w:tcPr>
            <w:tcW w:w="986" w:type="dxa"/>
          </w:tcPr>
          <w:p w14:paraId="30A6700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7163E8" w:rsidRPr="00834045" w14:paraId="06DF1A05"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4DD38E25"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Whealbah (WB)</w:t>
            </w:r>
          </w:p>
        </w:tc>
        <w:tc>
          <w:tcPr>
            <w:tcW w:w="944" w:type="dxa"/>
            <w:hideMark/>
          </w:tcPr>
          <w:p w14:paraId="4800FDAE"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6910C6B0"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43A33CE8"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68646A7E"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3544" w:type="dxa"/>
            <w:hideMark/>
          </w:tcPr>
          <w:p w14:paraId="6F565849"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2894" w:type="dxa"/>
            <w:hideMark/>
          </w:tcPr>
          <w:p w14:paraId="5E85D3AA"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67" w:type="dxa"/>
          </w:tcPr>
          <w:p w14:paraId="4F16175E"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B</w:t>
            </w:r>
          </w:p>
        </w:tc>
        <w:tc>
          <w:tcPr>
            <w:tcW w:w="986" w:type="dxa"/>
          </w:tcPr>
          <w:p w14:paraId="1D8B5F98"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A</w:t>
            </w:r>
          </w:p>
        </w:tc>
      </w:tr>
      <w:tr w:rsidR="007163E8" w:rsidRPr="00834045" w14:paraId="5F9B55C0"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37F5F674"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Moon Moon (MM)</w:t>
            </w:r>
          </w:p>
        </w:tc>
        <w:tc>
          <w:tcPr>
            <w:tcW w:w="944" w:type="dxa"/>
            <w:hideMark/>
          </w:tcPr>
          <w:p w14:paraId="71FC824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7F1FACB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7D320CA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041C154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4467DCB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5F8C2A1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1F3839C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c>
          <w:tcPr>
            <w:tcW w:w="986" w:type="dxa"/>
          </w:tcPr>
          <w:p w14:paraId="4B0D7DA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r>
      <w:tr w:rsidR="007163E8" w:rsidRPr="00834045" w14:paraId="50EC0E84"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653582E9" w14:textId="77777777" w:rsidR="007163E8" w:rsidRPr="00834045" w:rsidRDefault="007163E8" w:rsidP="007163E8">
            <w:pPr>
              <w:spacing w:before="0" w:after="0"/>
              <w:rPr>
                <w:b w:val="0"/>
                <w:color w:val="FFFFFF" w:themeColor="background1"/>
                <w:sz w:val="18"/>
                <w:szCs w:val="18"/>
              </w:rPr>
            </w:pPr>
            <w:r w:rsidRPr="00834045">
              <w:rPr>
                <w:color w:val="FFFFFF" w:themeColor="background1"/>
                <w:sz w:val="18"/>
                <w:szCs w:val="18"/>
              </w:rPr>
              <w:t>ZONE 2</w:t>
            </w:r>
          </w:p>
        </w:tc>
      </w:tr>
      <w:tr w:rsidR="007163E8" w:rsidRPr="00834045" w14:paraId="128AC703" w14:textId="77777777" w:rsidTr="008F511C">
        <w:trPr>
          <w:trHeight w:val="262"/>
        </w:trPr>
        <w:tc>
          <w:tcPr>
            <w:cnfStyle w:val="001000000000" w:firstRow="0" w:lastRow="0" w:firstColumn="1" w:lastColumn="0" w:oddVBand="0" w:evenVBand="0" w:oddHBand="0" w:evenHBand="0" w:firstRowFirstColumn="0" w:firstRowLastColumn="0" w:lastRowFirstColumn="0" w:lastRowLastColumn="0"/>
            <w:tcW w:w="2190" w:type="dxa"/>
            <w:hideMark/>
          </w:tcPr>
          <w:p w14:paraId="0AF5D10C"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Bullogal (LBU)</w:t>
            </w:r>
          </w:p>
        </w:tc>
        <w:tc>
          <w:tcPr>
            <w:tcW w:w="944" w:type="dxa"/>
            <w:hideMark/>
          </w:tcPr>
          <w:p w14:paraId="13616CD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dry</w:t>
            </w:r>
          </w:p>
        </w:tc>
        <w:tc>
          <w:tcPr>
            <w:tcW w:w="945" w:type="dxa"/>
            <w:hideMark/>
          </w:tcPr>
          <w:p w14:paraId="1B991F6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5C56FEE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107D8BC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3B68436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2894" w:type="dxa"/>
            <w:hideMark/>
          </w:tcPr>
          <w:p w14:paraId="29EEDF2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4BF2892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c>
          <w:tcPr>
            <w:tcW w:w="986" w:type="dxa"/>
          </w:tcPr>
          <w:p w14:paraId="328424F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7163E8" w:rsidRPr="00834045" w14:paraId="78C02727"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7101892A"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The Ville (TV): Mixed</w:t>
            </w:r>
          </w:p>
        </w:tc>
        <w:tc>
          <w:tcPr>
            <w:tcW w:w="944" w:type="dxa"/>
            <w:hideMark/>
          </w:tcPr>
          <w:p w14:paraId="62F8109C"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45" w:type="dxa"/>
            <w:hideMark/>
          </w:tcPr>
          <w:p w14:paraId="61A2105B"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215A4B2D"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45" w:type="dxa"/>
            <w:hideMark/>
          </w:tcPr>
          <w:p w14:paraId="2002C834"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3544" w:type="dxa"/>
            <w:hideMark/>
          </w:tcPr>
          <w:p w14:paraId="25C737FA"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2894" w:type="dxa"/>
            <w:hideMark/>
          </w:tcPr>
          <w:p w14:paraId="66BB376D"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67" w:type="dxa"/>
          </w:tcPr>
          <w:p w14:paraId="374A46FC"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86" w:type="dxa"/>
          </w:tcPr>
          <w:p w14:paraId="37920B16"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A</w:t>
            </w:r>
          </w:p>
        </w:tc>
      </w:tr>
      <w:tr w:rsidR="007163E8" w:rsidRPr="00834045" w14:paraId="059C8F24"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7EAAED0A"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The Ville (TV): RRG</w:t>
            </w:r>
          </w:p>
        </w:tc>
        <w:tc>
          <w:tcPr>
            <w:tcW w:w="944" w:type="dxa"/>
            <w:hideMark/>
          </w:tcPr>
          <w:p w14:paraId="7E548BC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0C83F1F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3CE771D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16082E4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52E3874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7DCA48F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545E548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c>
          <w:tcPr>
            <w:tcW w:w="986" w:type="dxa"/>
          </w:tcPr>
          <w:p w14:paraId="41DE3B7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r>
      <w:tr w:rsidR="007163E8" w:rsidRPr="00834045" w14:paraId="4E17A004"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622C070E" w14:textId="77777777" w:rsidR="007163E8" w:rsidRPr="00834045" w:rsidRDefault="007163E8" w:rsidP="007163E8">
            <w:pPr>
              <w:spacing w:before="0" w:after="0"/>
              <w:rPr>
                <w:b w:val="0"/>
                <w:color w:val="FFFFFF" w:themeColor="background1"/>
                <w:sz w:val="18"/>
                <w:szCs w:val="18"/>
              </w:rPr>
            </w:pPr>
            <w:r w:rsidRPr="00834045">
              <w:rPr>
                <w:color w:val="FFFFFF" w:themeColor="background1"/>
                <w:sz w:val="18"/>
                <w:szCs w:val="18"/>
              </w:rPr>
              <w:t>ZONE 3</w:t>
            </w:r>
          </w:p>
        </w:tc>
      </w:tr>
      <w:tr w:rsidR="007163E8" w:rsidRPr="00834045" w14:paraId="0BDC098C"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7B62A3EC"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Ita (LI): BBX</w:t>
            </w:r>
          </w:p>
        </w:tc>
        <w:tc>
          <w:tcPr>
            <w:tcW w:w="944" w:type="dxa"/>
            <w:hideMark/>
          </w:tcPr>
          <w:p w14:paraId="1237993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79FD657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092B411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5B6C7FF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6C772A6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32A2D0A4"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2B2AFCF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986" w:type="dxa"/>
          </w:tcPr>
          <w:p w14:paraId="2B37845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7163E8" w:rsidRPr="00834045" w14:paraId="793971B7" w14:textId="77777777" w:rsidTr="008F51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90" w:type="dxa"/>
            <w:hideMark/>
          </w:tcPr>
          <w:p w14:paraId="1366E57A"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Ita (LI): RRG</w:t>
            </w:r>
          </w:p>
        </w:tc>
        <w:tc>
          <w:tcPr>
            <w:tcW w:w="944" w:type="dxa"/>
            <w:hideMark/>
          </w:tcPr>
          <w:p w14:paraId="6D7E33D6"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45" w:type="dxa"/>
            <w:hideMark/>
          </w:tcPr>
          <w:p w14:paraId="1D9793A1"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dry</w:t>
            </w:r>
          </w:p>
        </w:tc>
        <w:tc>
          <w:tcPr>
            <w:tcW w:w="945" w:type="dxa"/>
            <w:hideMark/>
          </w:tcPr>
          <w:p w14:paraId="5B0736C4"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45" w:type="dxa"/>
            <w:hideMark/>
          </w:tcPr>
          <w:p w14:paraId="3ECCEEA5"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3544" w:type="dxa"/>
            <w:hideMark/>
          </w:tcPr>
          <w:p w14:paraId="56EC09EE"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2894" w:type="dxa"/>
            <w:hideMark/>
          </w:tcPr>
          <w:p w14:paraId="3845CF12"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67" w:type="dxa"/>
          </w:tcPr>
          <w:p w14:paraId="6925B6AF"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86" w:type="dxa"/>
          </w:tcPr>
          <w:p w14:paraId="66DE4CE9"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A</w:t>
            </w:r>
          </w:p>
        </w:tc>
      </w:tr>
      <w:tr w:rsidR="008F511C" w:rsidRPr="00834045" w14:paraId="3183891C"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2BCC68FA" w14:textId="77777777" w:rsidR="008F511C" w:rsidRPr="00834045" w:rsidRDefault="008F511C" w:rsidP="008F511C">
            <w:pPr>
              <w:spacing w:before="0" w:after="0"/>
              <w:rPr>
                <w:b w:val="0"/>
                <w:bCs w:val="0"/>
                <w:color w:val="FFFFFF" w:themeColor="background1"/>
                <w:sz w:val="18"/>
                <w:szCs w:val="18"/>
              </w:rPr>
            </w:pPr>
            <w:r w:rsidRPr="00834045">
              <w:rPr>
                <w:color w:val="FFFFFF" w:themeColor="background1"/>
                <w:sz w:val="18"/>
                <w:szCs w:val="18"/>
              </w:rPr>
              <w:t>Clear Lake (CL)</w:t>
            </w:r>
          </w:p>
        </w:tc>
        <w:tc>
          <w:tcPr>
            <w:tcW w:w="944" w:type="dxa"/>
            <w:hideMark/>
          </w:tcPr>
          <w:p w14:paraId="5BE3FD16"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54710CA8"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0FFF76CE"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567D7448"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25E2D7E2" w14:textId="2FE4FDA2"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0A80B7E5"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071B87EA"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986" w:type="dxa"/>
          </w:tcPr>
          <w:p w14:paraId="4639C691" w14:textId="77777777" w:rsidR="008F511C" w:rsidRPr="00834045" w:rsidRDefault="008F511C" w:rsidP="008F511C">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8F511C" w:rsidRPr="00834045" w14:paraId="1CE3FA6D"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1E2FC83F" w14:textId="77777777" w:rsidR="008F511C" w:rsidRPr="00834045" w:rsidRDefault="008F511C" w:rsidP="007163E8">
            <w:pPr>
              <w:spacing w:before="0" w:after="0"/>
              <w:rPr>
                <w:b w:val="0"/>
                <w:bCs w:val="0"/>
                <w:color w:val="FFFFFF" w:themeColor="background1"/>
                <w:sz w:val="18"/>
                <w:szCs w:val="18"/>
              </w:rPr>
            </w:pPr>
            <w:r w:rsidRPr="00834045">
              <w:rPr>
                <w:color w:val="FFFFFF" w:themeColor="background1"/>
                <w:sz w:val="18"/>
                <w:szCs w:val="18"/>
              </w:rPr>
              <w:t>Nooran Lake (NL)</w:t>
            </w:r>
          </w:p>
        </w:tc>
        <w:tc>
          <w:tcPr>
            <w:tcW w:w="944" w:type="dxa"/>
            <w:hideMark/>
          </w:tcPr>
          <w:p w14:paraId="2A21E0E5"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70BD7A05"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2FFF00F0"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64D3B90C"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3544" w:type="dxa"/>
            <w:hideMark/>
          </w:tcPr>
          <w:p w14:paraId="296EF49A"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2894" w:type="dxa"/>
            <w:hideMark/>
          </w:tcPr>
          <w:p w14:paraId="20AA795C"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67" w:type="dxa"/>
          </w:tcPr>
          <w:p w14:paraId="46FE87DA"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C</w:t>
            </w:r>
          </w:p>
        </w:tc>
        <w:tc>
          <w:tcPr>
            <w:tcW w:w="986" w:type="dxa"/>
          </w:tcPr>
          <w:p w14:paraId="2DAE9056" w14:textId="77777777" w:rsidR="008F511C" w:rsidRPr="00834045" w:rsidRDefault="008F511C"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B</w:t>
            </w:r>
          </w:p>
        </w:tc>
      </w:tr>
      <w:tr w:rsidR="007163E8" w:rsidRPr="00834045" w14:paraId="5523C4A9"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710AF080"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Marrool (LM)</w:t>
            </w:r>
          </w:p>
        </w:tc>
        <w:tc>
          <w:tcPr>
            <w:tcW w:w="944" w:type="dxa"/>
            <w:hideMark/>
          </w:tcPr>
          <w:p w14:paraId="4BB9549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1FEEE28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2A74F4F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63E669B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197378D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7DEF894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697232F8"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c>
          <w:tcPr>
            <w:tcW w:w="986" w:type="dxa"/>
          </w:tcPr>
          <w:p w14:paraId="5D1A4DB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7163E8" w:rsidRPr="00834045" w14:paraId="21F4AF3E"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583C722B" w14:textId="77777777" w:rsidR="007163E8" w:rsidRPr="00834045" w:rsidRDefault="007163E8" w:rsidP="007163E8">
            <w:pPr>
              <w:spacing w:before="0" w:after="0"/>
              <w:rPr>
                <w:b w:val="0"/>
                <w:color w:val="FFFFFF" w:themeColor="background1"/>
                <w:sz w:val="18"/>
                <w:szCs w:val="18"/>
              </w:rPr>
            </w:pPr>
            <w:r w:rsidRPr="00834045">
              <w:rPr>
                <w:color w:val="FFFFFF" w:themeColor="background1"/>
                <w:sz w:val="18"/>
                <w:szCs w:val="18"/>
              </w:rPr>
              <w:t>ZONE 4</w:t>
            </w:r>
          </w:p>
        </w:tc>
      </w:tr>
      <w:tr w:rsidR="007163E8" w:rsidRPr="00834045" w14:paraId="74AADEB9"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42F3AC46"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Tom's Lake (TL)</w:t>
            </w:r>
          </w:p>
        </w:tc>
        <w:tc>
          <w:tcPr>
            <w:tcW w:w="944" w:type="dxa"/>
            <w:hideMark/>
          </w:tcPr>
          <w:p w14:paraId="1924CF9A"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343CF614"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21B91A6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45" w:type="dxa"/>
            <w:hideMark/>
          </w:tcPr>
          <w:p w14:paraId="5536EA0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36BC53F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71ED697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3BF3F26B"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986" w:type="dxa"/>
          </w:tcPr>
          <w:p w14:paraId="18A7B3D6"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r>
      <w:tr w:rsidR="007163E8" w:rsidRPr="00834045" w14:paraId="0AB1FC20"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5A2F5212"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Tarwong (LT): BBX</w:t>
            </w:r>
          </w:p>
        </w:tc>
        <w:tc>
          <w:tcPr>
            <w:tcW w:w="944" w:type="dxa"/>
            <w:hideMark/>
          </w:tcPr>
          <w:p w14:paraId="646C67E9"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45" w:type="dxa"/>
            <w:hideMark/>
          </w:tcPr>
          <w:p w14:paraId="2DDB3AA6"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945" w:type="dxa"/>
            <w:hideMark/>
          </w:tcPr>
          <w:p w14:paraId="4E65C673"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45" w:type="dxa"/>
            <w:hideMark/>
          </w:tcPr>
          <w:p w14:paraId="317B02F1"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dry</w:t>
            </w:r>
          </w:p>
        </w:tc>
        <w:tc>
          <w:tcPr>
            <w:tcW w:w="3544" w:type="dxa"/>
            <w:hideMark/>
          </w:tcPr>
          <w:p w14:paraId="572CB73C"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2894" w:type="dxa"/>
            <w:hideMark/>
          </w:tcPr>
          <w:p w14:paraId="697E50E9"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 </w:t>
            </w:r>
          </w:p>
        </w:tc>
        <w:tc>
          <w:tcPr>
            <w:tcW w:w="967" w:type="dxa"/>
          </w:tcPr>
          <w:p w14:paraId="2DF2EBDD" w14:textId="7158A54A"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p>
        </w:tc>
        <w:tc>
          <w:tcPr>
            <w:tcW w:w="986" w:type="dxa"/>
          </w:tcPr>
          <w:p w14:paraId="5B4F425E" w14:textId="77777777" w:rsidR="007163E8" w:rsidRPr="00834045" w:rsidRDefault="007163E8" w:rsidP="007163E8">
            <w:pPr>
              <w:spacing w:before="0" w:after="0"/>
              <w:cnfStyle w:val="000000100000" w:firstRow="0" w:lastRow="0" w:firstColumn="0" w:lastColumn="0" w:oddVBand="0" w:evenVBand="0" w:oddHBand="1" w:evenHBand="0" w:firstRowFirstColumn="0" w:firstRowLastColumn="0" w:lastRowFirstColumn="0" w:lastRowLastColumn="0"/>
              <w:rPr>
                <w:sz w:val="18"/>
                <w:szCs w:val="18"/>
              </w:rPr>
            </w:pPr>
            <w:r w:rsidRPr="00834045">
              <w:rPr>
                <w:sz w:val="18"/>
                <w:szCs w:val="18"/>
              </w:rPr>
              <w:t>A</w:t>
            </w:r>
          </w:p>
        </w:tc>
      </w:tr>
      <w:tr w:rsidR="007163E8" w:rsidRPr="00834045" w14:paraId="78798E17" w14:textId="77777777" w:rsidTr="008F511C">
        <w:trPr>
          <w:trHeight w:val="337"/>
        </w:trPr>
        <w:tc>
          <w:tcPr>
            <w:cnfStyle w:val="001000000000" w:firstRow="0" w:lastRow="0" w:firstColumn="1" w:lastColumn="0" w:oddVBand="0" w:evenVBand="0" w:oddHBand="0" w:evenHBand="0" w:firstRowFirstColumn="0" w:firstRowLastColumn="0" w:lastRowFirstColumn="0" w:lastRowLastColumn="0"/>
            <w:tcW w:w="2190" w:type="dxa"/>
            <w:hideMark/>
          </w:tcPr>
          <w:p w14:paraId="69220148"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Lake Tarwong (LT): RRG</w:t>
            </w:r>
          </w:p>
        </w:tc>
        <w:tc>
          <w:tcPr>
            <w:tcW w:w="944" w:type="dxa"/>
            <w:hideMark/>
          </w:tcPr>
          <w:p w14:paraId="5898270F"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dry</w:t>
            </w:r>
          </w:p>
        </w:tc>
        <w:tc>
          <w:tcPr>
            <w:tcW w:w="945" w:type="dxa"/>
            <w:hideMark/>
          </w:tcPr>
          <w:p w14:paraId="601F469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dry</w:t>
            </w:r>
          </w:p>
        </w:tc>
        <w:tc>
          <w:tcPr>
            <w:tcW w:w="945" w:type="dxa"/>
            <w:hideMark/>
          </w:tcPr>
          <w:p w14:paraId="2AE4B88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23889F97"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4B5F175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2894" w:type="dxa"/>
            <w:hideMark/>
          </w:tcPr>
          <w:p w14:paraId="1A0EE98E"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p>
        </w:tc>
        <w:tc>
          <w:tcPr>
            <w:tcW w:w="967" w:type="dxa"/>
          </w:tcPr>
          <w:p w14:paraId="49229F9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c>
          <w:tcPr>
            <w:tcW w:w="986" w:type="dxa"/>
          </w:tcPr>
          <w:p w14:paraId="50521842"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A</w:t>
            </w:r>
          </w:p>
        </w:tc>
      </w:tr>
      <w:tr w:rsidR="007163E8" w:rsidRPr="00834045" w14:paraId="263A5FB3" w14:textId="77777777" w:rsidTr="007163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6A4CFAB2" w14:textId="77777777" w:rsidR="007163E8" w:rsidRPr="00834045" w:rsidRDefault="007163E8" w:rsidP="007163E8">
            <w:pPr>
              <w:spacing w:before="0" w:after="0"/>
              <w:rPr>
                <w:b w:val="0"/>
                <w:color w:val="FFFFFF" w:themeColor="background1"/>
                <w:sz w:val="18"/>
                <w:szCs w:val="18"/>
              </w:rPr>
            </w:pPr>
            <w:r w:rsidRPr="00834045">
              <w:rPr>
                <w:color w:val="FFFFFF" w:themeColor="background1"/>
                <w:sz w:val="18"/>
                <w:szCs w:val="18"/>
              </w:rPr>
              <w:t>ZONE 5</w:t>
            </w:r>
          </w:p>
        </w:tc>
      </w:tr>
      <w:tr w:rsidR="007163E8" w:rsidRPr="00834045" w14:paraId="636D6B56" w14:textId="77777777" w:rsidTr="007163E8">
        <w:trPr>
          <w:trHeight w:val="255"/>
        </w:trPr>
        <w:tc>
          <w:tcPr>
            <w:cnfStyle w:val="001000000000" w:firstRow="0" w:lastRow="0" w:firstColumn="1" w:lastColumn="0" w:oddVBand="0" w:evenVBand="0" w:oddHBand="0" w:evenHBand="0" w:firstRowFirstColumn="0" w:firstRowLastColumn="0" w:lastRowFirstColumn="0" w:lastRowLastColumn="0"/>
            <w:tcW w:w="2190" w:type="dxa"/>
            <w:hideMark/>
          </w:tcPr>
          <w:p w14:paraId="2876121F" w14:textId="77777777" w:rsidR="007163E8" w:rsidRPr="00834045" w:rsidRDefault="007163E8" w:rsidP="007163E8">
            <w:pPr>
              <w:spacing w:before="0" w:after="0"/>
              <w:rPr>
                <w:b w:val="0"/>
                <w:bCs w:val="0"/>
                <w:color w:val="FFFFFF" w:themeColor="background1"/>
                <w:sz w:val="18"/>
                <w:szCs w:val="18"/>
              </w:rPr>
            </w:pPr>
            <w:r w:rsidRPr="00834045">
              <w:rPr>
                <w:color w:val="FFFFFF" w:themeColor="background1"/>
                <w:sz w:val="18"/>
                <w:szCs w:val="18"/>
              </w:rPr>
              <w:t>Booligal (BO)</w:t>
            </w:r>
          </w:p>
        </w:tc>
        <w:tc>
          <w:tcPr>
            <w:tcW w:w="944" w:type="dxa"/>
            <w:hideMark/>
          </w:tcPr>
          <w:p w14:paraId="54A1FCA9"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6566D19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34833A70"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945" w:type="dxa"/>
            <w:hideMark/>
          </w:tcPr>
          <w:p w14:paraId="2965B773"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dry</w:t>
            </w:r>
          </w:p>
        </w:tc>
        <w:tc>
          <w:tcPr>
            <w:tcW w:w="3544" w:type="dxa"/>
            <w:hideMark/>
          </w:tcPr>
          <w:p w14:paraId="3E3B8BA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2894" w:type="dxa"/>
            <w:hideMark/>
          </w:tcPr>
          <w:p w14:paraId="0D6A179C"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 </w:t>
            </w:r>
          </w:p>
        </w:tc>
        <w:tc>
          <w:tcPr>
            <w:tcW w:w="967" w:type="dxa"/>
          </w:tcPr>
          <w:p w14:paraId="3A187225"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c>
          <w:tcPr>
            <w:tcW w:w="986" w:type="dxa"/>
          </w:tcPr>
          <w:p w14:paraId="56DFD14D" w14:textId="77777777" w:rsidR="007163E8" w:rsidRPr="00834045" w:rsidRDefault="007163E8" w:rsidP="007163E8">
            <w:pPr>
              <w:spacing w:before="0" w:after="0"/>
              <w:cnfStyle w:val="000000000000" w:firstRow="0" w:lastRow="0" w:firstColumn="0" w:lastColumn="0" w:oddVBand="0" w:evenVBand="0" w:oddHBand="0" w:evenHBand="0" w:firstRowFirstColumn="0" w:firstRowLastColumn="0" w:lastRowFirstColumn="0" w:lastRowLastColumn="0"/>
              <w:rPr>
                <w:sz w:val="18"/>
                <w:szCs w:val="18"/>
              </w:rPr>
            </w:pPr>
            <w:r w:rsidRPr="00834045">
              <w:rPr>
                <w:sz w:val="18"/>
                <w:szCs w:val="18"/>
              </w:rPr>
              <w:t>B</w:t>
            </w:r>
          </w:p>
        </w:tc>
      </w:tr>
    </w:tbl>
    <w:p w14:paraId="77BB9F73" w14:textId="77777777" w:rsidR="007163E8" w:rsidRPr="00924476" w:rsidRDefault="007163E8" w:rsidP="007163E8">
      <w:pPr>
        <w:spacing w:before="0" w:after="0"/>
        <w:rPr>
          <w:lang w:val="en-GB"/>
        </w:rPr>
        <w:sectPr w:rsidR="007163E8" w:rsidRPr="00924476">
          <w:pgSz w:w="16839" w:h="11907" w:orient="landscape"/>
          <w:pgMar w:top="1440" w:right="1440" w:bottom="1440" w:left="1440" w:header="709" w:footer="709" w:gutter="0"/>
          <w:cols w:space="720"/>
        </w:sectPr>
      </w:pPr>
    </w:p>
    <w:p w14:paraId="73E0FD7A" w14:textId="77777777" w:rsidR="007163E8" w:rsidRDefault="007163E8" w:rsidP="007163E8">
      <w:pPr>
        <w:pStyle w:val="Heading3"/>
      </w:pPr>
      <w:bookmarkStart w:id="548" w:name="_Toc491259427"/>
      <w:bookmarkStart w:id="549" w:name="_Toc499912019"/>
      <w:bookmarkStart w:id="550" w:name="_Toc4574821"/>
      <w:bookmarkStart w:id="551" w:name="_Toc31985531"/>
      <w:r w:rsidRPr="00924476">
        <w:t>Evaluation approach</w:t>
      </w:r>
      <w:bookmarkEnd w:id="548"/>
      <w:bookmarkEnd w:id="549"/>
      <w:bookmarkEnd w:id="550"/>
      <w:bookmarkEnd w:id="551"/>
    </w:p>
    <w:p w14:paraId="19693785" w14:textId="77777777" w:rsidR="007163E8" w:rsidRPr="00BE2F36" w:rsidRDefault="007163E8" w:rsidP="007163E8">
      <w:pPr>
        <w:pStyle w:val="Heading4"/>
        <w:rPr>
          <w:lang w:val="en-AU"/>
        </w:rPr>
      </w:pPr>
      <w:r>
        <w:t>Action specific evaluation</w:t>
      </w:r>
    </w:p>
    <w:p w14:paraId="7483A914" w14:textId="19C69D9C" w:rsidR="007163E8" w:rsidRPr="00B32878" w:rsidRDefault="007163E8" w:rsidP="007163E8">
      <w:r>
        <w:t>During 2018-19, Commonwealth environmental water</w:t>
      </w:r>
      <w:r w:rsidRPr="00924476">
        <w:t xml:space="preserve"> </w:t>
      </w:r>
      <w:r>
        <w:t>was used to maintain and enhance the condition of the central reedbeds of</w:t>
      </w:r>
      <w:r w:rsidRPr="00924476">
        <w:t xml:space="preserve"> the Great Cumbung Swamp</w:t>
      </w:r>
      <w:r>
        <w:t xml:space="preserve"> in June </w:t>
      </w:r>
      <w:r w:rsidRPr="00B32878">
        <w:t>2019 (</w:t>
      </w:r>
      <w:r w:rsidRPr="00B32878">
        <w:fldChar w:fldCharType="begin"/>
      </w:r>
      <w:r w:rsidRPr="00B32878">
        <w:instrText xml:space="preserve"> REF _Ref17464841 \h  \* MERGEFORMAT </w:instrText>
      </w:r>
      <w:r w:rsidRPr="00B32878">
        <w:fldChar w:fldCharType="separate"/>
      </w:r>
      <w:r w:rsidR="007F7607" w:rsidRPr="00F06A3C">
        <w:t xml:space="preserve">Figure </w:t>
      </w:r>
      <w:r w:rsidR="007F7607">
        <w:rPr>
          <w:noProof/>
        </w:rPr>
        <w:t>76</w:t>
      </w:r>
      <w:r w:rsidRPr="00B32878">
        <w:fldChar w:fldCharType="end"/>
      </w:r>
      <w:r w:rsidRPr="00B32878">
        <w:t>).</w:t>
      </w:r>
      <w:r w:rsidRPr="00924476">
        <w:t xml:space="preserve"> </w:t>
      </w:r>
      <w:r>
        <w:t xml:space="preserve">The reedbeds of the Great Cumbung Swamp are not monitored as part of the </w:t>
      </w:r>
      <w:r w:rsidR="00E05711">
        <w:t>LTIM Project</w:t>
      </w:r>
      <w:r>
        <w:t xml:space="preserve"> for logistical and financial reasons, and the 2018-19 watering action did not reach the Cumbung swamp until the 2019-20 monitoring year. This means it </w:t>
      </w:r>
      <w:r w:rsidR="00520647">
        <w:t>was</w:t>
      </w:r>
      <w:r>
        <w:t xml:space="preserve"> not possible to evaluate the outcomes of the 2018-19 watering for the reedbeds or surrounding tree community which were inundated using Commonwealth environmental water. A site visit to the Great Cumbung Swamp was undertaken in July 2019 to observe and assess the extent of the inundation. While no quantitative data were collected, lower lying parts of the reedbed were inundated, and the soil moisture under the reeds surrounding these lower lying sections was high. The Commonwealth environmental watering action also inundated an area of intermittent river red gum floodplain swamp to the south of the Great Cumbung </w:t>
      </w:r>
      <w:r w:rsidRPr="00B32878">
        <w:t>Swamp (</w:t>
      </w:r>
      <w:r w:rsidRPr="00B32878">
        <w:fldChar w:fldCharType="begin"/>
      </w:r>
      <w:r w:rsidRPr="00B32878">
        <w:instrText xml:space="preserve"> REF _Ref17464939 \h  \* MERGEFORMAT </w:instrText>
      </w:r>
      <w:r w:rsidRPr="00B32878">
        <w:fldChar w:fldCharType="separate"/>
      </w:r>
      <w:r w:rsidR="007F7607" w:rsidRPr="00583D49">
        <w:t xml:space="preserve">Figure </w:t>
      </w:r>
      <w:r w:rsidR="007F7607">
        <w:rPr>
          <w:noProof/>
        </w:rPr>
        <w:t>77</w:t>
      </w:r>
      <w:r w:rsidRPr="00B32878">
        <w:fldChar w:fldCharType="end"/>
      </w:r>
      <w:r w:rsidRPr="00B32878">
        <w:t>).</w:t>
      </w:r>
    </w:p>
    <w:p w14:paraId="79FA5435" w14:textId="77777777" w:rsidR="007163E8" w:rsidRDefault="007163E8" w:rsidP="007163E8">
      <w:r>
        <w:rPr>
          <w:noProof/>
          <w:lang w:eastAsia="en-AU"/>
        </w:rPr>
        <w:drawing>
          <wp:inline distT="0" distB="0" distL="0" distR="0" wp14:anchorId="00E09F52" wp14:editId="024553F2">
            <wp:extent cx="4439687" cy="3324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465457" cy="3343521"/>
                    </a:xfrm>
                    <a:prstGeom prst="rect">
                      <a:avLst/>
                    </a:prstGeom>
                    <a:noFill/>
                    <a:ln>
                      <a:noFill/>
                    </a:ln>
                  </pic:spPr>
                </pic:pic>
              </a:graphicData>
            </a:graphic>
          </wp:inline>
        </w:drawing>
      </w:r>
    </w:p>
    <w:p w14:paraId="137D5D7B" w14:textId="4C081D58" w:rsidR="007163E8" w:rsidRDefault="007163E8" w:rsidP="00F06A3C">
      <w:pPr>
        <w:pStyle w:val="Caption"/>
      </w:pPr>
      <w:bookmarkStart w:id="552" w:name="_Ref17464841"/>
      <w:bookmarkStart w:id="553" w:name="_Toc31985640"/>
      <w:r w:rsidRPr="00F06A3C">
        <w:t xml:space="preserve">Figure </w:t>
      </w:r>
      <w:r>
        <w:fldChar w:fldCharType="begin"/>
      </w:r>
      <w:r>
        <w:instrText>SEQ Figure \* ARABIC</w:instrText>
      </w:r>
      <w:r>
        <w:fldChar w:fldCharType="separate"/>
      </w:r>
      <w:r w:rsidR="007F7607">
        <w:rPr>
          <w:noProof/>
        </w:rPr>
        <w:t>76</w:t>
      </w:r>
      <w:r>
        <w:fldChar w:fldCharType="end"/>
      </w:r>
      <w:bookmarkEnd w:id="552"/>
      <w:r w:rsidR="006529C2">
        <w:rPr>
          <w:noProof/>
        </w:rPr>
        <w:t>.</w:t>
      </w:r>
      <w:r w:rsidRPr="00F06A3C">
        <w:t xml:space="preserve"> Photo of part of the central reedbed of the Great Cumbung Swamp taken 30 July 2019 following an environmental watering action in June/July 2019. Photo by Will Higgisson.</w:t>
      </w:r>
      <w:bookmarkEnd w:id="553"/>
    </w:p>
    <w:p w14:paraId="14AF0959" w14:textId="77777777" w:rsidR="00F06A3C" w:rsidRPr="00F06A3C" w:rsidRDefault="00F06A3C" w:rsidP="00F06A3C"/>
    <w:p w14:paraId="4B7804A2" w14:textId="77777777" w:rsidR="007163E8" w:rsidRDefault="007163E8" w:rsidP="007163E8">
      <w:r>
        <w:rPr>
          <w:noProof/>
          <w:lang w:eastAsia="en-AU"/>
        </w:rPr>
        <w:drawing>
          <wp:inline distT="0" distB="0" distL="0" distR="0" wp14:anchorId="4CC121AC" wp14:editId="38B22476">
            <wp:extent cx="4287033" cy="3209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4293500" cy="3214767"/>
                    </a:xfrm>
                    <a:prstGeom prst="rect">
                      <a:avLst/>
                    </a:prstGeom>
                    <a:noFill/>
                    <a:ln>
                      <a:noFill/>
                    </a:ln>
                  </pic:spPr>
                </pic:pic>
              </a:graphicData>
            </a:graphic>
          </wp:inline>
        </w:drawing>
      </w:r>
    </w:p>
    <w:p w14:paraId="5656A998" w14:textId="11BD7C0D" w:rsidR="007163E8" w:rsidRPr="00583D49" w:rsidRDefault="007163E8" w:rsidP="00583D49">
      <w:pPr>
        <w:pStyle w:val="Caption"/>
      </w:pPr>
      <w:bookmarkStart w:id="554" w:name="_Ref17464939"/>
      <w:bookmarkStart w:id="555" w:name="_Toc31985641"/>
      <w:r w:rsidRPr="00583D49">
        <w:t xml:space="preserve">Figure </w:t>
      </w:r>
      <w:r>
        <w:fldChar w:fldCharType="begin"/>
      </w:r>
      <w:r>
        <w:instrText>SEQ Figure \* ARABIC</w:instrText>
      </w:r>
      <w:r>
        <w:fldChar w:fldCharType="separate"/>
      </w:r>
      <w:r w:rsidR="007F7607">
        <w:rPr>
          <w:noProof/>
        </w:rPr>
        <w:t>77</w:t>
      </w:r>
      <w:r>
        <w:fldChar w:fldCharType="end"/>
      </w:r>
      <w:bookmarkEnd w:id="554"/>
      <w:r w:rsidR="006529C2">
        <w:rPr>
          <w:noProof/>
        </w:rPr>
        <w:t>.</w:t>
      </w:r>
      <w:r w:rsidRPr="00583D49">
        <w:t xml:space="preserve"> Photo of the intermittent river red gum floodplain swamp south of the Great Cumbung Swamp taken 29 July 2019 following an environmental watering action in June/July 2019. Photo by Will Higgisson.</w:t>
      </w:r>
      <w:bookmarkEnd w:id="555"/>
    </w:p>
    <w:p w14:paraId="55B517E4" w14:textId="77777777" w:rsidR="007163E8" w:rsidRPr="00BE2F36" w:rsidRDefault="007163E8" w:rsidP="007163E8">
      <w:pPr>
        <w:pStyle w:val="Heading4"/>
        <w:rPr>
          <w:lang w:val="en-AU"/>
        </w:rPr>
      </w:pPr>
      <w:r>
        <w:rPr>
          <w:lang w:val="en-US"/>
        </w:rPr>
        <w:t>Selected Area</w:t>
      </w:r>
      <w:r>
        <w:t xml:space="preserve"> evaluation</w:t>
      </w:r>
    </w:p>
    <w:p w14:paraId="1F626058" w14:textId="11DE347D" w:rsidR="007163E8" w:rsidRDefault="007163E8" w:rsidP="007163E8">
      <w:r>
        <w:t xml:space="preserve">To address the Selected Area evaluation questions, the 2018-19 vegetation data are combined with the data collected over the previous four years and considered in </w:t>
      </w:r>
      <w:r w:rsidR="003D1E14">
        <w:t xml:space="preserve">the context of </w:t>
      </w:r>
      <w:r>
        <w:t>annual weather patterns and watering history. To enable this, t</w:t>
      </w:r>
      <w:r w:rsidRPr="00924476">
        <w:t xml:space="preserve">he </w:t>
      </w:r>
      <w:r>
        <w:t>five</w:t>
      </w:r>
      <w:r w:rsidRPr="00924476">
        <w:t xml:space="preserve"> years of monitoring were characterised in terms of the</w:t>
      </w:r>
      <w:r>
        <w:t xml:space="preserve"> </w:t>
      </w:r>
      <w:r w:rsidRPr="00924476">
        <w:t>context</w:t>
      </w:r>
      <w:r>
        <w:t xml:space="preserve"> provided by the annual weather patterns:</w:t>
      </w:r>
      <w:r w:rsidRPr="00924476">
        <w:t xml:space="preserve"> 2014-15 was dry, 2015-16 was moderately wet, 2016-17 was very wet</w:t>
      </w:r>
      <w:r>
        <w:t>,</w:t>
      </w:r>
      <w:r w:rsidRPr="00924476">
        <w:t xml:space="preserve"> 2017-18 was drying</w:t>
      </w:r>
      <w:r>
        <w:t xml:space="preserve"> and 2018-19 was dry</w:t>
      </w:r>
      <w:r w:rsidRPr="00924476">
        <w:t>. At each site, transects and plots were assigned a watering history based on the watering that has occurred since 2012-13 (</w:t>
      </w:r>
      <w:r w:rsidRPr="00924476">
        <w:fldChar w:fldCharType="begin"/>
      </w:r>
      <w:r w:rsidRPr="00924476">
        <w:instrText xml:space="preserve"> REF _Ref465070871 \h </w:instrText>
      </w:r>
      <w:r>
        <w:instrText xml:space="preserve"> \* MERGEFORMAT </w:instrText>
      </w:r>
      <w:r w:rsidRPr="00924476">
        <w:fldChar w:fldCharType="separate"/>
      </w:r>
      <w:r w:rsidR="007F7607" w:rsidRPr="0094556C">
        <w:t xml:space="preserve">Table </w:t>
      </w:r>
      <w:r w:rsidR="007F7607">
        <w:t>28</w:t>
      </w:r>
      <w:r w:rsidRPr="00924476">
        <w:fldChar w:fldCharType="end"/>
      </w:r>
      <w:r>
        <w:t xml:space="preserve"> and </w:t>
      </w:r>
      <w:r>
        <w:fldChar w:fldCharType="begin"/>
      </w:r>
      <w:r>
        <w:instrText xml:space="preserve"> REF _Ref5870754 \h </w:instrText>
      </w:r>
      <w:r>
        <w:fldChar w:fldCharType="separate"/>
      </w:r>
      <w:r w:rsidR="007F7607">
        <w:t xml:space="preserve">Figure </w:t>
      </w:r>
      <w:r w:rsidR="007F7607">
        <w:rPr>
          <w:noProof/>
        </w:rPr>
        <w:t>78</w:t>
      </w:r>
      <w:r>
        <w:fldChar w:fldCharType="end"/>
      </w:r>
      <w:r w:rsidRPr="00924476">
        <w:t>)</w:t>
      </w:r>
      <w:r>
        <w:t>. T</w:t>
      </w:r>
      <w:r w:rsidRPr="00924476">
        <w:t>hese categories were used to structure the data analysis</w:t>
      </w:r>
      <w:r>
        <w:t xml:space="preserve"> and interpret the response of the vegetation observed</w:t>
      </w:r>
      <w:r w:rsidRPr="00924476">
        <w:t>.</w:t>
      </w:r>
    </w:p>
    <w:p w14:paraId="1C16D3A2" w14:textId="6422632C" w:rsidR="007163E8" w:rsidRPr="0094556C" w:rsidRDefault="007163E8" w:rsidP="007163E8">
      <w:pPr>
        <w:pStyle w:val="Caption"/>
      </w:pPr>
      <w:bookmarkStart w:id="556" w:name="_Ref465070871"/>
      <w:bookmarkStart w:id="557" w:name="_Toc491259452"/>
      <w:bookmarkStart w:id="558" w:name="_Ref493589721"/>
      <w:bookmarkStart w:id="559" w:name="_Ref493589749"/>
      <w:bookmarkStart w:id="560" w:name="_Ref493589977"/>
      <w:bookmarkStart w:id="561" w:name="_Ref493590374"/>
      <w:bookmarkStart w:id="562" w:name="_Ref493590498"/>
      <w:bookmarkStart w:id="563" w:name="_Ref493590607"/>
      <w:bookmarkStart w:id="564" w:name="_Ref493590950"/>
      <w:bookmarkStart w:id="565" w:name="_Toc498514502"/>
      <w:bookmarkStart w:id="566" w:name="_Toc4574928"/>
      <w:bookmarkStart w:id="567" w:name="_Toc31985695"/>
      <w:r w:rsidRPr="0094556C">
        <w:t xml:space="preserve">Table </w:t>
      </w:r>
      <w:r>
        <w:rPr>
          <w:noProof/>
        </w:rPr>
        <w:fldChar w:fldCharType="begin"/>
      </w:r>
      <w:r>
        <w:rPr>
          <w:noProof/>
        </w:rPr>
        <w:instrText xml:space="preserve"> SEQ Table \* ARABIC </w:instrText>
      </w:r>
      <w:r>
        <w:rPr>
          <w:noProof/>
        </w:rPr>
        <w:fldChar w:fldCharType="separate"/>
      </w:r>
      <w:r w:rsidR="007F7607">
        <w:rPr>
          <w:noProof/>
        </w:rPr>
        <w:t>28</w:t>
      </w:r>
      <w:r>
        <w:rPr>
          <w:noProof/>
        </w:rPr>
        <w:fldChar w:fldCharType="end"/>
      </w:r>
      <w:bookmarkEnd w:id="556"/>
      <w:r w:rsidRPr="0094556C">
        <w:t>. Watering history used to structure analysis of vegetation data</w:t>
      </w:r>
      <w:bookmarkEnd w:id="557"/>
      <w:bookmarkEnd w:id="558"/>
      <w:bookmarkEnd w:id="559"/>
      <w:bookmarkEnd w:id="560"/>
      <w:bookmarkEnd w:id="561"/>
      <w:bookmarkEnd w:id="562"/>
      <w:bookmarkEnd w:id="563"/>
      <w:bookmarkEnd w:id="564"/>
      <w:bookmarkEnd w:id="565"/>
      <w:r>
        <w:t>.</w:t>
      </w:r>
      <w:bookmarkEnd w:id="566"/>
      <w:bookmarkEnd w:id="567"/>
      <w:r>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494"/>
        <w:gridCol w:w="6153"/>
      </w:tblGrid>
      <w:tr w:rsidR="003D6127" w:rsidRPr="00B7254B" w14:paraId="26827479" w14:textId="77777777" w:rsidTr="003D6127">
        <w:trPr>
          <w:jc w:val="center"/>
        </w:trPr>
        <w:tc>
          <w:tcPr>
            <w:tcW w:w="249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32C1A227" w14:textId="77777777" w:rsidR="003D6127" w:rsidRPr="003D6127" w:rsidRDefault="003D6127" w:rsidP="007163E8">
            <w:pPr>
              <w:spacing w:before="0" w:after="0"/>
              <w:rPr>
                <w:b/>
                <w:bCs/>
                <w:color w:val="FFFFFF" w:themeColor="background1"/>
                <w:sz w:val="22"/>
                <w:szCs w:val="22"/>
              </w:rPr>
            </w:pPr>
            <w:r w:rsidRPr="003D6127">
              <w:rPr>
                <w:b/>
                <w:bCs/>
                <w:color w:val="FFFFFF" w:themeColor="background1"/>
                <w:sz w:val="22"/>
                <w:szCs w:val="22"/>
              </w:rPr>
              <w:t>WATERING HISTORY</w:t>
            </w:r>
          </w:p>
        </w:tc>
        <w:tc>
          <w:tcPr>
            <w:tcW w:w="615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497683C4" w14:textId="77777777" w:rsidR="003D6127" w:rsidRPr="003D6127" w:rsidRDefault="003D6127" w:rsidP="007163E8">
            <w:pPr>
              <w:spacing w:before="0" w:after="0"/>
              <w:rPr>
                <w:b/>
                <w:bCs/>
                <w:color w:val="FFFFFF" w:themeColor="background1"/>
                <w:sz w:val="22"/>
                <w:szCs w:val="22"/>
              </w:rPr>
            </w:pPr>
            <w:r w:rsidRPr="003D6127">
              <w:rPr>
                <w:b/>
                <w:bCs/>
                <w:color w:val="FFFFFF" w:themeColor="background1"/>
                <w:sz w:val="22"/>
                <w:szCs w:val="22"/>
              </w:rPr>
              <w:t>DESCRIPTION</w:t>
            </w:r>
          </w:p>
        </w:tc>
      </w:tr>
      <w:tr w:rsidR="003D6127" w:rsidRPr="00B7254B" w14:paraId="1C4AA353" w14:textId="77777777" w:rsidTr="003D6127">
        <w:trPr>
          <w:jc w:val="center"/>
        </w:trPr>
        <w:tc>
          <w:tcPr>
            <w:tcW w:w="2494"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75BB1155" w14:textId="77777777" w:rsidR="003D6127" w:rsidRPr="003D6127" w:rsidRDefault="003D6127" w:rsidP="007163E8">
            <w:pPr>
              <w:spacing w:before="0" w:after="0"/>
              <w:rPr>
                <w:b/>
                <w:bCs/>
                <w:color w:val="FFFFFF" w:themeColor="background1"/>
                <w:sz w:val="22"/>
                <w:szCs w:val="22"/>
              </w:rPr>
            </w:pPr>
            <w:r w:rsidRPr="003D6127">
              <w:rPr>
                <w:b/>
                <w:bCs/>
                <w:color w:val="FFFFFF" w:themeColor="background1"/>
                <w:sz w:val="22"/>
                <w:szCs w:val="22"/>
              </w:rPr>
              <w:t>A</w:t>
            </w:r>
          </w:p>
        </w:tc>
        <w:tc>
          <w:tcPr>
            <w:tcW w:w="6153" w:type="dxa"/>
            <w:tcBorders>
              <w:top w:val="single" w:sz="2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2494DFBE" w14:textId="77777777" w:rsidR="003D6127" w:rsidRPr="003D6127" w:rsidRDefault="003D6127" w:rsidP="007163E8">
            <w:pPr>
              <w:spacing w:before="0" w:after="0"/>
              <w:rPr>
                <w:sz w:val="22"/>
                <w:szCs w:val="22"/>
              </w:rPr>
            </w:pPr>
            <w:r w:rsidRPr="003D6127">
              <w:rPr>
                <w:sz w:val="22"/>
                <w:szCs w:val="22"/>
              </w:rPr>
              <w:t>Received water only with the large floods of 2012-13 and 2016-17</w:t>
            </w:r>
          </w:p>
        </w:tc>
      </w:tr>
      <w:tr w:rsidR="003D6127" w:rsidRPr="00B7254B" w14:paraId="171238AE" w14:textId="77777777" w:rsidTr="003D6127">
        <w:trPr>
          <w:jc w:val="center"/>
        </w:trPr>
        <w:tc>
          <w:tcPr>
            <w:tcW w:w="2494"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766863EB" w14:textId="77777777" w:rsidR="003D6127" w:rsidRPr="003D6127" w:rsidRDefault="003D6127" w:rsidP="007163E8">
            <w:pPr>
              <w:spacing w:before="0" w:after="0"/>
              <w:rPr>
                <w:b/>
                <w:bCs/>
                <w:color w:val="FFFFFF" w:themeColor="background1"/>
                <w:sz w:val="22"/>
                <w:szCs w:val="22"/>
              </w:rPr>
            </w:pPr>
            <w:r w:rsidRPr="003D6127">
              <w:rPr>
                <w:b/>
                <w:bCs/>
                <w:color w:val="FFFFFF" w:themeColor="background1"/>
                <w:sz w:val="22"/>
                <w:szCs w:val="22"/>
              </w:rPr>
              <w:t>B</w:t>
            </w:r>
          </w:p>
        </w:tc>
        <w:tc>
          <w:tcPr>
            <w:tcW w:w="6153"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1DCE1420" w14:textId="77777777" w:rsidR="003D6127" w:rsidRPr="003D6127" w:rsidRDefault="003D6127" w:rsidP="007163E8">
            <w:pPr>
              <w:spacing w:before="0" w:after="0"/>
              <w:rPr>
                <w:sz w:val="22"/>
                <w:szCs w:val="22"/>
              </w:rPr>
            </w:pPr>
            <w:r w:rsidRPr="003D6127">
              <w:rPr>
                <w:sz w:val="22"/>
                <w:szCs w:val="22"/>
              </w:rPr>
              <w:t>Received water in 2012-13, 2015-16 and 2016-17</w:t>
            </w:r>
          </w:p>
          <w:p w14:paraId="05E6DCE1" w14:textId="77777777" w:rsidR="003D6127" w:rsidRPr="003D6127" w:rsidRDefault="003D6127" w:rsidP="007163E8">
            <w:pPr>
              <w:spacing w:before="0" w:after="0"/>
              <w:rPr>
                <w:sz w:val="22"/>
                <w:szCs w:val="22"/>
              </w:rPr>
            </w:pPr>
            <w:r w:rsidRPr="003D6127">
              <w:rPr>
                <w:sz w:val="22"/>
                <w:szCs w:val="22"/>
              </w:rPr>
              <w:t>2015-16 water was either translucent releases or environmental water or a combination</w:t>
            </w:r>
          </w:p>
        </w:tc>
      </w:tr>
      <w:tr w:rsidR="003D6127" w:rsidRPr="00B7254B" w14:paraId="20239217" w14:textId="77777777" w:rsidTr="003D6127">
        <w:trPr>
          <w:jc w:val="center"/>
        </w:trPr>
        <w:tc>
          <w:tcPr>
            <w:tcW w:w="2494"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311520DC" w14:textId="77777777" w:rsidR="003D6127" w:rsidRPr="003D6127" w:rsidRDefault="003D6127" w:rsidP="007163E8">
            <w:pPr>
              <w:spacing w:before="0" w:after="0"/>
              <w:rPr>
                <w:b/>
                <w:bCs/>
                <w:color w:val="FFFFFF" w:themeColor="background1"/>
                <w:sz w:val="22"/>
                <w:szCs w:val="22"/>
              </w:rPr>
            </w:pPr>
            <w:r w:rsidRPr="003D6127">
              <w:rPr>
                <w:b/>
                <w:bCs/>
                <w:color w:val="FFFFFF" w:themeColor="background1"/>
                <w:sz w:val="22"/>
                <w:szCs w:val="22"/>
              </w:rPr>
              <w:t>C</w:t>
            </w:r>
          </w:p>
        </w:tc>
        <w:tc>
          <w:tcPr>
            <w:tcW w:w="6153"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129A73DD" w14:textId="479287BD" w:rsidR="003D6127" w:rsidRPr="003D6127" w:rsidRDefault="003D6127" w:rsidP="007163E8">
            <w:pPr>
              <w:spacing w:before="0" w:after="0"/>
              <w:rPr>
                <w:sz w:val="22"/>
                <w:szCs w:val="22"/>
              </w:rPr>
            </w:pPr>
            <w:r w:rsidRPr="003D6127">
              <w:rPr>
                <w:sz w:val="22"/>
                <w:szCs w:val="22"/>
              </w:rPr>
              <w:t>Received water in 2012-13, 2015-16, 2016-17</w:t>
            </w:r>
            <w:r w:rsidR="00A46068">
              <w:rPr>
                <w:sz w:val="22"/>
                <w:szCs w:val="22"/>
              </w:rPr>
              <w:t>,</w:t>
            </w:r>
            <w:r w:rsidRPr="003D6127">
              <w:rPr>
                <w:sz w:val="22"/>
                <w:szCs w:val="22"/>
              </w:rPr>
              <w:t xml:space="preserve"> 2017-18</w:t>
            </w:r>
            <w:r w:rsidR="00A46068">
              <w:rPr>
                <w:sz w:val="22"/>
                <w:szCs w:val="22"/>
              </w:rPr>
              <w:t>, 2018-19</w:t>
            </w:r>
          </w:p>
          <w:p w14:paraId="4A5B93E4" w14:textId="77777777" w:rsidR="003D6127" w:rsidRPr="003D6127" w:rsidRDefault="003D6127" w:rsidP="007163E8">
            <w:pPr>
              <w:spacing w:before="0" w:after="0"/>
              <w:rPr>
                <w:sz w:val="22"/>
                <w:szCs w:val="22"/>
              </w:rPr>
            </w:pPr>
            <w:r w:rsidRPr="003D6127">
              <w:rPr>
                <w:sz w:val="22"/>
                <w:szCs w:val="22"/>
              </w:rPr>
              <w:t>2015-16 water was either translucent releases or environmental water or a combination, 2017-18 water was Commonwealth environmental water.</w:t>
            </w:r>
          </w:p>
        </w:tc>
      </w:tr>
    </w:tbl>
    <w:p w14:paraId="0FA8323B" w14:textId="77777777" w:rsidR="007163E8" w:rsidRDefault="007163E8" w:rsidP="007163E8">
      <w:pPr>
        <w:spacing w:before="0" w:after="0"/>
      </w:pPr>
    </w:p>
    <w:p w14:paraId="429BCBEA" w14:textId="77777777" w:rsidR="007163E8" w:rsidRDefault="007163E8" w:rsidP="007163E8">
      <w:pPr>
        <w:spacing w:before="0" w:after="0"/>
      </w:pPr>
      <w:r>
        <w:rPr>
          <w:noProof/>
          <w:lang w:eastAsia="en-AU"/>
        </w:rPr>
        <w:drawing>
          <wp:inline distT="0" distB="0" distL="0" distR="0" wp14:anchorId="1BD65E29" wp14:editId="09E70DE2">
            <wp:extent cx="5731510" cy="3472180"/>
            <wp:effectExtent l="0" t="0" r="254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flow events.PNG"/>
                    <pic:cNvPicPr/>
                  </pic:nvPicPr>
                  <pic:blipFill>
                    <a:blip r:embed="rId174" cstate="email">
                      <a:extLst>
                        <a:ext uri="{28A0092B-C50C-407E-A947-70E740481C1C}">
                          <a14:useLocalDpi xmlns:a14="http://schemas.microsoft.com/office/drawing/2010/main"/>
                        </a:ext>
                      </a:extLst>
                    </a:blip>
                    <a:stretch>
                      <a:fillRect/>
                    </a:stretch>
                  </pic:blipFill>
                  <pic:spPr>
                    <a:xfrm>
                      <a:off x="0" y="0"/>
                      <a:ext cx="5731510" cy="3472180"/>
                    </a:xfrm>
                    <a:prstGeom prst="rect">
                      <a:avLst/>
                    </a:prstGeom>
                  </pic:spPr>
                </pic:pic>
              </a:graphicData>
            </a:graphic>
          </wp:inline>
        </w:drawing>
      </w:r>
    </w:p>
    <w:p w14:paraId="7013CBC6" w14:textId="4B67CF0C" w:rsidR="00495604" w:rsidRDefault="007163E8" w:rsidP="007163E8">
      <w:pPr>
        <w:pStyle w:val="Caption"/>
      </w:pPr>
      <w:bookmarkStart w:id="568" w:name="_Ref5870754"/>
      <w:bookmarkStart w:id="569" w:name="_Toc31985642"/>
      <w:r>
        <w:t xml:space="preserve">Figure </w:t>
      </w:r>
      <w:r>
        <w:fldChar w:fldCharType="begin"/>
      </w:r>
      <w:r>
        <w:instrText>SEQ Figure \* ARABIC</w:instrText>
      </w:r>
      <w:r>
        <w:fldChar w:fldCharType="separate"/>
      </w:r>
      <w:r w:rsidR="007F7607">
        <w:rPr>
          <w:noProof/>
        </w:rPr>
        <w:t>78</w:t>
      </w:r>
      <w:r>
        <w:fldChar w:fldCharType="end"/>
      </w:r>
      <w:bookmarkEnd w:id="568"/>
      <w:r>
        <w:t xml:space="preserve">. Conceptualisation of recent watering history categories </w:t>
      </w:r>
      <w:r w:rsidR="000C418B">
        <w:t>(</w:t>
      </w:r>
      <w:r>
        <w:t xml:space="preserve">defined in </w:t>
      </w:r>
      <w:r>
        <w:fldChar w:fldCharType="begin"/>
      </w:r>
      <w:r>
        <w:instrText xml:space="preserve"> REF _Ref465070871 \h </w:instrText>
      </w:r>
      <w:r>
        <w:fldChar w:fldCharType="separate"/>
      </w:r>
      <w:r w:rsidR="007F7607" w:rsidRPr="0094556C">
        <w:t xml:space="preserve">Table </w:t>
      </w:r>
      <w:r w:rsidR="007F7607">
        <w:rPr>
          <w:noProof/>
        </w:rPr>
        <w:t>28</w:t>
      </w:r>
      <w:r>
        <w:fldChar w:fldCharType="end"/>
      </w:r>
      <w:r w:rsidR="000C418B">
        <w:t>).</w:t>
      </w:r>
      <w:bookmarkEnd w:id="569"/>
    </w:p>
    <w:p w14:paraId="13A1ED55" w14:textId="77777777" w:rsidR="00495604" w:rsidRDefault="007163E8" w:rsidP="00682B8E">
      <w:pPr>
        <w:pStyle w:val="Caption"/>
        <w:spacing w:before="40" w:after="40"/>
      </w:pPr>
      <w:r>
        <w:t>Green shading represents watering category A, yellow shading represents watering category B and the blue shading represents watering category C.</w:t>
      </w:r>
    </w:p>
    <w:p w14:paraId="6DEA989C" w14:textId="7F985C08" w:rsidR="007163E8" w:rsidRDefault="007163E8" w:rsidP="00682B8E">
      <w:pPr>
        <w:pStyle w:val="Caption"/>
        <w:spacing w:before="40" w:after="40"/>
      </w:pPr>
      <w:r>
        <w:t>Red circles show environmental watering actions resulting in inundation of at least one LTIM monitoring site.</w:t>
      </w:r>
      <w:r w:rsidR="00D73134">
        <w:t xml:space="preserve"> Black line indicates</w:t>
      </w:r>
      <w:r>
        <w:t xml:space="preserve"> </w:t>
      </w:r>
      <w:r w:rsidR="00D73134">
        <w:t>r</w:t>
      </w:r>
      <w:r>
        <w:t>iver flow (ML/day) taken from the Lachlan River at Booligal.</w:t>
      </w:r>
    </w:p>
    <w:p w14:paraId="5BED993F" w14:textId="77777777" w:rsidR="007163E8" w:rsidRDefault="007163E8" w:rsidP="00682B8E">
      <w:pPr>
        <w:spacing w:before="40" w:after="40"/>
      </w:pPr>
    </w:p>
    <w:p w14:paraId="451CFA66" w14:textId="77777777" w:rsidR="007163E8" w:rsidRDefault="007163E8" w:rsidP="007163E8">
      <w:pPr>
        <w:keepNext/>
        <w:spacing w:before="0" w:after="0"/>
      </w:pPr>
      <w:r>
        <w:rPr>
          <w:noProof/>
          <w:lang w:eastAsia="en-AU"/>
        </w:rPr>
        <w:drawing>
          <wp:inline distT="0" distB="0" distL="0" distR="0" wp14:anchorId="000C596B" wp14:editId="74CF07D4">
            <wp:extent cx="5731510" cy="404558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731510" cy="4045585"/>
                    </a:xfrm>
                    <a:prstGeom prst="rect">
                      <a:avLst/>
                    </a:prstGeom>
                    <a:noFill/>
                    <a:ln>
                      <a:noFill/>
                    </a:ln>
                  </pic:spPr>
                </pic:pic>
              </a:graphicData>
            </a:graphic>
          </wp:inline>
        </w:drawing>
      </w:r>
    </w:p>
    <w:p w14:paraId="03BF0635" w14:textId="5CDF9BF1" w:rsidR="007163E8" w:rsidRDefault="007163E8" w:rsidP="007163E8">
      <w:pPr>
        <w:pStyle w:val="Caption"/>
      </w:pPr>
      <w:bookmarkStart w:id="570" w:name="_Toc4574874"/>
      <w:bookmarkStart w:id="571" w:name="_Toc31985643"/>
      <w:r>
        <w:t xml:space="preserve">Figure </w:t>
      </w:r>
      <w:r>
        <w:rPr>
          <w:noProof/>
        </w:rPr>
        <w:fldChar w:fldCharType="begin"/>
      </w:r>
      <w:r>
        <w:rPr>
          <w:noProof/>
        </w:rPr>
        <w:instrText xml:space="preserve"> SEQ Figure \* ARABIC </w:instrText>
      </w:r>
      <w:r>
        <w:rPr>
          <w:noProof/>
        </w:rPr>
        <w:fldChar w:fldCharType="separate"/>
      </w:r>
      <w:r w:rsidR="007F7607">
        <w:rPr>
          <w:noProof/>
        </w:rPr>
        <w:t>79</w:t>
      </w:r>
      <w:r>
        <w:rPr>
          <w:noProof/>
        </w:rPr>
        <w:fldChar w:fldCharType="end"/>
      </w:r>
      <w:r>
        <w:t>. Map of the vegetation monitoring sites categorised according to watering history.</w:t>
      </w:r>
      <w:bookmarkEnd w:id="570"/>
      <w:bookmarkEnd w:id="571"/>
      <w:r>
        <w:t xml:space="preserve"> </w:t>
      </w:r>
    </w:p>
    <w:p w14:paraId="525DC8FD" w14:textId="77777777" w:rsidR="007163E8" w:rsidRPr="00712853" w:rsidRDefault="007163E8" w:rsidP="007163E8"/>
    <w:p w14:paraId="72F4726A" w14:textId="77777777" w:rsidR="007163E8" w:rsidRPr="00924476" w:rsidRDefault="007163E8" w:rsidP="007163E8">
      <w:pPr>
        <w:spacing w:before="0" w:after="0"/>
      </w:pPr>
      <w:r w:rsidRPr="00924476">
        <w:t>To evaluate vegetation outcomes the following approach was applied:</w:t>
      </w:r>
    </w:p>
    <w:p w14:paraId="26D64AEA" w14:textId="0FA253E7" w:rsidR="007163E8" w:rsidRPr="00924476" w:rsidRDefault="007163E8" w:rsidP="00D437E3">
      <w:pPr>
        <w:numPr>
          <w:ilvl w:val="0"/>
          <w:numId w:val="26"/>
        </w:numPr>
        <w:spacing w:before="0" w:after="0"/>
      </w:pPr>
      <w:r w:rsidRPr="00924476">
        <w:t xml:space="preserve">Vegetation species diversity is defined as the number of groundcover species and the evenness of their abundance. Simpson’s Diversity Index has been calculated for each </w:t>
      </w:r>
      <w:r w:rsidR="00275F65">
        <w:t>site</w:t>
      </w:r>
      <w:r w:rsidRPr="00924476">
        <w:t xml:space="preserve"> and compared across years for each watering history. </w:t>
      </w:r>
    </w:p>
    <w:p w14:paraId="0604B6F9" w14:textId="0C81BD38" w:rsidR="007163E8" w:rsidRDefault="007163E8" w:rsidP="00D437E3">
      <w:pPr>
        <w:numPr>
          <w:ilvl w:val="0"/>
          <w:numId w:val="26"/>
        </w:numPr>
        <w:spacing w:before="0" w:after="0"/>
      </w:pPr>
      <w:r w:rsidRPr="00924476">
        <w:t>Vegetation community diversity is taken to mean the composition of the community in terms of species composition, functional type and nativeness. For the evaluation</w:t>
      </w:r>
      <w:r w:rsidR="00275F65">
        <w:t>,</w:t>
      </w:r>
      <w:r w:rsidRPr="00924476">
        <w:t xml:space="preserve"> species have been classified according to the plant functional types (</w:t>
      </w:r>
      <w:r w:rsidRPr="00A713E5">
        <w:fldChar w:fldCharType="begin"/>
      </w:r>
      <w:r w:rsidRPr="00A713E5">
        <w:instrText xml:space="preserve"> REF _Ref467239064 \h  \* MERGEFORMAT </w:instrText>
      </w:r>
      <w:r w:rsidRPr="00A713E5">
        <w:fldChar w:fldCharType="separate"/>
      </w:r>
      <w:r w:rsidR="007F7607" w:rsidRPr="007F7607">
        <w:rPr>
          <w:bCs/>
        </w:rPr>
        <w:t xml:space="preserve">Table </w:t>
      </w:r>
      <w:r w:rsidR="007F7607" w:rsidRPr="007F7607">
        <w:rPr>
          <w:bCs/>
          <w:noProof/>
        </w:rPr>
        <w:t>29</w:t>
      </w:r>
      <w:r w:rsidRPr="00A713E5">
        <w:fldChar w:fldCharType="end"/>
      </w:r>
      <w:r w:rsidRPr="00924476">
        <w:t xml:space="preserve">) of Brock and Casanova </w:t>
      </w:r>
      <w:r w:rsidRPr="00924476">
        <w:fldChar w:fldCharType="begin"/>
      </w:r>
      <w:r>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r w:rsidRPr="00924476">
        <w:fldChar w:fldCharType="end"/>
      </w:r>
      <w:r w:rsidRPr="00924476">
        <w:t xml:space="preserve">. </w:t>
      </w:r>
      <w:bookmarkStart w:id="572" w:name="_Hlk31704932"/>
      <w:bookmarkStart w:id="573" w:name="_Hlk31706375"/>
      <w:r w:rsidR="00734675">
        <w:t xml:space="preserve">Plants were allocated to plant functional </w:t>
      </w:r>
      <w:r w:rsidR="00E332DD">
        <w:t>groups</w:t>
      </w:r>
      <w:r w:rsidR="00734675">
        <w:t xml:space="preserve"> based on </w:t>
      </w:r>
      <w:r w:rsidR="00E332DD">
        <w:t>unpublished data from DoPIE</w:t>
      </w:r>
      <w:r w:rsidR="00734675">
        <w:t>.</w:t>
      </w:r>
      <w:bookmarkEnd w:id="572"/>
      <w:r w:rsidR="00275F65">
        <w:t xml:space="preserve"> </w:t>
      </w:r>
      <w:bookmarkEnd w:id="573"/>
      <w:r w:rsidRPr="00924476">
        <w:t>Species were also classified as native/non-native using information provided on PlantNET (</w:t>
      </w:r>
      <w:hyperlink r:id="rId176" w:history="1">
        <w:r w:rsidRPr="00924476">
          <w:rPr>
            <w:rStyle w:val="Hyperlink"/>
          </w:rPr>
          <w:t>http://plantnet.rbgsyd.nsw.gov.au/</w:t>
        </w:r>
      </w:hyperlink>
      <w:r w:rsidRPr="00924476">
        <w:t>).</w:t>
      </w:r>
      <w:r w:rsidR="00092C2F">
        <w:t xml:space="preserve"> A list of all species observed within non-tree and tree community sites, including their</w:t>
      </w:r>
      <w:r w:rsidR="00EA3246">
        <w:t xml:space="preserve"> </w:t>
      </w:r>
      <w:r w:rsidR="0007470F">
        <w:t>species name,</w:t>
      </w:r>
      <w:r w:rsidR="00092C2F">
        <w:t xml:space="preserve"> family, functional grouping, and </w:t>
      </w:r>
      <w:r w:rsidR="00EB0253">
        <w:t xml:space="preserve">their </w:t>
      </w:r>
      <w:r w:rsidR="00092C2F">
        <w:t>native</w:t>
      </w:r>
      <w:r w:rsidR="00EA5E6D">
        <w:t>/</w:t>
      </w:r>
      <w:r w:rsidR="00092C2F">
        <w:t xml:space="preserve">non-native </w:t>
      </w:r>
      <w:r w:rsidR="00EB0253">
        <w:t xml:space="preserve">classification </w:t>
      </w:r>
      <w:r w:rsidR="00092C2F">
        <w:t xml:space="preserve">is presented as </w:t>
      </w:r>
      <w:r w:rsidR="00FC6747">
        <w:t>A</w:t>
      </w:r>
      <w:r w:rsidR="00092C2F" w:rsidRPr="00FC6747">
        <w:t>ppendix 1.</w:t>
      </w:r>
    </w:p>
    <w:p w14:paraId="7DEC1843" w14:textId="5BC74F46" w:rsidR="007163E8" w:rsidRPr="00924476" w:rsidRDefault="007163E8" w:rsidP="00D437E3">
      <w:pPr>
        <w:numPr>
          <w:ilvl w:val="0"/>
          <w:numId w:val="26"/>
        </w:numPr>
        <w:spacing w:before="0" w:after="0"/>
      </w:pPr>
      <w:r>
        <w:t>Cumulative species richness curves were calculated for tree communities and non-tree communities within the amphibious plant functional group. The amphibious plant functional group was used, as these species are most likely to respon</w:t>
      </w:r>
      <w:r w:rsidR="00520647">
        <w:t>d to watering.</w:t>
      </w:r>
    </w:p>
    <w:p w14:paraId="656BD02D" w14:textId="0472834D" w:rsidR="007163E8" w:rsidRPr="00924476" w:rsidRDefault="007163E8" w:rsidP="00D437E3">
      <w:pPr>
        <w:numPr>
          <w:ilvl w:val="0"/>
          <w:numId w:val="26"/>
        </w:numPr>
        <w:spacing w:before="0" w:after="0"/>
      </w:pPr>
      <w:r w:rsidRPr="00924476">
        <w:rPr>
          <w:lang w:val="en-GB"/>
        </w:rPr>
        <w:t>The condition of floodplain and riparian trees is defined as the canopy cover of the floodplain trees (</w:t>
      </w:r>
      <w:r>
        <w:rPr>
          <w:lang w:val="en-GB"/>
        </w:rPr>
        <w:t xml:space="preserve">river </w:t>
      </w:r>
      <w:r w:rsidRPr="00924476">
        <w:rPr>
          <w:lang w:val="en-GB"/>
        </w:rPr>
        <w:t xml:space="preserve">red gums and black box). </w:t>
      </w:r>
      <w:r w:rsidR="00D73134">
        <w:rPr>
          <w:lang w:val="en-GB"/>
        </w:rPr>
        <w:t>T</w:t>
      </w:r>
      <w:r w:rsidRPr="00924476">
        <w:rPr>
          <w:lang w:val="en-GB"/>
        </w:rPr>
        <w:t>he evaluation condition metrics (</w:t>
      </w:r>
      <w:r w:rsidRPr="00A713E5">
        <w:fldChar w:fldCharType="begin"/>
      </w:r>
      <w:r w:rsidRPr="00A713E5">
        <w:rPr>
          <w:lang w:val="en-GB"/>
        </w:rPr>
        <w:instrText xml:space="preserve"> REF _Ref467239064 \h </w:instrText>
      </w:r>
      <w:r w:rsidRPr="00A713E5">
        <w:instrText xml:space="preserve"> \* MERGEFORMAT </w:instrText>
      </w:r>
      <w:r w:rsidRPr="00A713E5">
        <w:rPr>
          <w:lang w:val="en-GB"/>
        </w:rPr>
        <w:fldChar w:fldCharType="separate"/>
      </w:r>
      <w:r w:rsidR="007F7607" w:rsidRPr="007F7607">
        <w:rPr>
          <w:bCs/>
        </w:rPr>
        <w:t xml:space="preserve">Table </w:t>
      </w:r>
      <w:r w:rsidR="007F7607" w:rsidRPr="007F7607">
        <w:rPr>
          <w:bCs/>
          <w:noProof/>
        </w:rPr>
        <w:t>29</w:t>
      </w:r>
      <w:r w:rsidRPr="00A713E5">
        <w:fldChar w:fldCharType="end"/>
      </w:r>
      <w:r w:rsidRPr="00924476">
        <w:rPr>
          <w:lang w:val="en-GB"/>
        </w:rPr>
        <w:t xml:space="preserve">) are derived from Bowen </w:t>
      </w:r>
      <w:r w:rsidRPr="00924476">
        <w:fldChar w:fldCharType="begin"/>
      </w:r>
      <w:r>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rPr>
          <w:lang w:val="en-GB"/>
        </w:rPr>
        <w:t xml:space="preserve">, Bowen and Simpson </w:t>
      </w:r>
      <w:r w:rsidRPr="00924476">
        <w:fldChar w:fldCharType="begin"/>
      </w:r>
      <w:r>
        <w:instrText xml:space="preserve"> ADDIN EN.CITE &lt;EndNote&gt;&lt;Cite ExcludeAuth="1"&gt;&lt;Author&gt;Bowen&lt;/Author&gt;&lt;Year&gt;2010&lt;/Year&gt;&lt;RecNum&gt;112&lt;/RecNum&gt;&lt;DisplayText&gt;(2010)&lt;/DisplayText&gt;&lt;record&gt;&lt;rec-number&gt;112&lt;/rec-number&gt;&lt;foreign-keys&gt;&lt;key app="EN" db-id="0a0zttz0gewd9befav559p5osxw5sftwfpdv" timestamp="1472611562"&gt;112&lt;/key&gt;&lt;/foreign-keys&gt;&lt;ref-type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 NSW Department of Environment&lt;/title&gt;&lt;/titles&gt;&lt;dates&gt;&lt;year&gt;2010&lt;/year&gt;&lt;/dates&gt;&lt;pub-location&gt;Sydney&lt;/pub-location&gt;&lt;publisher&gt;Climate Change and Water&lt;/publisher&gt;&lt;urls&gt;&lt;/urls&gt;&lt;/record&gt;&lt;/Cite&gt;&lt;/EndNote&gt;</w:instrText>
      </w:r>
      <w:r w:rsidRPr="00924476">
        <w:rPr>
          <w:lang w:val="en-GB"/>
        </w:rPr>
        <w:fldChar w:fldCharType="separate"/>
      </w:r>
      <w:r w:rsidRPr="00924476">
        <w:rPr>
          <w:noProof/>
          <w:lang w:val="en-GB"/>
        </w:rPr>
        <w:t>(2010)</w:t>
      </w:r>
      <w:r w:rsidRPr="00924476">
        <w:fldChar w:fldCharType="end"/>
      </w:r>
      <w:r w:rsidRPr="00924476">
        <w:rPr>
          <w:lang w:val="en-GB"/>
        </w:rPr>
        <w:t xml:space="preserve"> and Bowen et al. </w:t>
      </w:r>
      <w:r w:rsidRPr="00924476">
        <w:fldChar w:fldCharType="begin"/>
      </w:r>
      <w:r>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 timestamp="1472611486"&gt;111&lt;/key&gt;&lt;/foreign-keys&gt;&lt;ref-type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rsidRPr="00924476">
        <w:fldChar w:fldCharType="separate"/>
      </w:r>
      <w:r w:rsidRPr="00924476">
        <w:rPr>
          <w:noProof/>
          <w:lang w:val="en-GB"/>
        </w:rPr>
        <w:t>(2012)</w:t>
      </w:r>
      <w:r w:rsidRPr="00924476">
        <w:fldChar w:fldCharType="end"/>
      </w:r>
      <w:r w:rsidRPr="00924476">
        <w:rPr>
          <w:lang w:val="en-GB"/>
        </w:rPr>
        <w:t xml:space="preserve"> and are adapted from Cunningham et al.</w:t>
      </w:r>
      <w:r w:rsidRPr="00924476">
        <w:t xml:space="preserve"> </w:t>
      </w:r>
      <w:r w:rsidRPr="00924476">
        <w:fldChar w:fldCharType="begin"/>
      </w:r>
      <w:r>
        <w:instrText xml:space="preserve"> ADDIN EN.CITE &lt;EndNote&gt;&lt;Cite ExcludeAuth="1"&gt;&lt;Author&gt;Cunningham&lt;/Author&gt;&lt;Year&gt;2007&lt;/Year&gt;&lt;RecNum&gt;120&lt;/RecNum&gt;&lt;DisplayText&gt;(2007)&lt;/DisplayText&gt;&lt;record&gt;&lt;rec-number&gt;120&lt;/rec-number&gt;&lt;foreign-keys&gt;&lt;key app="EN" db-id="0a0zttz0gewd9befav559p5osxw5sftwfpdv" timestamp="1472613183"&gt;120&lt;/key&gt;&lt;/foreign-keys&gt;&lt;ref-type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Botany&lt;/full-title&gt;&lt;/periodical&gt;&lt;pages&gt;692-699&lt;/pages&gt;&lt;volume&gt;55&lt;/volume&gt;&lt;number&gt;7&lt;/number&gt;&lt;dates&gt;&lt;year&gt;2007&lt;/year&gt;&lt;/dates&gt;&lt;urls&gt;&lt;/urls&gt;&lt;/record&gt;&lt;/Cite&gt;&lt;/EndNote&gt;</w:instrText>
      </w:r>
      <w:r w:rsidRPr="00924476">
        <w:fldChar w:fldCharType="separate"/>
      </w:r>
      <w:r w:rsidRPr="00924476">
        <w:rPr>
          <w:noProof/>
        </w:rPr>
        <w:t>(2007)</w:t>
      </w:r>
      <w:r w:rsidRPr="00924476">
        <w:fldChar w:fldCharType="end"/>
      </w:r>
      <w:r w:rsidRPr="00924476">
        <w:rPr>
          <w:lang w:val="en-GB"/>
        </w:rPr>
        <w:t>.</w:t>
      </w:r>
    </w:p>
    <w:p w14:paraId="741E48B4" w14:textId="77777777" w:rsidR="007163E8" w:rsidRPr="001B02AF" w:rsidRDefault="007163E8" w:rsidP="00D437E3">
      <w:pPr>
        <w:numPr>
          <w:ilvl w:val="0"/>
          <w:numId w:val="26"/>
        </w:numPr>
        <w:spacing w:before="0" w:after="0"/>
      </w:pPr>
      <w:r w:rsidRPr="00924476">
        <w:rPr>
          <w:lang w:val="en-GB"/>
        </w:rPr>
        <w:t>Long lived organisms refers to the floodplain and riparian trees (river red gum, black box and river cooba). The contributions to populations of long-lived organisms means ensuring that there are new cohorts in the population. The evaluation was based on the number of eucalypt seedlings following watering a</w:t>
      </w:r>
      <w:bookmarkStart w:id="574" w:name="_Toc440827320"/>
      <w:bookmarkStart w:id="575" w:name="_Ref433025222"/>
      <w:r>
        <w:rPr>
          <w:lang w:val="en-GB"/>
        </w:rPr>
        <w:t>nd their persistence over time.</w:t>
      </w:r>
    </w:p>
    <w:p w14:paraId="48D812FB" w14:textId="77777777" w:rsidR="007163E8" w:rsidRPr="00ED4163" w:rsidRDefault="007163E8" w:rsidP="00D437E3">
      <w:pPr>
        <w:numPr>
          <w:ilvl w:val="0"/>
          <w:numId w:val="26"/>
        </w:numPr>
        <w:spacing w:before="0" w:after="0"/>
      </w:pPr>
      <w:r w:rsidRPr="00924476">
        <w:rPr>
          <w:lang w:val="en-GB"/>
        </w:rPr>
        <w:t>The numbers of seedlings and saplings present in all plots per site were aggregated to give a combined count per time of sampling and facilitate comparison between monitoring dates.</w:t>
      </w:r>
    </w:p>
    <w:p w14:paraId="245D0F1C" w14:textId="77777777" w:rsidR="007163E8" w:rsidRPr="00834045" w:rsidRDefault="007163E8" w:rsidP="00D437E3">
      <w:pPr>
        <w:numPr>
          <w:ilvl w:val="0"/>
          <w:numId w:val="26"/>
        </w:numPr>
        <w:spacing w:before="0" w:after="0"/>
      </w:pPr>
      <w:r>
        <w:rPr>
          <w:lang w:val="en-GB"/>
        </w:rPr>
        <w:t>The mean (</w:t>
      </w:r>
      <w:r>
        <w:rPr>
          <w:rFonts w:cs="Calibri"/>
          <w:lang w:val="en-GB"/>
        </w:rPr>
        <w:t>±</w:t>
      </w:r>
      <w:r>
        <w:rPr>
          <w:lang w:val="en-GB"/>
        </w:rPr>
        <w:t xml:space="preserve"> 1 SE) numbers of seedlings and saplings present per site were grouped based on current land-use (nature conservancy or grazing) to evaluate the influence of land-use on seedling survivorship.</w:t>
      </w:r>
    </w:p>
    <w:p w14:paraId="21197C8A" w14:textId="77777777" w:rsidR="007163E8" w:rsidRPr="00924476" w:rsidRDefault="007163E8" w:rsidP="007163E8">
      <w:pPr>
        <w:spacing w:before="0" w:after="0"/>
      </w:pPr>
    </w:p>
    <w:p w14:paraId="69CB8C07" w14:textId="66C2DEF5" w:rsidR="007163E8" w:rsidRPr="00924476" w:rsidRDefault="007163E8" w:rsidP="007163E8">
      <w:pPr>
        <w:pStyle w:val="Caption"/>
      </w:pPr>
      <w:bookmarkStart w:id="576" w:name="_Ref467239064"/>
      <w:bookmarkStart w:id="577" w:name="_Toc498514503"/>
      <w:bookmarkStart w:id="578" w:name="_Toc491259453"/>
      <w:bookmarkStart w:id="579" w:name="_Ref493590980"/>
      <w:bookmarkStart w:id="580" w:name="_Toc4574929"/>
      <w:bookmarkStart w:id="581" w:name="_Toc31985696"/>
      <w:bookmarkEnd w:id="574"/>
      <w:bookmarkEnd w:id="575"/>
      <w:r w:rsidRPr="00924476">
        <w:t xml:space="preserve">Table </w:t>
      </w:r>
      <w:r>
        <w:rPr>
          <w:noProof/>
        </w:rPr>
        <w:fldChar w:fldCharType="begin"/>
      </w:r>
      <w:r>
        <w:rPr>
          <w:noProof/>
        </w:rPr>
        <w:instrText xml:space="preserve"> SEQ Table \* ARABIC </w:instrText>
      </w:r>
      <w:r>
        <w:rPr>
          <w:noProof/>
        </w:rPr>
        <w:fldChar w:fldCharType="separate"/>
      </w:r>
      <w:r w:rsidR="007F7607">
        <w:rPr>
          <w:noProof/>
        </w:rPr>
        <w:t>29</w:t>
      </w:r>
      <w:r>
        <w:rPr>
          <w:noProof/>
        </w:rPr>
        <w:fldChar w:fldCharType="end"/>
      </w:r>
      <w:bookmarkEnd w:id="576"/>
      <w:r w:rsidRPr="00924476">
        <w:t xml:space="preserve">. Plant functional group classifications of Brock and Casanova </w:t>
      </w:r>
      <w:r w:rsidRPr="00924476">
        <w:fldChar w:fldCharType="begin"/>
      </w:r>
      <w:r>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bookmarkEnd w:id="577"/>
      <w:r w:rsidRPr="00924476">
        <w:fldChar w:fldCharType="end"/>
      </w:r>
      <w:bookmarkEnd w:id="578"/>
      <w:bookmarkEnd w:id="579"/>
      <w:r>
        <w:t>.</w:t>
      </w:r>
      <w:bookmarkEnd w:id="580"/>
      <w:bookmarkEnd w:id="581"/>
      <w:r>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38"/>
        <w:gridCol w:w="6668"/>
      </w:tblGrid>
      <w:tr w:rsidR="007163E8" w:rsidRPr="00B7254B" w14:paraId="376371F9" w14:textId="77777777" w:rsidTr="007163E8">
        <w:trPr>
          <w:trHeight w:val="405"/>
          <w:jc w:val="center"/>
        </w:trPr>
        <w:tc>
          <w:tcPr>
            <w:tcW w:w="237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40C7D6D6" w14:textId="77777777" w:rsidR="007163E8" w:rsidRPr="00520647" w:rsidRDefault="007163E8" w:rsidP="007163E8">
            <w:pPr>
              <w:spacing w:before="40" w:after="40"/>
              <w:rPr>
                <w:b/>
                <w:bCs/>
                <w:color w:val="FFFFFF" w:themeColor="background1"/>
                <w:sz w:val="22"/>
                <w:szCs w:val="22"/>
              </w:rPr>
            </w:pPr>
            <w:bookmarkStart w:id="582" w:name="_Hlk31795702"/>
            <w:r w:rsidRPr="00520647">
              <w:rPr>
                <w:b/>
                <w:bCs/>
                <w:color w:val="FFFFFF" w:themeColor="background1"/>
                <w:sz w:val="22"/>
                <w:szCs w:val="22"/>
              </w:rPr>
              <w:t>FUNCTIONAL TYPE</w:t>
            </w:r>
          </w:p>
        </w:tc>
        <w:tc>
          <w:tcPr>
            <w:tcW w:w="686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4D89B7F8" w14:textId="77777777" w:rsidR="007163E8" w:rsidRPr="00520647" w:rsidRDefault="007163E8" w:rsidP="007163E8">
            <w:pPr>
              <w:spacing w:before="40" w:after="40"/>
              <w:rPr>
                <w:b/>
                <w:bCs/>
                <w:color w:val="FFFFFF" w:themeColor="background1"/>
                <w:sz w:val="22"/>
                <w:szCs w:val="22"/>
              </w:rPr>
            </w:pPr>
            <w:r w:rsidRPr="00520647">
              <w:rPr>
                <w:b/>
                <w:bCs/>
                <w:color w:val="FFFFFF" w:themeColor="background1"/>
                <w:sz w:val="22"/>
                <w:szCs w:val="22"/>
              </w:rPr>
              <w:t>DESCRIPTION</w:t>
            </w:r>
          </w:p>
        </w:tc>
      </w:tr>
      <w:tr w:rsidR="007163E8" w:rsidRPr="00B7254B" w14:paraId="3EB43B31" w14:textId="77777777" w:rsidTr="007163E8">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7D181EDE" w14:textId="77777777" w:rsidR="007163E8" w:rsidRPr="00520647" w:rsidRDefault="007163E8" w:rsidP="007163E8">
            <w:pPr>
              <w:spacing w:before="40" w:after="40"/>
              <w:rPr>
                <w:b/>
                <w:bCs/>
                <w:color w:val="FFFFFF" w:themeColor="background1"/>
                <w:sz w:val="22"/>
                <w:szCs w:val="22"/>
              </w:rPr>
            </w:pPr>
            <w:r w:rsidRPr="00520647">
              <w:rPr>
                <w:b/>
                <w:bCs/>
                <w:color w:val="FFFFFF" w:themeColor="background1"/>
                <w:sz w:val="22"/>
                <w:szCs w:val="22"/>
              </w:rPr>
              <w:t>Amphibious responders (AmR)</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21651A72" w14:textId="77777777" w:rsidR="007163E8" w:rsidRPr="00520647" w:rsidRDefault="007163E8" w:rsidP="007163E8">
            <w:pPr>
              <w:spacing w:before="40" w:after="40"/>
              <w:rPr>
                <w:sz w:val="22"/>
                <w:szCs w:val="22"/>
              </w:rPr>
            </w:pPr>
            <w:r w:rsidRPr="00520647">
              <w:rPr>
                <w:sz w:val="22"/>
                <w:szCs w:val="22"/>
              </w:rPr>
              <w:t>Plants which change their growth form in response to flooding and drying cycles.</w:t>
            </w:r>
          </w:p>
        </w:tc>
      </w:tr>
      <w:tr w:rsidR="007163E8" w:rsidRPr="00B7254B" w14:paraId="24D1C2DE" w14:textId="77777777" w:rsidTr="007163E8">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234F8DFC" w14:textId="77777777" w:rsidR="007163E8" w:rsidRPr="00520647" w:rsidRDefault="007163E8" w:rsidP="007163E8">
            <w:pPr>
              <w:spacing w:before="40" w:after="40"/>
              <w:rPr>
                <w:b/>
                <w:bCs/>
                <w:color w:val="FFFFFF" w:themeColor="background1"/>
                <w:sz w:val="22"/>
                <w:szCs w:val="22"/>
              </w:rPr>
            </w:pPr>
            <w:r w:rsidRPr="00520647">
              <w:rPr>
                <w:b/>
                <w:bCs/>
                <w:color w:val="FFFFFF" w:themeColor="background1"/>
                <w:sz w:val="22"/>
                <w:szCs w:val="22"/>
              </w:rPr>
              <w:t>Amphibious tolerators (AmT)</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3E06C574" w14:textId="77777777" w:rsidR="007163E8" w:rsidRPr="00520647" w:rsidRDefault="007163E8" w:rsidP="007163E8">
            <w:pPr>
              <w:spacing w:before="40" w:after="40"/>
              <w:rPr>
                <w:sz w:val="22"/>
                <w:szCs w:val="22"/>
              </w:rPr>
            </w:pPr>
            <w:r w:rsidRPr="00520647">
              <w:rPr>
                <w:sz w:val="22"/>
                <w:szCs w:val="22"/>
              </w:rPr>
              <w:t>Plants which tolerate flooding patterns without changing their growth form.</w:t>
            </w:r>
          </w:p>
        </w:tc>
      </w:tr>
      <w:tr w:rsidR="007163E8" w:rsidRPr="00B7254B" w14:paraId="700D0920" w14:textId="77777777" w:rsidTr="007163E8">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1E2D7C51" w14:textId="77777777" w:rsidR="007163E8" w:rsidRPr="00520647" w:rsidRDefault="007163E8" w:rsidP="007163E8">
            <w:pPr>
              <w:spacing w:before="40" w:after="40"/>
              <w:rPr>
                <w:b/>
                <w:bCs/>
                <w:color w:val="FFFFFF" w:themeColor="background1"/>
                <w:sz w:val="22"/>
                <w:szCs w:val="22"/>
              </w:rPr>
            </w:pPr>
            <w:r w:rsidRPr="00520647">
              <w:rPr>
                <w:b/>
                <w:bCs/>
                <w:color w:val="FFFFFF" w:themeColor="background1"/>
                <w:sz w:val="22"/>
                <w:szCs w:val="22"/>
              </w:rPr>
              <w:t>Terrestrial damp plants (Tda)</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5206F5B5" w14:textId="77777777" w:rsidR="007163E8" w:rsidRPr="00520647" w:rsidRDefault="007163E8" w:rsidP="007163E8">
            <w:pPr>
              <w:spacing w:before="40" w:after="40"/>
              <w:rPr>
                <w:sz w:val="22"/>
                <w:szCs w:val="22"/>
              </w:rPr>
            </w:pPr>
            <w:r w:rsidRPr="00520647">
              <w:rPr>
                <w:sz w:val="22"/>
                <w:szCs w:val="22"/>
              </w:rPr>
              <w:t>Plants which are terrestrial species but tend to grow close to the water margin on damp soils.</w:t>
            </w:r>
          </w:p>
        </w:tc>
      </w:tr>
      <w:tr w:rsidR="007163E8" w:rsidRPr="00B7254B" w14:paraId="5551A7E8" w14:textId="77777777" w:rsidTr="007163E8">
        <w:trPr>
          <w:jc w:val="center"/>
        </w:trPr>
        <w:tc>
          <w:tcPr>
            <w:tcW w:w="2373" w:type="dxa"/>
            <w:tcBorders>
              <w:top w:val="single" w:sz="6" w:space="0" w:color="FFFFFF" w:themeColor="background1"/>
              <w:left w:val="single" w:sz="8" w:space="0" w:color="FFFFFF" w:themeColor="background1"/>
              <w:bottom w:val="single" w:sz="8" w:space="0" w:color="FFFFFF" w:themeColor="background1"/>
              <w:right w:val="single" w:sz="24" w:space="0" w:color="FFFFFF" w:themeColor="background1"/>
            </w:tcBorders>
            <w:shd w:val="clear" w:color="auto" w:fill="9BBB59" w:themeFill="accent3"/>
            <w:hideMark/>
          </w:tcPr>
          <w:p w14:paraId="3F2411CD" w14:textId="77777777" w:rsidR="007163E8" w:rsidRPr="00520647" w:rsidRDefault="007163E8" w:rsidP="007163E8">
            <w:pPr>
              <w:spacing w:before="40" w:after="40"/>
              <w:rPr>
                <w:b/>
                <w:bCs/>
                <w:color w:val="FFFFFF" w:themeColor="background1"/>
                <w:sz w:val="22"/>
                <w:szCs w:val="22"/>
              </w:rPr>
            </w:pPr>
            <w:r w:rsidRPr="00520647">
              <w:rPr>
                <w:b/>
                <w:bCs/>
                <w:color w:val="FFFFFF" w:themeColor="background1"/>
                <w:sz w:val="22"/>
                <w:szCs w:val="22"/>
              </w:rPr>
              <w:t>Terrestrial dry plants (Tdr)</w:t>
            </w:r>
          </w:p>
        </w:tc>
        <w:tc>
          <w:tcPr>
            <w:tcW w:w="6863"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E6EED5"/>
            <w:vAlign w:val="center"/>
            <w:hideMark/>
          </w:tcPr>
          <w:p w14:paraId="65CBC501" w14:textId="77777777" w:rsidR="007163E8" w:rsidRPr="00520647" w:rsidRDefault="007163E8" w:rsidP="007163E8">
            <w:pPr>
              <w:spacing w:before="40" w:after="40"/>
              <w:rPr>
                <w:sz w:val="22"/>
                <w:szCs w:val="22"/>
              </w:rPr>
            </w:pPr>
            <w:r w:rsidRPr="00520647">
              <w:rPr>
                <w:sz w:val="22"/>
                <w:szCs w:val="22"/>
              </w:rPr>
              <w:t>Plants which are terrestrial species which don’t normally grow in wetlands but may be encroaching into the area due to prolonged drying.</w:t>
            </w:r>
          </w:p>
        </w:tc>
      </w:tr>
    </w:tbl>
    <w:p w14:paraId="38A34261" w14:textId="77777777" w:rsidR="007163E8" w:rsidRPr="00924476" w:rsidRDefault="007163E8" w:rsidP="007163E8">
      <w:pPr>
        <w:pStyle w:val="Heading3"/>
      </w:pPr>
      <w:bookmarkStart w:id="583" w:name="_Toc491259428"/>
      <w:bookmarkStart w:id="584" w:name="_Toc499912020"/>
      <w:bookmarkStart w:id="585" w:name="_Toc4574822"/>
      <w:bookmarkStart w:id="586" w:name="_Toc31985532"/>
      <w:bookmarkEnd w:id="582"/>
      <w:r w:rsidRPr="00924476">
        <w:t>Data analysis</w:t>
      </w:r>
      <w:bookmarkEnd w:id="583"/>
      <w:bookmarkEnd w:id="584"/>
      <w:bookmarkEnd w:id="585"/>
      <w:bookmarkEnd w:id="586"/>
    </w:p>
    <w:p w14:paraId="6A364792" w14:textId="77777777" w:rsidR="007163E8" w:rsidRPr="00924476" w:rsidRDefault="007163E8" w:rsidP="007163E8">
      <w:pPr>
        <w:spacing w:before="0" w:after="0"/>
        <w:rPr>
          <w:lang w:val="en-GB"/>
        </w:rPr>
      </w:pPr>
      <w:r w:rsidRPr="00924476">
        <w:rPr>
          <w:lang w:val="en-GB"/>
        </w:rPr>
        <w:t>For the analysis presented in this report the survey data have been treated in the following way:</w:t>
      </w:r>
    </w:p>
    <w:p w14:paraId="3F649F0E" w14:textId="77777777" w:rsidR="007163E8" w:rsidRPr="00924476" w:rsidRDefault="007163E8" w:rsidP="00D437E3">
      <w:pPr>
        <w:numPr>
          <w:ilvl w:val="0"/>
          <w:numId w:val="25"/>
        </w:numPr>
        <w:spacing w:before="0" w:after="0"/>
        <w:rPr>
          <w:lang w:val="en-GB"/>
        </w:rPr>
      </w:pPr>
      <w:r w:rsidRPr="00924476">
        <w:rPr>
          <w:lang w:val="en-GB"/>
        </w:rPr>
        <w:t>Species richness was calculated as an average of the data from multiple plots or transects at each site.</w:t>
      </w:r>
    </w:p>
    <w:p w14:paraId="1236AEF6" w14:textId="77777777" w:rsidR="007163E8" w:rsidRDefault="007163E8" w:rsidP="00D437E3">
      <w:pPr>
        <w:numPr>
          <w:ilvl w:val="0"/>
          <w:numId w:val="25"/>
        </w:numPr>
        <w:spacing w:before="0" w:after="0"/>
        <w:rPr>
          <w:lang w:val="en-GB"/>
        </w:rPr>
      </w:pPr>
      <w:r w:rsidRPr="00924476">
        <w:rPr>
          <w:lang w:val="en-GB"/>
        </w:rPr>
        <w:t xml:space="preserve">Simpson's Diversity Index (D) is calculated as: D = 1 – (∑n(n-1)/N(N-1)) where </w:t>
      </w:r>
      <w:r w:rsidRPr="00924476">
        <w:br/>
      </w:r>
      <w:r w:rsidRPr="00924476">
        <w:rPr>
          <w:lang w:val="en-GB"/>
        </w:rPr>
        <w:t>n = the total number of organisms of a particular species</w:t>
      </w:r>
      <w:r w:rsidRPr="00924476">
        <w:br/>
      </w:r>
      <w:r w:rsidRPr="00924476">
        <w:rPr>
          <w:lang w:val="en-GB"/>
        </w:rPr>
        <w:t xml:space="preserve"> N = the total number of organisms of all species.</w:t>
      </w:r>
    </w:p>
    <w:p w14:paraId="56E2C2CC" w14:textId="25C67C09" w:rsidR="007163E8" w:rsidRPr="00924476" w:rsidRDefault="007163E8" w:rsidP="00D437E3">
      <w:pPr>
        <w:numPr>
          <w:ilvl w:val="0"/>
          <w:numId w:val="25"/>
        </w:numPr>
        <w:spacing w:before="0" w:after="0"/>
        <w:rPr>
          <w:lang w:val="en-GB"/>
        </w:rPr>
      </w:pPr>
      <w:r>
        <w:rPr>
          <w:lang w:val="en-GB"/>
        </w:rPr>
        <w:t xml:space="preserve">Cumulative species richness of amphibious species </w:t>
      </w:r>
      <w:r w:rsidR="00AE5A6A">
        <w:rPr>
          <w:lang w:val="en-GB"/>
        </w:rPr>
        <w:t xml:space="preserve">was </w:t>
      </w:r>
      <w:r>
        <w:rPr>
          <w:lang w:val="en-GB"/>
        </w:rPr>
        <w:t xml:space="preserve">calculated as the total number of amphibious species that </w:t>
      </w:r>
      <w:r w:rsidR="00EB0253">
        <w:rPr>
          <w:lang w:val="en-GB"/>
        </w:rPr>
        <w:t xml:space="preserve">were </w:t>
      </w:r>
      <w:r>
        <w:rPr>
          <w:lang w:val="en-GB"/>
        </w:rPr>
        <w:t>observed within a site for each year of the five years.</w:t>
      </w:r>
    </w:p>
    <w:p w14:paraId="5457E520" w14:textId="77777777" w:rsidR="007163E8" w:rsidRDefault="007163E8" w:rsidP="00D437E3">
      <w:pPr>
        <w:numPr>
          <w:ilvl w:val="0"/>
          <w:numId w:val="25"/>
        </w:numPr>
        <w:spacing w:before="0" w:after="0"/>
        <w:rPr>
          <w:lang w:val="en-GB"/>
        </w:rPr>
      </w:pPr>
      <w:r w:rsidRPr="00924476">
        <w:rPr>
          <w:lang w:val="en-GB"/>
        </w:rPr>
        <w:t>Measures of stand and tree condition at each site were calculated as the average of the plot data from each vegetation community at each site. This means that for sites with more than one vegetation community, there are two measures of stand and tree condition provided (e.g. Lake Tarwong black box an</w:t>
      </w:r>
      <w:bookmarkStart w:id="587" w:name="_Ref433030856"/>
      <w:bookmarkStart w:id="588" w:name="_Toc440827321"/>
      <w:r>
        <w:rPr>
          <w:lang w:val="en-GB"/>
        </w:rPr>
        <w:t>d Lake Tarwong river red gums).</w:t>
      </w:r>
    </w:p>
    <w:p w14:paraId="4AFDCE5F" w14:textId="77777777" w:rsidR="007163E8" w:rsidRPr="00924476" w:rsidRDefault="007163E8" w:rsidP="007163E8">
      <w:pPr>
        <w:spacing w:before="0" w:after="0"/>
        <w:rPr>
          <w:lang w:val="en-GB"/>
        </w:rPr>
      </w:pPr>
    </w:p>
    <w:bookmarkEnd w:id="587"/>
    <w:bookmarkEnd w:id="588"/>
    <w:p w14:paraId="6E8C1F1D" w14:textId="4A91330B" w:rsidR="007163E8" w:rsidRDefault="007163E8" w:rsidP="0007470F">
      <w:pPr>
        <w:spacing w:before="0" w:after="0"/>
        <w:rPr>
          <w:lang w:val="en-GB"/>
        </w:rPr>
      </w:pPr>
      <w:r w:rsidRPr="00924476">
        <w:rPr>
          <w:lang w:val="en-GB"/>
        </w:rPr>
        <w:t>The observations relating to land</w:t>
      </w:r>
      <w:r w:rsidR="00AE5A6A">
        <w:rPr>
          <w:lang w:val="en-GB"/>
        </w:rPr>
        <w:t>-</w:t>
      </w:r>
      <w:r w:rsidRPr="00924476">
        <w:rPr>
          <w:lang w:val="en-GB"/>
        </w:rPr>
        <w:t xml:space="preserve">use and other activities that may confound the interpretation of vegetation response to watering were recorded. The frequency and time since activity were recorded for grazing by livestock, firewood collection and site disturbance. The presence of feral animals was also noted. </w:t>
      </w:r>
      <w:r>
        <w:rPr>
          <w:lang w:val="en-GB"/>
        </w:rPr>
        <w:br w:type="page"/>
      </w:r>
    </w:p>
    <w:p w14:paraId="10928E07" w14:textId="77777777" w:rsidR="007163E8" w:rsidRPr="00924476" w:rsidRDefault="007163E8" w:rsidP="007163E8">
      <w:pPr>
        <w:pStyle w:val="Heading2"/>
      </w:pPr>
      <w:bookmarkStart w:id="589" w:name="_Toc499912021"/>
      <w:bookmarkStart w:id="590" w:name="_Toc4574823"/>
      <w:bookmarkStart w:id="591" w:name="_Toc31985533"/>
      <w:r w:rsidRPr="00924476">
        <w:t>Results</w:t>
      </w:r>
      <w:bookmarkEnd w:id="589"/>
      <w:bookmarkEnd w:id="590"/>
      <w:bookmarkEnd w:id="591"/>
    </w:p>
    <w:p w14:paraId="615F6AFF" w14:textId="77777777" w:rsidR="007163E8" w:rsidRPr="00924476" w:rsidRDefault="007163E8" w:rsidP="007163E8">
      <w:pPr>
        <w:rPr>
          <w:lang w:val="en-GB"/>
        </w:rPr>
      </w:pPr>
      <w:r w:rsidRPr="00924476">
        <w:rPr>
          <w:lang w:val="en-GB"/>
        </w:rPr>
        <w:t>In 201</w:t>
      </w:r>
      <w:r>
        <w:rPr>
          <w:lang w:val="en-GB"/>
        </w:rPr>
        <w:t>8</w:t>
      </w:r>
      <w:r w:rsidRPr="00924476">
        <w:rPr>
          <w:lang w:val="en-GB"/>
        </w:rPr>
        <w:t>-1</w:t>
      </w:r>
      <w:r>
        <w:rPr>
          <w:lang w:val="en-GB"/>
        </w:rPr>
        <w:t>9</w:t>
      </w:r>
      <w:r w:rsidRPr="00924476">
        <w:rPr>
          <w:lang w:val="en-GB"/>
        </w:rPr>
        <w:t xml:space="preserve">, </w:t>
      </w:r>
      <w:r>
        <w:rPr>
          <w:lang w:val="en-GB"/>
        </w:rPr>
        <w:t>more than 95</w:t>
      </w:r>
      <w:r w:rsidRPr="00924476">
        <w:rPr>
          <w:lang w:val="en-GB"/>
        </w:rPr>
        <w:t xml:space="preserve">% of </w:t>
      </w:r>
      <w:r>
        <w:rPr>
          <w:lang w:val="en-GB"/>
        </w:rPr>
        <w:t>taxa were identified to species level.</w:t>
      </w:r>
    </w:p>
    <w:p w14:paraId="2498AB47" w14:textId="77777777" w:rsidR="007163E8" w:rsidRPr="00F02B1E" w:rsidRDefault="007163E8" w:rsidP="007163E8">
      <w:pPr>
        <w:pStyle w:val="Heading3"/>
      </w:pPr>
      <w:bookmarkStart w:id="592" w:name="_Toc467776141"/>
      <w:bookmarkStart w:id="593" w:name="_Toc499912023"/>
      <w:bookmarkStart w:id="594" w:name="_Toc4574824"/>
      <w:bookmarkStart w:id="595" w:name="_Toc31985534"/>
      <w:r w:rsidRPr="00F02B1E">
        <w:t>Vegetation species richness and diversity</w:t>
      </w:r>
      <w:bookmarkEnd w:id="592"/>
      <w:bookmarkEnd w:id="593"/>
      <w:bookmarkEnd w:id="594"/>
      <w:bookmarkEnd w:id="595"/>
    </w:p>
    <w:p w14:paraId="0FEF9930" w14:textId="77777777" w:rsidR="007163E8" w:rsidRPr="00924476" w:rsidRDefault="007163E8" w:rsidP="007163E8">
      <w:pPr>
        <w:pStyle w:val="Heading4"/>
      </w:pPr>
      <w:bookmarkStart w:id="596" w:name="_Toc467776142"/>
      <w:bookmarkStart w:id="597" w:name="_Toc499912024"/>
      <w:bookmarkStart w:id="598" w:name="_Ref5799555"/>
      <w:r w:rsidRPr="00924476">
        <w:t>Non-tree community</w:t>
      </w:r>
      <w:bookmarkEnd w:id="596"/>
      <w:bookmarkEnd w:id="597"/>
      <w:bookmarkEnd w:id="598"/>
      <w:r w:rsidRPr="00924476">
        <w:t xml:space="preserve"> </w:t>
      </w:r>
    </w:p>
    <w:p w14:paraId="48925C96" w14:textId="773E7C48" w:rsidR="00BA29B7" w:rsidRDefault="007163E8" w:rsidP="00BA29B7">
      <w:pPr>
        <w:rPr>
          <w:lang w:val="en-GB"/>
        </w:rPr>
      </w:pPr>
      <w:bookmarkStart w:id="599" w:name="_Hlk31715125"/>
      <w:r w:rsidRPr="00924476">
        <w:rPr>
          <w:lang w:val="en-GB"/>
        </w:rPr>
        <w:t xml:space="preserve">A total of </w:t>
      </w:r>
      <w:r>
        <w:rPr>
          <w:lang w:val="en-GB"/>
        </w:rPr>
        <w:t>98</w:t>
      </w:r>
      <w:r w:rsidRPr="00924476">
        <w:rPr>
          <w:lang w:val="en-GB"/>
        </w:rPr>
        <w:t xml:space="preserve"> species were identified across the non-tree community sites during the 201</w:t>
      </w:r>
      <w:r>
        <w:rPr>
          <w:lang w:val="en-GB"/>
        </w:rPr>
        <w:t>8</w:t>
      </w:r>
      <w:r w:rsidRPr="00924476">
        <w:rPr>
          <w:lang w:val="en-GB"/>
        </w:rPr>
        <w:t>-1</w:t>
      </w:r>
      <w:r>
        <w:rPr>
          <w:lang w:val="en-GB"/>
        </w:rPr>
        <w:t>9</w:t>
      </w:r>
      <w:r w:rsidR="000A1A24">
        <w:rPr>
          <w:lang w:val="en-GB"/>
        </w:rPr>
        <w:t xml:space="preserve"> watering season</w:t>
      </w:r>
      <w:r w:rsidR="00BA29B7">
        <w:rPr>
          <w:lang w:val="en-GB"/>
        </w:rPr>
        <w:t>,</w:t>
      </w:r>
      <w:r w:rsidR="00BA29B7" w:rsidRPr="00BA29B7">
        <w:rPr>
          <w:lang w:val="en-GB"/>
        </w:rPr>
        <w:t xml:space="preserve"> </w:t>
      </w:r>
      <w:r w:rsidR="00BA29B7">
        <w:rPr>
          <w:lang w:val="en-GB"/>
        </w:rPr>
        <w:t>this was the second last lowest recorded number of species within the non-tree community plots of any year of the five-year monitoring program.</w:t>
      </w:r>
    </w:p>
    <w:p w14:paraId="4E0584F6" w14:textId="3D3A1D11" w:rsidR="000A1A24" w:rsidRDefault="000A1A24" w:rsidP="000A1A24">
      <w:pPr>
        <w:rPr>
          <w:lang w:val="en-GB"/>
        </w:rPr>
      </w:pPr>
      <w:r>
        <w:rPr>
          <w:lang w:val="en-GB"/>
        </w:rPr>
        <w:t xml:space="preserve">A total of 124 species were identified during 2017-2018, </w:t>
      </w:r>
      <w:r w:rsidRPr="00924476">
        <w:rPr>
          <w:lang w:val="en-GB"/>
        </w:rPr>
        <w:t xml:space="preserve">96 </w:t>
      </w:r>
      <w:r>
        <w:rPr>
          <w:lang w:val="en-GB"/>
        </w:rPr>
        <w:t>in</w:t>
      </w:r>
      <w:r w:rsidRPr="00924476">
        <w:rPr>
          <w:lang w:val="en-GB"/>
        </w:rPr>
        <w:t xml:space="preserve"> 2016-17, 154 </w:t>
      </w:r>
      <w:r>
        <w:rPr>
          <w:lang w:val="en-GB"/>
        </w:rPr>
        <w:t>in</w:t>
      </w:r>
      <w:r w:rsidRPr="00924476">
        <w:rPr>
          <w:lang w:val="en-GB"/>
        </w:rPr>
        <w:t xml:space="preserve"> 2015-16 and 130 during the 2014-15 watering season.</w:t>
      </w:r>
      <w:r>
        <w:rPr>
          <w:lang w:val="en-GB"/>
        </w:rPr>
        <w:t xml:space="preserve"> </w:t>
      </w:r>
    </w:p>
    <w:bookmarkEnd w:id="599"/>
    <w:p w14:paraId="75D11B18" w14:textId="44CAC355" w:rsidR="007163E8" w:rsidRPr="00924476" w:rsidRDefault="000F3EAF" w:rsidP="000F3EAF">
      <w:pPr>
        <w:rPr>
          <w:lang w:val="en-GB"/>
        </w:rPr>
      </w:pPr>
      <w:r>
        <w:rPr>
          <w:lang w:val="en-GB"/>
        </w:rPr>
        <w:t>T</w:t>
      </w:r>
      <w:r w:rsidR="007163E8">
        <w:rPr>
          <w:lang w:val="en-GB"/>
        </w:rPr>
        <w:t xml:space="preserve">he majority of species were recorded in autumn (84 species), while only 62 species were recorded during spring sampling. </w:t>
      </w:r>
      <w:r w:rsidR="007163E8" w:rsidRPr="00924476">
        <w:rPr>
          <w:lang w:val="en-GB"/>
        </w:rPr>
        <w:t xml:space="preserve">The greatest number of species </w:t>
      </w:r>
      <w:r w:rsidR="007163E8">
        <w:rPr>
          <w:lang w:val="en-GB"/>
        </w:rPr>
        <w:t>per site during autumn sampling</w:t>
      </w:r>
      <w:r w:rsidR="007163E8" w:rsidRPr="00924476">
        <w:rPr>
          <w:lang w:val="en-GB"/>
        </w:rPr>
        <w:t xml:space="preserve"> </w:t>
      </w:r>
      <w:r w:rsidR="007163E8">
        <w:rPr>
          <w:lang w:val="en-GB"/>
        </w:rPr>
        <w:t xml:space="preserve">was </w:t>
      </w:r>
      <w:r w:rsidR="007163E8" w:rsidRPr="00924476">
        <w:rPr>
          <w:lang w:val="en-GB"/>
        </w:rPr>
        <w:t xml:space="preserve">at </w:t>
      </w:r>
      <w:r w:rsidR="007163E8">
        <w:rPr>
          <w:lang w:val="en-GB"/>
        </w:rPr>
        <w:t>Hazelwood</w:t>
      </w:r>
      <w:r w:rsidR="007163E8" w:rsidRPr="00924476">
        <w:rPr>
          <w:lang w:val="en-GB"/>
        </w:rPr>
        <w:t xml:space="preserve"> (</w:t>
      </w:r>
      <w:r w:rsidR="007163E8">
        <w:rPr>
          <w:lang w:val="en-GB"/>
        </w:rPr>
        <w:t>26 species</w:t>
      </w:r>
      <w:r w:rsidR="007163E8" w:rsidRPr="00924476">
        <w:rPr>
          <w:lang w:val="en-GB"/>
        </w:rPr>
        <w:t>)</w:t>
      </w:r>
      <w:r w:rsidR="007163E8">
        <w:rPr>
          <w:lang w:val="en-GB"/>
        </w:rPr>
        <w:t xml:space="preserve"> and during spring sampling was</w:t>
      </w:r>
      <w:r w:rsidR="007163E8" w:rsidRPr="00924476">
        <w:rPr>
          <w:lang w:val="en-GB"/>
        </w:rPr>
        <w:t xml:space="preserve"> at the Lachlan Valley State Conservation Area at Booligal (</w:t>
      </w:r>
      <w:r w:rsidR="007163E8">
        <w:rPr>
          <w:lang w:val="en-GB"/>
        </w:rPr>
        <w:t>17 species</w:t>
      </w:r>
      <w:r w:rsidR="007163E8" w:rsidRPr="00924476">
        <w:rPr>
          <w:lang w:val="en-GB"/>
        </w:rPr>
        <w:t>).</w:t>
      </w:r>
    </w:p>
    <w:p w14:paraId="12A841DC" w14:textId="77777777" w:rsidR="004B4C67" w:rsidRDefault="007163E8" w:rsidP="004B4C67">
      <w:pPr>
        <w:rPr>
          <w:lang w:val="en-GB"/>
        </w:rPr>
      </w:pPr>
      <w:r w:rsidRPr="004B4C67">
        <w:rPr>
          <w:lang w:val="en-GB"/>
        </w:rPr>
        <w:t xml:space="preserve">In spring 2018 the plant community across all non-tree community sites was dominated by </w:t>
      </w:r>
    </w:p>
    <w:p w14:paraId="542EE0C1" w14:textId="28C8191D" w:rsidR="004B4C67" w:rsidRPr="004B4C67" w:rsidRDefault="007163E8" w:rsidP="00D437E3">
      <w:pPr>
        <w:pStyle w:val="ListParagraph"/>
        <w:numPr>
          <w:ilvl w:val="0"/>
          <w:numId w:val="37"/>
        </w:numPr>
        <w:rPr>
          <w:i/>
          <w:iCs/>
          <w:lang w:val="en-GB"/>
        </w:rPr>
      </w:pPr>
      <w:r w:rsidRPr="004B4C67">
        <w:rPr>
          <w:lang w:val="en-GB"/>
        </w:rPr>
        <w:t xml:space="preserve">forb species </w:t>
      </w:r>
      <w:r w:rsidR="004B4C67" w:rsidRPr="004B4C67">
        <w:rPr>
          <w:lang w:val="en-GB"/>
        </w:rPr>
        <w:t>(</w:t>
      </w:r>
      <w:r w:rsidRPr="004B4C67">
        <w:rPr>
          <w:lang w:val="en-GB"/>
        </w:rPr>
        <w:t>old man weed (</w:t>
      </w:r>
      <w:r w:rsidRPr="004B4C67">
        <w:rPr>
          <w:i/>
          <w:iCs/>
          <w:lang w:val="en-GB"/>
        </w:rPr>
        <w:t>Centipeda cunninghamii</w:t>
      </w:r>
      <w:r w:rsidRPr="004B4C67">
        <w:rPr>
          <w:lang w:val="en-GB"/>
        </w:rPr>
        <w:t>), trailing verbena (</w:t>
      </w:r>
      <w:r w:rsidRPr="004B4C67">
        <w:rPr>
          <w:i/>
          <w:iCs/>
          <w:lang w:val="en-GB"/>
        </w:rPr>
        <w:t>Verbena supina</w:t>
      </w:r>
      <w:r w:rsidRPr="004B4C67">
        <w:rPr>
          <w:lang w:val="en-GB"/>
        </w:rPr>
        <w:t>), and smooth heliotrope (</w:t>
      </w:r>
      <w:r w:rsidRPr="004B4C67">
        <w:rPr>
          <w:i/>
          <w:iCs/>
          <w:lang w:val="en-GB"/>
        </w:rPr>
        <w:t>Heliotropium curassavicum</w:t>
      </w:r>
      <w:r w:rsidRPr="004B4C67">
        <w:rPr>
          <w:lang w:val="en-GB"/>
        </w:rPr>
        <w:t>)</w:t>
      </w:r>
      <w:r w:rsidR="0007470F">
        <w:rPr>
          <w:lang w:val="en-GB"/>
        </w:rPr>
        <w:t>)</w:t>
      </w:r>
      <w:r w:rsidRPr="004B4C67">
        <w:rPr>
          <w:lang w:val="en-GB"/>
        </w:rPr>
        <w:t>,</w:t>
      </w:r>
    </w:p>
    <w:p w14:paraId="5C8B5FBD" w14:textId="0D600096" w:rsidR="008267AF" w:rsidRPr="008267AF" w:rsidRDefault="007163E8" w:rsidP="00D437E3">
      <w:pPr>
        <w:pStyle w:val="ListParagraph"/>
        <w:numPr>
          <w:ilvl w:val="0"/>
          <w:numId w:val="37"/>
        </w:numPr>
        <w:rPr>
          <w:i/>
          <w:iCs/>
          <w:lang w:val="en-GB"/>
        </w:rPr>
      </w:pPr>
      <w:r w:rsidRPr="004B4C67">
        <w:rPr>
          <w:lang w:val="en-GB"/>
        </w:rPr>
        <w:t xml:space="preserve">chenopods (mainly black roly-poly </w:t>
      </w:r>
      <w:r w:rsidR="004B4C67">
        <w:rPr>
          <w:lang w:val="en-GB"/>
        </w:rPr>
        <w:t>(</w:t>
      </w:r>
      <w:r w:rsidRPr="004B4C67">
        <w:rPr>
          <w:i/>
          <w:lang w:val="en-GB"/>
        </w:rPr>
        <w:t xml:space="preserve">Sclerolaena </w:t>
      </w:r>
      <w:r w:rsidR="004B4C67">
        <w:rPr>
          <w:i/>
          <w:lang w:val="en-GB"/>
        </w:rPr>
        <w:t>muricat</w:t>
      </w:r>
      <w:r w:rsidR="0023399C">
        <w:rPr>
          <w:i/>
          <w:lang w:val="en-GB"/>
        </w:rPr>
        <w:t>a</w:t>
      </w:r>
      <w:r w:rsidR="004B4C67">
        <w:rPr>
          <w:iCs/>
          <w:lang w:val="en-GB"/>
        </w:rPr>
        <w:t>)</w:t>
      </w:r>
      <w:r w:rsidRPr="004B4C67">
        <w:rPr>
          <w:lang w:val="en-GB"/>
        </w:rPr>
        <w:t>,</w:t>
      </w:r>
      <w:r w:rsidRPr="000735E3">
        <w:t xml:space="preserve"> </w:t>
      </w:r>
      <w:r>
        <w:t xml:space="preserve">small crumbweed </w:t>
      </w:r>
      <w:r w:rsidR="004B4C67">
        <w:t>(</w:t>
      </w:r>
      <w:r w:rsidRPr="004B4C67">
        <w:rPr>
          <w:i/>
          <w:iCs/>
          <w:lang w:val="en-GB"/>
        </w:rPr>
        <w:t>Dysphania pumilio</w:t>
      </w:r>
      <w:r w:rsidR="004B4C67">
        <w:rPr>
          <w:lang w:val="en-GB"/>
        </w:rPr>
        <w:t>)</w:t>
      </w:r>
      <w:r w:rsidRPr="004B4C67">
        <w:rPr>
          <w:lang w:val="en-GB"/>
        </w:rPr>
        <w:t xml:space="preserve">, nitre goosefoot </w:t>
      </w:r>
      <w:r w:rsidR="004B4C67">
        <w:rPr>
          <w:lang w:val="en-GB"/>
        </w:rPr>
        <w:t>(</w:t>
      </w:r>
      <w:r w:rsidRPr="004B4C67">
        <w:rPr>
          <w:i/>
          <w:iCs/>
          <w:lang w:val="en-GB"/>
        </w:rPr>
        <w:t>Chenopodium nitrariaceum</w:t>
      </w:r>
      <w:r w:rsidR="004B4C67">
        <w:rPr>
          <w:lang w:val="en-GB"/>
        </w:rPr>
        <w:t>),</w:t>
      </w:r>
      <w:r w:rsidRPr="004B4C67">
        <w:rPr>
          <w:lang w:val="en-GB"/>
        </w:rPr>
        <w:t xml:space="preserve"> fat hen</w:t>
      </w:r>
      <w:r w:rsidRPr="004B4C67">
        <w:rPr>
          <w:i/>
          <w:lang w:val="en-GB"/>
        </w:rPr>
        <w:t xml:space="preserve"> </w:t>
      </w:r>
      <w:r w:rsidR="004B4C67">
        <w:rPr>
          <w:iCs/>
          <w:lang w:val="en-GB"/>
        </w:rPr>
        <w:t>(</w:t>
      </w:r>
      <w:r w:rsidRPr="004B4C67">
        <w:rPr>
          <w:i/>
          <w:lang w:val="en-GB"/>
        </w:rPr>
        <w:t>Chenopodium album</w:t>
      </w:r>
      <w:r w:rsidR="004B4C67">
        <w:rPr>
          <w:iCs/>
          <w:lang w:val="en-GB"/>
        </w:rPr>
        <w:t>)</w:t>
      </w:r>
      <w:r w:rsidR="00C2438E">
        <w:rPr>
          <w:iCs/>
          <w:lang w:val="en-GB"/>
        </w:rPr>
        <w:t>,</w:t>
      </w:r>
      <w:r w:rsidRPr="004B4C67">
        <w:rPr>
          <w:lang w:val="en-GB"/>
        </w:rPr>
        <w:t xml:space="preserve"> and</w:t>
      </w:r>
      <w:r w:rsidRPr="004B4C67">
        <w:rPr>
          <w:i/>
          <w:lang w:val="en-GB"/>
        </w:rPr>
        <w:t xml:space="preserve"> </w:t>
      </w:r>
      <w:r w:rsidRPr="004B4C67">
        <w:rPr>
          <w:iCs/>
          <w:lang w:val="en-GB"/>
        </w:rPr>
        <w:t xml:space="preserve">creeping saltbush </w:t>
      </w:r>
      <w:r w:rsidR="004B4C67">
        <w:rPr>
          <w:iCs/>
          <w:lang w:val="en-GB"/>
        </w:rPr>
        <w:t>(</w:t>
      </w:r>
      <w:r w:rsidRPr="004B4C67">
        <w:rPr>
          <w:i/>
          <w:lang w:val="en-GB"/>
        </w:rPr>
        <w:t>Atriplex semibaccata</w:t>
      </w:r>
      <w:r w:rsidRPr="004B4C67">
        <w:rPr>
          <w:lang w:val="en-GB"/>
        </w:rPr>
        <w:t>)</w:t>
      </w:r>
      <w:r w:rsidR="004B4C67">
        <w:rPr>
          <w:lang w:val="en-GB"/>
        </w:rPr>
        <w:t>)</w:t>
      </w:r>
      <w:r w:rsidRPr="004B4C67">
        <w:rPr>
          <w:lang w:val="en-GB"/>
        </w:rPr>
        <w:t xml:space="preserve">, </w:t>
      </w:r>
      <w:r w:rsidRPr="008267AF">
        <w:rPr>
          <w:lang w:val="en-GB"/>
        </w:rPr>
        <w:t xml:space="preserve">and </w:t>
      </w:r>
    </w:p>
    <w:p w14:paraId="00CDFDDF" w14:textId="63C375CF" w:rsidR="004B4C67" w:rsidRDefault="007163E8" w:rsidP="00D437E3">
      <w:pPr>
        <w:pStyle w:val="ListParagraph"/>
        <w:numPr>
          <w:ilvl w:val="0"/>
          <w:numId w:val="37"/>
        </w:numPr>
        <w:rPr>
          <w:i/>
          <w:iCs/>
          <w:lang w:val="en-GB"/>
        </w:rPr>
      </w:pPr>
      <w:r w:rsidRPr="004B4C67">
        <w:rPr>
          <w:lang w:val="en-GB"/>
        </w:rPr>
        <w:t>grasses (blown-grass (</w:t>
      </w:r>
      <w:r w:rsidRPr="004B4C67">
        <w:rPr>
          <w:i/>
          <w:lang w:val="en-GB"/>
        </w:rPr>
        <w:t>Lachnagrostis filiformis</w:t>
      </w:r>
      <w:r w:rsidRPr="004B4C67">
        <w:rPr>
          <w:iCs/>
          <w:lang w:val="en-GB"/>
        </w:rPr>
        <w:t>)</w:t>
      </w:r>
      <w:r w:rsidRPr="004B4C67">
        <w:rPr>
          <w:lang w:val="en-GB"/>
        </w:rPr>
        <w:t>, and common couch (</w:t>
      </w:r>
      <w:r w:rsidRPr="004B4C67">
        <w:rPr>
          <w:i/>
          <w:lang w:val="en-GB"/>
        </w:rPr>
        <w:t>Cynodon dactylon</w:t>
      </w:r>
      <w:r w:rsidRPr="004B4C67">
        <w:rPr>
          <w:lang w:val="en-GB"/>
        </w:rPr>
        <w:t>))</w:t>
      </w:r>
      <w:r w:rsidRPr="004B4C67">
        <w:rPr>
          <w:i/>
          <w:iCs/>
          <w:lang w:val="en-GB"/>
        </w:rPr>
        <w:t>.</w:t>
      </w:r>
    </w:p>
    <w:p w14:paraId="72097182" w14:textId="19C54E19" w:rsidR="007163E8" w:rsidRPr="004B4C67" w:rsidRDefault="007163E8" w:rsidP="004B4C67">
      <w:pPr>
        <w:rPr>
          <w:i/>
          <w:iCs/>
          <w:lang w:val="en-GB"/>
        </w:rPr>
      </w:pPr>
      <w:r w:rsidRPr="004B4C67">
        <w:rPr>
          <w:lang w:val="en-GB"/>
        </w:rPr>
        <w:t>Some species were locally common, observed in relatively high numbers at only a single site, including</w:t>
      </w:r>
      <w:r w:rsidRPr="004B4C67">
        <w:rPr>
          <w:i/>
          <w:iCs/>
          <w:lang w:val="en-GB"/>
        </w:rPr>
        <w:t xml:space="preserve"> </w:t>
      </w:r>
      <w:r w:rsidRPr="004B4C67">
        <w:rPr>
          <w:lang w:val="en-GB"/>
        </w:rPr>
        <w:t>blue rod (</w:t>
      </w:r>
      <w:r w:rsidRPr="004B4C67">
        <w:rPr>
          <w:i/>
          <w:iCs/>
          <w:lang w:val="en-GB"/>
        </w:rPr>
        <w:t>Stemodia florulenta</w:t>
      </w:r>
      <w:r w:rsidRPr="004B4C67">
        <w:rPr>
          <w:lang w:val="en-GB"/>
        </w:rPr>
        <w:t>) at Lake Tarwong, mouse tail (</w:t>
      </w:r>
      <w:r w:rsidRPr="004B4C67">
        <w:rPr>
          <w:i/>
          <w:iCs/>
          <w:lang w:val="en-GB"/>
        </w:rPr>
        <w:t>Myosurus australis</w:t>
      </w:r>
      <w:r w:rsidRPr="004B4C67">
        <w:rPr>
          <w:lang w:val="en-GB"/>
        </w:rPr>
        <w:t>) at Booligal</w:t>
      </w:r>
      <w:r>
        <w:t>, and spiny sedge (</w:t>
      </w:r>
      <w:r w:rsidRPr="004B4C67">
        <w:rPr>
          <w:i/>
          <w:iCs/>
          <w:lang w:val="en-GB"/>
        </w:rPr>
        <w:t>Cyperus gymnocaulos</w:t>
      </w:r>
      <w:r w:rsidRPr="004B4C67">
        <w:rPr>
          <w:lang w:val="en-GB"/>
        </w:rPr>
        <w:t>) at Lake Marool.</w:t>
      </w:r>
    </w:p>
    <w:p w14:paraId="6F5489ED" w14:textId="353CB0E0" w:rsidR="007163E8" w:rsidRDefault="007163E8" w:rsidP="007163E8">
      <w:pPr>
        <w:rPr>
          <w:iCs/>
          <w:lang w:val="en-GB"/>
        </w:rPr>
      </w:pPr>
      <w:r>
        <w:rPr>
          <w:lang w:val="en-GB"/>
        </w:rPr>
        <w:t xml:space="preserve">In Autumn 2019 a range of annual species were present in greater numbers compared to spring 2018 including </w:t>
      </w:r>
      <w:r>
        <w:t>small crumbweed</w:t>
      </w:r>
      <w:r>
        <w:rPr>
          <w:i/>
          <w:iCs/>
          <w:lang w:val="en-GB"/>
        </w:rPr>
        <w:t xml:space="preserve">, </w:t>
      </w:r>
      <w:r>
        <w:rPr>
          <w:lang w:val="en-GB"/>
        </w:rPr>
        <w:t>and exotic species smooth mustard</w:t>
      </w:r>
      <w:r w:rsidRPr="00924476">
        <w:rPr>
          <w:iCs/>
          <w:lang w:val="en-GB"/>
        </w:rPr>
        <w:t xml:space="preserve"> </w:t>
      </w:r>
      <w:r>
        <w:rPr>
          <w:iCs/>
          <w:lang w:val="en-GB"/>
        </w:rPr>
        <w:t>(</w:t>
      </w:r>
      <w:r w:rsidRPr="00ED4163">
        <w:rPr>
          <w:i/>
          <w:lang w:val="en-GB"/>
        </w:rPr>
        <w:t>Sisymbrium erysimoides</w:t>
      </w:r>
      <w:r>
        <w:rPr>
          <w:iCs/>
          <w:lang w:val="en-GB"/>
        </w:rPr>
        <w:t>)</w:t>
      </w:r>
      <w:r w:rsidR="00C2438E">
        <w:rPr>
          <w:iCs/>
          <w:lang w:val="en-GB"/>
        </w:rPr>
        <w:t>,</w:t>
      </w:r>
      <w:r w:rsidRPr="000735E3">
        <w:rPr>
          <w:iCs/>
          <w:lang w:val="en-GB"/>
        </w:rPr>
        <w:t xml:space="preserve"> </w:t>
      </w:r>
      <w:r>
        <w:rPr>
          <w:iCs/>
          <w:lang w:val="en-GB"/>
        </w:rPr>
        <w:t>burr medic (</w:t>
      </w:r>
      <w:r w:rsidRPr="00F16A9F">
        <w:rPr>
          <w:i/>
          <w:lang w:val="en-GB"/>
        </w:rPr>
        <w:t>Medicago polymorpha</w:t>
      </w:r>
      <w:r>
        <w:rPr>
          <w:iCs/>
          <w:lang w:val="en-GB"/>
        </w:rPr>
        <w:t>), turnip weed (</w:t>
      </w:r>
      <w:r w:rsidRPr="00ED4163">
        <w:rPr>
          <w:i/>
          <w:lang w:val="en-GB"/>
        </w:rPr>
        <w:t>Rapistrum rugosum</w:t>
      </w:r>
      <w:r>
        <w:rPr>
          <w:iCs/>
          <w:lang w:val="en-GB"/>
        </w:rPr>
        <w:t xml:space="preserve">), and </w:t>
      </w:r>
      <w:r w:rsidR="008267AF">
        <w:rPr>
          <w:iCs/>
          <w:lang w:val="en-GB"/>
        </w:rPr>
        <w:t xml:space="preserve">New Zealand </w:t>
      </w:r>
      <w:r>
        <w:rPr>
          <w:iCs/>
          <w:lang w:val="en-GB"/>
        </w:rPr>
        <w:t>spinach (</w:t>
      </w:r>
      <w:r w:rsidRPr="00ED4163">
        <w:rPr>
          <w:i/>
          <w:lang w:val="en-GB"/>
        </w:rPr>
        <w:t>Tetragonia eremaea</w:t>
      </w:r>
      <w:r>
        <w:rPr>
          <w:iCs/>
          <w:lang w:val="en-GB"/>
        </w:rPr>
        <w:t>)</w:t>
      </w:r>
      <w:r w:rsidRPr="00924476">
        <w:rPr>
          <w:iCs/>
          <w:lang w:val="en-GB"/>
        </w:rPr>
        <w:t>.</w:t>
      </w:r>
      <w:r>
        <w:rPr>
          <w:iCs/>
          <w:lang w:val="en-GB"/>
        </w:rPr>
        <w:t xml:space="preserve"> These are all terrestrial dry species that grow in response to rainfall.</w:t>
      </w:r>
    </w:p>
    <w:p w14:paraId="193C3320" w14:textId="77777777" w:rsidR="007163E8" w:rsidRDefault="007163E8" w:rsidP="007163E8">
      <w:pPr>
        <w:rPr>
          <w:lang w:val="en-GB"/>
        </w:rPr>
      </w:pPr>
      <w:r>
        <w:rPr>
          <w:lang w:val="en-GB"/>
        </w:rPr>
        <w:t>During the 2018-19 watering season sites The Ville, Lake Bullogal, and Nooran Lake were observed to have the lowest number of species that had been recorded at these sites over the 5-year monitoring program.</w:t>
      </w:r>
    </w:p>
    <w:p w14:paraId="35820700" w14:textId="6703A336" w:rsidR="007163E8" w:rsidRDefault="007163E8" w:rsidP="007163E8">
      <w:pPr>
        <w:rPr>
          <w:lang w:val="en-GB"/>
        </w:rPr>
      </w:pPr>
      <w:r w:rsidRPr="00924476">
        <w:rPr>
          <w:lang w:val="en-GB"/>
        </w:rPr>
        <w:t xml:space="preserve">Patterns in site scale vegetation diversity (Simpson’s diversity index) </w:t>
      </w:r>
      <w:r w:rsidR="00A82F5C">
        <w:rPr>
          <w:lang w:val="en-GB"/>
        </w:rPr>
        <w:t xml:space="preserve">in 2018-19 </w:t>
      </w:r>
      <w:r w:rsidRPr="00924476">
        <w:rPr>
          <w:lang w:val="en-GB"/>
        </w:rPr>
        <w:t xml:space="preserve">appear to be related more strongly to the prevailing </w:t>
      </w:r>
      <w:r>
        <w:rPr>
          <w:lang w:val="en-GB"/>
        </w:rPr>
        <w:t xml:space="preserve">(dry) weather </w:t>
      </w:r>
      <w:r w:rsidRPr="00924476">
        <w:rPr>
          <w:lang w:val="en-GB"/>
        </w:rPr>
        <w:t>conditions than to watering history (</w:t>
      </w:r>
      <w:r w:rsidRPr="00A713E5">
        <w:fldChar w:fldCharType="begin"/>
      </w:r>
      <w:r w:rsidRPr="00A713E5">
        <w:rPr>
          <w:lang w:val="en-GB"/>
        </w:rPr>
        <w:instrText xml:space="preserve"> REF _Ref491804230 \h </w:instrText>
      </w:r>
      <w:r w:rsidRPr="00A713E5">
        <w:instrText xml:space="preserve"> \* MERGEFORMAT </w:instrText>
      </w:r>
      <w:r w:rsidRPr="00A713E5">
        <w:rPr>
          <w:lang w:val="en-GB"/>
        </w:rPr>
        <w:fldChar w:fldCharType="separate"/>
      </w:r>
      <w:r w:rsidR="007F7607" w:rsidRPr="007F7607">
        <w:rPr>
          <w:bCs/>
        </w:rPr>
        <w:t xml:space="preserve">Figure </w:t>
      </w:r>
      <w:r w:rsidR="007F7607" w:rsidRPr="007F7607">
        <w:rPr>
          <w:bCs/>
          <w:noProof/>
        </w:rPr>
        <w:t>80</w:t>
      </w:r>
      <w:r w:rsidRPr="00A713E5">
        <w:fldChar w:fldCharType="end"/>
      </w:r>
      <w:r w:rsidRPr="00924476">
        <w:rPr>
          <w:lang w:val="en-GB"/>
        </w:rPr>
        <w:t>).</w:t>
      </w:r>
      <w:r>
        <w:rPr>
          <w:lang w:val="en-GB"/>
        </w:rPr>
        <w:t>The fact that species diversity in watering category C (Nooran Lake) has remained high compared to watering categories</w:t>
      </w:r>
      <w:r w:rsidR="004B4C67">
        <w:rPr>
          <w:lang w:val="en-GB"/>
        </w:rPr>
        <w:t xml:space="preserve"> </w:t>
      </w:r>
      <w:r>
        <w:rPr>
          <w:lang w:val="en-GB"/>
        </w:rPr>
        <w:t xml:space="preserve">A and B, may be a result of the environmental watering action it received in late 2017 </w:t>
      </w:r>
      <w:r w:rsidRPr="00924476">
        <w:rPr>
          <w:lang w:val="en-GB"/>
        </w:rPr>
        <w:t>(</w:t>
      </w:r>
      <w:r w:rsidRPr="00ED4163">
        <w:rPr>
          <w:lang w:val="en-GB"/>
        </w:rPr>
        <w:fldChar w:fldCharType="begin"/>
      </w:r>
      <w:r w:rsidRPr="00ED4163">
        <w:rPr>
          <w:lang w:val="en-GB"/>
        </w:rPr>
        <w:instrText xml:space="preserve"> REF _Ref491804230 \h  \* MERGEFORMAT </w:instrText>
      </w:r>
      <w:r w:rsidRPr="00ED4163">
        <w:rPr>
          <w:lang w:val="en-GB"/>
        </w:rPr>
      </w:r>
      <w:r w:rsidRPr="00ED4163">
        <w:rPr>
          <w:lang w:val="en-GB"/>
        </w:rPr>
        <w:fldChar w:fldCharType="separate"/>
      </w:r>
      <w:r w:rsidR="007F7607" w:rsidRPr="007F7607">
        <w:rPr>
          <w:bCs/>
        </w:rPr>
        <w:t xml:space="preserve">Figure </w:t>
      </w:r>
      <w:r w:rsidR="007F7607" w:rsidRPr="007F7607">
        <w:rPr>
          <w:bCs/>
          <w:noProof/>
        </w:rPr>
        <w:t>80</w:t>
      </w:r>
      <w:r w:rsidRPr="00ED4163">
        <w:fldChar w:fldCharType="end"/>
      </w:r>
      <w:r w:rsidRPr="00924476">
        <w:rPr>
          <w:lang w:val="en-GB"/>
        </w:rPr>
        <w:t>).</w:t>
      </w:r>
    </w:p>
    <w:p w14:paraId="2FE727D1" w14:textId="64D51AE6" w:rsidR="00A71956" w:rsidRDefault="00A71956" w:rsidP="007163E8">
      <w:pPr>
        <w:rPr>
          <w:lang w:val="en-GB"/>
        </w:rPr>
      </w:pPr>
      <w:r>
        <w:rPr>
          <w:noProof/>
          <w:lang w:eastAsia="en-AU"/>
        </w:rPr>
        <w:drawing>
          <wp:inline distT="0" distB="0" distL="0" distR="0" wp14:anchorId="5E75E8EE" wp14:editId="47156A93">
            <wp:extent cx="5731510" cy="6327140"/>
            <wp:effectExtent l="0" t="0" r="2540" b="0"/>
            <wp:docPr id="40" name="Picture 4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impsons index nontree.JPG"/>
                    <pic:cNvPicPr/>
                  </pic:nvPicPr>
                  <pic:blipFill>
                    <a:blip r:embed="rId177" cstate="email">
                      <a:extLst>
                        <a:ext uri="{28A0092B-C50C-407E-A947-70E740481C1C}">
                          <a14:useLocalDpi xmlns:a14="http://schemas.microsoft.com/office/drawing/2010/main"/>
                        </a:ext>
                      </a:extLst>
                    </a:blip>
                    <a:stretch>
                      <a:fillRect/>
                    </a:stretch>
                  </pic:blipFill>
                  <pic:spPr>
                    <a:xfrm>
                      <a:off x="0" y="0"/>
                      <a:ext cx="5731510" cy="6327140"/>
                    </a:xfrm>
                    <a:prstGeom prst="rect">
                      <a:avLst/>
                    </a:prstGeom>
                  </pic:spPr>
                </pic:pic>
              </a:graphicData>
            </a:graphic>
          </wp:inline>
        </w:drawing>
      </w:r>
    </w:p>
    <w:p w14:paraId="3A256612" w14:textId="5FC768F1" w:rsidR="00BA1021" w:rsidRPr="0007470F" w:rsidRDefault="007163E8" w:rsidP="0007470F">
      <w:pPr>
        <w:pStyle w:val="Caption"/>
      </w:pPr>
      <w:bookmarkStart w:id="600" w:name="_Ref491804230"/>
      <w:bookmarkStart w:id="601" w:name="_Toc499912100"/>
      <w:bookmarkStart w:id="602" w:name="_Toc4574875"/>
      <w:bookmarkStart w:id="603" w:name="_Toc31985644"/>
      <w:r w:rsidRPr="0007470F">
        <w:t xml:space="preserve">Figure </w:t>
      </w:r>
      <w:r>
        <w:fldChar w:fldCharType="begin"/>
      </w:r>
      <w:r>
        <w:instrText>SEQ Figure \* ARABIC</w:instrText>
      </w:r>
      <w:r>
        <w:fldChar w:fldCharType="separate"/>
      </w:r>
      <w:r w:rsidR="007F7607">
        <w:rPr>
          <w:noProof/>
        </w:rPr>
        <w:t>80</w:t>
      </w:r>
      <w:r>
        <w:fldChar w:fldCharType="end"/>
      </w:r>
      <w:bookmarkEnd w:id="600"/>
      <w:r w:rsidR="006529C2" w:rsidRPr="0007470F">
        <w:t>.</w:t>
      </w:r>
      <w:r w:rsidRPr="0007470F">
        <w:t xml:space="preserve"> Comparison of groundcover vegetation diversity in the non-tree community between seasons and years using Simpson’s diversity index (D).</w:t>
      </w:r>
      <w:bookmarkEnd w:id="601"/>
      <w:bookmarkEnd w:id="602"/>
      <w:bookmarkEnd w:id="603"/>
    </w:p>
    <w:p w14:paraId="4122CD25" w14:textId="215A6AF3" w:rsidR="0007470F" w:rsidRPr="002924CE" w:rsidRDefault="007163E8" w:rsidP="002924CE">
      <w:pPr>
        <w:spacing w:before="40" w:after="40"/>
        <w:rPr>
          <w:i/>
          <w:iCs/>
          <w:sz w:val="22"/>
          <w:szCs w:val="22"/>
        </w:rPr>
      </w:pPr>
      <w:r w:rsidRPr="002924CE">
        <w:rPr>
          <w:i/>
          <w:iCs/>
          <w:sz w:val="22"/>
          <w:szCs w:val="22"/>
        </w:rPr>
        <w:t xml:space="preserve">The data points are the mean diversity index for each class of watering history (refer to </w:t>
      </w:r>
      <w:r w:rsidRPr="002924CE">
        <w:rPr>
          <w:i/>
          <w:iCs/>
          <w:sz w:val="22"/>
          <w:szCs w:val="22"/>
        </w:rPr>
        <w:fldChar w:fldCharType="begin"/>
      </w:r>
      <w:r w:rsidRPr="002924CE">
        <w:rPr>
          <w:i/>
          <w:iCs/>
          <w:sz w:val="22"/>
          <w:szCs w:val="22"/>
        </w:rPr>
        <w:instrText xml:space="preserve"> REF _Ref465070871 \h  \* MERGEFORMAT </w:instrText>
      </w:r>
      <w:r w:rsidRPr="002924CE">
        <w:rPr>
          <w:i/>
          <w:iCs/>
          <w:sz w:val="22"/>
          <w:szCs w:val="22"/>
        </w:rPr>
      </w:r>
      <w:r w:rsidRPr="002924CE">
        <w:rPr>
          <w:i/>
          <w:iCs/>
          <w:sz w:val="22"/>
          <w:szCs w:val="22"/>
        </w:rPr>
        <w:fldChar w:fldCharType="separate"/>
      </w:r>
      <w:r w:rsidR="007F7607" w:rsidRPr="007F7607">
        <w:rPr>
          <w:i/>
          <w:iCs/>
          <w:sz w:val="22"/>
          <w:szCs w:val="22"/>
        </w:rPr>
        <w:t>Table 28</w:t>
      </w:r>
      <w:r w:rsidRPr="002924CE">
        <w:rPr>
          <w:i/>
          <w:iCs/>
          <w:sz w:val="22"/>
          <w:szCs w:val="22"/>
        </w:rPr>
        <w:fldChar w:fldCharType="end"/>
      </w:r>
      <w:r w:rsidRPr="002924CE">
        <w:rPr>
          <w:i/>
          <w:iCs/>
          <w:sz w:val="22"/>
          <w:szCs w:val="22"/>
        </w:rPr>
        <w:t xml:space="preserve">, p. </w:t>
      </w:r>
      <w:r w:rsidRPr="002924CE">
        <w:rPr>
          <w:i/>
          <w:iCs/>
          <w:sz w:val="22"/>
          <w:szCs w:val="22"/>
        </w:rPr>
        <w:fldChar w:fldCharType="begin"/>
      </w:r>
      <w:r w:rsidRPr="002924CE">
        <w:rPr>
          <w:i/>
          <w:iCs/>
          <w:sz w:val="22"/>
          <w:szCs w:val="22"/>
        </w:rPr>
        <w:instrText xml:space="preserve"> PAGEREF _Ref493589749 \h </w:instrText>
      </w:r>
      <w:r w:rsidRPr="002924CE">
        <w:rPr>
          <w:i/>
          <w:iCs/>
          <w:sz w:val="22"/>
          <w:szCs w:val="22"/>
        </w:rPr>
      </w:r>
      <w:r w:rsidRPr="002924CE">
        <w:rPr>
          <w:i/>
          <w:iCs/>
          <w:sz w:val="22"/>
          <w:szCs w:val="22"/>
        </w:rPr>
        <w:fldChar w:fldCharType="separate"/>
      </w:r>
      <w:r w:rsidR="007F7607">
        <w:rPr>
          <w:i/>
          <w:iCs/>
          <w:noProof/>
          <w:sz w:val="22"/>
          <w:szCs w:val="22"/>
        </w:rPr>
        <w:t>163</w:t>
      </w:r>
      <w:r w:rsidRPr="002924CE">
        <w:rPr>
          <w:i/>
          <w:iCs/>
          <w:sz w:val="22"/>
          <w:szCs w:val="22"/>
        </w:rPr>
        <w:fldChar w:fldCharType="end"/>
      </w:r>
      <w:r w:rsidRPr="002924CE">
        <w:rPr>
          <w:i/>
          <w:iCs/>
          <w:sz w:val="22"/>
          <w:szCs w:val="22"/>
        </w:rPr>
        <w:t>).</w:t>
      </w:r>
    </w:p>
    <w:p w14:paraId="543C50D7" w14:textId="25296C0C" w:rsidR="00BA1021" w:rsidRPr="002924CE" w:rsidRDefault="007163E8" w:rsidP="002924CE">
      <w:pPr>
        <w:spacing w:before="40" w:after="40"/>
        <w:rPr>
          <w:i/>
          <w:iCs/>
          <w:sz w:val="22"/>
          <w:szCs w:val="22"/>
        </w:rPr>
      </w:pPr>
      <w:r w:rsidRPr="002924CE">
        <w:rPr>
          <w:i/>
          <w:iCs/>
          <w:sz w:val="22"/>
          <w:szCs w:val="22"/>
        </w:rPr>
        <w:t>Seasons are defined as S14: Spring 2014; A15: Autumn 2015; S15: Spring 2015; A16: Autumn 2016; A17: Autumn 2017, S17: Spring 2017, A18: Autumn 2018, S18: Spring 2018, A19: Autumn 2019</w:t>
      </w:r>
      <w:r w:rsidR="000432AD" w:rsidRPr="002924CE">
        <w:rPr>
          <w:i/>
          <w:iCs/>
          <w:sz w:val="22"/>
          <w:szCs w:val="22"/>
        </w:rPr>
        <w:t>.</w:t>
      </w:r>
    </w:p>
    <w:p w14:paraId="006EE50D" w14:textId="264BB011" w:rsidR="00E14E19" w:rsidRPr="002924CE" w:rsidRDefault="007163E8" w:rsidP="002924CE">
      <w:pPr>
        <w:spacing w:before="40" w:after="40"/>
        <w:rPr>
          <w:i/>
          <w:iCs/>
          <w:sz w:val="22"/>
          <w:szCs w:val="22"/>
        </w:rPr>
      </w:pPr>
      <w:r w:rsidRPr="002924CE">
        <w:rPr>
          <w:i/>
          <w:iCs/>
          <w:sz w:val="22"/>
          <w:szCs w:val="22"/>
        </w:rPr>
        <w:t>Error bars represent</w:t>
      </w:r>
      <w:bookmarkStart w:id="604" w:name="_Toc467776143"/>
      <w:r w:rsidRPr="002924CE">
        <w:rPr>
          <w:i/>
          <w:iCs/>
          <w:sz w:val="22"/>
          <w:szCs w:val="22"/>
        </w:rPr>
        <w:t xml:space="preserve"> ± the standard error.</w:t>
      </w:r>
      <w:r w:rsidR="00316D38" w:rsidRPr="002924CE">
        <w:rPr>
          <w:i/>
          <w:iCs/>
          <w:sz w:val="22"/>
          <w:szCs w:val="22"/>
        </w:rPr>
        <w:t xml:space="preserve"> </w:t>
      </w:r>
      <w:r w:rsidRPr="002924CE">
        <w:rPr>
          <w:i/>
          <w:iCs/>
          <w:sz w:val="22"/>
          <w:szCs w:val="22"/>
        </w:rPr>
        <w:t>The absence of error bars either means they are smaller than the symbol size or there is only one data point.</w:t>
      </w:r>
      <w:r w:rsidR="002C3FDB" w:rsidRPr="002924CE">
        <w:rPr>
          <w:i/>
          <w:iCs/>
          <w:sz w:val="22"/>
          <w:szCs w:val="22"/>
        </w:rPr>
        <w:t xml:space="preserve"> The yellow shading represent the environmental watering that occurred in 2015 to sites in watering categories B and C, the green shading represents flooding during 2016-17 that flooded all sites (watering category A), and the blue shading represents the environmental watering events that flooded Nooran Lake (watering category C).</w:t>
      </w:r>
    </w:p>
    <w:p w14:paraId="32F5C2A4" w14:textId="5FD4C3F8" w:rsidR="007163E8" w:rsidRPr="002924CE" w:rsidRDefault="007163E8" w:rsidP="002924CE">
      <w:pPr>
        <w:spacing w:before="40" w:after="40"/>
        <w:rPr>
          <w:i/>
          <w:iCs/>
          <w:sz w:val="22"/>
          <w:szCs w:val="22"/>
        </w:rPr>
      </w:pPr>
      <w:r w:rsidRPr="002924CE">
        <w:rPr>
          <w:i/>
          <w:iCs/>
          <w:sz w:val="22"/>
          <w:szCs w:val="22"/>
        </w:rPr>
        <w:t>Note that data are not shown for the peak of the flood event in Spring 2016</w:t>
      </w:r>
      <w:r w:rsidR="008267AF" w:rsidRPr="002924CE">
        <w:rPr>
          <w:i/>
          <w:iCs/>
          <w:sz w:val="22"/>
          <w:szCs w:val="22"/>
        </w:rPr>
        <w:t xml:space="preserve">, </w:t>
      </w:r>
      <w:r w:rsidRPr="002924CE">
        <w:rPr>
          <w:i/>
          <w:iCs/>
          <w:sz w:val="22"/>
          <w:szCs w:val="22"/>
        </w:rPr>
        <w:t>because the sites were either inaccessible or under more than 0.7 m of water and did not have any ‘groundcover’ vegetation present.</w:t>
      </w:r>
    </w:p>
    <w:p w14:paraId="013D7230" w14:textId="782096F0" w:rsidR="00BA1021" w:rsidRDefault="007163E8" w:rsidP="007163E8">
      <w:r>
        <w:t>The cumulative species richness of amphibious species increased during and following flooding in 2016-17 at sites in all watering categories. Sites that received environmental water in spring 2015 had a greater number of amphibious species compared to sites in watering category A which did not receive environmental water. While all three watering categories showed an increase in cumulative species richness during and following the flood in 2016-17, the sites in watering category A had the largest increase in species richness of amphibious species.</w:t>
      </w:r>
    </w:p>
    <w:p w14:paraId="1938CE9E" w14:textId="3B3F05E8" w:rsidR="007163E8" w:rsidRDefault="007163E8" w:rsidP="007163E8">
      <w:r>
        <w:t>The watering event at Nooran Lake in spring 2017 did not result in any new amphibious species that had not been recorded previously. To note, Nooran Lake had the greatest number of amphibious species of all sites. All amphibious species except one at Nooran Lake (</w:t>
      </w:r>
      <w:r w:rsidR="004B25ED" w:rsidRPr="004B25ED">
        <w:t xml:space="preserve">Common Bittercress, </w:t>
      </w:r>
      <w:r w:rsidR="004B25ED">
        <w:t>(</w:t>
      </w:r>
      <w:r w:rsidRPr="00ED4163">
        <w:rPr>
          <w:i/>
          <w:iCs/>
        </w:rPr>
        <w:t>Card</w:t>
      </w:r>
      <w:r>
        <w:rPr>
          <w:i/>
          <w:iCs/>
        </w:rPr>
        <w:t>a</w:t>
      </w:r>
      <w:r w:rsidRPr="00ED4163">
        <w:rPr>
          <w:i/>
          <w:iCs/>
        </w:rPr>
        <w:t>mine hirsuta</w:t>
      </w:r>
      <w:r>
        <w:t>)</w:t>
      </w:r>
      <w:r w:rsidR="004B25ED">
        <w:t>)</w:t>
      </w:r>
      <w:r>
        <w:t xml:space="preserve"> were native. The amphibious species consisted of woody perennial species river cooba (four sites), tangled lignum (</w:t>
      </w:r>
      <w:r w:rsidRPr="00ED4163">
        <w:rPr>
          <w:i/>
          <w:iCs/>
        </w:rPr>
        <w:t>Duma florulenta</w:t>
      </w:r>
      <w:r>
        <w:t xml:space="preserve">) (four sites), river red gum (seven sites), and </w:t>
      </w:r>
      <w:r w:rsidRPr="00A21D81">
        <w:t>rhizomatous</w:t>
      </w:r>
      <w:r>
        <w:t xml:space="preserve"> perennials common nardoo (</w:t>
      </w:r>
      <w:r w:rsidRPr="00ED4163">
        <w:rPr>
          <w:i/>
          <w:iCs/>
        </w:rPr>
        <w:t>Marsilea drummondii</w:t>
      </w:r>
      <w:r>
        <w:t>), and common spike-rush (</w:t>
      </w:r>
      <w:r w:rsidRPr="00ED4163">
        <w:rPr>
          <w:i/>
          <w:iCs/>
        </w:rPr>
        <w:t>Eleocharis acuta</w:t>
      </w:r>
      <w:r>
        <w:t>) (at four sites each)</w:t>
      </w:r>
      <w:r w:rsidR="00197908">
        <w:t xml:space="preserve"> along with a range of annual herbaceous species</w:t>
      </w:r>
      <w:r>
        <w:t>.</w:t>
      </w:r>
      <w:r w:rsidR="00197908">
        <w:t xml:space="preserve"> </w:t>
      </w:r>
      <w:r w:rsidRPr="003B5421">
        <w:t xml:space="preserve">When these </w:t>
      </w:r>
      <w:r>
        <w:t xml:space="preserve">perennial </w:t>
      </w:r>
      <w:r w:rsidRPr="003B5421">
        <w:t>species were present at a site</w:t>
      </w:r>
      <w:r w:rsidR="00BA1021">
        <w:t>,</w:t>
      </w:r>
      <w:r w:rsidRPr="003B5421">
        <w:t xml:space="preserve"> they were </w:t>
      </w:r>
      <w:r>
        <w:t xml:space="preserve">usually </w:t>
      </w:r>
      <w:r w:rsidRPr="003B5421">
        <w:t xml:space="preserve">present in spring 2014 and the increase in cumulative species richness </w:t>
      </w:r>
      <w:r>
        <w:t xml:space="preserve">of amphibious species </w:t>
      </w:r>
      <w:r w:rsidRPr="003B5421">
        <w:t xml:space="preserve">over the five years was primarily related to new flood respondent annual species. </w:t>
      </w:r>
      <w:r>
        <w:t>There has been no or very little change in the cumulative number of amphibious species at all non-tree sites over the 2018-19 watering season.</w:t>
      </w:r>
    </w:p>
    <w:p w14:paraId="07EDC824" w14:textId="0F6B426D" w:rsidR="00983AF8" w:rsidRPr="00A21D81" w:rsidRDefault="00983AF8" w:rsidP="007163E8">
      <w:r>
        <w:rPr>
          <w:noProof/>
          <w:lang w:eastAsia="en-AU"/>
        </w:rPr>
        <w:drawing>
          <wp:inline distT="0" distB="0" distL="0" distR="0" wp14:anchorId="20E006BF" wp14:editId="300A8CAC">
            <wp:extent cx="5731510" cy="6457950"/>
            <wp:effectExtent l="0" t="0" r="2540" b="0"/>
            <wp:docPr id="156" name="Picture 1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cumulative non tree.JPG"/>
                    <pic:cNvPicPr/>
                  </pic:nvPicPr>
                  <pic:blipFill>
                    <a:blip r:embed="rId178" cstate="email">
                      <a:extLst>
                        <a:ext uri="{28A0092B-C50C-407E-A947-70E740481C1C}">
                          <a14:useLocalDpi xmlns:a14="http://schemas.microsoft.com/office/drawing/2010/main"/>
                        </a:ext>
                      </a:extLst>
                    </a:blip>
                    <a:stretch>
                      <a:fillRect/>
                    </a:stretch>
                  </pic:blipFill>
                  <pic:spPr>
                    <a:xfrm>
                      <a:off x="0" y="0"/>
                      <a:ext cx="5731510" cy="6457950"/>
                    </a:xfrm>
                    <a:prstGeom prst="rect">
                      <a:avLst/>
                    </a:prstGeom>
                  </pic:spPr>
                </pic:pic>
              </a:graphicData>
            </a:graphic>
          </wp:inline>
        </w:drawing>
      </w:r>
    </w:p>
    <w:p w14:paraId="7EC376E4" w14:textId="6DF69D93" w:rsidR="00316D38" w:rsidRDefault="007163E8" w:rsidP="007163E8">
      <w:pPr>
        <w:pStyle w:val="Caption"/>
      </w:pPr>
      <w:bookmarkStart w:id="605" w:name="_Toc31985645"/>
      <w:bookmarkStart w:id="606" w:name="_Toc499912025"/>
      <w:r>
        <w:t xml:space="preserve">Figure </w:t>
      </w:r>
      <w:r w:rsidR="00451E04">
        <w:fldChar w:fldCharType="begin"/>
      </w:r>
      <w:r w:rsidR="00451E04">
        <w:rPr>
          <w:bCs w:val="0"/>
          <w:i w:val="0"/>
        </w:rPr>
        <w:instrText xml:space="preserve"> SEQ Figure \* ARABIC </w:instrText>
      </w:r>
      <w:r w:rsidR="00451E04">
        <w:fldChar w:fldCharType="separate"/>
      </w:r>
      <w:r w:rsidR="007F7607">
        <w:rPr>
          <w:bCs w:val="0"/>
          <w:i w:val="0"/>
          <w:noProof/>
        </w:rPr>
        <w:t>81</w:t>
      </w:r>
      <w:r w:rsidR="00451E04">
        <w:rPr>
          <w:noProof/>
        </w:rPr>
        <w:fldChar w:fldCharType="end"/>
      </w:r>
      <w:r w:rsidR="006529C2">
        <w:rPr>
          <w:noProof/>
        </w:rPr>
        <w:t>.</w:t>
      </w:r>
      <w:r>
        <w:t xml:space="preserve"> Comparison of cumulative species richness within the non-tree communities according to the site watering categories.</w:t>
      </w:r>
      <w:bookmarkEnd w:id="605"/>
    </w:p>
    <w:p w14:paraId="3E33252B" w14:textId="77777777" w:rsidR="00316D38" w:rsidRDefault="007163E8" w:rsidP="00682B8E">
      <w:pPr>
        <w:spacing w:before="40" w:after="40"/>
        <w:rPr>
          <w:i/>
          <w:iCs/>
          <w:sz w:val="22"/>
          <w:szCs w:val="22"/>
        </w:rPr>
      </w:pPr>
      <w:r w:rsidRPr="00316D38">
        <w:rPr>
          <w:i/>
          <w:iCs/>
          <w:sz w:val="22"/>
          <w:szCs w:val="22"/>
        </w:rPr>
        <w:t>The yellow shading represent the environmental watering that occurred in 2015 to sites in watering categories B and C, the green shading represents flooding during 2016-17 that flooded all sites</w:t>
      </w:r>
      <w:r w:rsidR="008267AF" w:rsidRPr="00316D38">
        <w:rPr>
          <w:i/>
          <w:iCs/>
          <w:sz w:val="22"/>
          <w:szCs w:val="22"/>
        </w:rPr>
        <w:t xml:space="preserve"> (watering category A)</w:t>
      </w:r>
      <w:r w:rsidRPr="00316D38">
        <w:rPr>
          <w:i/>
          <w:iCs/>
          <w:sz w:val="22"/>
          <w:szCs w:val="22"/>
        </w:rPr>
        <w:t xml:space="preserve">, and the blue shading represents the environmental watering events that flooded </w:t>
      </w:r>
      <w:r w:rsidR="00BA1021" w:rsidRPr="00316D38">
        <w:rPr>
          <w:i/>
          <w:iCs/>
          <w:sz w:val="22"/>
          <w:szCs w:val="22"/>
        </w:rPr>
        <w:t xml:space="preserve">Nooran </w:t>
      </w:r>
      <w:r w:rsidRPr="00316D38">
        <w:rPr>
          <w:i/>
          <w:iCs/>
          <w:sz w:val="22"/>
          <w:szCs w:val="22"/>
        </w:rPr>
        <w:t>Lake (watering category C).</w:t>
      </w:r>
    </w:p>
    <w:p w14:paraId="335B505A" w14:textId="7EB699B1" w:rsidR="007163E8" w:rsidRPr="00316D38" w:rsidRDefault="002C3FDB" w:rsidP="00682B8E">
      <w:pPr>
        <w:spacing w:before="40" w:after="40"/>
        <w:rPr>
          <w:i/>
          <w:iCs/>
          <w:sz w:val="22"/>
          <w:szCs w:val="22"/>
        </w:rPr>
      </w:pPr>
      <w:r w:rsidRPr="00316D38">
        <w:rPr>
          <w:i/>
          <w:iCs/>
          <w:sz w:val="22"/>
          <w:szCs w:val="22"/>
        </w:rPr>
        <w:t>E</w:t>
      </w:r>
      <w:r w:rsidR="00AB2270" w:rsidRPr="00316D38">
        <w:rPr>
          <w:i/>
          <w:iCs/>
          <w:sz w:val="22"/>
          <w:szCs w:val="22"/>
        </w:rPr>
        <w:t>rror bars represent ± 1 standard error of the mean.</w:t>
      </w:r>
    </w:p>
    <w:p w14:paraId="51265513" w14:textId="380F24C0" w:rsidR="007163E8" w:rsidRDefault="007163E8" w:rsidP="00682B8E">
      <w:pPr>
        <w:spacing w:before="40" w:after="40"/>
      </w:pPr>
    </w:p>
    <w:p w14:paraId="5A7E4508" w14:textId="77777777" w:rsidR="007163E8" w:rsidRPr="00924476" w:rsidRDefault="007163E8" w:rsidP="007163E8">
      <w:pPr>
        <w:pStyle w:val="Heading4"/>
      </w:pPr>
      <w:r w:rsidRPr="00924476">
        <w:t>Tree community</w:t>
      </w:r>
      <w:bookmarkEnd w:id="604"/>
      <w:bookmarkEnd w:id="606"/>
      <w:r w:rsidRPr="00924476">
        <w:t xml:space="preserve"> </w:t>
      </w:r>
    </w:p>
    <w:p w14:paraId="0DD90717" w14:textId="77777777" w:rsidR="00BA29B7" w:rsidRDefault="007163E8" w:rsidP="007163E8">
      <w:pPr>
        <w:rPr>
          <w:lang w:val="en-GB"/>
        </w:rPr>
      </w:pPr>
      <w:r>
        <w:rPr>
          <w:lang w:val="en-GB"/>
        </w:rPr>
        <w:t>A total of 120 understorey species were identified across the tree community plots during 2018-19 watering season, this was the lowest recorded number of species within the tree community plots of any year of the five-year monitoring program</w:t>
      </w:r>
      <w:r w:rsidR="000F3EAF">
        <w:rPr>
          <w:lang w:val="en-GB"/>
        </w:rPr>
        <w:t>.</w:t>
      </w:r>
      <w:bookmarkStart w:id="607" w:name="_Hlk31719516"/>
    </w:p>
    <w:p w14:paraId="522E1E0F" w14:textId="77777777" w:rsidR="00BA29B7" w:rsidRDefault="00080207" w:rsidP="007163E8">
      <w:pPr>
        <w:rPr>
          <w:lang w:val="en-GB"/>
        </w:rPr>
      </w:pPr>
      <w:r>
        <w:rPr>
          <w:lang w:val="en-GB"/>
        </w:rPr>
        <w:t>A total of</w:t>
      </w:r>
      <w:r w:rsidR="000A1A24" w:rsidRPr="00924476">
        <w:rPr>
          <w:lang w:val="en-GB"/>
        </w:rPr>
        <w:t xml:space="preserve"> </w:t>
      </w:r>
      <w:r w:rsidR="000A1A24">
        <w:rPr>
          <w:lang w:val="en-GB"/>
        </w:rPr>
        <w:t xml:space="preserve">156 species </w:t>
      </w:r>
      <w:r>
        <w:rPr>
          <w:lang w:val="en-GB"/>
        </w:rPr>
        <w:t xml:space="preserve">were </w:t>
      </w:r>
      <w:r w:rsidR="000A1A24">
        <w:rPr>
          <w:lang w:val="en-GB"/>
        </w:rPr>
        <w:t xml:space="preserve">identified </w:t>
      </w:r>
      <w:r>
        <w:rPr>
          <w:lang w:val="en-GB"/>
        </w:rPr>
        <w:t>in</w:t>
      </w:r>
      <w:r w:rsidR="000A1A24">
        <w:rPr>
          <w:lang w:val="en-GB"/>
        </w:rPr>
        <w:t xml:space="preserve"> 2017-18, </w:t>
      </w:r>
      <w:r w:rsidR="000A1A24" w:rsidRPr="00924476">
        <w:rPr>
          <w:lang w:val="en-GB"/>
        </w:rPr>
        <w:t xml:space="preserve">181 species </w:t>
      </w:r>
      <w:r>
        <w:rPr>
          <w:lang w:val="en-GB"/>
        </w:rPr>
        <w:t xml:space="preserve">in </w:t>
      </w:r>
      <w:r w:rsidR="000A1A24" w:rsidRPr="00924476">
        <w:rPr>
          <w:lang w:val="en-GB"/>
        </w:rPr>
        <w:t>201</w:t>
      </w:r>
      <w:r w:rsidR="000A1A24">
        <w:rPr>
          <w:lang w:val="en-GB"/>
        </w:rPr>
        <w:t>6</w:t>
      </w:r>
      <w:r w:rsidR="000A1A24" w:rsidRPr="00924476">
        <w:rPr>
          <w:lang w:val="en-GB"/>
        </w:rPr>
        <w:t>-1</w:t>
      </w:r>
      <w:r w:rsidR="000A1A24">
        <w:rPr>
          <w:lang w:val="en-GB"/>
        </w:rPr>
        <w:t>7</w:t>
      </w:r>
      <w:r w:rsidR="000A1A24" w:rsidRPr="00924476">
        <w:rPr>
          <w:lang w:val="en-GB"/>
        </w:rPr>
        <w:t>, 166</w:t>
      </w:r>
      <w:r w:rsidR="000A1A24">
        <w:rPr>
          <w:rStyle w:val="FootnoteReference"/>
          <w:lang w:val="en-GB"/>
        </w:rPr>
        <w:footnoteReference w:id="3"/>
      </w:r>
      <w:r w:rsidR="000A1A24" w:rsidRPr="00924476">
        <w:rPr>
          <w:lang w:val="en-GB"/>
        </w:rPr>
        <w:t xml:space="preserve"> species </w:t>
      </w:r>
      <w:r>
        <w:rPr>
          <w:lang w:val="en-GB"/>
        </w:rPr>
        <w:t xml:space="preserve">in </w:t>
      </w:r>
      <w:r w:rsidR="000A1A24" w:rsidRPr="00924476">
        <w:rPr>
          <w:lang w:val="en-GB"/>
        </w:rPr>
        <w:t xml:space="preserve">2015-16 and 137 species identified during the 2014-15 watering season. </w:t>
      </w:r>
      <w:bookmarkEnd w:id="607"/>
      <w:r w:rsidR="007163E8">
        <w:rPr>
          <w:lang w:val="en-GB"/>
        </w:rPr>
        <w:t>There was a similar number of species identified in spring 2018 (93 species) to Autumn 2019 (92 species).</w:t>
      </w:r>
    </w:p>
    <w:p w14:paraId="464098A3" w14:textId="2B4A0853" w:rsidR="007163E8" w:rsidRPr="00924476" w:rsidRDefault="007163E8" w:rsidP="007163E8">
      <w:pPr>
        <w:rPr>
          <w:lang w:val="en-GB"/>
        </w:rPr>
      </w:pPr>
      <w:r w:rsidRPr="00924476">
        <w:rPr>
          <w:lang w:val="en-GB"/>
        </w:rPr>
        <w:t xml:space="preserve">The greatest number of species were recorded at </w:t>
      </w:r>
      <w:r>
        <w:rPr>
          <w:lang w:val="en-GB"/>
        </w:rPr>
        <w:t>Whealbah and Lake Bullogal</w:t>
      </w:r>
      <w:r w:rsidRPr="00924476">
        <w:rPr>
          <w:lang w:val="en-GB"/>
        </w:rPr>
        <w:t xml:space="preserve"> (</w:t>
      </w:r>
      <w:r>
        <w:rPr>
          <w:lang w:val="en-GB"/>
        </w:rPr>
        <w:t>23</w:t>
      </w:r>
      <w:r w:rsidRPr="00924476">
        <w:rPr>
          <w:lang w:val="en-GB"/>
        </w:rPr>
        <w:t>) in Spring 201</w:t>
      </w:r>
      <w:r>
        <w:rPr>
          <w:lang w:val="en-GB"/>
        </w:rPr>
        <w:t>8</w:t>
      </w:r>
      <w:r w:rsidRPr="00924476">
        <w:rPr>
          <w:lang w:val="en-GB"/>
        </w:rPr>
        <w:t xml:space="preserve"> and at </w:t>
      </w:r>
      <w:r>
        <w:rPr>
          <w:lang w:val="en-GB"/>
        </w:rPr>
        <w:t>Hazelwood</w:t>
      </w:r>
      <w:r w:rsidRPr="00924476">
        <w:rPr>
          <w:lang w:val="en-GB"/>
        </w:rPr>
        <w:t xml:space="preserve"> (</w:t>
      </w:r>
      <w:r>
        <w:rPr>
          <w:lang w:val="en-GB"/>
        </w:rPr>
        <w:t>32</w:t>
      </w:r>
      <w:r w:rsidRPr="00924476">
        <w:rPr>
          <w:lang w:val="en-GB"/>
        </w:rPr>
        <w:t>) in Autumn 201</w:t>
      </w:r>
      <w:r>
        <w:rPr>
          <w:lang w:val="en-GB"/>
        </w:rPr>
        <w:t>9</w:t>
      </w:r>
      <w:r w:rsidRPr="00924476">
        <w:rPr>
          <w:lang w:val="en-GB"/>
        </w:rPr>
        <w:t xml:space="preserve">. </w:t>
      </w:r>
      <w:r>
        <w:rPr>
          <w:lang w:val="en-GB"/>
        </w:rPr>
        <w:t xml:space="preserve">Mossgiel </w:t>
      </w:r>
      <w:r w:rsidRPr="00924476">
        <w:rPr>
          <w:lang w:val="en-GB"/>
        </w:rPr>
        <w:t>daisy (</w:t>
      </w:r>
      <w:r w:rsidRPr="00924476">
        <w:rPr>
          <w:i/>
          <w:iCs/>
          <w:lang w:val="en-GB"/>
        </w:rPr>
        <w:t>Brachyscome papillosa</w:t>
      </w:r>
      <w:r w:rsidRPr="00924476">
        <w:rPr>
          <w:lang w:val="en-GB"/>
        </w:rPr>
        <w:t xml:space="preserve">) </w:t>
      </w:r>
      <w:r>
        <w:rPr>
          <w:lang w:val="en-GB"/>
        </w:rPr>
        <w:t xml:space="preserve">which is a species listed as vulnerable in </w:t>
      </w:r>
      <w:r w:rsidRPr="00924476">
        <w:rPr>
          <w:lang w:val="en-GB"/>
        </w:rPr>
        <w:t>NSW</w:t>
      </w:r>
      <w:r>
        <w:rPr>
          <w:rStyle w:val="FootnoteReference"/>
          <w:lang w:val="en-GB"/>
        </w:rPr>
        <w:footnoteReference w:id="4"/>
      </w:r>
      <w:r>
        <w:rPr>
          <w:lang w:val="en-GB"/>
        </w:rPr>
        <w:t>, was not recorded at Lake Ita Inlet this watering season despite being observed in 2016-17 (Autumn 2017) and 2017-18 (Spring 2017) watering seasons.</w:t>
      </w:r>
    </w:p>
    <w:p w14:paraId="7F44C731" w14:textId="77777777" w:rsidR="008267AF" w:rsidRDefault="007163E8" w:rsidP="007163E8">
      <w:pPr>
        <w:rPr>
          <w:lang w:val="en-GB"/>
        </w:rPr>
      </w:pPr>
      <w:r w:rsidRPr="00924476">
        <w:rPr>
          <w:lang w:val="en-GB"/>
        </w:rPr>
        <w:t>In Spring 201</w:t>
      </w:r>
      <w:r>
        <w:rPr>
          <w:lang w:val="en-GB"/>
        </w:rPr>
        <w:t>8</w:t>
      </w:r>
      <w:r w:rsidRPr="00924476">
        <w:rPr>
          <w:lang w:val="en-GB"/>
        </w:rPr>
        <w:t xml:space="preserve"> the groundcover in the tree community was dominated by </w:t>
      </w:r>
    </w:p>
    <w:p w14:paraId="3217F31A" w14:textId="4E441158" w:rsidR="008267AF" w:rsidRPr="008267AF" w:rsidRDefault="007163E8" w:rsidP="00D437E3">
      <w:pPr>
        <w:pStyle w:val="ListParagraph"/>
        <w:numPr>
          <w:ilvl w:val="0"/>
          <w:numId w:val="38"/>
        </w:numPr>
        <w:rPr>
          <w:iCs/>
          <w:lang w:val="en-GB"/>
        </w:rPr>
      </w:pPr>
      <w:r w:rsidRPr="008267AF">
        <w:rPr>
          <w:lang w:val="en-GB"/>
        </w:rPr>
        <w:t xml:space="preserve">perennial herbs (forest germander </w:t>
      </w:r>
      <w:r w:rsidR="008267AF">
        <w:rPr>
          <w:lang w:val="en-GB"/>
        </w:rPr>
        <w:t>(</w:t>
      </w:r>
      <w:r w:rsidRPr="008267AF">
        <w:rPr>
          <w:i/>
          <w:iCs/>
          <w:lang w:val="en-GB"/>
        </w:rPr>
        <w:t>Teucrium racemosum</w:t>
      </w:r>
      <w:r w:rsidR="008267AF">
        <w:rPr>
          <w:lang w:val="en-GB"/>
        </w:rPr>
        <w:t>)</w:t>
      </w:r>
      <w:r w:rsidRPr="008267AF">
        <w:rPr>
          <w:i/>
          <w:iCs/>
          <w:lang w:val="en-GB"/>
        </w:rPr>
        <w:t>,</w:t>
      </w:r>
      <w:r w:rsidRPr="008267AF">
        <w:rPr>
          <w:lang w:val="en-GB"/>
        </w:rPr>
        <w:t xml:space="preserve"> Trailing Verbena</w:t>
      </w:r>
      <w:r w:rsidRPr="008267AF">
        <w:rPr>
          <w:i/>
          <w:iCs/>
          <w:lang w:val="en-GB"/>
        </w:rPr>
        <w:t xml:space="preserve"> </w:t>
      </w:r>
      <w:r w:rsidR="008267AF">
        <w:rPr>
          <w:lang w:val="en-GB"/>
        </w:rPr>
        <w:t>(</w:t>
      </w:r>
      <w:r w:rsidRPr="008267AF">
        <w:rPr>
          <w:i/>
          <w:iCs/>
          <w:lang w:val="en-GB"/>
        </w:rPr>
        <w:t>Verbena supina</w:t>
      </w:r>
      <w:r w:rsidR="008267AF">
        <w:rPr>
          <w:lang w:val="en-GB"/>
        </w:rPr>
        <w:t>)</w:t>
      </w:r>
      <w:r w:rsidRPr="008267AF">
        <w:rPr>
          <w:lang w:val="en-GB"/>
        </w:rPr>
        <w:t xml:space="preserve"> and lippia </w:t>
      </w:r>
      <w:r w:rsidR="008267AF">
        <w:rPr>
          <w:lang w:val="en-GB"/>
        </w:rPr>
        <w:t>(</w:t>
      </w:r>
      <w:r w:rsidRPr="008267AF">
        <w:rPr>
          <w:i/>
          <w:iCs/>
          <w:lang w:val="en-GB"/>
        </w:rPr>
        <w:t xml:space="preserve">Phyla </w:t>
      </w:r>
      <w:r w:rsidR="00DC189C">
        <w:rPr>
          <w:i/>
          <w:iCs/>
          <w:lang w:val="en-GB"/>
        </w:rPr>
        <w:t>canescens</w:t>
      </w:r>
      <w:r w:rsidRPr="008267AF">
        <w:rPr>
          <w:lang w:val="en-GB"/>
        </w:rPr>
        <w:t>)</w:t>
      </w:r>
      <w:r w:rsidR="00BA29B7">
        <w:rPr>
          <w:lang w:val="en-GB"/>
        </w:rPr>
        <w:t>)</w:t>
      </w:r>
      <w:r w:rsidRPr="008267AF">
        <w:rPr>
          <w:i/>
          <w:iCs/>
          <w:lang w:val="en-GB"/>
        </w:rPr>
        <w:t xml:space="preserve">, </w:t>
      </w:r>
    </w:p>
    <w:p w14:paraId="3C79D32B" w14:textId="228591CB" w:rsidR="008267AF" w:rsidRPr="008267AF" w:rsidRDefault="008267AF" w:rsidP="00D437E3">
      <w:pPr>
        <w:pStyle w:val="ListParagraph"/>
        <w:numPr>
          <w:ilvl w:val="0"/>
          <w:numId w:val="38"/>
        </w:numPr>
        <w:rPr>
          <w:iCs/>
          <w:lang w:val="en-GB"/>
        </w:rPr>
      </w:pPr>
      <w:r>
        <w:rPr>
          <w:lang w:val="en-GB"/>
        </w:rPr>
        <w:t xml:space="preserve">a </w:t>
      </w:r>
      <w:r w:rsidR="007163E8" w:rsidRPr="008267AF">
        <w:rPr>
          <w:lang w:val="en-GB"/>
        </w:rPr>
        <w:t>rhizomatous perennial rush (common spike-rush</w:t>
      </w:r>
      <w:r w:rsidR="0023399C">
        <w:rPr>
          <w:lang w:val="en-GB"/>
        </w:rPr>
        <w:t xml:space="preserve"> (</w:t>
      </w:r>
      <w:r w:rsidR="0023399C" w:rsidRPr="0023399C">
        <w:rPr>
          <w:i/>
          <w:iCs/>
          <w:lang w:val="en-GB"/>
        </w:rPr>
        <w:t>Eleocharis acuta</w:t>
      </w:r>
      <w:r w:rsidR="007163E8" w:rsidRPr="008267AF">
        <w:rPr>
          <w:lang w:val="en-GB"/>
        </w:rPr>
        <w:t>)</w:t>
      </w:r>
      <w:r>
        <w:rPr>
          <w:lang w:val="en-GB"/>
        </w:rPr>
        <w:t>)</w:t>
      </w:r>
      <w:r w:rsidR="007163E8" w:rsidRPr="008267AF">
        <w:rPr>
          <w:lang w:val="en-GB"/>
        </w:rPr>
        <w:t xml:space="preserve">, </w:t>
      </w:r>
    </w:p>
    <w:p w14:paraId="24942E5D" w14:textId="245A4C64" w:rsidR="008267AF" w:rsidRPr="008267AF" w:rsidRDefault="008267AF" w:rsidP="00D437E3">
      <w:pPr>
        <w:pStyle w:val="ListParagraph"/>
        <w:numPr>
          <w:ilvl w:val="0"/>
          <w:numId w:val="38"/>
        </w:numPr>
        <w:rPr>
          <w:iCs/>
          <w:lang w:val="en-GB"/>
        </w:rPr>
      </w:pPr>
      <w:r>
        <w:rPr>
          <w:lang w:val="en-GB"/>
        </w:rPr>
        <w:t>a</w:t>
      </w:r>
      <w:r w:rsidR="007163E8" w:rsidRPr="008267AF">
        <w:rPr>
          <w:lang w:val="en-GB"/>
        </w:rPr>
        <w:t xml:space="preserve"> grass species (blown-grass</w:t>
      </w:r>
      <w:r>
        <w:rPr>
          <w:lang w:val="en-GB"/>
        </w:rPr>
        <w:t xml:space="preserve"> </w:t>
      </w:r>
      <w:r w:rsidRPr="004B4C67">
        <w:rPr>
          <w:lang w:val="en-GB"/>
        </w:rPr>
        <w:t>(</w:t>
      </w:r>
      <w:r w:rsidRPr="004B4C67">
        <w:rPr>
          <w:i/>
          <w:lang w:val="en-GB"/>
        </w:rPr>
        <w:t>Lachnagrostis filiformis</w:t>
      </w:r>
      <w:r w:rsidRPr="004B4C67">
        <w:rPr>
          <w:iCs/>
          <w:lang w:val="en-GB"/>
        </w:rPr>
        <w:t>)</w:t>
      </w:r>
      <w:r w:rsidR="00BA29B7">
        <w:rPr>
          <w:iCs/>
          <w:lang w:val="en-GB"/>
        </w:rPr>
        <w:t>)</w:t>
      </w:r>
      <w:r w:rsidRPr="004B4C67">
        <w:rPr>
          <w:lang w:val="en-GB"/>
        </w:rPr>
        <w:t>,</w:t>
      </w:r>
      <w:r w:rsidR="007163E8" w:rsidRPr="008267AF">
        <w:rPr>
          <w:lang w:val="en-GB"/>
        </w:rPr>
        <w:t xml:space="preserve"> and </w:t>
      </w:r>
    </w:p>
    <w:p w14:paraId="29FC43D1" w14:textId="4FA4A48E" w:rsidR="008267AF" w:rsidRPr="008267AF" w:rsidRDefault="007163E8" w:rsidP="00D437E3">
      <w:pPr>
        <w:pStyle w:val="ListParagraph"/>
        <w:numPr>
          <w:ilvl w:val="0"/>
          <w:numId w:val="38"/>
        </w:numPr>
        <w:rPr>
          <w:iCs/>
          <w:lang w:val="en-GB"/>
        </w:rPr>
      </w:pPr>
      <w:r w:rsidRPr="008267AF">
        <w:rPr>
          <w:lang w:val="en-GB"/>
        </w:rPr>
        <w:t>chenopods, mainly climbing saltbush (</w:t>
      </w:r>
      <w:r w:rsidRPr="008267AF">
        <w:rPr>
          <w:i/>
          <w:lang w:val="en-GB"/>
        </w:rPr>
        <w:t xml:space="preserve">Einadia nutans subsp. </w:t>
      </w:r>
      <w:r w:rsidR="008267AF">
        <w:rPr>
          <w:i/>
          <w:lang w:val="en-GB"/>
        </w:rPr>
        <w:t>n</w:t>
      </w:r>
      <w:r w:rsidRPr="008267AF">
        <w:rPr>
          <w:i/>
          <w:lang w:val="en-GB"/>
        </w:rPr>
        <w:t>utans</w:t>
      </w:r>
      <w:r w:rsidRPr="008267AF">
        <w:rPr>
          <w:iCs/>
          <w:lang w:val="en-GB"/>
        </w:rPr>
        <w:t>)</w:t>
      </w:r>
      <w:r w:rsidRPr="008267AF">
        <w:rPr>
          <w:i/>
          <w:lang w:val="en-GB"/>
        </w:rPr>
        <w:t xml:space="preserve">, </w:t>
      </w:r>
      <w:r w:rsidRPr="008267AF">
        <w:rPr>
          <w:iCs/>
          <w:lang w:val="en-GB"/>
        </w:rPr>
        <w:t>ruby saltbush (</w:t>
      </w:r>
      <w:r w:rsidRPr="008267AF">
        <w:rPr>
          <w:i/>
          <w:lang w:val="en-GB"/>
        </w:rPr>
        <w:t>Enchylaena tomentosa</w:t>
      </w:r>
      <w:r w:rsidRPr="008267AF">
        <w:rPr>
          <w:iCs/>
          <w:lang w:val="en-GB"/>
        </w:rPr>
        <w:t>)</w:t>
      </w:r>
      <w:r w:rsidR="00C2438E">
        <w:rPr>
          <w:iCs/>
          <w:lang w:val="en-GB"/>
        </w:rPr>
        <w:t>,</w:t>
      </w:r>
      <w:r w:rsidRPr="008267AF">
        <w:rPr>
          <w:i/>
          <w:lang w:val="en-GB"/>
        </w:rPr>
        <w:t xml:space="preserve"> </w:t>
      </w:r>
      <w:r w:rsidRPr="008267AF">
        <w:rPr>
          <w:iCs/>
          <w:lang w:val="en-GB"/>
        </w:rPr>
        <w:t>creeping saltbush (</w:t>
      </w:r>
      <w:r w:rsidRPr="008267AF">
        <w:rPr>
          <w:i/>
          <w:lang w:val="en-GB"/>
        </w:rPr>
        <w:t>Atriplex semibaccata</w:t>
      </w:r>
      <w:r w:rsidRPr="008267AF">
        <w:rPr>
          <w:iCs/>
          <w:lang w:val="en-GB"/>
        </w:rPr>
        <w:t>)</w:t>
      </w:r>
      <w:r w:rsidRPr="008267AF">
        <w:rPr>
          <w:i/>
          <w:lang w:val="en-GB"/>
        </w:rPr>
        <w:t>,</w:t>
      </w:r>
      <w:r w:rsidRPr="008267AF">
        <w:rPr>
          <w:lang w:val="en-GB"/>
        </w:rPr>
        <w:t xml:space="preserve"> spiny saltbush (</w:t>
      </w:r>
      <w:r w:rsidRPr="008267AF">
        <w:rPr>
          <w:i/>
          <w:iCs/>
          <w:lang w:val="en-GB"/>
        </w:rPr>
        <w:t>Rhagodia spinescens</w:t>
      </w:r>
      <w:r w:rsidRPr="008267AF">
        <w:rPr>
          <w:lang w:val="en-GB"/>
        </w:rPr>
        <w:t>)</w:t>
      </w:r>
      <w:r w:rsidR="008267AF">
        <w:rPr>
          <w:lang w:val="en-GB"/>
        </w:rPr>
        <w:t>,</w:t>
      </w:r>
      <w:r w:rsidRPr="008267AF">
        <w:rPr>
          <w:lang w:val="en-GB"/>
        </w:rPr>
        <w:t xml:space="preserve"> black roly-poly</w:t>
      </w:r>
      <w:r w:rsidRPr="008267AF">
        <w:rPr>
          <w:i/>
          <w:lang w:val="en-GB"/>
        </w:rPr>
        <w:t xml:space="preserve">, </w:t>
      </w:r>
      <w:r w:rsidRPr="008267AF">
        <w:rPr>
          <w:lang w:val="en-GB"/>
        </w:rPr>
        <w:t>and nitre goosefoot</w:t>
      </w:r>
      <w:r w:rsidR="0023399C">
        <w:rPr>
          <w:lang w:val="en-GB"/>
        </w:rPr>
        <w:t xml:space="preserve"> (</w:t>
      </w:r>
      <w:r w:rsidR="0023399C" w:rsidRPr="004B4C67">
        <w:rPr>
          <w:i/>
          <w:iCs/>
          <w:lang w:val="en-GB"/>
        </w:rPr>
        <w:t>Chenopodium nitrariaceum</w:t>
      </w:r>
      <w:r w:rsidR="0023399C">
        <w:rPr>
          <w:lang w:val="en-GB"/>
        </w:rPr>
        <w:t>).</w:t>
      </w:r>
    </w:p>
    <w:p w14:paraId="372C77A3" w14:textId="48C96BDC" w:rsidR="007163E8" w:rsidRPr="008267AF" w:rsidRDefault="007163E8" w:rsidP="008267AF">
      <w:pPr>
        <w:rPr>
          <w:iCs/>
          <w:lang w:val="en-GB"/>
        </w:rPr>
      </w:pPr>
      <w:r w:rsidRPr="008267AF">
        <w:rPr>
          <w:lang w:val="en-GB"/>
        </w:rPr>
        <w:t>Other species such as yellow twin-heads (</w:t>
      </w:r>
      <w:r w:rsidRPr="008267AF">
        <w:rPr>
          <w:i/>
          <w:iCs/>
          <w:lang w:val="en-GB"/>
        </w:rPr>
        <w:t>Eclipta platyglossa</w:t>
      </w:r>
      <w:r w:rsidRPr="008267AF">
        <w:rPr>
          <w:lang w:val="en-GB"/>
        </w:rPr>
        <w:t>), spreading goodenia (</w:t>
      </w:r>
      <w:r w:rsidRPr="008267AF">
        <w:rPr>
          <w:i/>
          <w:iCs/>
          <w:lang w:val="en-GB"/>
        </w:rPr>
        <w:t>Goodenia heteromera</w:t>
      </w:r>
      <w:r w:rsidRPr="008267AF">
        <w:rPr>
          <w:lang w:val="en-GB"/>
        </w:rPr>
        <w:t>), poison pratia (</w:t>
      </w:r>
      <w:r w:rsidRPr="008267AF">
        <w:rPr>
          <w:i/>
          <w:iCs/>
          <w:lang w:val="en-GB"/>
        </w:rPr>
        <w:t>Lobelia concolor</w:t>
      </w:r>
      <w:r w:rsidRPr="0021421E">
        <w:rPr>
          <w:lang w:val="en-GB"/>
        </w:rPr>
        <w:t>)</w:t>
      </w:r>
      <w:r w:rsidRPr="008267AF">
        <w:rPr>
          <w:i/>
          <w:iCs/>
          <w:lang w:val="en-GB"/>
        </w:rPr>
        <w:t>,</w:t>
      </w:r>
      <w:r w:rsidRPr="008267AF">
        <w:rPr>
          <w:lang w:val="en-GB"/>
        </w:rPr>
        <w:t xml:space="preserve"> tall groundsel (</w:t>
      </w:r>
      <w:r w:rsidRPr="008267AF">
        <w:rPr>
          <w:i/>
          <w:iCs/>
          <w:lang w:val="en-GB"/>
        </w:rPr>
        <w:t>Senecio runcinifolius</w:t>
      </w:r>
      <w:r w:rsidRPr="008267AF">
        <w:rPr>
          <w:lang w:val="en-GB"/>
        </w:rPr>
        <w:t>), common nardoo</w:t>
      </w:r>
      <w:r w:rsidR="0023399C">
        <w:rPr>
          <w:lang w:val="en-GB"/>
        </w:rPr>
        <w:t xml:space="preserve"> </w:t>
      </w:r>
      <w:r w:rsidR="0023399C">
        <w:t>(</w:t>
      </w:r>
      <w:r w:rsidR="0023399C" w:rsidRPr="00ED4163">
        <w:rPr>
          <w:i/>
          <w:iCs/>
        </w:rPr>
        <w:t>Marsilea drummondii</w:t>
      </w:r>
      <w:r w:rsidR="0023399C">
        <w:t>),</w:t>
      </w:r>
      <w:r w:rsidRPr="008267AF">
        <w:rPr>
          <w:lang w:val="en-GB"/>
        </w:rPr>
        <w:t xml:space="preserve"> river mint (</w:t>
      </w:r>
      <w:r w:rsidRPr="008267AF">
        <w:rPr>
          <w:i/>
          <w:iCs/>
          <w:lang w:val="en-GB"/>
        </w:rPr>
        <w:t>Mentha australis</w:t>
      </w:r>
      <w:r w:rsidRPr="008267AF">
        <w:rPr>
          <w:lang w:val="en-GB"/>
        </w:rPr>
        <w:t>), smooth heliotrope (</w:t>
      </w:r>
      <w:r w:rsidRPr="008267AF">
        <w:rPr>
          <w:i/>
          <w:iCs/>
          <w:lang w:val="en-GB"/>
        </w:rPr>
        <w:t>Heliotropium curassavicum</w:t>
      </w:r>
      <w:r w:rsidRPr="008267AF">
        <w:rPr>
          <w:lang w:val="en-GB"/>
        </w:rPr>
        <w:t xml:space="preserve">) and common couch were present although were in lower abundances. Other species </w:t>
      </w:r>
      <w:r w:rsidR="00314E91">
        <w:rPr>
          <w:lang w:val="en-GB"/>
        </w:rPr>
        <w:t xml:space="preserve">were </w:t>
      </w:r>
      <w:r w:rsidRPr="008267AF">
        <w:rPr>
          <w:lang w:val="en-GB"/>
        </w:rPr>
        <w:t xml:space="preserve">not reported </w:t>
      </w:r>
      <w:r w:rsidR="00314E91">
        <w:rPr>
          <w:lang w:val="en-GB"/>
        </w:rPr>
        <w:t xml:space="preserve">here as they </w:t>
      </w:r>
      <w:r w:rsidRPr="008267AF">
        <w:rPr>
          <w:lang w:val="en-GB"/>
        </w:rPr>
        <w:t xml:space="preserve">only occurred as few individuals and usually within a single site. </w:t>
      </w:r>
    </w:p>
    <w:p w14:paraId="3FF67A90" w14:textId="0264378F" w:rsidR="007163E8" w:rsidRDefault="007163E8" w:rsidP="007163E8">
      <w:pPr>
        <w:rPr>
          <w:lang w:val="en-GB"/>
        </w:rPr>
      </w:pPr>
      <w:r w:rsidRPr="00924476">
        <w:rPr>
          <w:lang w:val="en-GB"/>
        </w:rPr>
        <w:t>In Autumn 201</w:t>
      </w:r>
      <w:r>
        <w:rPr>
          <w:lang w:val="en-GB"/>
        </w:rPr>
        <w:t>9</w:t>
      </w:r>
      <w:r w:rsidRPr="00924476">
        <w:rPr>
          <w:lang w:val="en-GB"/>
        </w:rPr>
        <w:t xml:space="preserve"> </w:t>
      </w:r>
      <w:r>
        <w:rPr>
          <w:lang w:val="en-GB"/>
        </w:rPr>
        <w:t>a range of annual or short-lived perennial species became more numerically dominant including burr medic</w:t>
      </w:r>
      <w:r w:rsidR="0023399C">
        <w:rPr>
          <w:lang w:val="en-GB"/>
        </w:rPr>
        <w:t xml:space="preserve"> </w:t>
      </w:r>
      <w:r w:rsidR="0023399C">
        <w:rPr>
          <w:iCs/>
          <w:lang w:val="en-GB"/>
        </w:rPr>
        <w:t>(</w:t>
      </w:r>
      <w:r w:rsidR="0023399C" w:rsidRPr="00F16A9F">
        <w:rPr>
          <w:i/>
          <w:lang w:val="en-GB"/>
        </w:rPr>
        <w:t>Medicago polymorpha</w:t>
      </w:r>
      <w:r w:rsidR="0023399C">
        <w:rPr>
          <w:iCs/>
          <w:lang w:val="en-GB"/>
        </w:rPr>
        <w:t>),</w:t>
      </w:r>
      <w:r>
        <w:rPr>
          <w:lang w:val="en-GB"/>
        </w:rPr>
        <w:t xml:space="preserve"> small crumbweed</w:t>
      </w:r>
      <w:r w:rsidR="0023399C">
        <w:rPr>
          <w:lang w:val="en-GB"/>
        </w:rPr>
        <w:t xml:space="preserve"> </w:t>
      </w:r>
      <w:r w:rsidR="0023399C">
        <w:t>(</w:t>
      </w:r>
      <w:r w:rsidR="0023399C" w:rsidRPr="004B4C67">
        <w:rPr>
          <w:i/>
          <w:iCs/>
          <w:lang w:val="en-GB"/>
        </w:rPr>
        <w:t>Dysphania pumilio</w:t>
      </w:r>
      <w:r w:rsidR="0023399C">
        <w:rPr>
          <w:lang w:val="en-GB"/>
        </w:rPr>
        <w:t>)</w:t>
      </w:r>
      <w:r w:rsidR="0023399C" w:rsidRPr="004B4C67">
        <w:rPr>
          <w:lang w:val="en-GB"/>
        </w:rPr>
        <w:t>,</w:t>
      </w:r>
      <w:r>
        <w:rPr>
          <w:lang w:val="en-GB"/>
        </w:rPr>
        <w:t xml:space="preserve"> small bedstraw (</w:t>
      </w:r>
      <w:r w:rsidRPr="00ED4163">
        <w:rPr>
          <w:i/>
          <w:iCs/>
          <w:lang w:val="en-GB"/>
        </w:rPr>
        <w:t>Galium murale</w:t>
      </w:r>
      <w:r>
        <w:rPr>
          <w:lang w:val="en-GB"/>
        </w:rPr>
        <w:t>), smooth mustard</w:t>
      </w:r>
      <w:r w:rsidR="0023399C">
        <w:rPr>
          <w:lang w:val="en-GB"/>
        </w:rPr>
        <w:t xml:space="preserve"> </w:t>
      </w:r>
      <w:r w:rsidR="0023399C">
        <w:rPr>
          <w:iCs/>
          <w:lang w:val="en-GB"/>
        </w:rPr>
        <w:t>(</w:t>
      </w:r>
      <w:r w:rsidR="0023399C" w:rsidRPr="00ED4163">
        <w:rPr>
          <w:i/>
          <w:lang w:val="en-GB"/>
        </w:rPr>
        <w:t>Sisymbrium erysimoides</w:t>
      </w:r>
      <w:r w:rsidR="0023399C">
        <w:rPr>
          <w:iCs/>
          <w:lang w:val="en-GB"/>
        </w:rPr>
        <w:t>)</w:t>
      </w:r>
      <w:r>
        <w:rPr>
          <w:lang w:val="en-GB"/>
        </w:rPr>
        <w:t>, river cress (</w:t>
      </w:r>
      <w:r w:rsidRPr="00ED4163">
        <w:rPr>
          <w:i/>
          <w:iCs/>
          <w:lang w:val="en-GB"/>
        </w:rPr>
        <w:t>Rorippa eustylis</w:t>
      </w:r>
      <w:r>
        <w:rPr>
          <w:lang w:val="en-GB"/>
        </w:rPr>
        <w:t>)</w:t>
      </w:r>
      <w:r w:rsidRPr="00CD1446">
        <w:rPr>
          <w:lang w:val="en-GB"/>
        </w:rPr>
        <w:t xml:space="preserve"> </w:t>
      </w:r>
      <w:r>
        <w:rPr>
          <w:lang w:val="en-GB"/>
        </w:rPr>
        <w:t>and climbing fumitory (</w:t>
      </w:r>
      <w:r w:rsidRPr="00ED4163">
        <w:rPr>
          <w:i/>
          <w:iCs/>
          <w:lang w:val="en-GB"/>
        </w:rPr>
        <w:t>Fumaria capreolata</w:t>
      </w:r>
      <w:r>
        <w:rPr>
          <w:lang w:val="en-GB"/>
        </w:rPr>
        <w:t>)</w:t>
      </w:r>
      <w:r w:rsidRPr="00924476">
        <w:rPr>
          <w:lang w:val="en-GB"/>
        </w:rPr>
        <w:t>.</w:t>
      </w:r>
    </w:p>
    <w:p w14:paraId="6DC8B1B0" w14:textId="20DCF0FC" w:rsidR="007163E8" w:rsidRDefault="007163E8" w:rsidP="00495604">
      <w:r w:rsidRPr="00495604">
        <w:t xml:space="preserve">Sites that have only received water from natural flooding </w:t>
      </w:r>
      <w:r w:rsidR="00207C6F">
        <w:t xml:space="preserve">in 2016-17 </w:t>
      </w:r>
      <w:r w:rsidRPr="00495604">
        <w:t>show reasonably consistent site scale groundcover vegetation diversity (Simpson’s diversity index) across years with the exception being in autumn 2016 when the diversity was low (</w:t>
      </w:r>
      <w:r w:rsidR="00495604">
        <w:fldChar w:fldCharType="begin"/>
      </w:r>
      <w:r w:rsidR="00495604">
        <w:instrText xml:space="preserve"> REF _Ref17983633 \h </w:instrText>
      </w:r>
      <w:r w:rsidR="00495604">
        <w:fldChar w:fldCharType="separate"/>
      </w:r>
      <w:r w:rsidR="007F7607" w:rsidRPr="003C1511">
        <w:t xml:space="preserve">Figure </w:t>
      </w:r>
      <w:r w:rsidR="007F7607">
        <w:rPr>
          <w:noProof/>
        </w:rPr>
        <w:t>82</w:t>
      </w:r>
      <w:r w:rsidR="00495604">
        <w:fldChar w:fldCharType="end"/>
      </w:r>
      <w:r w:rsidR="00495604">
        <w:t>)</w:t>
      </w:r>
      <w:r w:rsidRPr="00495604">
        <w:t xml:space="preserve"> across both watering categories. The diversity of vegetation at sites that have received one environmental watering action (in 2015-16) over the four year period resulted in the lowest diversity in Spring 2016 when the sites were under water (</w:t>
      </w:r>
      <w:r w:rsidR="00495604">
        <w:fldChar w:fldCharType="begin"/>
      </w:r>
      <w:r w:rsidR="00495604">
        <w:instrText xml:space="preserve"> REF _Ref17983633 \h </w:instrText>
      </w:r>
      <w:r w:rsidR="00495604">
        <w:fldChar w:fldCharType="separate"/>
      </w:r>
      <w:r w:rsidR="007F7607" w:rsidRPr="003C1511">
        <w:t xml:space="preserve">Figure </w:t>
      </w:r>
      <w:r w:rsidR="007F7607">
        <w:rPr>
          <w:noProof/>
        </w:rPr>
        <w:t>82</w:t>
      </w:r>
      <w:r w:rsidR="00495604">
        <w:fldChar w:fldCharType="end"/>
      </w:r>
      <w:r w:rsidR="00495604">
        <w:t>).</w:t>
      </w:r>
      <w:r w:rsidR="00495604" w:rsidRPr="00495604">
        <w:t xml:space="preserve"> </w:t>
      </w:r>
      <w:r w:rsidRPr="00495604">
        <w:t xml:space="preserve">The diversity at these sites had increased by autumn 2017. The diversity at sites in watering category A increased between Autumn 2018 and Spring 2018. The diversity of vegetation has increased slightly within watering categories A and </w:t>
      </w:r>
      <w:r w:rsidR="0023399C">
        <w:t>B</w:t>
      </w:r>
      <w:r w:rsidRPr="00495604">
        <w:t xml:space="preserve"> between spring 2018 and Autumn 2019 (</w:t>
      </w:r>
      <w:r w:rsidR="00495604">
        <w:fldChar w:fldCharType="begin"/>
      </w:r>
      <w:r w:rsidR="00495604">
        <w:instrText xml:space="preserve"> REF _Ref17983633 \h </w:instrText>
      </w:r>
      <w:r w:rsidR="00495604">
        <w:fldChar w:fldCharType="separate"/>
      </w:r>
      <w:r w:rsidR="007F7607" w:rsidRPr="003C1511">
        <w:t xml:space="preserve">Figure </w:t>
      </w:r>
      <w:r w:rsidR="007F7607">
        <w:rPr>
          <w:noProof/>
        </w:rPr>
        <w:t>82</w:t>
      </w:r>
      <w:r w:rsidR="00495604">
        <w:fldChar w:fldCharType="end"/>
      </w:r>
      <w:r w:rsidR="00495604">
        <w:t>).</w:t>
      </w:r>
    </w:p>
    <w:p w14:paraId="5611FE10" w14:textId="77777777" w:rsidR="002924CE" w:rsidRDefault="002924CE" w:rsidP="00495604"/>
    <w:p w14:paraId="278A817F" w14:textId="38133777" w:rsidR="002C3FDB" w:rsidRDefault="002C3FDB" w:rsidP="00495604">
      <w:r>
        <w:rPr>
          <w:noProof/>
          <w:lang w:eastAsia="en-AU"/>
        </w:rPr>
        <w:drawing>
          <wp:inline distT="0" distB="0" distL="0" distR="0" wp14:anchorId="544397DC" wp14:editId="3F44DE78">
            <wp:extent cx="5731510" cy="4342130"/>
            <wp:effectExtent l="0" t="0" r="2540" b="1270"/>
            <wp:docPr id="1032" name="Picture 103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simpsons tree.JPG"/>
                    <pic:cNvPicPr/>
                  </pic:nvPicPr>
                  <pic:blipFill>
                    <a:blip r:embed="rId179" cstate="email">
                      <a:extLst>
                        <a:ext uri="{28A0092B-C50C-407E-A947-70E740481C1C}">
                          <a14:useLocalDpi xmlns:a14="http://schemas.microsoft.com/office/drawing/2010/main"/>
                        </a:ext>
                      </a:extLst>
                    </a:blip>
                    <a:stretch>
                      <a:fillRect/>
                    </a:stretch>
                  </pic:blipFill>
                  <pic:spPr>
                    <a:xfrm>
                      <a:off x="0" y="0"/>
                      <a:ext cx="5731510" cy="4342130"/>
                    </a:xfrm>
                    <a:prstGeom prst="rect">
                      <a:avLst/>
                    </a:prstGeom>
                  </pic:spPr>
                </pic:pic>
              </a:graphicData>
            </a:graphic>
          </wp:inline>
        </w:drawing>
      </w:r>
    </w:p>
    <w:p w14:paraId="35ECEB37" w14:textId="1EFE3DB5" w:rsidR="007163E8" w:rsidRDefault="007163E8" w:rsidP="002924CE">
      <w:pPr>
        <w:pStyle w:val="Caption"/>
      </w:pPr>
      <w:bookmarkStart w:id="608" w:name="_Ref491868381"/>
      <w:bookmarkStart w:id="609" w:name="_Ref17983633"/>
      <w:bookmarkStart w:id="610" w:name="_Toc499912101"/>
      <w:bookmarkStart w:id="611" w:name="_Toc4574876"/>
      <w:bookmarkStart w:id="612" w:name="_Toc31985646"/>
      <w:r w:rsidRPr="003C1511">
        <w:t xml:space="preserve">Figure </w:t>
      </w:r>
      <w:r>
        <w:rPr>
          <w:noProof/>
        </w:rPr>
        <w:fldChar w:fldCharType="begin"/>
      </w:r>
      <w:r>
        <w:rPr>
          <w:noProof/>
        </w:rPr>
        <w:instrText xml:space="preserve"> SEQ Figure \* ARABIC </w:instrText>
      </w:r>
      <w:r>
        <w:rPr>
          <w:noProof/>
        </w:rPr>
        <w:fldChar w:fldCharType="separate"/>
      </w:r>
      <w:r w:rsidR="007F7607">
        <w:rPr>
          <w:noProof/>
        </w:rPr>
        <w:t>82</w:t>
      </w:r>
      <w:r>
        <w:rPr>
          <w:noProof/>
        </w:rPr>
        <w:fldChar w:fldCharType="end"/>
      </w:r>
      <w:bookmarkEnd w:id="608"/>
      <w:bookmarkEnd w:id="609"/>
      <w:r w:rsidRPr="003C1511">
        <w:t>. Comparison of groundcover vegetation diversity in the tree community between seasons and years using Simpson’s diversity index</w:t>
      </w:r>
      <w:r>
        <w:t xml:space="preserve"> (D)</w:t>
      </w:r>
      <w:r w:rsidRPr="003C1511">
        <w:t>.</w:t>
      </w:r>
      <w:bookmarkEnd w:id="610"/>
      <w:bookmarkEnd w:id="611"/>
      <w:bookmarkEnd w:id="612"/>
      <w:r>
        <w:t xml:space="preserve"> </w:t>
      </w:r>
    </w:p>
    <w:p w14:paraId="5D085C5E" w14:textId="5556F0CD" w:rsidR="007163E8" w:rsidRPr="00682B8E" w:rsidRDefault="007163E8" w:rsidP="00682B8E">
      <w:pPr>
        <w:spacing w:before="40" w:after="40"/>
        <w:rPr>
          <w:i/>
          <w:iCs/>
          <w:sz w:val="22"/>
          <w:szCs w:val="22"/>
        </w:rPr>
      </w:pPr>
      <w:r w:rsidRPr="00682B8E">
        <w:rPr>
          <w:i/>
          <w:iCs/>
          <w:sz w:val="22"/>
          <w:szCs w:val="22"/>
        </w:rPr>
        <w:t xml:space="preserve">The data points are the mean diversity index for each watering treatment (refer to </w:t>
      </w:r>
      <w:r w:rsidRPr="00682B8E">
        <w:rPr>
          <w:i/>
          <w:iCs/>
          <w:sz w:val="22"/>
          <w:szCs w:val="22"/>
        </w:rPr>
        <w:fldChar w:fldCharType="begin"/>
      </w:r>
      <w:r w:rsidRPr="00682B8E">
        <w:rPr>
          <w:i/>
          <w:iCs/>
          <w:sz w:val="22"/>
          <w:szCs w:val="22"/>
        </w:rPr>
        <w:instrText xml:space="preserve"> REF _Ref465070871 \h  \* MERGEFORMAT </w:instrText>
      </w:r>
      <w:r w:rsidRPr="00682B8E">
        <w:rPr>
          <w:i/>
          <w:iCs/>
          <w:sz w:val="22"/>
          <w:szCs w:val="22"/>
        </w:rPr>
      </w:r>
      <w:r w:rsidRPr="00682B8E">
        <w:rPr>
          <w:i/>
          <w:iCs/>
          <w:sz w:val="22"/>
          <w:szCs w:val="22"/>
        </w:rPr>
        <w:fldChar w:fldCharType="separate"/>
      </w:r>
      <w:r w:rsidR="007F7607" w:rsidRPr="007F7607">
        <w:rPr>
          <w:i/>
          <w:iCs/>
          <w:sz w:val="22"/>
          <w:szCs w:val="22"/>
        </w:rPr>
        <w:t>Table 28</w:t>
      </w:r>
      <w:r w:rsidRPr="00682B8E">
        <w:rPr>
          <w:i/>
          <w:iCs/>
          <w:sz w:val="22"/>
          <w:szCs w:val="22"/>
        </w:rPr>
        <w:fldChar w:fldCharType="end"/>
      </w:r>
      <w:r w:rsidRPr="00682B8E">
        <w:rPr>
          <w:i/>
          <w:iCs/>
          <w:sz w:val="22"/>
          <w:szCs w:val="22"/>
        </w:rPr>
        <w:t xml:space="preserve">, p. </w:t>
      </w:r>
      <w:r w:rsidRPr="00682B8E">
        <w:rPr>
          <w:i/>
          <w:iCs/>
          <w:sz w:val="22"/>
          <w:szCs w:val="22"/>
        </w:rPr>
        <w:fldChar w:fldCharType="begin"/>
      </w:r>
      <w:r w:rsidRPr="00682B8E">
        <w:rPr>
          <w:i/>
          <w:iCs/>
          <w:sz w:val="22"/>
          <w:szCs w:val="22"/>
        </w:rPr>
        <w:instrText xml:space="preserve"> PAGEREF _Ref493589721 \h </w:instrText>
      </w:r>
      <w:r w:rsidRPr="00682B8E">
        <w:rPr>
          <w:i/>
          <w:iCs/>
          <w:sz w:val="22"/>
          <w:szCs w:val="22"/>
        </w:rPr>
      </w:r>
      <w:r w:rsidRPr="00682B8E">
        <w:rPr>
          <w:i/>
          <w:iCs/>
          <w:sz w:val="22"/>
          <w:szCs w:val="22"/>
        </w:rPr>
        <w:fldChar w:fldCharType="separate"/>
      </w:r>
      <w:r w:rsidR="007F7607">
        <w:rPr>
          <w:i/>
          <w:iCs/>
          <w:noProof/>
          <w:sz w:val="22"/>
          <w:szCs w:val="22"/>
        </w:rPr>
        <w:t>163</w:t>
      </w:r>
      <w:r w:rsidRPr="00682B8E">
        <w:rPr>
          <w:i/>
          <w:iCs/>
          <w:sz w:val="22"/>
          <w:szCs w:val="22"/>
        </w:rPr>
        <w:fldChar w:fldCharType="end"/>
      </w:r>
      <w:r w:rsidRPr="00682B8E">
        <w:rPr>
          <w:i/>
          <w:iCs/>
          <w:sz w:val="22"/>
          <w:szCs w:val="22"/>
        </w:rPr>
        <w:t>).</w:t>
      </w:r>
    </w:p>
    <w:p w14:paraId="52C8DE5A" w14:textId="6CB9C8FE" w:rsidR="007163E8" w:rsidRPr="00682B8E" w:rsidRDefault="007163E8" w:rsidP="00682B8E">
      <w:pPr>
        <w:spacing w:before="40" w:after="40"/>
        <w:rPr>
          <w:i/>
          <w:iCs/>
          <w:sz w:val="22"/>
          <w:szCs w:val="22"/>
        </w:rPr>
      </w:pPr>
      <w:r w:rsidRPr="00682B8E">
        <w:rPr>
          <w:i/>
          <w:iCs/>
          <w:sz w:val="22"/>
          <w:szCs w:val="22"/>
        </w:rPr>
        <w:t>Seasons are defined as S14: Spring 2014; A15: Autumn 2015; S15: Spring 2015; A16: Autumn 2016; A17: Autumn 2017, S17: Spring 2017, A18: Autumn 2018, S18: Spring 2018, and A19 Autumn 2019.</w:t>
      </w:r>
      <w:r w:rsidR="002C3FDB" w:rsidRPr="00682B8E">
        <w:rPr>
          <w:i/>
          <w:iCs/>
          <w:sz w:val="22"/>
          <w:szCs w:val="22"/>
        </w:rPr>
        <w:t xml:space="preserve"> Yellow represents the period that environmental watering occurred at sites in watering category B, and the green represents the flooding event in 2016-17 that flooded all sites.</w:t>
      </w:r>
      <w:r w:rsidR="004075F7" w:rsidRPr="00682B8E">
        <w:rPr>
          <w:i/>
          <w:iCs/>
          <w:sz w:val="22"/>
          <w:szCs w:val="22"/>
        </w:rPr>
        <w:t xml:space="preserve"> </w:t>
      </w:r>
      <w:r w:rsidRPr="00682B8E">
        <w:rPr>
          <w:i/>
          <w:iCs/>
          <w:sz w:val="22"/>
          <w:szCs w:val="22"/>
        </w:rPr>
        <w:t xml:space="preserve">Error bars represent ± </w:t>
      </w:r>
      <w:r w:rsidR="004075F7" w:rsidRPr="00682B8E">
        <w:rPr>
          <w:i/>
          <w:iCs/>
          <w:sz w:val="22"/>
          <w:szCs w:val="22"/>
        </w:rPr>
        <w:t xml:space="preserve">1 </w:t>
      </w:r>
      <w:r w:rsidRPr="00682B8E">
        <w:rPr>
          <w:i/>
          <w:iCs/>
          <w:sz w:val="22"/>
          <w:szCs w:val="22"/>
        </w:rPr>
        <w:t>standard error</w:t>
      </w:r>
      <w:r w:rsidR="004075F7" w:rsidRPr="00682B8E">
        <w:rPr>
          <w:i/>
          <w:iCs/>
          <w:sz w:val="22"/>
          <w:szCs w:val="22"/>
        </w:rPr>
        <w:t xml:space="preserve"> of the mean</w:t>
      </w:r>
      <w:r w:rsidRPr="00682B8E">
        <w:rPr>
          <w:i/>
          <w:iCs/>
          <w:sz w:val="22"/>
          <w:szCs w:val="22"/>
        </w:rPr>
        <w:t xml:space="preserve">. </w:t>
      </w:r>
    </w:p>
    <w:p w14:paraId="0DFBF04C" w14:textId="2E39E393" w:rsidR="00314E91" w:rsidRDefault="007163E8" w:rsidP="007163E8">
      <w:r>
        <w:t xml:space="preserve">The cumulative species richness of amphibious species in the tree communities increased in response to environmental watering and flooding </w:t>
      </w:r>
      <w:r w:rsidR="00D73134">
        <w:t>(</w:t>
      </w:r>
      <w:r>
        <w:fldChar w:fldCharType="begin"/>
      </w:r>
      <w:r>
        <w:instrText xml:space="preserve"> REF _Ref17463687 \h </w:instrText>
      </w:r>
      <w:r>
        <w:fldChar w:fldCharType="separate"/>
      </w:r>
      <w:r w:rsidR="007F7607">
        <w:t xml:space="preserve">Figure </w:t>
      </w:r>
      <w:r w:rsidR="007F7607">
        <w:rPr>
          <w:bCs/>
          <w:i/>
          <w:noProof/>
        </w:rPr>
        <w:t>83</w:t>
      </w:r>
      <w:r>
        <w:fldChar w:fldCharType="end"/>
      </w:r>
      <w:r w:rsidR="00D73134">
        <w:t>)</w:t>
      </w:r>
      <w:r>
        <w:t xml:space="preserve">. Sites in watering category B that received one environmental watering in spring 2015 had an increased number of amphibious species in spring 2015. </w:t>
      </w:r>
    </w:p>
    <w:p w14:paraId="7F07061F" w14:textId="6DAB3419" w:rsidR="007163E8" w:rsidRDefault="007163E8" w:rsidP="007163E8">
      <w:r>
        <w:t xml:space="preserve">Species richness of amphibious species increased at sites in both watering categories during the flood in 2016-17. All amphibious species at all tree community sites were native. The amphibious species within the tree communities consisted of woody perennial species river cooba (eight sites), tangled lignum (ten sites), river red gum (nine sites), and </w:t>
      </w:r>
      <w:r w:rsidRPr="00A21D81">
        <w:t>rhizomatous</w:t>
      </w:r>
      <w:r>
        <w:t xml:space="preserve"> perennials common nardoo, and common spike-rush (at eight and nine sites respectively). When these species were present at a site they were usually present in spring 2014 and the increase in cumulative species richness over the five years was primarily related to new flood respondent annual species. There has been no or very little change in the number of </w:t>
      </w:r>
      <w:r w:rsidR="000432AD">
        <w:t xml:space="preserve">additional </w:t>
      </w:r>
      <w:r>
        <w:t>amphibious species at all sites over the 2018-19 watering season (</w:t>
      </w:r>
      <w:r w:rsidRPr="0012042D">
        <w:rPr>
          <w:highlight w:val="yellow"/>
        </w:rPr>
        <w:fldChar w:fldCharType="begin"/>
      </w:r>
      <w:r w:rsidRPr="0012042D">
        <w:rPr>
          <w:highlight w:val="yellow"/>
        </w:rPr>
        <w:instrText xml:space="preserve"> REF _Ref17463687 \h </w:instrText>
      </w:r>
      <w:r w:rsidR="0012042D" w:rsidRPr="0012042D">
        <w:rPr>
          <w:highlight w:val="yellow"/>
        </w:rPr>
        <w:instrText xml:space="preserve"> \* MERGEFORMAT </w:instrText>
      </w:r>
      <w:r w:rsidRPr="0012042D">
        <w:rPr>
          <w:highlight w:val="yellow"/>
        </w:rPr>
      </w:r>
      <w:r w:rsidRPr="0012042D">
        <w:rPr>
          <w:highlight w:val="yellow"/>
        </w:rPr>
        <w:fldChar w:fldCharType="separate"/>
      </w:r>
      <w:r w:rsidR="007F7607">
        <w:t xml:space="preserve">Figure </w:t>
      </w:r>
      <w:r w:rsidR="007F7607" w:rsidRPr="007F7607">
        <w:rPr>
          <w:bCs/>
          <w:noProof/>
        </w:rPr>
        <w:t>83</w:t>
      </w:r>
      <w:r w:rsidRPr="0012042D">
        <w:rPr>
          <w:highlight w:val="yellow"/>
        </w:rPr>
        <w:fldChar w:fldCharType="end"/>
      </w:r>
      <w:r w:rsidRPr="0012042D">
        <w:t>).</w:t>
      </w:r>
    </w:p>
    <w:p w14:paraId="4B82D4E3" w14:textId="3FD75073" w:rsidR="007163E8" w:rsidRDefault="00A22D5D" w:rsidP="007163E8">
      <w:r>
        <w:rPr>
          <w:noProof/>
          <w:lang w:eastAsia="en-AU"/>
        </w:rPr>
        <w:drawing>
          <wp:inline distT="0" distB="0" distL="0" distR="0" wp14:anchorId="423631D4" wp14:editId="29A191DF">
            <wp:extent cx="5683846" cy="4543425"/>
            <wp:effectExtent l="0" t="0" r="0" b="0"/>
            <wp:docPr id="135" name="Picture 1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cumulative species tree.JPG"/>
                    <pic:cNvPicPr/>
                  </pic:nvPicPr>
                  <pic:blipFill rotWithShape="1">
                    <a:blip r:embed="rId180" cstate="email">
                      <a:extLst>
                        <a:ext uri="{28A0092B-C50C-407E-A947-70E740481C1C}">
                          <a14:useLocalDpi xmlns:a14="http://schemas.microsoft.com/office/drawing/2010/main"/>
                        </a:ext>
                      </a:extLst>
                    </a:blip>
                    <a:srcRect t="-1692"/>
                    <a:stretch/>
                  </pic:blipFill>
                  <pic:spPr bwMode="auto">
                    <a:xfrm>
                      <a:off x="0" y="0"/>
                      <a:ext cx="5685343" cy="4544622"/>
                    </a:xfrm>
                    <a:prstGeom prst="rect">
                      <a:avLst/>
                    </a:prstGeom>
                    <a:ln>
                      <a:noFill/>
                    </a:ln>
                    <a:extLst>
                      <a:ext uri="{53640926-AAD7-44D8-BBD7-CCE9431645EC}">
                        <a14:shadowObscured xmlns:a14="http://schemas.microsoft.com/office/drawing/2010/main"/>
                      </a:ext>
                    </a:extLst>
                  </pic:spPr>
                </pic:pic>
              </a:graphicData>
            </a:graphic>
          </wp:inline>
        </w:drawing>
      </w:r>
    </w:p>
    <w:p w14:paraId="2C870BBF" w14:textId="2DC78A7C" w:rsidR="002924CE" w:rsidRDefault="007163E8" w:rsidP="007163E8">
      <w:pPr>
        <w:pStyle w:val="Caption"/>
      </w:pPr>
      <w:bookmarkStart w:id="613" w:name="_Ref17463687"/>
      <w:bookmarkStart w:id="614" w:name="_Toc31985647"/>
      <w:r>
        <w:t xml:space="preserve">Figure </w:t>
      </w:r>
      <w:r w:rsidR="00451E04">
        <w:fldChar w:fldCharType="begin"/>
      </w:r>
      <w:r w:rsidR="00451E04">
        <w:rPr>
          <w:bCs w:val="0"/>
          <w:i w:val="0"/>
        </w:rPr>
        <w:instrText xml:space="preserve"> SEQ Figure \* ARABIC </w:instrText>
      </w:r>
      <w:r w:rsidR="00451E04">
        <w:fldChar w:fldCharType="separate"/>
      </w:r>
      <w:r w:rsidR="007F7607">
        <w:rPr>
          <w:bCs w:val="0"/>
          <w:i w:val="0"/>
          <w:noProof/>
        </w:rPr>
        <w:t>83</w:t>
      </w:r>
      <w:r w:rsidR="00451E04">
        <w:rPr>
          <w:noProof/>
        </w:rPr>
        <w:fldChar w:fldCharType="end"/>
      </w:r>
      <w:bookmarkEnd w:id="613"/>
      <w:r w:rsidR="006529C2">
        <w:rPr>
          <w:noProof/>
        </w:rPr>
        <w:t>.</w:t>
      </w:r>
      <w:r>
        <w:t xml:space="preserve"> Cumulative species richness of amphibious species in the tree communities at sites within the watering category </w:t>
      </w:r>
      <w:r w:rsidR="00207C6F">
        <w:t xml:space="preserve">A </w:t>
      </w:r>
      <w:r>
        <w:t>(</w:t>
      </w:r>
      <w:r w:rsidR="00207C6F">
        <w:t>floods only</w:t>
      </w:r>
      <w:r w:rsidR="00207C6F" w:rsidDel="00207C6F">
        <w:t xml:space="preserve"> </w:t>
      </w:r>
      <w:r>
        <w:t xml:space="preserve">) (top figure) and watering category </w:t>
      </w:r>
      <w:r w:rsidR="00207C6F">
        <w:t xml:space="preserve">B </w:t>
      </w:r>
      <w:r>
        <w:t>(</w:t>
      </w:r>
      <w:r w:rsidR="00207C6F">
        <w:t>one environmental watering</w:t>
      </w:r>
      <w:r>
        <w:t>) (bottom figure) across the five years of monitoring.</w:t>
      </w:r>
      <w:bookmarkEnd w:id="614"/>
    </w:p>
    <w:p w14:paraId="58A8E88B" w14:textId="77777777" w:rsidR="002924CE" w:rsidRPr="00682B8E" w:rsidRDefault="007163E8" w:rsidP="00682B8E">
      <w:pPr>
        <w:spacing w:before="40" w:after="40"/>
        <w:rPr>
          <w:i/>
          <w:iCs/>
          <w:sz w:val="22"/>
          <w:szCs w:val="22"/>
        </w:rPr>
      </w:pPr>
      <w:r w:rsidRPr="00682B8E">
        <w:rPr>
          <w:i/>
          <w:iCs/>
          <w:sz w:val="22"/>
          <w:szCs w:val="22"/>
        </w:rPr>
        <w:t>Yellow represents the period that environmental watering occurred at sites in watering category B, and the green represents the flooding event in 2016-17 that flooded all sites.</w:t>
      </w:r>
    </w:p>
    <w:p w14:paraId="7DB40BF8" w14:textId="7C9419A6" w:rsidR="007163E8" w:rsidRPr="00682B8E" w:rsidRDefault="00AB2270" w:rsidP="00682B8E">
      <w:pPr>
        <w:spacing w:before="40" w:after="40"/>
        <w:rPr>
          <w:i/>
          <w:iCs/>
          <w:sz w:val="22"/>
          <w:szCs w:val="22"/>
        </w:rPr>
      </w:pPr>
      <w:r w:rsidRPr="00682B8E">
        <w:rPr>
          <w:i/>
          <w:iCs/>
          <w:sz w:val="22"/>
          <w:szCs w:val="22"/>
        </w:rPr>
        <w:t xml:space="preserve">The error bars represent </w:t>
      </w:r>
      <w:r w:rsidRPr="00682B8E">
        <w:rPr>
          <w:rFonts w:cs="Calibri"/>
          <w:i/>
          <w:iCs/>
          <w:sz w:val="22"/>
          <w:szCs w:val="22"/>
        </w:rPr>
        <w:t>±</w:t>
      </w:r>
      <w:r w:rsidRPr="00682B8E">
        <w:rPr>
          <w:i/>
          <w:iCs/>
          <w:sz w:val="22"/>
          <w:szCs w:val="22"/>
        </w:rPr>
        <w:t xml:space="preserve"> 1 standard error of the mean.</w:t>
      </w:r>
    </w:p>
    <w:p w14:paraId="7F3C1CB4" w14:textId="77777777" w:rsidR="007163E8" w:rsidRPr="0012042D" w:rsidRDefault="007163E8" w:rsidP="007163E8">
      <w:pPr>
        <w:rPr>
          <w:sz w:val="20"/>
          <w:szCs w:val="20"/>
        </w:rPr>
      </w:pPr>
    </w:p>
    <w:p w14:paraId="40263015" w14:textId="77777777" w:rsidR="007163E8" w:rsidRPr="00924476" w:rsidRDefault="007163E8" w:rsidP="007163E8">
      <w:pPr>
        <w:pStyle w:val="Heading3"/>
      </w:pPr>
      <w:bookmarkStart w:id="615" w:name="_Toc467776144"/>
      <w:bookmarkStart w:id="616" w:name="_Toc499912026"/>
      <w:bookmarkStart w:id="617" w:name="_Toc4574825"/>
      <w:bookmarkStart w:id="618" w:name="_Toc31985535"/>
      <w:r w:rsidRPr="00924476">
        <w:t>Vegetation community diversity</w:t>
      </w:r>
      <w:bookmarkEnd w:id="615"/>
      <w:bookmarkEnd w:id="616"/>
      <w:bookmarkEnd w:id="617"/>
      <w:bookmarkEnd w:id="618"/>
    </w:p>
    <w:p w14:paraId="140F77DD" w14:textId="77777777" w:rsidR="007163E8" w:rsidRPr="00924476" w:rsidRDefault="007163E8" w:rsidP="007163E8">
      <w:pPr>
        <w:pStyle w:val="Heading4"/>
      </w:pPr>
      <w:bookmarkStart w:id="619" w:name="_Toc467776145"/>
      <w:bookmarkStart w:id="620" w:name="_Toc499912027"/>
      <w:bookmarkStart w:id="621" w:name="_Ref5799558"/>
      <w:r w:rsidRPr="00924476">
        <w:t>Nativeness and functional types: non-tree community</w:t>
      </w:r>
      <w:bookmarkEnd w:id="619"/>
      <w:bookmarkEnd w:id="620"/>
      <w:bookmarkEnd w:id="621"/>
    </w:p>
    <w:p w14:paraId="307611C8" w14:textId="1CA324D0" w:rsidR="007163E8" w:rsidRDefault="007163E8" w:rsidP="007163E8">
      <w:pPr>
        <w:spacing w:before="0" w:after="0"/>
      </w:pPr>
      <w:r w:rsidRPr="00924476">
        <w:t xml:space="preserve">Overall groundcover </w:t>
      </w:r>
      <w:r>
        <w:t>in the 2018-19 watering season was considerably lower than that observed in the previous four years of monitoring and resemble</w:t>
      </w:r>
      <w:r w:rsidR="00833110">
        <w:t>d</w:t>
      </w:r>
      <w:r>
        <w:t xml:space="preserve"> the Spring 2014 watering season (</w:t>
      </w:r>
      <w:r>
        <w:fldChar w:fldCharType="begin"/>
      </w:r>
      <w:r>
        <w:instrText xml:space="preserve"> REF _Ref499908987 \h </w:instrText>
      </w:r>
      <w:r>
        <w:fldChar w:fldCharType="separate"/>
      </w:r>
      <w:r w:rsidR="007F7607" w:rsidRPr="00AC2555">
        <w:t xml:space="preserve">Figure </w:t>
      </w:r>
      <w:r w:rsidR="007F7607">
        <w:rPr>
          <w:noProof/>
        </w:rPr>
        <w:t>84</w:t>
      </w:r>
      <w:r>
        <w:fldChar w:fldCharType="end"/>
      </w:r>
      <w:r>
        <w:t>). Groundcover was similar between</w:t>
      </w:r>
      <w:r w:rsidRPr="00924476">
        <w:t xml:space="preserve"> spring 201</w:t>
      </w:r>
      <w:r>
        <w:t>8</w:t>
      </w:r>
      <w:r w:rsidRPr="00924476">
        <w:t xml:space="preserve"> and autumn 201</w:t>
      </w:r>
      <w:r>
        <w:t>9 at sites in watering categories A and C, and greater in spring than autumn at sites in watering category B (</w:t>
      </w:r>
      <w:r>
        <w:fldChar w:fldCharType="begin"/>
      </w:r>
      <w:r>
        <w:instrText xml:space="preserve"> REF _Ref499908987 \h </w:instrText>
      </w:r>
      <w:r>
        <w:fldChar w:fldCharType="separate"/>
      </w:r>
      <w:r w:rsidR="007F7607" w:rsidRPr="00AC2555">
        <w:t xml:space="preserve">Figure </w:t>
      </w:r>
      <w:r w:rsidR="007F7607">
        <w:rPr>
          <w:noProof/>
        </w:rPr>
        <w:t>84</w:t>
      </w:r>
      <w:r>
        <w:fldChar w:fldCharType="end"/>
      </w:r>
      <w:r>
        <w:t>).</w:t>
      </w:r>
      <w:r w:rsidRPr="00924476">
        <w:t xml:space="preserve"> </w:t>
      </w:r>
      <w:r>
        <w:t xml:space="preserve">The groundcover in both spring 2018 and autumn 2019 was dominated by Terrestrial-dry species, with Amphibious species making up no or a very low proportion of the cover at sites in all three watering treatments. </w:t>
      </w:r>
    </w:p>
    <w:p w14:paraId="3ADB3FA8" w14:textId="0C86124D" w:rsidR="007163E8" w:rsidRDefault="007163E8" w:rsidP="007163E8">
      <w:pPr>
        <w:spacing w:before="0" w:after="0"/>
        <w:rPr>
          <w:lang w:val="en-GB"/>
        </w:rPr>
      </w:pPr>
      <w:r>
        <w:t>The amphibious species group was dominated by woody perennial species tangled lignum</w:t>
      </w:r>
      <w:r w:rsidR="00C2438E">
        <w:t xml:space="preserve"> </w:t>
      </w:r>
      <w:r w:rsidR="00C2438E" w:rsidRPr="00C2438E">
        <w:rPr>
          <w:i/>
          <w:iCs/>
        </w:rPr>
        <w:t>(Duma florulenta)</w:t>
      </w:r>
      <w:r w:rsidRPr="00C2438E">
        <w:rPr>
          <w:i/>
          <w:iCs/>
        </w:rPr>
        <w:t>,</w:t>
      </w:r>
      <w:r>
        <w:t xml:space="preserve"> river red gum, and river cooba, with few annual amphibious species or those present making up a small proportion of the total cover.</w:t>
      </w:r>
      <w:r w:rsidRPr="005238FC">
        <w:t xml:space="preserve"> </w:t>
      </w:r>
      <w:r>
        <w:t>Nooran Lake (in watering category C) was dominated by terrestrial-dry species, nitre bush (</w:t>
      </w:r>
      <w:r w:rsidRPr="00783F72">
        <w:rPr>
          <w:i/>
          <w:iCs/>
        </w:rPr>
        <w:t>Nitraria billardierei</w:t>
      </w:r>
      <w:r>
        <w:t>), ruby saltbush</w:t>
      </w:r>
      <w:r w:rsidR="00C2438E">
        <w:t xml:space="preserve"> </w:t>
      </w:r>
      <w:r w:rsidR="00C2438E" w:rsidRPr="008267AF">
        <w:rPr>
          <w:iCs/>
          <w:lang w:val="en-GB"/>
        </w:rPr>
        <w:t>(</w:t>
      </w:r>
      <w:r w:rsidR="00C2438E" w:rsidRPr="008267AF">
        <w:rPr>
          <w:i/>
          <w:lang w:val="en-GB"/>
        </w:rPr>
        <w:t>Enchylaena tomentosa</w:t>
      </w:r>
      <w:r w:rsidR="00C2438E" w:rsidRPr="008267AF">
        <w:rPr>
          <w:iCs/>
          <w:lang w:val="en-GB"/>
        </w:rPr>
        <w:t>)</w:t>
      </w:r>
      <w:r>
        <w:t>,</w:t>
      </w:r>
      <w:r w:rsidRPr="00A63009">
        <w:t xml:space="preserve"> </w:t>
      </w:r>
      <w:r>
        <w:t>black roly-poly, climbing saltbush</w:t>
      </w:r>
      <w:r w:rsidRPr="00A63009">
        <w:t xml:space="preserve"> </w:t>
      </w:r>
      <w:r w:rsidR="00C2438E" w:rsidRPr="008267AF">
        <w:rPr>
          <w:lang w:val="en-GB"/>
        </w:rPr>
        <w:t>(</w:t>
      </w:r>
      <w:r w:rsidR="00C2438E" w:rsidRPr="008267AF">
        <w:rPr>
          <w:i/>
          <w:lang w:val="en-GB"/>
        </w:rPr>
        <w:t xml:space="preserve">Einadia nutans subsp. </w:t>
      </w:r>
      <w:r w:rsidR="00C2438E">
        <w:rPr>
          <w:i/>
          <w:lang w:val="en-GB"/>
        </w:rPr>
        <w:t>n</w:t>
      </w:r>
      <w:r w:rsidR="00C2438E" w:rsidRPr="008267AF">
        <w:rPr>
          <w:i/>
          <w:lang w:val="en-GB"/>
        </w:rPr>
        <w:t>utans</w:t>
      </w:r>
      <w:r w:rsidR="00C2438E" w:rsidRPr="008267AF">
        <w:rPr>
          <w:iCs/>
          <w:lang w:val="en-GB"/>
        </w:rPr>
        <w:t>)</w:t>
      </w:r>
      <w:r w:rsidR="00C2438E" w:rsidRPr="008267AF">
        <w:rPr>
          <w:i/>
          <w:lang w:val="en-GB"/>
        </w:rPr>
        <w:t xml:space="preserve">, </w:t>
      </w:r>
      <w:r>
        <w:t>and fat hen</w:t>
      </w:r>
      <w:r w:rsidR="00C2438E">
        <w:t xml:space="preserve"> </w:t>
      </w:r>
      <w:r w:rsidR="00C2438E">
        <w:rPr>
          <w:iCs/>
          <w:lang w:val="en-GB"/>
        </w:rPr>
        <w:t>(</w:t>
      </w:r>
      <w:r w:rsidR="00C2438E" w:rsidRPr="004B4C67">
        <w:rPr>
          <w:i/>
          <w:lang w:val="en-GB"/>
        </w:rPr>
        <w:t>Chenopodium album</w:t>
      </w:r>
      <w:r w:rsidR="00C2438E">
        <w:rPr>
          <w:iCs/>
          <w:lang w:val="en-GB"/>
        </w:rPr>
        <w:t>)</w:t>
      </w:r>
      <w:r>
        <w:t xml:space="preserve">. </w:t>
      </w:r>
      <w:r w:rsidRPr="00924476">
        <w:t xml:space="preserve">There was no obvious effect of </w:t>
      </w:r>
      <w:r>
        <w:t>the past four years of</w:t>
      </w:r>
      <w:r w:rsidRPr="00924476">
        <w:t xml:space="preserve"> watering </w:t>
      </w:r>
      <w:r w:rsidR="001F37D9">
        <w:t>history</w:t>
      </w:r>
      <w:r w:rsidR="001F37D9" w:rsidRPr="00924476">
        <w:t xml:space="preserve"> </w:t>
      </w:r>
      <w:r w:rsidRPr="00924476">
        <w:t>on the response of the groundcover vegetation</w:t>
      </w:r>
      <w:r>
        <w:t xml:space="preserve"> and the groundcover in the 2018-19 watering season appears to be responding to local rainfall conditions</w:t>
      </w:r>
      <w:r w:rsidR="00C2438E">
        <w:t xml:space="preserve"> (</w:t>
      </w:r>
      <w:r w:rsidR="00C2438E">
        <w:fldChar w:fldCharType="begin"/>
      </w:r>
      <w:r w:rsidR="00C2438E">
        <w:instrText xml:space="preserve"> REF _Ref18421633 \h </w:instrText>
      </w:r>
      <w:r w:rsidR="00C2438E">
        <w:fldChar w:fldCharType="separate"/>
      </w:r>
      <w:r w:rsidR="007F7607" w:rsidRPr="001A48D7">
        <w:t xml:space="preserve">Figure </w:t>
      </w:r>
      <w:r w:rsidR="007F7607">
        <w:rPr>
          <w:noProof/>
        </w:rPr>
        <w:t>3</w:t>
      </w:r>
      <w:r w:rsidR="00C2438E">
        <w:fldChar w:fldCharType="end"/>
      </w:r>
      <w:r w:rsidR="00C2438E">
        <w:t xml:space="preserve">, </w:t>
      </w:r>
      <w:r w:rsidR="00507E37">
        <w:t>p.</w:t>
      </w:r>
      <w:r w:rsidR="00C2438E">
        <w:t xml:space="preserve"> </w:t>
      </w:r>
      <w:r w:rsidR="00C2438E">
        <w:fldChar w:fldCharType="begin"/>
      </w:r>
      <w:r w:rsidR="00C2438E">
        <w:instrText xml:space="preserve"> PAGEREF _Ref18669431 \h </w:instrText>
      </w:r>
      <w:r w:rsidR="00C2438E">
        <w:fldChar w:fldCharType="separate"/>
      </w:r>
      <w:r w:rsidR="007F7607">
        <w:rPr>
          <w:noProof/>
        </w:rPr>
        <w:t>21</w:t>
      </w:r>
      <w:r w:rsidR="00C2438E">
        <w:fldChar w:fldCharType="end"/>
      </w:r>
      <w:r w:rsidR="00C2438E">
        <w:t xml:space="preserve">) </w:t>
      </w:r>
      <w:r>
        <w:t xml:space="preserve">and this is what appears to be driving the cover and species assemblage on the floodplain. For instance, at sites Hazelwood, Whealbah and Moon Moon monitoring occurred after considerable rainfall (approximately 90 mm) over the preceding two months and cover was dominated by small (&lt;5 cm) Terrestrial- dry annual species such as </w:t>
      </w:r>
      <w:r w:rsidR="0023399C">
        <w:rPr>
          <w:lang w:val="en-GB"/>
        </w:rPr>
        <w:t xml:space="preserve">burr medic </w:t>
      </w:r>
      <w:r w:rsidR="0023399C">
        <w:rPr>
          <w:iCs/>
          <w:lang w:val="en-GB"/>
        </w:rPr>
        <w:t>(</w:t>
      </w:r>
      <w:r w:rsidR="0023399C" w:rsidRPr="00F16A9F">
        <w:rPr>
          <w:i/>
          <w:lang w:val="en-GB"/>
        </w:rPr>
        <w:t>Medicago polymorpha</w:t>
      </w:r>
      <w:r w:rsidR="0023399C">
        <w:rPr>
          <w:iCs/>
          <w:lang w:val="en-GB"/>
        </w:rPr>
        <w:t>),</w:t>
      </w:r>
      <w:r w:rsidR="0023399C">
        <w:rPr>
          <w:lang w:val="en-GB"/>
        </w:rPr>
        <w:t xml:space="preserve"> small crumbweed </w:t>
      </w:r>
      <w:r w:rsidR="0023399C">
        <w:t>(</w:t>
      </w:r>
      <w:r w:rsidR="0023399C" w:rsidRPr="004B4C67">
        <w:rPr>
          <w:i/>
          <w:iCs/>
          <w:lang w:val="en-GB"/>
        </w:rPr>
        <w:t>Dysphania pumilio</w:t>
      </w:r>
      <w:r w:rsidR="0023399C">
        <w:rPr>
          <w:lang w:val="en-GB"/>
        </w:rPr>
        <w:t>)</w:t>
      </w:r>
      <w:r>
        <w:t xml:space="preserve">, </w:t>
      </w:r>
      <w:r w:rsidR="0023399C">
        <w:t>New Zealand</w:t>
      </w:r>
      <w:r>
        <w:t xml:space="preserve"> spinach</w:t>
      </w:r>
      <w:r w:rsidRPr="006F361B">
        <w:t xml:space="preserve"> </w:t>
      </w:r>
      <w:r>
        <w:t>(</w:t>
      </w:r>
      <w:r w:rsidRPr="00ED4163">
        <w:rPr>
          <w:i/>
          <w:iCs/>
        </w:rPr>
        <w:t>Tetragonia eremaea</w:t>
      </w:r>
      <w:r>
        <w:t>)</w:t>
      </w:r>
      <w:r w:rsidRPr="006F361B">
        <w:t xml:space="preserve"> </w:t>
      </w:r>
      <w:r>
        <w:t>and smooth mustard</w:t>
      </w:r>
      <w:r w:rsidR="00C2438E">
        <w:t xml:space="preserve"> </w:t>
      </w:r>
      <w:r w:rsidR="00C2438E">
        <w:rPr>
          <w:iCs/>
          <w:lang w:val="en-GB"/>
        </w:rPr>
        <w:t>(</w:t>
      </w:r>
      <w:r w:rsidR="00C2438E" w:rsidRPr="00ED4163">
        <w:rPr>
          <w:i/>
          <w:lang w:val="en-GB"/>
        </w:rPr>
        <w:t>Sisymbrium erysimoides</w:t>
      </w:r>
      <w:r w:rsidR="00C2438E">
        <w:rPr>
          <w:iCs/>
          <w:lang w:val="en-GB"/>
        </w:rPr>
        <w:t>)</w:t>
      </w:r>
      <w:r w:rsidR="00C2438E">
        <w:rPr>
          <w:lang w:val="en-GB"/>
        </w:rPr>
        <w:t>.</w:t>
      </w:r>
    </w:p>
    <w:p w14:paraId="0145E7A7" w14:textId="71D494BB" w:rsidR="00B0117A" w:rsidRDefault="00B0117A" w:rsidP="007163E8">
      <w:pPr>
        <w:spacing w:before="0" w:after="0"/>
        <w:rPr>
          <w:lang w:val="en-GB"/>
        </w:rPr>
      </w:pPr>
    </w:p>
    <w:p w14:paraId="035ACA71" w14:textId="10667CD8" w:rsidR="00B0117A" w:rsidRDefault="00B0117A" w:rsidP="007163E8">
      <w:pPr>
        <w:spacing w:before="0" w:after="0"/>
        <w:rPr>
          <w:lang w:val="en-GB"/>
        </w:rPr>
      </w:pPr>
      <w:r>
        <w:rPr>
          <w:noProof/>
          <w:lang w:eastAsia="en-AU"/>
        </w:rPr>
        <w:drawing>
          <wp:inline distT="0" distB="0" distL="0" distR="0" wp14:anchorId="73EC557C" wp14:editId="4159D57A">
            <wp:extent cx="5484243" cy="4086225"/>
            <wp:effectExtent l="0" t="0" r="254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b="-1895"/>
                    <a:stretch/>
                  </pic:blipFill>
                  <pic:spPr bwMode="auto">
                    <a:xfrm>
                      <a:off x="0" y="0"/>
                      <a:ext cx="5511354" cy="4106425"/>
                    </a:xfrm>
                    <a:prstGeom prst="rect">
                      <a:avLst/>
                    </a:prstGeom>
                    <a:noFill/>
                    <a:ln>
                      <a:noFill/>
                    </a:ln>
                    <a:extLst>
                      <a:ext uri="{53640926-AAD7-44D8-BBD7-CCE9431645EC}">
                        <a14:shadowObscured xmlns:a14="http://schemas.microsoft.com/office/drawing/2010/main"/>
                      </a:ext>
                    </a:extLst>
                  </pic:spPr>
                </pic:pic>
              </a:graphicData>
            </a:graphic>
          </wp:inline>
        </w:drawing>
      </w:r>
    </w:p>
    <w:p w14:paraId="0D7601A4" w14:textId="0A0A91D6" w:rsidR="007163E8" w:rsidRDefault="007163E8" w:rsidP="007163E8">
      <w:pPr>
        <w:pStyle w:val="Caption"/>
      </w:pPr>
      <w:bookmarkStart w:id="622" w:name="_Ref499908987"/>
      <w:bookmarkStart w:id="623" w:name="_Toc499912104"/>
      <w:bookmarkStart w:id="624" w:name="_Toc4574877"/>
      <w:bookmarkStart w:id="625" w:name="_Toc31985648"/>
      <w:r w:rsidRPr="00AC2555">
        <w:t xml:space="preserve">Figure </w:t>
      </w:r>
      <w:r>
        <w:rPr>
          <w:noProof/>
        </w:rPr>
        <w:fldChar w:fldCharType="begin"/>
      </w:r>
      <w:r>
        <w:rPr>
          <w:noProof/>
        </w:rPr>
        <w:instrText xml:space="preserve"> SEQ Figure \* ARABIC </w:instrText>
      </w:r>
      <w:r>
        <w:rPr>
          <w:noProof/>
        </w:rPr>
        <w:fldChar w:fldCharType="separate"/>
      </w:r>
      <w:r w:rsidR="007F7607">
        <w:rPr>
          <w:noProof/>
        </w:rPr>
        <w:t>84</w:t>
      </w:r>
      <w:r>
        <w:rPr>
          <w:noProof/>
        </w:rPr>
        <w:fldChar w:fldCharType="end"/>
      </w:r>
      <w:bookmarkEnd w:id="622"/>
      <w:r w:rsidRPr="00AC2555">
        <w:t>. Average percent cover of terrestrial and amphibious species wi</w:t>
      </w:r>
      <w:r>
        <w:t xml:space="preserve">thin the non-tree community for </w:t>
      </w:r>
      <w:r w:rsidRPr="00AC2555">
        <w:t>sites from each watering history over the sampling period.</w:t>
      </w:r>
      <w:bookmarkEnd w:id="623"/>
      <w:bookmarkEnd w:id="624"/>
      <w:bookmarkEnd w:id="625"/>
      <w:r>
        <w:t xml:space="preserve"> </w:t>
      </w:r>
    </w:p>
    <w:p w14:paraId="0329A841" w14:textId="77777777" w:rsidR="007163E8" w:rsidRDefault="007163E8" w:rsidP="00682B8E">
      <w:pPr>
        <w:pStyle w:val="Caption"/>
        <w:spacing w:before="40" w:after="40"/>
      </w:pPr>
      <w:r w:rsidRPr="00AC2555">
        <w:t>Seasons are defined as S14: Spring 2014; A15: Autumn 2015; S15: Spring 2015; A16: Autumn 2016; A17: Autumn 2017, S17:</w:t>
      </w:r>
      <w:r>
        <w:t xml:space="preserve"> Spring 2017, A18: Autumn 2018, S18: Spring 2018, and A19: Autumn 2019.</w:t>
      </w:r>
    </w:p>
    <w:p w14:paraId="70287783" w14:textId="0B2F5551" w:rsidR="007163E8" w:rsidRDefault="007163E8" w:rsidP="00682B8E">
      <w:pPr>
        <w:pStyle w:val="Caption"/>
        <w:spacing w:before="40" w:after="40"/>
      </w:pPr>
      <w:r w:rsidRPr="00AC2555">
        <w:t xml:space="preserve">Watering treatments are defined as A, B and C (refer to </w:t>
      </w:r>
      <w:r w:rsidRPr="00AC2555">
        <w:fldChar w:fldCharType="begin"/>
      </w:r>
      <w:r w:rsidRPr="00AC2555">
        <w:instrText xml:space="preserve"> REF _Ref465070871 \h  \* MERGEFORMAT </w:instrText>
      </w:r>
      <w:r w:rsidRPr="00AC2555">
        <w:fldChar w:fldCharType="separate"/>
      </w:r>
      <w:r w:rsidR="007F7607" w:rsidRPr="0094556C">
        <w:t xml:space="preserve">Table </w:t>
      </w:r>
      <w:r w:rsidR="007F7607">
        <w:t>28</w:t>
      </w:r>
      <w:r w:rsidRPr="00AC2555">
        <w:fldChar w:fldCharType="end"/>
      </w:r>
      <w:r w:rsidRPr="00AC2555">
        <w:t xml:space="preserve"> for explanations, p. </w:t>
      </w:r>
      <w:r w:rsidRPr="00AC2555">
        <w:fldChar w:fldCharType="begin"/>
      </w:r>
      <w:r w:rsidRPr="00AC2555">
        <w:instrText xml:space="preserve"> PAGEREF _Ref493589977 \h </w:instrText>
      </w:r>
      <w:r w:rsidRPr="00AC2555">
        <w:fldChar w:fldCharType="separate"/>
      </w:r>
      <w:r w:rsidR="007F7607">
        <w:rPr>
          <w:noProof/>
        </w:rPr>
        <w:t>163</w:t>
      </w:r>
      <w:r w:rsidRPr="00AC2555">
        <w:fldChar w:fldCharType="end"/>
      </w:r>
      <w:r>
        <w:t>).</w:t>
      </w:r>
    </w:p>
    <w:p w14:paraId="5B7DDBBF" w14:textId="77777777" w:rsidR="007163E8" w:rsidRPr="00AC2555" w:rsidRDefault="007163E8" w:rsidP="00682B8E">
      <w:pPr>
        <w:pStyle w:val="Caption"/>
        <w:spacing w:before="40" w:after="40"/>
      </w:pPr>
      <w:r w:rsidRPr="00AC2555">
        <w:t>Unknown represents species that were unable to be identified to a suitable level for classification. Note that data are not shown for the peak of the flood event in Spring 2017. This is because the sites were either inaccessible or under more than 0.7 m of water and did not have any ‘groundcover’ vegetation present.</w:t>
      </w:r>
    </w:p>
    <w:p w14:paraId="2FA5DD11" w14:textId="77777777" w:rsidR="0012042D" w:rsidRDefault="0012042D" w:rsidP="007163E8"/>
    <w:p w14:paraId="43564162" w14:textId="47097AC8" w:rsidR="00C2438E" w:rsidRDefault="007163E8" w:rsidP="007163E8">
      <w:r>
        <w:t xml:space="preserve">The </w:t>
      </w:r>
      <w:r w:rsidRPr="00924476">
        <w:t xml:space="preserve">vegetation cover at the </w:t>
      </w:r>
      <w:r>
        <w:t>non-tree community</w:t>
      </w:r>
      <w:r w:rsidRPr="00924476">
        <w:t xml:space="preserve"> sites in 201</w:t>
      </w:r>
      <w:r>
        <w:t>8</w:t>
      </w:r>
      <w:r w:rsidRPr="00924476">
        <w:t>-1</w:t>
      </w:r>
      <w:r>
        <w:t>9</w:t>
      </w:r>
      <w:r w:rsidRPr="00924476">
        <w:t xml:space="preserve"> </w:t>
      </w:r>
      <w:r>
        <w:t xml:space="preserve">varied between sites and between spring and autumn. More than 65% of the vegetation cover at monitoring sites in 2018 was native and this dropped to 41% native in 2019. </w:t>
      </w:r>
      <w:r w:rsidRPr="00924476">
        <w:t xml:space="preserve">There was no </w:t>
      </w:r>
      <w:r>
        <w:t xml:space="preserve">noticeable </w:t>
      </w:r>
      <w:r w:rsidRPr="00924476">
        <w:t xml:space="preserve">influence of </w:t>
      </w:r>
      <w:r>
        <w:t xml:space="preserve">the past four years of </w:t>
      </w:r>
      <w:r w:rsidRPr="00924476">
        <w:t xml:space="preserve">watering history on the proportion of native species present during the drying phase </w:t>
      </w:r>
      <w:r>
        <w:t>(</w:t>
      </w:r>
      <w:r>
        <w:fldChar w:fldCharType="begin"/>
      </w:r>
      <w:r>
        <w:instrText xml:space="preserve"> REF _Ref499907546 \h </w:instrText>
      </w:r>
      <w:r>
        <w:fldChar w:fldCharType="separate"/>
      </w:r>
      <w:r w:rsidR="007F7607" w:rsidRPr="00AC2555">
        <w:t xml:space="preserve">Figure </w:t>
      </w:r>
      <w:r w:rsidR="007F7607">
        <w:rPr>
          <w:noProof/>
        </w:rPr>
        <w:t>85</w:t>
      </w:r>
      <w:r>
        <w:fldChar w:fldCharType="end"/>
      </w:r>
      <w:r w:rsidRPr="00924476">
        <w:t xml:space="preserve">). </w:t>
      </w:r>
      <w:r>
        <w:t xml:space="preserve">The average percent cover of exotic plants increased from 5% in spring 2018 to 41% in Autumn 2019. This increase in the proportion of exotic cover occurred at sites Hazelwood (increase from 14% exotic cover in spring 2018 to 59% exotic cover in Autumn 2019), Moon Moon (increase from 0% cover of native and exotic cover in Spring 2018 to 48% exotic cover in Autumn 2019), and Whealbah Lagoon (increase from 8% exotic cover in spring 2018 to 54% in Autumn 2019). </w:t>
      </w:r>
    </w:p>
    <w:p w14:paraId="0664023C" w14:textId="0DD48BC5" w:rsidR="007163E8" w:rsidRDefault="007163E8" w:rsidP="007163E8">
      <w:r>
        <w:t>Exotic species at these sites which increased in cover between Spring and Autumn were dominated by burr medic</w:t>
      </w:r>
      <w:r w:rsidR="00C2438E">
        <w:t xml:space="preserve"> </w:t>
      </w:r>
      <w:r w:rsidR="00C2438E">
        <w:rPr>
          <w:iCs/>
          <w:lang w:val="en-GB"/>
        </w:rPr>
        <w:t>(</w:t>
      </w:r>
      <w:r w:rsidR="00C2438E" w:rsidRPr="00F16A9F">
        <w:rPr>
          <w:i/>
          <w:lang w:val="en-GB"/>
        </w:rPr>
        <w:t>Medicago polymorpha</w:t>
      </w:r>
      <w:r w:rsidR="00C2438E">
        <w:rPr>
          <w:iCs/>
          <w:lang w:val="en-GB"/>
        </w:rPr>
        <w:t>)</w:t>
      </w:r>
      <w:r>
        <w:t>,</w:t>
      </w:r>
      <w:r w:rsidRPr="004B4B93">
        <w:t xml:space="preserve"> </w:t>
      </w:r>
      <w:r>
        <w:t>Pat</w:t>
      </w:r>
      <w:r w:rsidR="004B25ED">
        <w:t>t</w:t>
      </w:r>
      <w:r>
        <w:t>erson’s curse (</w:t>
      </w:r>
      <w:r w:rsidRPr="00ED4163">
        <w:rPr>
          <w:i/>
          <w:iCs/>
        </w:rPr>
        <w:t>Echium plantagineum</w:t>
      </w:r>
      <w:r>
        <w:t>), climbing fumitory</w:t>
      </w:r>
      <w:r>
        <w:rPr>
          <w:i/>
          <w:iCs/>
        </w:rPr>
        <w:t xml:space="preserve">, </w:t>
      </w:r>
      <w:r>
        <w:t>turnip weed</w:t>
      </w:r>
      <w:r w:rsidR="00314E91">
        <w:t xml:space="preserve">, </w:t>
      </w:r>
      <w:r>
        <w:t>and smooth mustard</w:t>
      </w:r>
      <w:r w:rsidR="00C2438E">
        <w:t xml:space="preserve"> </w:t>
      </w:r>
      <w:r w:rsidR="00C2438E">
        <w:rPr>
          <w:iCs/>
          <w:lang w:val="en-GB"/>
        </w:rPr>
        <w:t>(</w:t>
      </w:r>
      <w:r w:rsidR="00C2438E" w:rsidRPr="00ED4163">
        <w:rPr>
          <w:i/>
          <w:lang w:val="en-GB"/>
        </w:rPr>
        <w:t>Sisymbrium erysimoides</w:t>
      </w:r>
      <w:r w:rsidR="00C2438E">
        <w:rPr>
          <w:iCs/>
          <w:lang w:val="en-GB"/>
        </w:rPr>
        <w:t>)</w:t>
      </w:r>
      <w:r>
        <w:t>.</w:t>
      </w:r>
      <w:r w:rsidRPr="00D72659">
        <w:t xml:space="preserve"> </w:t>
      </w:r>
      <w:r>
        <w:t>These are all annual and Terrestrial (dry or damp) species. To note, is that the three sites that showed this increase in exotic plant cover were all monitored following a (2 month) period of higher than average rainfall. This increase in exotic plant cover was not observed at sites in the other two watering treatments.</w:t>
      </w:r>
    </w:p>
    <w:p w14:paraId="0B69CD40" w14:textId="3E9C2272" w:rsidR="00EB4AB8" w:rsidRDefault="00EB4AB8" w:rsidP="007163E8">
      <w:r>
        <w:rPr>
          <w:noProof/>
          <w:lang w:eastAsia="en-AU"/>
        </w:rPr>
        <w:drawing>
          <wp:inline distT="0" distB="0" distL="0" distR="0" wp14:anchorId="57B5443F" wp14:editId="01A381AA">
            <wp:extent cx="5429250" cy="3546803"/>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448034" cy="3559074"/>
                    </a:xfrm>
                    <a:prstGeom prst="rect">
                      <a:avLst/>
                    </a:prstGeom>
                    <a:noFill/>
                  </pic:spPr>
                </pic:pic>
              </a:graphicData>
            </a:graphic>
          </wp:inline>
        </w:drawing>
      </w:r>
    </w:p>
    <w:p w14:paraId="03B6BD2A" w14:textId="0795BBB0" w:rsidR="007163E8" w:rsidRPr="00AC2555" w:rsidRDefault="007163E8" w:rsidP="007163E8">
      <w:pPr>
        <w:pStyle w:val="Caption"/>
      </w:pPr>
      <w:bookmarkStart w:id="626" w:name="_Ref499907546"/>
      <w:bookmarkStart w:id="627" w:name="_Toc499912102"/>
      <w:bookmarkStart w:id="628" w:name="_Toc4574878"/>
      <w:bookmarkStart w:id="629" w:name="_Toc31985649"/>
      <w:r w:rsidRPr="00AC2555">
        <w:t xml:space="preserve">Figure </w:t>
      </w:r>
      <w:r>
        <w:rPr>
          <w:noProof/>
        </w:rPr>
        <w:fldChar w:fldCharType="begin"/>
      </w:r>
      <w:r>
        <w:rPr>
          <w:noProof/>
        </w:rPr>
        <w:instrText xml:space="preserve"> SEQ Figure \* ARABIC </w:instrText>
      </w:r>
      <w:r>
        <w:rPr>
          <w:noProof/>
        </w:rPr>
        <w:fldChar w:fldCharType="separate"/>
      </w:r>
      <w:r w:rsidR="007F7607">
        <w:rPr>
          <w:noProof/>
        </w:rPr>
        <w:t>85</w:t>
      </w:r>
      <w:r>
        <w:rPr>
          <w:noProof/>
        </w:rPr>
        <w:fldChar w:fldCharType="end"/>
      </w:r>
      <w:bookmarkEnd w:id="626"/>
      <w:r w:rsidRPr="00AC2555">
        <w:t xml:space="preserve">. Average </w:t>
      </w:r>
      <w:r>
        <w:t xml:space="preserve">percent </w:t>
      </w:r>
      <w:r w:rsidRPr="00AC2555">
        <w:t>cover of native and exotic species for the non-tree communities</w:t>
      </w:r>
      <w:bookmarkEnd w:id="627"/>
      <w:r>
        <w:t xml:space="preserve"> for </w:t>
      </w:r>
      <w:r w:rsidRPr="00AC2555">
        <w:t>sites from each watering history over the sampling period</w:t>
      </w:r>
      <w:r>
        <w:t>.</w:t>
      </w:r>
      <w:bookmarkEnd w:id="628"/>
      <w:bookmarkEnd w:id="629"/>
      <w:r>
        <w:t xml:space="preserve"> </w:t>
      </w:r>
    </w:p>
    <w:p w14:paraId="1483A484" w14:textId="77777777" w:rsidR="007163E8" w:rsidRDefault="007163E8" w:rsidP="00682B8E">
      <w:pPr>
        <w:pStyle w:val="Caption"/>
        <w:spacing w:before="40" w:after="40"/>
      </w:pPr>
      <w:r w:rsidRPr="00AC2555">
        <w:t>Seasons are defined as S14: Spring 2014; A15: Autumn 2015; S15: Spring 2015; A16: Autumn 2016; A17: Autumn 2017, S17:</w:t>
      </w:r>
      <w:r>
        <w:t xml:space="preserve"> Spring 2017, A18: Autumn 2018, S18: Spring 2018, and A19: Autumn 2019.</w:t>
      </w:r>
    </w:p>
    <w:p w14:paraId="194B0E88" w14:textId="423BD1E5" w:rsidR="007163E8" w:rsidRPr="00AC2555" w:rsidRDefault="007163E8" w:rsidP="00682B8E">
      <w:pPr>
        <w:pStyle w:val="Caption"/>
        <w:spacing w:before="40" w:after="40"/>
      </w:pPr>
      <w:r w:rsidRPr="00AC2555">
        <w:t xml:space="preserve">Watering treatments are defined as A, B and C (refer to </w:t>
      </w:r>
      <w:r w:rsidRPr="00AC2555">
        <w:fldChar w:fldCharType="begin"/>
      </w:r>
      <w:r w:rsidRPr="00AC2555">
        <w:instrText xml:space="preserve"> REF _Ref465070871 \h  \* MERGEFORMAT </w:instrText>
      </w:r>
      <w:r w:rsidRPr="00AC2555">
        <w:fldChar w:fldCharType="separate"/>
      </w:r>
      <w:r w:rsidR="007F7607" w:rsidRPr="0094556C">
        <w:t xml:space="preserve">Table </w:t>
      </w:r>
      <w:r w:rsidR="007F7607">
        <w:t>28</w:t>
      </w:r>
      <w:r w:rsidRPr="00AC2555">
        <w:fldChar w:fldCharType="end"/>
      </w:r>
      <w:r w:rsidRPr="00AC2555">
        <w:t xml:space="preserve"> for explanations, p. </w:t>
      </w:r>
      <w:r w:rsidRPr="00AC2555">
        <w:fldChar w:fldCharType="begin"/>
      </w:r>
      <w:r w:rsidRPr="00AC2555">
        <w:instrText xml:space="preserve"> PAGEREF _Ref493589977 \h </w:instrText>
      </w:r>
      <w:r w:rsidRPr="00AC2555">
        <w:fldChar w:fldCharType="separate"/>
      </w:r>
      <w:r w:rsidR="007F7607">
        <w:rPr>
          <w:noProof/>
        </w:rPr>
        <w:t>163</w:t>
      </w:r>
      <w:r w:rsidRPr="00AC2555">
        <w:fldChar w:fldCharType="end"/>
      </w:r>
      <w:r w:rsidRPr="00AC2555">
        <w:t>)</w:t>
      </w:r>
      <w:r w:rsidR="0021784F">
        <w:t>.</w:t>
      </w:r>
      <w:r w:rsidRPr="00AC2555">
        <w:t xml:space="preserve"> Note that data are not shown for the peak of the flood event in Spring 2016 (Flood Peak), because the sites were either inaccessible or under more than 0.7 m of water and did not have any ‘groundcover’ vegetation present</w:t>
      </w:r>
      <w:r w:rsidR="00454C5A">
        <w:t>.</w:t>
      </w:r>
      <w:r w:rsidR="00D15DDC">
        <w:br/>
        <w:t>Unknown species are those that were unable to be identified.</w:t>
      </w:r>
    </w:p>
    <w:p w14:paraId="6F79422F" w14:textId="77777777" w:rsidR="007163E8" w:rsidRPr="00924476" w:rsidRDefault="007163E8" w:rsidP="002924CE">
      <w:pPr>
        <w:spacing w:before="0" w:after="0"/>
        <w:ind w:left="284" w:hanging="284"/>
      </w:pPr>
    </w:p>
    <w:p w14:paraId="19ECE98E" w14:textId="77777777" w:rsidR="007163E8" w:rsidRPr="00924476" w:rsidRDefault="007163E8" w:rsidP="007163E8">
      <w:pPr>
        <w:pStyle w:val="Heading4"/>
      </w:pPr>
      <w:bookmarkStart w:id="630" w:name="_Toc467776146"/>
      <w:bookmarkStart w:id="631" w:name="_Toc499912028"/>
      <w:r w:rsidRPr="00924476">
        <w:t>Nativeness and functional types: tree community</w:t>
      </w:r>
      <w:bookmarkEnd w:id="630"/>
      <w:bookmarkEnd w:id="631"/>
    </w:p>
    <w:p w14:paraId="30C8B664" w14:textId="5C9E1B5D" w:rsidR="007163E8" w:rsidRDefault="007163E8" w:rsidP="007163E8">
      <w:pPr>
        <w:spacing w:before="0" w:after="0"/>
        <w:rPr>
          <w:lang w:val="en-GB"/>
        </w:rPr>
      </w:pPr>
      <w:r w:rsidRPr="00924476">
        <w:rPr>
          <w:lang w:val="en-GB"/>
        </w:rPr>
        <w:t xml:space="preserve">Within the tree community, the </w:t>
      </w:r>
      <w:r>
        <w:rPr>
          <w:lang w:val="en-GB"/>
        </w:rPr>
        <w:t xml:space="preserve">percent </w:t>
      </w:r>
      <w:r w:rsidRPr="00924476">
        <w:rPr>
          <w:lang w:val="en-GB"/>
        </w:rPr>
        <w:t xml:space="preserve">groundcover </w:t>
      </w:r>
      <w:r>
        <w:rPr>
          <w:lang w:val="en-GB"/>
        </w:rPr>
        <w:t>remained fairly consistent</w:t>
      </w:r>
      <w:r w:rsidRPr="00924476">
        <w:rPr>
          <w:lang w:val="en-GB"/>
        </w:rPr>
        <w:t xml:space="preserve"> between spring 201</w:t>
      </w:r>
      <w:r>
        <w:rPr>
          <w:lang w:val="en-GB"/>
        </w:rPr>
        <w:t>8</w:t>
      </w:r>
      <w:r w:rsidRPr="00924476">
        <w:rPr>
          <w:lang w:val="en-GB"/>
        </w:rPr>
        <w:t xml:space="preserve"> and autumn 201</w:t>
      </w:r>
      <w:r>
        <w:rPr>
          <w:lang w:val="en-GB"/>
        </w:rPr>
        <w:t>9.</w:t>
      </w:r>
      <w:r w:rsidRPr="00924476">
        <w:rPr>
          <w:lang w:val="en-GB"/>
        </w:rPr>
        <w:t xml:space="preserve"> Groundcover within the tree community </w:t>
      </w:r>
      <w:r>
        <w:rPr>
          <w:lang w:val="en-GB"/>
        </w:rPr>
        <w:t>in Spring 2018 and Autumn 2019 was the lowest recorded over the five years of monitoring within both watering treatments (</w:t>
      </w:r>
      <w:r>
        <w:rPr>
          <w:lang w:val="en-GB"/>
        </w:rPr>
        <w:fldChar w:fldCharType="begin"/>
      </w:r>
      <w:r>
        <w:rPr>
          <w:lang w:val="en-GB"/>
        </w:rPr>
        <w:instrText xml:space="preserve"> REF _Ref499910521 \h </w:instrText>
      </w:r>
      <w:r>
        <w:rPr>
          <w:lang w:val="en-GB"/>
        </w:rPr>
      </w:r>
      <w:r>
        <w:rPr>
          <w:lang w:val="en-GB"/>
        </w:rPr>
        <w:fldChar w:fldCharType="separate"/>
      </w:r>
      <w:r w:rsidR="007F7607" w:rsidRPr="001D2B89">
        <w:t xml:space="preserve">Figure </w:t>
      </w:r>
      <w:r w:rsidR="007F7607">
        <w:rPr>
          <w:noProof/>
        </w:rPr>
        <w:t>86</w:t>
      </w:r>
      <w:r>
        <w:rPr>
          <w:lang w:val="en-GB"/>
        </w:rPr>
        <w:fldChar w:fldCharType="end"/>
      </w:r>
      <w:r>
        <w:rPr>
          <w:lang w:val="en-GB"/>
        </w:rPr>
        <w:t>). Groundcover was dominated by Terrestrial species in both Spring 2018 and Autumn 2019. The few amphibious species which were present in the 2018-19 watering season primarily consisted of long-lived perennial species such tangled lignum</w:t>
      </w:r>
      <w:r w:rsidR="004B25ED">
        <w:rPr>
          <w:i/>
          <w:iCs/>
        </w:rPr>
        <w:t xml:space="preserve"> </w:t>
      </w:r>
      <w:r>
        <w:rPr>
          <w:lang w:val="en-GB"/>
        </w:rPr>
        <w:t>and</w:t>
      </w:r>
      <w:r w:rsidRPr="00A131BC">
        <w:rPr>
          <w:lang w:val="en-GB"/>
        </w:rPr>
        <w:t xml:space="preserve"> </w:t>
      </w:r>
      <w:r>
        <w:rPr>
          <w:lang w:val="en-GB"/>
        </w:rPr>
        <w:t>river cooba</w:t>
      </w:r>
      <w:r w:rsidRPr="00A131BC">
        <w:rPr>
          <w:lang w:val="en-GB"/>
        </w:rPr>
        <w:t xml:space="preserve"> </w:t>
      </w:r>
      <w:r>
        <w:rPr>
          <w:lang w:val="en-GB"/>
        </w:rPr>
        <w:t xml:space="preserve">and the rhizomatous species common nardoo </w:t>
      </w:r>
      <w:r w:rsidR="004B25ED">
        <w:t>(</w:t>
      </w:r>
      <w:r w:rsidR="004B25ED" w:rsidRPr="00ED4163">
        <w:rPr>
          <w:i/>
          <w:iCs/>
        </w:rPr>
        <w:t>Marsilea drummondii</w:t>
      </w:r>
      <w:r w:rsidR="004B25ED">
        <w:t xml:space="preserve">) </w:t>
      </w:r>
      <w:r>
        <w:rPr>
          <w:lang w:val="en-GB"/>
        </w:rPr>
        <w:t xml:space="preserve">and common </w:t>
      </w:r>
      <w:r w:rsidR="004B25ED">
        <w:rPr>
          <w:lang w:val="en-GB"/>
        </w:rPr>
        <w:t>spike-rus</w:t>
      </w:r>
      <w:r>
        <w:rPr>
          <w:lang w:val="en-GB"/>
        </w:rPr>
        <w:t>h</w:t>
      </w:r>
      <w:r w:rsidR="004B25ED">
        <w:rPr>
          <w:lang w:val="en-GB"/>
        </w:rPr>
        <w:t xml:space="preserve"> (</w:t>
      </w:r>
      <w:r w:rsidR="004B25ED" w:rsidRPr="0023399C">
        <w:rPr>
          <w:i/>
          <w:iCs/>
          <w:lang w:val="en-GB"/>
        </w:rPr>
        <w:t>Eleocharis acuta</w:t>
      </w:r>
      <w:r w:rsidR="004B25ED" w:rsidRPr="008267AF">
        <w:rPr>
          <w:lang w:val="en-GB"/>
        </w:rPr>
        <w:t>)</w:t>
      </w:r>
      <w:r>
        <w:rPr>
          <w:lang w:val="en-GB"/>
        </w:rPr>
        <w:t>. All groundcover at s</w:t>
      </w:r>
      <w:r w:rsidRPr="00924476">
        <w:rPr>
          <w:lang w:val="en-GB"/>
        </w:rPr>
        <w:t xml:space="preserve">ites </w:t>
      </w:r>
      <w:r>
        <w:rPr>
          <w:lang w:val="en-GB"/>
        </w:rPr>
        <w:t>in watering category B</w:t>
      </w:r>
      <w:r w:rsidRPr="00924476">
        <w:rPr>
          <w:lang w:val="en-GB"/>
        </w:rPr>
        <w:t xml:space="preserve"> </w:t>
      </w:r>
      <w:r>
        <w:rPr>
          <w:lang w:val="en-GB"/>
        </w:rPr>
        <w:t>consisted of Terrestrial-dry species in Autumn 2019</w:t>
      </w:r>
      <w:r w:rsidRPr="00924476">
        <w:rPr>
          <w:lang w:val="en-GB"/>
        </w:rPr>
        <w:t xml:space="preserve"> (watering category A</w:t>
      </w:r>
      <w:r>
        <w:rPr>
          <w:lang w:val="en-GB"/>
        </w:rPr>
        <w:t xml:space="preserve">, </w:t>
      </w:r>
      <w:r>
        <w:rPr>
          <w:lang w:val="en-GB"/>
        </w:rPr>
        <w:fldChar w:fldCharType="begin"/>
      </w:r>
      <w:r>
        <w:rPr>
          <w:lang w:val="en-GB"/>
        </w:rPr>
        <w:instrText xml:space="preserve"> REF _Ref499910521 \h </w:instrText>
      </w:r>
      <w:r>
        <w:rPr>
          <w:lang w:val="en-GB"/>
        </w:rPr>
      </w:r>
      <w:r>
        <w:rPr>
          <w:lang w:val="en-GB"/>
        </w:rPr>
        <w:fldChar w:fldCharType="separate"/>
      </w:r>
      <w:r w:rsidR="007F7607" w:rsidRPr="001D2B89">
        <w:t xml:space="preserve">Figure </w:t>
      </w:r>
      <w:r w:rsidR="007F7607">
        <w:rPr>
          <w:noProof/>
        </w:rPr>
        <w:t>86</w:t>
      </w:r>
      <w:r>
        <w:rPr>
          <w:lang w:val="en-GB"/>
        </w:rPr>
        <w:fldChar w:fldCharType="end"/>
      </w:r>
      <w:r>
        <w:rPr>
          <w:lang w:val="en-GB"/>
        </w:rPr>
        <w:t>).</w:t>
      </w:r>
    </w:p>
    <w:p w14:paraId="34EAA2E0" w14:textId="2877437E" w:rsidR="00EB4AB8" w:rsidRDefault="00EB4AB8" w:rsidP="007163E8">
      <w:pPr>
        <w:spacing w:before="0" w:after="0"/>
        <w:rPr>
          <w:lang w:val="en-GB"/>
        </w:rPr>
      </w:pPr>
    </w:p>
    <w:p w14:paraId="026503A2" w14:textId="3CAA8DDC" w:rsidR="00EB4AB8" w:rsidRDefault="00EB4AB8" w:rsidP="007163E8">
      <w:pPr>
        <w:spacing w:before="0" w:after="0"/>
        <w:rPr>
          <w:lang w:val="en-GB"/>
        </w:rPr>
      </w:pPr>
      <w:r>
        <w:rPr>
          <w:noProof/>
          <w:lang w:eastAsia="en-AU"/>
        </w:rPr>
        <w:drawing>
          <wp:inline distT="0" distB="0" distL="0" distR="0" wp14:anchorId="1AB638C1" wp14:editId="35257371">
            <wp:extent cx="5748913" cy="4095750"/>
            <wp:effectExtent l="0" t="0" r="444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770792" cy="4111337"/>
                    </a:xfrm>
                    <a:prstGeom prst="rect">
                      <a:avLst/>
                    </a:prstGeom>
                    <a:noFill/>
                  </pic:spPr>
                </pic:pic>
              </a:graphicData>
            </a:graphic>
          </wp:inline>
        </w:drawing>
      </w:r>
    </w:p>
    <w:p w14:paraId="6DC01FB8" w14:textId="312B9A94" w:rsidR="007163E8" w:rsidRPr="001D2B89" w:rsidRDefault="007163E8" w:rsidP="007163E8">
      <w:pPr>
        <w:pStyle w:val="Caption"/>
      </w:pPr>
      <w:bookmarkStart w:id="632" w:name="_Ref499910521"/>
      <w:bookmarkStart w:id="633" w:name="_Toc499912108"/>
      <w:bookmarkStart w:id="634" w:name="_Toc4574880"/>
      <w:bookmarkStart w:id="635" w:name="_Toc31985650"/>
      <w:r w:rsidRPr="001D2B89">
        <w:t xml:space="preserve">Figure </w:t>
      </w:r>
      <w:r>
        <w:rPr>
          <w:noProof/>
        </w:rPr>
        <w:fldChar w:fldCharType="begin"/>
      </w:r>
      <w:r>
        <w:rPr>
          <w:noProof/>
        </w:rPr>
        <w:instrText xml:space="preserve"> SEQ Figure \* ARABIC </w:instrText>
      </w:r>
      <w:r>
        <w:rPr>
          <w:noProof/>
        </w:rPr>
        <w:fldChar w:fldCharType="separate"/>
      </w:r>
      <w:r w:rsidR="007F7607">
        <w:rPr>
          <w:noProof/>
        </w:rPr>
        <w:t>86</w:t>
      </w:r>
      <w:r>
        <w:rPr>
          <w:noProof/>
        </w:rPr>
        <w:fldChar w:fldCharType="end"/>
      </w:r>
      <w:bookmarkEnd w:id="632"/>
      <w:r w:rsidRPr="001D2B89">
        <w:t>. Average p</w:t>
      </w:r>
      <w:r>
        <w:t>ercent</w:t>
      </w:r>
      <w:r w:rsidRPr="001D2B89">
        <w:t xml:space="preserve"> cover of terrestrial and amphibious species within the tree community for sites from each watering history over the sampling period.</w:t>
      </w:r>
      <w:bookmarkEnd w:id="633"/>
      <w:bookmarkEnd w:id="634"/>
      <w:bookmarkEnd w:id="635"/>
      <w:r>
        <w:t xml:space="preserve"> </w:t>
      </w:r>
    </w:p>
    <w:p w14:paraId="7E8DC5EF" w14:textId="77777777" w:rsidR="007163E8" w:rsidRDefault="007163E8" w:rsidP="00682B8E">
      <w:pPr>
        <w:pStyle w:val="Caption"/>
        <w:spacing w:before="40" w:after="40"/>
      </w:pPr>
      <w:r w:rsidRPr="001D2B89">
        <w:t>Seasons are defined as S14: Spring 2014; A15: Autumn 2015; S15: Spring 2015; A16: Autumn 2016; A17: Autumn 2017, S17:</w:t>
      </w:r>
      <w:r>
        <w:t xml:space="preserve"> Spring 2017, A18: Autumn 2018, S18: Spring 2018, and A19: Autumn 2019.</w:t>
      </w:r>
    </w:p>
    <w:p w14:paraId="1FEF57D7" w14:textId="7FD88996" w:rsidR="007163E8" w:rsidRDefault="007163E8" w:rsidP="00682B8E">
      <w:pPr>
        <w:pStyle w:val="Caption"/>
        <w:spacing w:before="40" w:after="40"/>
      </w:pPr>
      <w:r w:rsidRPr="001D2B89">
        <w:t xml:space="preserve">Watering treatments are defined as A and B (refer to </w:t>
      </w:r>
      <w:r w:rsidRPr="001D2B89">
        <w:fldChar w:fldCharType="begin"/>
      </w:r>
      <w:r w:rsidRPr="001D2B89">
        <w:instrText xml:space="preserve"> REF _Ref465070871 \h  \* MERGEFORMAT </w:instrText>
      </w:r>
      <w:r w:rsidRPr="001D2B89">
        <w:fldChar w:fldCharType="separate"/>
      </w:r>
      <w:r w:rsidR="007F7607" w:rsidRPr="0094556C">
        <w:t xml:space="preserve">Table </w:t>
      </w:r>
      <w:r w:rsidR="007F7607">
        <w:t>28</w:t>
      </w:r>
      <w:r w:rsidRPr="001D2B89">
        <w:fldChar w:fldCharType="end"/>
      </w:r>
      <w:r w:rsidRPr="001D2B89">
        <w:t xml:space="preserve"> for explanations, p. </w:t>
      </w:r>
      <w:r w:rsidRPr="001D2B89">
        <w:fldChar w:fldCharType="begin"/>
      </w:r>
      <w:r w:rsidRPr="001D2B89">
        <w:instrText xml:space="preserve"> PAGEREF _Ref493589977 \h </w:instrText>
      </w:r>
      <w:r w:rsidRPr="001D2B89">
        <w:fldChar w:fldCharType="separate"/>
      </w:r>
      <w:r w:rsidR="007F7607">
        <w:rPr>
          <w:noProof/>
        </w:rPr>
        <w:t>163</w:t>
      </w:r>
      <w:r w:rsidRPr="001D2B89">
        <w:fldChar w:fldCharType="end"/>
      </w:r>
      <w:r>
        <w:t>).</w:t>
      </w:r>
    </w:p>
    <w:p w14:paraId="3C0989E1" w14:textId="77777777" w:rsidR="007163E8" w:rsidRDefault="007163E8" w:rsidP="00682B8E">
      <w:pPr>
        <w:pStyle w:val="Caption"/>
        <w:spacing w:before="40" w:after="40"/>
      </w:pPr>
      <w:r w:rsidRPr="001D2B89">
        <w:t>Unknown represents species that were unable to be identified to a suitable level for classification.</w:t>
      </w:r>
    </w:p>
    <w:p w14:paraId="54FB4E1C" w14:textId="77777777" w:rsidR="007163E8" w:rsidRPr="00DC0581" w:rsidRDefault="007163E8" w:rsidP="007163E8"/>
    <w:p w14:paraId="47F06C0D" w14:textId="144985ED" w:rsidR="007163E8" w:rsidRDefault="007163E8" w:rsidP="007163E8">
      <w:pPr>
        <w:spacing w:before="0" w:after="0"/>
        <w:rPr>
          <w:lang w:val="en-GB"/>
        </w:rPr>
      </w:pPr>
      <w:r>
        <w:rPr>
          <w:lang w:val="en-GB"/>
        </w:rPr>
        <w:t xml:space="preserve">The degree of </w:t>
      </w:r>
      <w:r w:rsidRPr="00924476">
        <w:rPr>
          <w:lang w:val="en-GB"/>
        </w:rPr>
        <w:t xml:space="preserve">nativeness </w:t>
      </w:r>
      <w:r>
        <w:rPr>
          <w:lang w:val="en-GB"/>
        </w:rPr>
        <w:t>at sites remained high in Spring 2018 (at least 76% nativeness) and reduced in Autumn 2019, with the groundcover vegetation at two sites made up of less than 45% native specie</w:t>
      </w:r>
      <w:r w:rsidRPr="00DC0581">
        <w:rPr>
          <w:lang w:val="en-GB"/>
        </w:rPr>
        <w:t>s (</w:t>
      </w:r>
      <w:r w:rsidRPr="00DC0581">
        <w:rPr>
          <w:lang w:val="en-GB"/>
        </w:rPr>
        <w:fldChar w:fldCharType="begin"/>
      </w:r>
      <w:r w:rsidRPr="00DC0581">
        <w:rPr>
          <w:lang w:val="en-GB"/>
        </w:rPr>
        <w:instrText xml:space="preserve"> REF _Ref499910085 \h  \* MERGEFORMAT </w:instrText>
      </w:r>
      <w:r w:rsidRPr="00DC0581">
        <w:rPr>
          <w:lang w:val="en-GB"/>
        </w:rPr>
      </w:r>
      <w:r w:rsidRPr="00DC0581">
        <w:rPr>
          <w:lang w:val="en-GB"/>
        </w:rPr>
        <w:fldChar w:fldCharType="separate"/>
      </w:r>
      <w:r w:rsidR="007F7607" w:rsidRPr="007F7607">
        <w:rPr>
          <w:bCs/>
        </w:rPr>
        <w:t xml:space="preserve">Figure </w:t>
      </w:r>
      <w:r w:rsidR="007F7607" w:rsidRPr="007F7607">
        <w:rPr>
          <w:bCs/>
          <w:noProof/>
        </w:rPr>
        <w:t>87</w:t>
      </w:r>
      <w:r w:rsidRPr="00DC0581">
        <w:fldChar w:fldCharType="end"/>
      </w:r>
      <w:r w:rsidRPr="00DC0581">
        <w:rPr>
          <w:lang w:val="en-GB"/>
        </w:rPr>
        <w:t>).</w:t>
      </w:r>
    </w:p>
    <w:p w14:paraId="3CEC7BE0" w14:textId="09D94901" w:rsidR="00072A5C" w:rsidRDefault="00626071" w:rsidP="007163E8">
      <w:pPr>
        <w:spacing w:before="0" w:after="0"/>
        <w:rPr>
          <w:lang w:val="en-GB"/>
        </w:rPr>
      </w:pPr>
      <w:r>
        <w:rPr>
          <w:noProof/>
          <w:lang w:eastAsia="en-AU"/>
        </w:rPr>
        <w:drawing>
          <wp:inline distT="0" distB="0" distL="0" distR="0" wp14:anchorId="636C351A" wp14:editId="5A0BFE23">
            <wp:extent cx="5455920" cy="3564226"/>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468794" cy="3572636"/>
                    </a:xfrm>
                    <a:prstGeom prst="rect">
                      <a:avLst/>
                    </a:prstGeom>
                    <a:noFill/>
                  </pic:spPr>
                </pic:pic>
              </a:graphicData>
            </a:graphic>
          </wp:inline>
        </w:drawing>
      </w:r>
    </w:p>
    <w:p w14:paraId="5113D9EE" w14:textId="1E1B9E3E" w:rsidR="00682B8E" w:rsidRDefault="007163E8" w:rsidP="002924CE">
      <w:pPr>
        <w:pStyle w:val="Caption"/>
      </w:pPr>
      <w:bookmarkStart w:id="636" w:name="_Ref499910085"/>
      <w:bookmarkStart w:id="637" w:name="_Toc499912106"/>
      <w:bookmarkStart w:id="638" w:name="_Toc4574881"/>
      <w:bookmarkStart w:id="639" w:name="_Toc31985651"/>
      <w:r w:rsidRPr="007E4169">
        <w:t xml:space="preserve">Figure </w:t>
      </w:r>
      <w:r>
        <w:rPr>
          <w:noProof/>
        </w:rPr>
        <w:fldChar w:fldCharType="begin"/>
      </w:r>
      <w:r>
        <w:rPr>
          <w:noProof/>
        </w:rPr>
        <w:instrText xml:space="preserve"> SEQ Figure \* ARABIC </w:instrText>
      </w:r>
      <w:r>
        <w:rPr>
          <w:noProof/>
        </w:rPr>
        <w:fldChar w:fldCharType="separate"/>
      </w:r>
      <w:r w:rsidR="007F7607">
        <w:rPr>
          <w:noProof/>
        </w:rPr>
        <w:t>87</w:t>
      </w:r>
      <w:r>
        <w:rPr>
          <w:noProof/>
        </w:rPr>
        <w:fldChar w:fldCharType="end"/>
      </w:r>
      <w:bookmarkEnd w:id="636"/>
      <w:r w:rsidRPr="007E4169">
        <w:t>. Average p</w:t>
      </w:r>
      <w:r>
        <w:t>ercent</w:t>
      </w:r>
      <w:r w:rsidRPr="007E4169">
        <w:t xml:space="preserve"> cover of native and exotic species for the tree communities</w:t>
      </w:r>
      <w:bookmarkEnd w:id="637"/>
      <w:r>
        <w:t xml:space="preserve"> for </w:t>
      </w:r>
      <w:r w:rsidRPr="00AC2555">
        <w:t>sites from each watering history over the sampling period</w:t>
      </w:r>
      <w:r>
        <w:t>.</w:t>
      </w:r>
      <w:bookmarkEnd w:id="638"/>
      <w:bookmarkEnd w:id="639"/>
    </w:p>
    <w:p w14:paraId="15172377" w14:textId="095BF7E4" w:rsidR="007163E8" w:rsidRPr="007E4169" w:rsidRDefault="007163E8" w:rsidP="00682B8E">
      <w:pPr>
        <w:pStyle w:val="Caption"/>
        <w:spacing w:before="40" w:after="40"/>
      </w:pPr>
      <w:r w:rsidRPr="007E4169">
        <w:t>Seasons are defined as S14: Spring 2014; A15: Autumn 2015; S15: Spring 2015; A16: Autumn 2016; A17: Autumn 2017, S17:</w:t>
      </w:r>
      <w:r>
        <w:t xml:space="preserve"> Spring 2017, A18: Autumn 2018, S18: Spring 2018, and A19: Autumn 2019.</w:t>
      </w:r>
      <w:r w:rsidRPr="007E4169">
        <w:t xml:space="preserve">Watering treatments are defined as A and B (refer to </w:t>
      </w:r>
      <w:r w:rsidRPr="007E4169">
        <w:fldChar w:fldCharType="begin"/>
      </w:r>
      <w:r w:rsidRPr="007E4169">
        <w:instrText xml:space="preserve"> REF _Ref465070871 \h  \* MERGEFORMAT </w:instrText>
      </w:r>
      <w:r w:rsidRPr="007E4169">
        <w:fldChar w:fldCharType="separate"/>
      </w:r>
      <w:r w:rsidR="007F7607" w:rsidRPr="0094556C">
        <w:t xml:space="preserve">Table </w:t>
      </w:r>
      <w:r w:rsidR="007F7607">
        <w:t>28</w:t>
      </w:r>
      <w:r w:rsidRPr="007E4169">
        <w:fldChar w:fldCharType="end"/>
      </w:r>
      <w:r w:rsidRPr="007E4169">
        <w:t xml:space="preserve"> for explanations, p. </w:t>
      </w:r>
      <w:r w:rsidRPr="007E4169">
        <w:fldChar w:fldCharType="begin"/>
      </w:r>
      <w:r w:rsidRPr="007E4169">
        <w:instrText xml:space="preserve"> PAGEREF _Ref493589977 \h </w:instrText>
      </w:r>
      <w:r w:rsidRPr="007E4169">
        <w:fldChar w:fldCharType="separate"/>
      </w:r>
      <w:r w:rsidR="007F7607">
        <w:rPr>
          <w:noProof/>
        </w:rPr>
        <w:t>163</w:t>
      </w:r>
      <w:r w:rsidRPr="007E4169">
        <w:fldChar w:fldCharType="end"/>
      </w:r>
      <w:r w:rsidRPr="007E4169">
        <w:t>)</w:t>
      </w:r>
      <w:r>
        <w:t>.</w:t>
      </w:r>
    </w:p>
    <w:p w14:paraId="33B85523" w14:textId="77777777" w:rsidR="007163E8" w:rsidRPr="00924476" w:rsidRDefault="007163E8" w:rsidP="007163E8">
      <w:pPr>
        <w:spacing w:before="0" w:after="0"/>
        <w:rPr>
          <w:lang w:val="en-GB"/>
        </w:rPr>
      </w:pPr>
    </w:p>
    <w:p w14:paraId="41A6EF70" w14:textId="77777777" w:rsidR="007163E8" w:rsidRPr="00924476" w:rsidRDefault="007163E8" w:rsidP="007163E8">
      <w:pPr>
        <w:pStyle w:val="Heading3"/>
      </w:pPr>
      <w:bookmarkStart w:id="640" w:name="_Toc467776147"/>
      <w:bookmarkStart w:id="641" w:name="_Toc499912029"/>
      <w:bookmarkStart w:id="642" w:name="_Toc4574826"/>
      <w:bookmarkStart w:id="643" w:name="_Toc31985536"/>
      <w:r w:rsidRPr="00924476">
        <w:t>Condition of floodplain and riparian trees</w:t>
      </w:r>
      <w:bookmarkEnd w:id="640"/>
      <w:bookmarkEnd w:id="641"/>
      <w:bookmarkEnd w:id="642"/>
      <w:bookmarkEnd w:id="643"/>
    </w:p>
    <w:p w14:paraId="3C3C7FB8" w14:textId="4522DA3D" w:rsidR="007163E8" w:rsidRPr="00924476" w:rsidRDefault="007163E8" w:rsidP="007163E8">
      <w:pPr>
        <w:spacing w:before="0" w:after="0"/>
        <w:rPr>
          <w:lang w:val="en-GB"/>
        </w:rPr>
      </w:pPr>
      <w:r w:rsidRPr="00924476">
        <w:rPr>
          <w:lang w:val="en-GB"/>
        </w:rPr>
        <w:t xml:space="preserve">The percent foliage cover </w:t>
      </w:r>
      <w:r>
        <w:rPr>
          <w:lang w:val="en-GB"/>
        </w:rPr>
        <w:t>remained fairly consistent in 2018-</w:t>
      </w:r>
      <w:r w:rsidRPr="00924476">
        <w:rPr>
          <w:lang w:val="en-GB"/>
        </w:rPr>
        <w:t>1</w:t>
      </w:r>
      <w:r>
        <w:rPr>
          <w:lang w:val="en-GB"/>
        </w:rPr>
        <w:t>9</w:t>
      </w:r>
      <w:r w:rsidRPr="00924476">
        <w:rPr>
          <w:lang w:val="en-GB"/>
        </w:rPr>
        <w:t xml:space="preserve"> a</w:t>
      </w:r>
      <w:r>
        <w:rPr>
          <w:lang w:val="en-GB"/>
        </w:rPr>
        <w:t>t all sites, and remained fairly similar to that observed in 2017-</w:t>
      </w:r>
      <w:r w:rsidRPr="00924476">
        <w:rPr>
          <w:lang w:val="en-GB"/>
        </w:rPr>
        <w:t>1</w:t>
      </w:r>
      <w:r>
        <w:rPr>
          <w:lang w:val="en-GB"/>
        </w:rPr>
        <w:t xml:space="preserve">8 </w:t>
      </w:r>
      <w:r w:rsidRPr="00DC0581">
        <w:rPr>
          <w:lang w:val="en-GB"/>
        </w:rPr>
        <w:t>(</w:t>
      </w:r>
      <w:r w:rsidRPr="00DC0581">
        <w:rPr>
          <w:lang w:val="en-GB"/>
        </w:rPr>
        <w:fldChar w:fldCharType="begin"/>
      </w:r>
      <w:r w:rsidRPr="00DC0581">
        <w:rPr>
          <w:lang w:val="en-GB"/>
        </w:rPr>
        <w:instrText xml:space="preserve"> REF _Ref491974278 \h  \* MERGEFORMAT </w:instrText>
      </w:r>
      <w:r w:rsidRPr="00DC0581">
        <w:rPr>
          <w:lang w:val="en-GB"/>
        </w:rPr>
      </w:r>
      <w:r w:rsidRPr="00DC0581">
        <w:rPr>
          <w:lang w:val="en-GB"/>
        </w:rPr>
        <w:fldChar w:fldCharType="separate"/>
      </w:r>
      <w:r w:rsidR="007F7607" w:rsidRPr="00AC2555">
        <w:t xml:space="preserve">Figure </w:t>
      </w:r>
      <w:r w:rsidR="007F7607">
        <w:rPr>
          <w:noProof/>
        </w:rPr>
        <w:t>88</w:t>
      </w:r>
      <w:r w:rsidRPr="00DC0581">
        <w:fldChar w:fldCharType="end"/>
      </w:r>
      <w:r w:rsidRPr="00DC0581">
        <w:rPr>
          <w:lang w:val="en-GB"/>
        </w:rPr>
        <w:t>). Sites</w:t>
      </w:r>
      <w:r w:rsidRPr="00924476">
        <w:rPr>
          <w:lang w:val="en-GB"/>
        </w:rPr>
        <w:t xml:space="preserve"> that have only been watered with natural flood events display more marked changes in foliage cover </w:t>
      </w:r>
      <w:r>
        <w:rPr>
          <w:lang w:val="en-GB"/>
        </w:rPr>
        <w:t xml:space="preserve">which has reduced over the past three years </w:t>
      </w:r>
      <w:r w:rsidRPr="00924476">
        <w:rPr>
          <w:lang w:val="en-GB"/>
        </w:rPr>
        <w:t xml:space="preserve">in response to the prevailing </w:t>
      </w:r>
      <w:r>
        <w:rPr>
          <w:lang w:val="en-GB"/>
        </w:rPr>
        <w:t xml:space="preserve">(dry) </w:t>
      </w:r>
      <w:r w:rsidRPr="00924476">
        <w:rPr>
          <w:lang w:val="en-GB"/>
        </w:rPr>
        <w:t>catchment conditions</w:t>
      </w:r>
      <w:r>
        <w:rPr>
          <w:lang w:val="en-GB"/>
        </w:rPr>
        <w:t>. T</w:t>
      </w:r>
      <w:r w:rsidRPr="00924476">
        <w:rPr>
          <w:lang w:val="en-GB"/>
        </w:rPr>
        <w:t xml:space="preserve">he </w:t>
      </w:r>
      <w:r>
        <w:rPr>
          <w:lang w:val="en-GB"/>
        </w:rPr>
        <w:t xml:space="preserve">foliage cover at </w:t>
      </w:r>
      <w:r w:rsidRPr="00924476">
        <w:rPr>
          <w:lang w:val="en-GB"/>
        </w:rPr>
        <w:t>sites that received environmental water</w:t>
      </w:r>
      <w:r>
        <w:rPr>
          <w:lang w:val="en-GB"/>
        </w:rPr>
        <w:t xml:space="preserve"> have remained consistent over the past four watering seasons</w:t>
      </w:r>
      <w:r w:rsidRPr="00924476">
        <w:rPr>
          <w:lang w:val="en-GB"/>
        </w:rPr>
        <w:t>.</w:t>
      </w:r>
      <w:r>
        <w:rPr>
          <w:lang w:val="en-GB"/>
        </w:rPr>
        <w:t xml:space="preserve"> The foliage cover at sites in watering category A have reduced slightly each year since 2016-17. </w:t>
      </w:r>
    </w:p>
    <w:p w14:paraId="77FC7C20" w14:textId="77777777" w:rsidR="007163E8" w:rsidRPr="007E4169" w:rsidRDefault="007163E8" w:rsidP="007163E8">
      <w:r>
        <w:rPr>
          <w:noProof/>
          <w:lang w:eastAsia="en-AU"/>
        </w:rPr>
        <w:drawing>
          <wp:inline distT="0" distB="0" distL="0" distR="0" wp14:anchorId="4E4045F2" wp14:editId="12C842B0">
            <wp:extent cx="5710469" cy="4057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715223" cy="4061028"/>
                    </a:xfrm>
                    <a:prstGeom prst="rect">
                      <a:avLst/>
                    </a:prstGeom>
                    <a:noFill/>
                  </pic:spPr>
                </pic:pic>
              </a:graphicData>
            </a:graphic>
          </wp:inline>
        </w:drawing>
      </w:r>
    </w:p>
    <w:p w14:paraId="2C32C000" w14:textId="77777777" w:rsidR="007163E8" w:rsidRDefault="007163E8" w:rsidP="007163E8">
      <w:pPr>
        <w:spacing w:before="0" w:after="0"/>
        <w:rPr>
          <w:noProof/>
          <w:lang w:eastAsia="en-AU"/>
        </w:rPr>
      </w:pPr>
    </w:p>
    <w:p w14:paraId="04E85BEC" w14:textId="53724197" w:rsidR="00682B8E" w:rsidRDefault="007163E8" w:rsidP="007163E8">
      <w:pPr>
        <w:pStyle w:val="Caption"/>
      </w:pPr>
      <w:bookmarkStart w:id="644" w:name="_Ref491974278"/>
      <w:bookmarkStart w:id="645" w:name="_Toc499912110"/>
      <w:bookmarkStart w:id="646" w:name="_Toc4574882"/>
      <w:bookmarkStart w:id="647" w:name="_Toc31985652"/>
      <w:r w:rsidRPr="00AC2555">
        <w:t xml:space="preserve">Figure </w:t>
      </w:r>
      <w:r>
        <w:rPr>
          <w:noProof/>
        </w:rPr>
        <w:fldChar w:fldCharType="begin"/>
      </w:r>
      <w:r>
        <w:rPr>
          <w:noProof/>
        </w:rPr>
        <w:instrText xml:space="preserve"> SEQ Figure \* ARABIC </w:instrText>
      </w:r>
      <w:r>
        <w:rPr>
          <w:noProof/>
        </w:rPr>
        <w:fldChar w:fldCharType="separate"/>
      </w:r>
      <w:r w:rsidR="007F7607">
        <w:rPr>
          <w:noProof/>
        </w:rPr>
        <w:t>88</w:t>
      </w:r>
      <w:r>
        <w:rPr>
          <w:noProof/>
        </w:rPr>
        <w:fldChar w:fldCharType="end"/>
      </w:r>
      <w:bookmarkEnd w:id="644"/>
      <w:r w:rsidRPr="00AC2555">
        <w:t>. The percent foliage cover over the four monitoring seasons for the woodland vegetation community sites from the two different watering categories.</w:t>
      </w:r>
      <w:bookmarkEnd w:id="645"/>
      <w:bookmarkEnd w:id="646"/>
      <w:bookmarkEnd w:id="647"/>
    </w:p>
    <w:p w14:paraId="4017A69B" w14:textId="7F210DC8" w:rsidR="00682B8E" w:rsidRPr="007E4169" w:rsidRDefault="00682B8E" w:rsidP="00682B8E">
      <w:pPr>
        <w:pStyle w:val="Caption"/>
        <w:spacing w:before="40" w:after="40"/>
      </w:pPr>
      <w:r w:rsidRPr="007E4169">
        <w:t xml:space="preserve">Watering treatments are defined as A and B (refer to </w:t>
      </w:r>
      <w:r w:rsidRPr="007E4169">
        <w:fldChar w:fldCharType="begin"/>
      </w:r>
      <w:r w:rsidRPr="007E4169">
        <w:instrText xml:space="preserve"> REF _Ref465070871 \h  \* MERGEFORMAT </w:instrText>
      </w:r>
      <w:r w:rsidRPr="007E4169">
        <w:fldChar w:fldCharType="separate"/>
      </w:r>
      <w:r w:rsidR="007F7607" w:rsidRPr="0094556C">
        <w:t xml:space="preserve">Table </w:t>
      </w:r>
      <w:r w:rsidR="007F7607">
        <w:t>28</w:t>
      </w:r>
      <w:r w:rsidRPr="007E4169">
        <w:fldChar w:fldCharType="end"/>
      </w:r>
      <w:r w:rsidRPr="007E4169">
        <w:t xml:space="preserve"> for explanations, p. </w:t>
      </w:r>
      <w:r w:rsidRPr="007E4169">
        <w:fldChar w:fldCharType="begin"/>
      </w:r>
      <w:r w:rsidRPr="007E4169">
        <w:instrText xml:space="preserve"> PAGEREF _Ref493589977 \h </w:instrText>
      </w:r>
      <w:r w:rsidRPr="007E4169">
        <w:fldChar w:fldCharType="separate"/>
      </w:r>
      <w:r w:rsidR="007F7607">
        <w:rPr>
          <w:noProof/>
        </w:rPr>
        <w:t>163</w:t>
      </w:r>
      <w:r w:rsidRPr="007E4169">
        <w:fldChar w:fldCharType="end"/>
      </w:r>
      <w:r w:rsidRPr="007E4169">
        <w:t>)</w:t>
      </w:r>
      <w:r>
        <w:t>.</w:t>
      </w:r>
    </w:p>
    <w:p w14:paraId="5FCBCF86" w14:textId="77777777" w:rsidR="00682B8E" w:rsidRDefault="00D73134" w:rsidP="00682B8E">
      <w:pPr>
        <w:pStyle w:val="Caption"/>
        <w:spacing w:before="40" w:after="40"/>
      </w:pPr>
      <w:r>
        <w:t xml:space="preserve">Error bars represent </w:t>
      </w:r>
      <w:r>
        <w:rPr>
          <w:rFonts w:cs="Calibri"/>
        </w:rPr>
        <w:t>±</w:t>
      </w:r>
      <w:r>
        <w:t xml:space="preserve"> 1</w:t>
      </w:r>
      <w:r w:rsidR="00C102D0">
        <w:t xml:space="preserve"> standard error </w:t>
      </w:r>
      <w:r w:rsidR="001F37D9">
        <w:t xml:space="preserve">of </w:t>
      </w:r>
      <w:r w:rsidR="00C102D0">
        <w:t>the mean.</w:t>
      </w:r>
    </w:p>
    <w:p w14:paraId="14FFDC28" w14:textId="77777777" w:rsidR="007163E8" w:rsidRDefault="007163E8" w:rsidP="00682B8E">
      <w:pPr>
        <w:spacing w:before="40" w:after="40"/>
        <w:rPr>
          <w:noProof/>
          <w:lang w:eastAsia="en-AU"/>
        </w:rPr>
      </w:pPr>
    </w:p>
    <w:p w14:paraId="36AD97A4" w14:textId="2BAF1737" w:rsidR="007163E8" w:rsidRDefault="007163E8" w:rsidP="007163E8">
      <w:pPr>
        <w:spacing w:before="0" w:after="0"/>
      </w:pPr>
      <w:r>
        <w:t xml:space="preserve">The </w:t>
      </w:r>
      <w:r w:rsidR="00454C5A">
        <w:t xml:space="preserve">percent </w:t>
      </w:r>
      <w:r>
        <w:t>foliage cover at sites varied between years and watering treatments within river red gum sites and black box sites (</w:t>
      </w:r>
      <w:r>
        <w:fldChar w:fldCharType="begin"/>
      </w:r>
      <w:r>
        <w:instrText xml:space="preserve"> REF _Ref491974635 \h </w:instrText>
      </w:r>
      <w:r>
        <w:fldChar w:fldCharType="separate"/>
      </w:r>
      <w:r w:rsidR="007F7607" w:rsidRPr="00AC2555">
        <w:t xml:space="preserve">Figure </w:t>
      </w:r>
      <w:r w:rsidR="007F7607">
        <w:rPr>
          <w:noProof/>
        </w:rPr>
        <w:t>89</w:t>
      </w:r>
      <w:r>
        <w:fldChar w:fldCharType="end"/>
      </w:r>
      <w:r>
        <w:t>). Foliage cover at river red gum sites showed a similar pattern across the five years in watering categories A and B. Foliage cover was similar at river red gum sites in watering categories A and B in 2014. Foliage cover increased in both watering categories in 2015 and 2016, but to a greater extent at sites in watering category A. Foliage cover decreased at sites in both watering categories in 2017 and 2018 (</w:t>
      </w:r>
      <w:r>
        <w:fldChar w:fldCharType="begin"/>
      </w:r>
      <w:r>
        <w:instrText xml:space="preserve"> REF _Ref491974635 \h </w:instrText>
      </w:r>
      <w:r>
        <w:fldChar w:fldCharType="separate"/>
      </w:r>
      <w:r w:rsidR="007F7607" w:rsidRPr="00AC2555">
        <w:t xml:space="preserve">Figure </w:t>
      </w:r>
      <w:r w:rsidR="007F7607">
        <w:rPr>
          <w:noProof/>
        </w:rPr>
        <w:t>89</w:t>
      </w:r>
      <w:r>
        <w:fldChar w:fldCharType="end"/>
      </w:r>
      <w:r>
        <w:t>). At black box sites foliage cover varied between watering categories (</w:t>
      </w:r>
      <w:r>
        <w:fldChar w:fldCharType="begin"/>
      </w:r>
      <w:r>
        <w:instrText xml:space="preserve"> REF _Ref491974635 \h </w:instrText>
      </w:r>
      <w:r>
        <w:fldChar w:fldCharType="separate"/>
      </w:r>
      <w:r w:rsidR="007F7607" w:rsidRPr="00AC2555">
        <w:t xml:space="preserve">Figure </w:t>
      </w:r>
      <w:r w:rsidR="007F7607">
        <w:rPr>
          <w:noProof/>
        </w:rPr>
        <w:t>89</w:t>
      </w:r>
      <w:r>
        <w:fldChar w:fldCharType="end"/>
      </w:r>
      <w:r>
        <w:t xml:space="preserve">). At black box sites foliage cover was also similar at sites in watering categories A and B in 2014 and foliage cover increased to a similar extent in both watering categories in 2015. Foliage cover in watering category B stayed similar in 2016 and 2017 and increased slightly in 2018, while it has dropped at black box sites in watering category A in 2016 to approximately 10%, and it has remained around this point through 2017 and 2018. </w:t>
      </w:r>
    </w:p>
    <w:p w14:paraId="3C9F2F64" w14:textId="77777777" w:rsidR="007163E8" w:rsidRDefault="007163E8" w:rsidP="007163E8">
      <w:pPr>
        <w:spacing w:before="0" w:after="0"/>
      </w:pPr>
    </w:p>
    <w:p w14:paraId="41E9EDBD" w14:textId="77777777" w:rsidR="007163E8" w:rsidRDefault="007163E8" w:rsidP="007163E8">
      <w:pPr>
        <w:spacing w:before="0" w:after="0"/>
      </w:pPr>
      <w:r>
        <w:rPr>
          <w:noProof/>
          <w:lang w:eastAsia="en-AU"/>
        </w:rPr>
        <w:drawing>
          <wp:inline distT="0" distB="0" distL="0" distR="0" wp14:anchorId="27B31163" wp14:editId="7AE276D2">
            <wp:extent cx="5328539" cy="5551528"/>
            <wp:effectExtent l="0" t="0" r="5715" b="0"/>
            <wp:docPr id="51" name="Picture 5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oliage cover.PNG"/>
                    <pic:cNvPicPr/>
                  </pic:nvPicPr>
                  <pic:blipFill>
                    <a:blip r:embed="rId186" cstate="email">
                      <a:extLst>
                        <a:ext uri="{28A0092B-C50C-407E-A947-70E740481C1C}">
                          <a14:useLocalDpi xmlns:a14="http://schemas.microsoft.com/office/drawing/2010/main"/>
                        </a:ext>
                      </a:extLst>
                    </a:blip>
                    <a:stretch>
                      <a:fillRect/>
                    </a:stretch>
                  </pic:blipFill>
                  <pic:spPr>
                    <a:xfrm>
                      <a:off x="0" y="0"/>
                      <a:ext cx="5358003" cy="5582225"/>
                    </a:xfrm>
                    <a:prstGeom prst="rect">
                      <a:avLst/>
                    </a:prstGeom>
                  </pic:spPr>
                </pic:pic>
              </a:graphicData>
            </a:graphic>
          </wp:inline>
        </w:drawing>
      </w:r>
    </w:p>
    <w:p w14:paraId="30B6C08A" w14:textId="3F39EE4D" w:rsidR="0031364D" w:rsidRDefault="007163E8" w:rsidP="00C102D0">
      <w:pPr>
        <w:pStyle w:val="Caption"/>
      </w:pPr>
      <w:bookmarkStart w:id="648" w:name="_Ref491974635"/>
      <w:bookmarkStart w:id="649" w:name="_Toc499912111"/>
      <w:bookmarkStart w:id="650" w:name="_Toc4574883"/>
      <w:bookmarkStart w:id="651" w:name="_Toc31985653"/>
      <w:r w:rsidRPr="00AC2555">
        <w:t xml:space="preserve">Figure </w:t>
      </w:r>
      <w:r>
        <w:rPr>
          <w:noProof/>
        </w:rPr>
        <w:fldChar w:fldCharType="begin"/>
      </w:r>
      <w:r>
        <w:rPr>
          <w:noProof/>
        </w:rPr>
        <w:instrText xml:space="preserve"> SEQ Figure \* ARABIC </w:instrText>
      </w:r>
      <w:r>
        <w:rPr>
          <w:noProof/>
        </w:rPr>
        <w:fldChar w:fldCharType="separate"/>
      </w:r>
      <w:r w:rsidR="007F7607">
        <w:rPr>
          <w:noProof/>
        </w:rPr>
        <w:t>89</w:t>
      </w:r>
      <w:r>
        <w:rPr>
          <w:noProof/>
        </w:rPr>
        <w:fldChar w:fldCharType="end"/>
      </w:r>
      <w:bookmarkEnd w:id="648"/>
      <w:r w:rsidRPr="00AC2555">
        <w:t xml:space="preserve">. </w:t>
      </w:r>
      <w:r>
        <w:t xml:space="preserve">Average % foliage cover within river red gum sites (top figure) and black box sites (bottom </w:t>
      </w:r>
      <w:r w:rsidR="00C102D0">
        <w:t>figure</w:t>
      </w:r>
      <w:r>
        <w:t>).</w:t>
      </w:r>
      <w:bookmarkEnd w:id="649"/>
      <w:bookmarkEnd w:id="650"/>
      <w:bookmarkEnd w:id="651"/>
    </w:p>
    <w:p w14:paraId="1E544729" w14:textId="5CF150D4" w:rsidR="00C102D0" w:rsidRPr="00AC2555" w:rsidRDefault="00C102D0" w:rsidP="0031364D">
      <w:pPr>
        <w:pStyle w:val="Caption"/>
        <w:spacing w:before="40" w:after="40"/>
      </w:pPr>
      <w:r>
        <w:t xml:space="preserve">Error bars represent </w:t>
      </w:r>
      <w:r>
        <w:rPr>
          <w:rFonts w:cs="Calibri"/>
        </w:rPr>
        <w:t>±</w:t>
      </w:r>
      <w:r>
        <w:t xml:space="preserve"> 1 standard error from the mean.</w:t>
      </w:r>
    </w:p>
    <w:p w14:paraId="5C7D99F7" w14:textId="6C78A3B8" w:rsidR="007163E8" w:rsidRPr="00495604" w:rsidRDefault="007163E8" w:rsidP="00495604"/>
    <w:p w14:paraId="59887DCF" w14:textId="77777777" w:rsidR="007163E8" w:rsidRPr="00AC2555" w:rsidRDefault="007163E8" w:rsidP="007163E8">
      <w:pPr>
        <w:pStyle w:val="Heading3"/>
      </w:pPr>
      <w:bookmarkStart w:id="652" w:name="_Toc467776148"/>
      <w:bookmarkStart w:id="653" w:name="_Toc499912030"/>
      <w:bookmarkStart w:id="654" w:name="_Toc4574827"/>
      <w:bookmarkStart w:id="655" w:name="_Toc31985537"/>
      <w:r w:rsidRPr="00AC2555">
        <w:t xml:space="preserve">Contributions to long lived </w:t>
      </w:r>
      <w:bookmarkEnd w:id="652"/>
      <w:bookmarkEnd w:id="653"/>
      <w:bookmarkEnd w:id="654"/>
      <w:r>
        <w:rPr>
          <w:lang w:val="en-AU"/>
        </w:rPr>
        <w:t>plants</w:t>
      </w:r>
      <w:bookmarkEnd w:id="655"/>
    </w:p>
    <w:p w14:paraId="644F494F" w14:textId="2DA2325B" w:rsidR="007163E8" w:rsidRPr="00924476" w:rsidRDefault="007163E8" w:rsidP="007163E8">
      <w:pPr>
        <w:rPr>
          <w:lang w:val="en-GB"/>
        </w:rPr>
      </w:pPr>
      <w:r w:rsidRPr="00924476">
        <w:rPr>
          <w:lang w:val="en-GB"/>
        </w:rPr>
        <w:t>There was a marked response of seedlings to flooding, particularly in river red gum communit</w:t>
      </w:r>
      <w:r>
        <w:rPr>
          <w:lang w:val="en-GB"/>
        </w:rPr>
        <w:t>ies</w:t>
      </w:r>
      <w:r w:rsidRPr="00924476">
        <w:rPr>
          <w:lang w:val="en-GB"/>
        </w:rPr>
        <w:t xml:space="preserve"> with sites at which the floodwaters recently receded (</w:t>
      </w:r>
      <w:r>
        <w:rPr>
          <w:lang w:val="en-GB"/>
        </w:rPr>
        <w:t xml:space="preserve">particularly at </w:t>
      </w:r>
      <w:r w:rsidRPr="00924476">
        <w:rPr>
          <w:lang w:val="en-GB"/>
        </w:rPr>
        <w:t xml:space="preserve">Lake Ita and Lake Tarwong) recording large numbers of seedlings. </w:t>
      </w:r>
      <w:r>
        <w:rPr>
          <w:lang w:val="en-GB"/>
        </w:rPr>
        <w:t xml:space="preserve">Some of the seedlings </w:t>
      </w:r>
      <w:r w:rsidR="00454C5A">
        <w:rPr>
          <w:lang w:val="en-GB"/>
        </w:rPr>
        <w:t>had</w:t>
      </w:r>
      <w:r>
        <w:rPr>
          <w:lang w:val="en-GB"/>
        </w:rPr>
        <w:t xml:space="preserve"> survived into Autumn 2019. The numbers of seedlings dropped considerably at some sites by Autumn 2019 (most notably Lake Tarwong), while some sites have remained fairly high (</w:t>
      </w:r>
      <w:r w:rsidR="001F37D9">
        <w:rPr>
          <w:lang w:val="en-GB"/>
        </w:rPr>
        <w:t xml:space="preserve">most notably at </w:t>
      </w:r>
      <w:r>
        <w:rPr>
          <w:lang w:val="en-GB"/>
        </w:rPr>
        <w:t>Lake Ita). The numbers of seedling recruits increased at all sites in watering category B in 2016 following environmental watering they received in 2015 (most notable at Moon Moon, Nooran Lake, and Tom’s Lake). This increase in number of recruits was not observed at sites in watering category A in 2016 (</w:t>
      </w:r>
      <w:r>
        <w:rPr>
          <w:lang w:val="en-GB"/>
        </w:rPr>
        <w:fldChar w:fldCharType="begin"/>
      </w:r>
      <w:r>
        <w:rPr>
          <w:lang w:val="en-GB"/>
        </w:rPr>
        <w:instrText xml:space="preserve"> REF _Ref491975492 \h </w:instrText>
      </w:r>
      <w:r>
        <w:rPr>
          <w:lang w:val="en-GB"/>
        </w:rPr>
      </w:r>
      <w:r>
        <w:rPr>
          <w:lang w:val="en-GB"/>
        </w:rPr>
        <w:fldChar w:fldCharType="separate"/>
      </w:r>
      <w:r w:rsidR="007F7607" w:rsidRPr="00DF2630">
        <w:t xml:space="preserve">Table </w:t>
      </w:r>
      <w:r w:rsidR="007F7607">
        <w:rPr>
          <w:noProof/>
        </w:rPr>
        <w:t>30</w:t>
      </w:r>
      <w:r>
        <w:rPr>
          <w:lang w:val="en-GB"/>
        </w:rPr>
        <w:fldChar w:fldCharType="end"/>
      </w:r>
      <w:r>
        <w:rPr>
          <w:lang w:val="en-GB"/>
        </w:rPr>
        <w:t>).</w:t>
      </w:r>
    </w:p>
    <w:p w14:paraId="50BC571B" w14:textId="3D959D53" w:rsidR="007163E8" w:rsidRPr="00DF2630" w:rsidRDefault="007163E8" w:rsidP="007163E8">
      <w:pPr>
        <w:pStyle w:val="Caption"/>
      </w:pPr>
      <w:bookmarkStart w:id="656" w:name="_Ref491975492"/>
      <w:bookmarkStart w:id="657" w:name="_Toc467776214"/>
      <w:bookmarkStart w:id="658" w:name="_Toc498514505"/>
      <w:bookmarkStart w:id="659" w:name="_Toc4574931"/>
      <w:bookmarkStart w:id="660" w:name="_Ref17464573"/>
      <w:bookmarkStart w:id="661" w:name="_Toc31985697"/>
      <w:r w:rsidRPr="00DF2630">
        <w:t xml:space="preserve">Table </w:t>
      </w:r>
      <w:r>
        <w:rPr>
          <w:noProof/>
        </w:rPr>
        <w:fldChar w:fldCharType="begin"/>
      </w:r>
      <w:r>
        <w:rPr>
          <w:noProof/>
        </w:rPr>
        <w:instrText xml:space="preserve"> SEQ Table \* ARABIC </w:instrText>
      </w:r>
      <w:r>
        <w:rPr>
          <w:noProof/>
        </w:rPr>
        <w:fldChar w:fldCharType="separate"/>
      </w:r>
      <w:r w:rsidR="007F7607">
        <w:rPr>
          <w:noProof/>
        </w:rPr>
        <w:t>30</w:t>
      </w:r>
      <w:r>
        <w:rPr>
          <w:noProof/>
        </w:rPr>
        <w:fldChar w:fldCharType="end"/>
      </w:r>
      <w:bookmarkEnd w:id="656"/>
      <w:r w:rsidRPr="00DF2630">
        <w:t>. The average number of seedlings and saplings per site.</w:t>
      </w:r>
      <w:bookmarkEnd w:id="657"/>
      <w:bookmarkEnd w:id="658"/>
      <w:bookmarkEnd w:id="659"/>
      <w:r>
        <w:t xml:space="preserve"> All numbers reported are from Autumn sampling events.</w:t>
      </w:r>
      <w:bookmarkEnd w:id="660"/>
      <w:bookmarkEnd w:id="661"/>
    </w:p>
    <w:tbl>
      <w:tblPr>
        <w:tblW w:w="8913" w:type="dxa"/>
        <w:tblInd w:w="93" w:type="dxa"/>
        <w:tblLook w:val="04A0" w:firstRow="1" w:lastRow="0" w:firstColumn="1" w:lastColumn="0" w:noHBand="0" w:noVBand="1"/>
      </w:tblPr>
      <w:tblGrid>
        <w:gridCol w:w="1260"/>
        <w:gridCol w:w="1280"/>
        <w:gridCol w:w="1182"/>
        <w:gridCol w:w="1116"/>
        <w:gridCol w:w="850"/>
        <w:gridCol w:w="808"/>
        <w:gridCol w:w="808"/>
        <w:gridCol w:w="815"/>
        <w:gridCol w:w="794"/>
      </w:tblGrid>
      <w:tr w:rsidR="00BA29B7" w:rsidRPr="00DF2630" w14:paraId="4854C55A" w14:textId="77777777" w:rsidTr="00326634">
        <w:trPr>
          <w:trHeight w:val="735"/>
        </w:trPr>
        <w:tc>
          <w:tcPr>
            <w:tcW w:w="1260"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646686DD" w14:textId="77777777" w:rsidR="00BA29B7" w:rsidRPr="00DF2630" w:rsidRDefault="00BA29B7" w:rsidP="007163E8">
            <w:pPr>
              <w:spacing w:before="0" w:after="0"/>
              <w:rPr>
                <w:b/>
                <w:bCs/>
                <w:color w:val="FFFFFF" w:themeColor="background1"/>
                <w:sz w:val="18"/>
                <w:szCs w:val="18"/>
              </w:rPr>
            </w:pPr>
            <w:r w:rsidRPr="00DF2630">
              <w:rPr>
                <w:b/>
                <w:bCs/>
                <w:color w:val="FFFFFF" w:themeColor="background1"/>
                <w:sz w:val="18"/>
                <w:szCs w:val="18"/>
              </w:rPr>
              <w:t>SITE</w:t>
            </w:r>
          </w:p>
        </w:tc>
        <w:tc>
          <w:tcPr>
            <w:tcW w:w="1280" w:type="dxa"/>
            <w:tcBorders>
              <w:top w:val="single" w:sz="8" w:space="0" w:color="FFFFFF"/>
              <w:left w:val="nil"/>
              <w:bottom w:val="single" w:sz="8" w:space="0" w:color="FFFFFF"/>
              <w:right w:val="single" w:sz="8" w:space="0" w:color="FFFFFF"/>
            </w:tcBorders>
            <w:shd w:val="clear" w:color="000000" w:fill="9BBB59"/>
            <w:vAlign w:val="center"/>
            <w:hideMark/>
          </w:tcPr>
          <w:p w14:paraId="4C50C73E" w14:textId="77777777" w:rsidR="00BA29B7" w:rsidRPr="00DF2630" w:rsidRDefault="00BA29B7" w:rsidP="007163E8">
            <w:pPr>
              <w:spacing w:before="0" w:after="0"/>
              <w:rPr>
                <w:b/>
                <w:bCs/>
                <w:color w:val="FFFFFF" w:themeColor="background1"/>
                <w:sz w:val="18"/>
                <w:szCs w:val="18"/>
              </w:rPr>
            </w:pPr>
            <w:r w:rsidRPr="00DF2630">
              <w:rPr>
                <w:b/>
                <w:bCs/>
                <w:color w:val="FFFFFF" w:themeColor="background1"/>
                <w:sz w:val="18"/>
                <w:szCs w:val="18"/>
              </w:rPr>
              <w:t>FLOODPLAIN/ WETLAND COMPLEX</w:t>
            </w:r>
          </w:p>
        </w:tc>
        <w:tc>
          <w:tcPr>
            <w:tcW w:w="1182" w:type="dxa"/>
            <w:tcBorders>
              <w:top w:val="single" w:sz="8" w:space="0" w:color="FFFFFF"/>
              <w:left w:val="nil"/>
              <w:bottom w:val="single" w:sz="8" w:space="0" w:color="FFFFFF"/>
              <w:right w:val="single" w:sz="8" w:space="0" w:color="FFFFFF"/>
            </w:tcBorders>
            <w:shd w:val="clear" w:color="000000" w:fill="9BBB59"/>
            <w:vAlign w:val="center"/>
            <w:hideMark/>
          </w:tcPr>
          <w:p w14:paraId="51F87222" w14:textId="77777777" w:rsidR="00BA29B7" w:rsidRPr="00DF2630" w:rsidRDefault="00BA29B7" w:rsidP="007163E8">
            <w:pPr>
              <w:spacing w:before="0" w:after="0"/>
              <w:rPr>
                <w:b/>
                <w:bCs/>
                <w:color w:val="FFFFFF" w:themeColor="background1"/>
                <w:sz w:val="18"/>
                <w:szCs w:val="18"/>
              </w:rPr>
            </w:pPr>
            <w:r w:rsidRPr="00DF2630">
              <w:rPr>
                <w:b/>
                <w:bCs/>
                <w:color w:val="FFFFFF" w:themeColor="background1"/>
                <w:sz w:val="18"/>
                <w:szCs w:val="18"/>
              </w:rPr>
              <w:t>LAND USE</w:t>
            </w:r>
          </w:p>
        </w:tc>
        <w:tc>
          <w:tcPr>
            <w:tcW w:w="1116" w:type="dxa"/>
            <w:tcBorders>
              <w:top w:val="single" w:sz="8" w:space="0" w:color="FFFFFF"/>
              <w:left w:val="nil"/>
              <w:bottom w:val="single" w:sz="8" w:space="0" w:color="FFFFFF"/>
              <w:right w:val="single" w:sz="8" w:space="0" w:color="FFFFFF"/>
            </w:tcBorders>
            <w:shd w:val="clear" w:color="000000" w:fill="9BBB59"/>
            <w:vAlign w:val="center"/>
            <w:hideMark/>
          </w:tcPr>
          <w:p w14:paraId="433F6FAC" w14:textId="77777777" w:rsidR="00BA29B7" w:rsidRPr="00DF2630" w:rsidRDefault="00BA29B7" w:rsidP="007163E8">
            <w:pPr>
              <w:spacing w:before="0" w:after="0"/>
              <w:rPr>
                <w:b/>
                <w:bCs/>
                <w:color w:val="FFFFFF" w:themeColor="background1"/>
                <w:sz w:val="18"/>
                <w:szCs w:val="18"/>
              </w:rPr>
            </w:pPr>
            <w:r w:rsidRPr="00DF2630">
              <w:rPr>
                <w:b/>
                <w:bCs/>
                <w:color w:val="FFFFFF" w:themeColor="background1"/>
                <w:sz w:val="18"/>
                <w:szCs w:val="18"/>
              </w:rPr>
              <w:t>GRAZING INTENSITY</w:t>
            </w:r>
          </w:p>
        </w:tc>
        <w:tc>
          <w:tcPr>
            <w:tcW w:w="4075" w:type="dxa"/>
            <w:gridSpan w:val="5"/>
            <w:tcBorders>
              <w:top w:val="single" w:sz="8" w:space="0" w:color="FFFFFF"/>
              <w:left w:val="nil"/>
              <w:bottom w:val="single" w:sz="8" w:space="0" w:color="FFFFFF"/>
              <w:right w:val="single" w:sz="8" w:space="0" w:color="FFFFFF"/>
            </w:tcBorders>
            <w:shd w:val="clear" w:color="000000" w:fill="9BBB59"/>
            <w:vAlign w:val="center"/>
            <w:hideMark/>
          </w:tcPr>
          <w:p w14:paraId="26B6A7EC" w14:textId="0AA9076D" w:rsidR="00BA29B7" w:rsidRPr="00DF2630" w:rsidRDefault="00BA29B7" w:rsidP="007163E8">
            <w:pPr>
              <w:spacing w:before="0" w:after="0"/>
              <w:rPr>
                <w:b/>
                <w:bCs/>
                <w:color w:val="FFFFFF" w:themeColor="background1"/>
                <w:sz w:val="18"/>
                <w:szCs w:val="18"/>
              </w:rPr>
            </w:pPr>
            <w:r w:rsidRPr="00DF2630">
              <w:rPr>
                <w:b/>
                <w:bCs/>
                <w:color w:val="FFFFFF" w:themeColor="background1"/>
                <w:sz w:val="18"/>
                <w:szCs w:val="18"/>
              </w:rPr>
              <w:t>RECRUITMENT (&lt;20 cm to &gt;3 m)</w:t>
            </w:r>
          </w:p>
        </w:tc>
      </w:tr>
      <w:tr w:rsidR="007163E8" w:rsidRPr="00924476" w14:paraId="49A99666" w14:textId="77777777" w:rsidTr="0021784F">
        <w:trPr>
          <w:trHeight w:val="227"/>
        </w:trPr>
        <w:tc>
          <w:tcPr>
            <w:tcW w:w="1260" w:type="dxa"/>
            <w:tcBorders>
              <w:top w:val="nil"/>
              <w:left w:val="single" w:sz="8" w:space="0" w:color="FFFFFF"/>
              <w:bottom w:val="single" w:sz="8" w:space="0" w:color="FFFFFF"/>
              <w:right w:val="single" w:sz="8" w:space="0" w:color="FFFFFF"/>
            </w:tcBorders>
            <w:shd w:val="clear" w:color="000000" w:fill="9BBB59"/>
            <w:noWrap/>
            <w:vAlign w:val="center"/>
            <w:hideMark/>
          </w:tcPr>
          <w:p w14:paraId="7723E582" w14:textId="77777777" w:rsidR="007163E8" w:rsidRPr="00DF2630" w:rsidRDefault="007163E8" w:rsidP="007163E8">
            <w:pPr>
              <w:spacing w:before="0" w:after="0"/>
              <w:rPr>
                <w:b/>
                <w:bCs/>
                <w:color w:val="FFFFFF" w:themeColor="background1"/>
                <w:sz w:val="18"/>
                <w:szCs w:val="18"/>
              </w:rPr>
            </w:pPr>
            <w:r w:rsidRPr="00DF2630">
              <w:rPr>
                <w:b/>
                <w:bCs/>
                <w:color w:val="FFFFFF" w:themeColor="background1"/>
                <w:sz w:val="18"/>
                <w:szCs w:val="18"/>
              </w:rPr>
              <w:t>Trip</w:t>
            </w:r>
          </w:p>
        </w:tc>
        <w:tc>
          <w:tcPr>
            <w:tcW w:w="1280" w:type="dxa"/>
            <w:tcBorders>
              <w:top w:val="nil"/>
              <w:left w:val="nil"/>
              <w:bottom w:val="single" w:sz="8" w:space="0" w:color="FFFFFF"/>
              <w:right w:val="single" w:sz="8" w:space="0" w:color="FFFFFF"/>
            </w:tcBorders>
            <w:shd w:val="clear" w:color="000000" w:fill="EAF1DD"/>
            <w:vAlign w:val="center"/>
            <w:hideMark/>
          </w:tcPr>
          <w:p w14:paraId="3728A7EF" w14:textId="77777777" w:rsidR="007163E8" w:rsidRPr="00DF2630" w:rsidRDefault="007163E8" w:rsidP="007163E8">
            <w:pPr>
              <w:spacing w:before="0" w:after="0"/>
              <w:rPr>
                <w:sz w:val="18"/>
                <w:szCs w:val="18"/>
              </w:rPr>
            </w:pPr>
            <w:r w:rsidRPr="00DF2630">
              <w:rPr>
                <w:sz w:val="18"/>
                <w:szCs w:val="18"/>
              </w:rPr>
              <w:t> </w:t>
            </w:r>
          </w:p>
        </w:tc>
        <w:tc>
          <w:tcPr>
            <w:tcW w:w="1182" w:type="dxa"/>
            <w:tcBorders>
              <w:top w:val="nil"/>
              <w:left w:val="nil"/>
              <w:bottom w:val="single" w:sz="8" w:space="0" w:color="FFFFFF"/>
              <w:right w:val="single" w:sz="8" w:space="0" w:color="FFFFFF"/>
            </w:tcBorders>
            <w:shd w:val="clear" w:color="000000" w:fill="EAF1DD"/>
            <w:vAlign w:val="center"/>
            <w:hideMark/>
          </w:tcPr>
          <w:p w14:paraId="2DBF5178" w14:textId="77777777" w:rsidR="007163E8" w:rsidRPr="00DF2630" w:rsidRDefault="007163E8" w:rsidP="007163E8">
            <w:pPr>
              <w:spacing w:before="0" w:after="0"/>
              <w:rPr>
                <w:sz w:val="18"/>
                <w:szCs w:val="18"/>
              </w:rPr>
            </w:pPr>
            <w:r w:rsidRPr="00DF2630">
              <w:rPr>
                <w:sz w:val="18"/>
                <w:szCs w:val="18"/>
              </w:rPr>
              <w:t> </w:t>
            </w:r>
          </w:p>
        </w:tc>
        <w:tc>
          <w:tcPr>
            <w:tcW w:w="1116" w:type="dxa"/>
            <w:tcBorders>
              <w:top w:val="nil"/>
              <w:left w:val="nil"/>
              <w:bottom w:val="single" w:sz="8" w:space="0" w:color="FFFFFF"/>
              <w:right w:val="single" w:sz="8" w:space="0" w:color="FFFFFF"/>
            </w:tcBorders>
            <w:shd w:val="clear" w:color="000000" w:fill="EAF1DD"/>
            <w:vAlign w:val="center"/>
            <w:hideMark/>
          </w:tcPr>
          <w:p w14:paraId="1FA533AD" w14:textId="77777777" w:rsidR="007163E8" w:rsidRPr="00DF2630" w:rsidRDefault="007163E8" w:rsidP="007163E8">
            <w:pPr>
              <w:spacing w:before="0" w:after="0"/>
              <w:rPr>
                <w:sz w:val="18"/>
                <w:szCs w:val="18"/>
              </w:rPr>
            </w:pPr>
            <w:r w:rsidRPr="00DF2630">
              <w:rPr>
                <w:sz w:val="18"/>
                <w:szCs w:val="18"/>
              </w:rPr>
              <w:t> </w:t>
            </w:r>
          </w:p>
        </w:tc>
        <w:tc>
          <w:tcPr>
            <w:tcW w:w="850" w:type="dxa"/>
            <w:tcBorders>
              <w:top w:val="nil"/>
              <w:left w:val="nil"/>
              <w:bottom w:val="single" w:sz="8" w:space="0" w:color="FFFFFF"/>
              <w:right w:val="single" w:sz="8" w:space="0" w:color="FFFFFF"/>
            </w:tcBorders>
            <w:shd w:val="clear" w:color="000000" w:fill="EBF1DE"/>
            <w:vAlign w:val="center"/>
            <w:hideMark/>
          </w:tcPr>
          <w:p w14:paraId="2C56929E" w14:textId="0D159E5C" w:rsidR="007163E8" w:rsidRDefault="007163E8" w:rsidP="0021784F">
            <w:pPr>
              <w:spacing w:before="0" w:after="0"/>
              <w:jc w:val="center"/>
              <w:rPr>
                <w:sz w:val="18"/>
                <w:szCs w:val="18"/>
              </w:rPr>
            </w:pPr>
            <w:r w:rsidRPr="00DF2630">
              <w:rPr>
                <w:sz w:val="18"/>
                <w:szCs w:val="18"/>
              </w:rPr>
              <w:t>2015</w:t>
            </w:r>
          </w:p>
          <w:p w14:paraId="1FBC277A" w14:textId="3AB30D35" w:rsidR="00893EB7" w:rsidRPr="00DF2630" w:rsidRDefault="00893EB7" w:rsidP="0021784F">
            <w:pPr>
              <w:spacing w:before="0" w:after="0"/>
              <w:jc w:val="center"/>
              <w:rPr>
                <w:sz w:val="18"/>
                <w:szCs w:val="18"/>
              </w:rPr>
            </w:pPr>
          </w:p>
        </w:tc>
        <w:tc>
          <w:tcPr>
            <w:tcW w:w="808" w:type="dxa"/>
            <w:tcBorders>
              <w:top w:val="nil"/>
              <w:left w:val="nil"/>
              <w:bottom w:val="single" w:sz="8" w:space="0" w:color="FFFFFF"/>
              <w:right w:val="single" w:sz="8" w:space="0" w:color="FFFFFF"/>
            </w:tcBorders>
            <w:shd w:val="clear" w:color="000000" w:fill="EBF1DE"/>
            <w:vAlign w:val="center"/>
            <w:hideMark/>
          </w:tcPr>
          <w:p w14:paraId="7053FC74" w14:textId="77777777" w:rsidR="007163E8" w:rsidRDefault="007163E8" w:rsidP="0021784F">
            <w:pPr>
              <w:spacing w:before="0" w:after="0"/>
              <w:jc w:val="center"/>
              <w:rPr>
                <w:sz w:val="18"/>
                <w:szCs w:val="18"/>
              </w:rPr>
            </w:pPr>
            <w:r w:rsidRPr="00DF2630">
              <w:rPr>
                <w:sz w:val="18"/>
                <w:szCs w:val="18"/>
              </w:rPr>
              <w:t>2016</w:t>
            </w:r>
          </w:p>
          <w:p w14:paraId="10432C92" w14:textId="778DB676" w:rsidR="00893EB7" w:rsidRPr="00DF2630" w:rsidRDefault="00893EB7" w:rsidP="0021784F">
            <w:pPr>
              <w:spacing w:before="0" w:after="0"/>
              <w:jc w:val="center"/>
              <w:rPr>
                <w:sz w:val="18"/>
                <w:szCs w:val="18"/>
              </w:rPr>
            </w:pPr>
          </w:p>
        </w:tc>
        <w:tc>
          <w:tcPr>
            <w:tcW w:w="808" w:type="dxa"/>
            <w:tcBorders>
              <w:top w:val="nil"/>
              <w:left w:val="nil"/>
              <w:bottom w:val="single" w:sz="8" w:space="0" w:color="FFFFFF"/>
              <w:right w:val="single" w:sz="8" w:space="0" w:color="FFFFFF"/>
            </w:tcBorders>
            <w:shd w:val="clear" w:color="000000" w:fill="EBF1DE"/>
            <w:vAlign w:val="center"/>
            <w:hideMark/>
          </w:tcPr>
          <w:p w14:paraId="1C9ECFF3" w14:textId="77777777" w:rsidR="007163E8" w:rsidRDefault="007163E8" w:rsidP="0021784F">
            <w:pPr>
              <w:spacing w:before="0" w:after="0"/>
              <w:jc w:val="center"/>
              <w:rPr>
                <w:sz w:val="18"/>
                <w:szCs w:val="18"/>
              </w:rPr>
            </w:pPr>
            <w:r w:rsidRPr="00DF2630">
              <w:rPr>
                <w:sz w:val="18"/>
                <w:szCs w:val="18"/>
              </w:rPr>
              <w:t>2017</w:t>
            </w:r>
          </w:p>
          <w:p w14:paraId="7C1187D2" w14:textId="5BD3ABBE" w:rsidR="00893EB7" w:rsidRPr="00DF2630" w:rsidRDefault="00893EB7" w:rsidP="0021784F">
            <w:pPr>
              <w:spacing w:before="0" w:after="0"/>
              <w:jc w:val="center"/>
              <w:rPr>
                <w:sz w:val="18"/>
                <w:szCs w:val="18"/>
              </w:rPr>
            </w:pPr>
          </w:p>
        </w:tc>
        <w:tc>
          <w:tcPr>
            <w:tcW w:w="815" w:type="dxa"/>
            <w:tcBorders>
              <w:top w:val="nil"/>
              <w:left w:val="nil"/>
              <w:bottom w:val="single" w:sz="8" w:space="0" w:color="FFFFFF"/>
              <w:right w:val="single" w:sz="8" w:space="0" w:color="FFFFFF"/>
            </w:tcBorders>
            <w:shd w:val="clear" w:color="000000" w:fill="EBF1DE"/>
            <w:vAlign w:val="center"/>
            <w:hideMark/>
          </w:tcPr>
          <w:p w14:paraId="02425933" w14:textId="7FDE02D6" w:rsidR="007163E8" w:rsidRDefault="007163E8" w:rsidP="0021784F">
            <w:pPr>
              <w:spacing w:before="0" w:after="0"/>
              <w:jc w:val="center"/>
              <w:rPr>
                <w:sz w:val="18"/>
                <w:szCs w:val="18"/>
              </w:rPr>
            </w:pPr>
            <w:r w:rsidRPr="00DF2630">
              <w:rPr>
                <w:sz w:val="18"/>
                <w:szCs w:val="18"/>
              </w:rPr>
              <w:t>2018</w:t>
            </w:r>
          </w:p>
          <w:p w14:paraId="479478A0" w14:textId="09D317BD" w:rsidR="00893EB7" w:rsidRPr="00DF2630" w:rsidRDefault="00893EB7" w:rsidP="0021784F">
            <w:pPr>
              <w:spacing w:before="0" w:after="0"/>
              <w:jc w:val="center"/>
              <w:rPr>
                <w:sz w:val="18"/>
                <w:szCs w:val="18"/>
              </w:rPr>
            </w:pPr>
          </w:p>
        </w:tc>
        <w:tc>
          <w:tcPr>
            <w:tcW w:w="794" w:type="dxa"/>
            <w:tcBorders>
              <w:top w:val="nil"/>
              <w:left w:val="nil"/>
              <w:bottom w:val="single" w:sz="8" w:space="0" w:color="FFFFFF"/>
              <w:right w:val="single" w:sz="8" w:space="0" w:color="FFFFFF"/>
            </w:tcBorders>
            <w:shd w:val="clear" w:color="000000" w:fill="EBF1DE"/>
            <w:vAlign w:val="center"/>
          </w:tcPr>
          <w:p w14:paraId="35EABFF6" w14:textId="4C050229" w:rsidR="007163E8" w:rsidRDefault="007163E8" w:rsidP="0021784F">
            <w:pPr>
              <w:spacing w:before="0" w:after="0"/>
              <w:jc w:val="center"/>
              <w:rPr>
                <w:sz w:val="18"/>
                <w:szCs w:val="18"/>
              </w:rPr>
            </w:pPr>
            <w:r>
              <w:rPr>
                <w:sz w:val="18"/>
                <w:szCs w:val="18"/>
              </w:rPr>
              <w:t>2019</w:t>
            </w:r>
          </w:p>
          <w:p w14:paraId="25E47D59" w14:textId="26287392" w:rsidR="00893EB7" w:rsidRPr="00DF2630" w:rsidRDefault="00893EB7" w:rsidP="0021784F">
            <w:pPr>
              <w:spacing w:before="0" w:after="0"/>
              <w:jc w:val="center"/>
              <w:rPr>
                <w:sz w:val="18"/>
                <w:szCs w:val="18"/>
              </w:rPr>
            </w:pPr>
          </w:p>
        </w:tc>
      </w:tr>
      <w:tr w:rsidR="0021784F" w:rsidRPr="00924476" w14:paraId="5F55D6B1" w14:textId="77777777" w:rsidTr="00326634">
        <w:trPr>
          <w:trHeight w:val="495"/>
        </w:trPr>
        <w:tc>
          <w:tcPr>
            <w:tcW w:w="1260" w:type="dxa"/>
            <w:tcBorders>
              <w:top w:val="nil"/>
              <w:left w:val="single" w:sz="8" w:space="0" w:color="FFFFFF"/>
              <w:bottom w:val="single" w:sz="8" w:space="0" w:color="FFFFFF"/>
              <w:right w:val="single" w:sz="8" w:space="0" w:color="FFFFFF"/>
            </w:tcBorders>
            <w:shd w:val="clear" w:color="000000" w:fill="9BBB59"/>
            <w:noWrap/>
          </w:tcPr>
          <w:p w14:paraId="17F2F726" w14:textId="500FE30E" w:rsidR="0021784F" w:rsidRPr="0021784F" w:rsidRDefault="0021784F" w:rsidP="0021784F">
            <w:pPr>
              <w:spacing w:before="0" w:after="0"/>
              <w:rPr>
                <w:b/>
                <w:bCs/>
                <w:color w:val="FFFFFF" w:themeColor="background1"/>
                <w:sz w:val="18"/>
                <w:szCs w:val="18"/>
              </w:rPr>
            </w:pPr>
            <w:r>
              <w:rPr>
                <w:b/>
                <w:bCs/>
                <w:color w:val="FFFFFF" w:themeColor="background1"/>
                <w:sz w:val="18"/>
                <w:szCs w:val="18"/>
              </w:rPr>
              <w:t>H</w:t>
            </w:r>
            <w:r w:rsidRPr="0021784F">
              <w:rPr>
                <w:b/>
                <w:bCs/>
                <w:color w:val="FFFFFF" w:themeColor="background1"/>
                <w:sz w:val="18"/>
                <w:szCs w:val="18"/>
              </w:rPr>
              <w:t>ydrological conditions</w:t>
            </w:r>
          </w:p>
        </w:tc>
        <w:tc>
          <w:tcPr>
            <w:tcW w:w="1280" w:type="dxa"/>
            <w:tcBorders>
              <w:top w:val="nil"/>
              <w:left w:val="nil"/>
              <w:bottom w:val="single" w:sz="8" w:space="0" w:color="FFFFFF"/>
              <w:right w:val="single" w:sz="8" w:space="0" w:color="FFFFFF"/>
            </w:tcBorders>
            <w:shd w:val="clear" w:color="000000" w:fill="EAF1DD"/>
            <w:vAlign w:val="center"/>
          </w:tcPr>
          <w:p w14:paraId="5F001CE8" w14:textId="77777777" w:rsidR="0021784F" w:rsidRPr="00DF2630" w:rsidRDefault="0021784F" w:rsidP="0021784F">
            <w:pPr>
              <w:spacing w:before="0" w:after="0"/>
              <w:rPr>
                <w:sz w:val="18"/>
                <w:szCs w:val="18"/>
              </w:rPr>
            </w:pPr>
          </w:p>
        </w:tc>
        <w:tc>
          <w:tcPr>
            <w:tcW w:w="1182" w:type="dxa"/>
            <w:tcBorders>
              <w:top w:val="nil"/>
              <w:left w:val="nil"/>
              <w:bottom w:val="single" w:sz="8" w:space="0" w:color="FFFFFF"/>
              <w:right w:val="single" w:sz="8" w:space="0" w:color="FFFFFF"/>
            </w:tcBorders>
            <w:shd w:val="clear" w:color="000000" w:fill="EAF1DD"/>
            <w:vAlign w:val="center"/>
          </w:tcPr>
          <w:p w14:paraId="2261E1A6" w14:textId="77777777" w:rsidR="0021784F" w:rsidRPr="00DF2630" w:rsidRDefault="0021784F" w:rsidP="0021784F">
            <w:pPr>
              <w:spacing w:before="0" w:after="0"/>
              <w:rPr>
                <w:sz w:val="18"/>
                <w:szCs w:val="18"/>
              </w:rPr>
            </w:pPr>
          </w:p>
        </w:tc>
        <w:tc>
          <w:tcPr>
            <w:tcW w:w="1116" w:type="dxa"/>
            <w:tcBorders>
              <w:top w:val="nil"/>
              <w:left w:val="nil"/>
              <w:bottom w:val="single" w:sz="8" w:space="0" w:color="FFFFFF"/>
              <w:right w:val="single" w:sz="8" w:space="0" w:color="FFFFFF"/>
            </w:tcBorders>
            <w:shd w:val="clear" w:color="000000" w:fill="EAF1DD"/>
            <w:vAlign w:val="center"/>
          </w:tcPr>
          <w:p w14:paraId="201A7054" w14:textId="77777777" w:rsidR="0021784F" w:rsidRPr="00DF2630" w:rsidRDefault="0021784F" w:rsidP="0021784F">
            <w:pPr>
              <w:spacing w:before="0" w:after="0"/>
              <w:rPr>
                <w:sz w:val="18"/>
                <w:szCs w:val="18"/>
              </w:rPr>
            </w:pPr>
          </w:p>
        </w:tc>
        <w:tc>
          <w:tcPr>
            <w:tcW w:w="850" w:type="dxa"/>
            <w:tcBorders>
              <w:top w:val="nil"/>
              <w:left w:val="nil"/>
              <w:bottom w:val="single" w:sz="8" w:space="0" w:color="FFFFFF"/>
              <w:right w:val="single" w:sz="8" w:space="0" w:color="FFFFFF"/>
            </w:tcBorders>
            <w:shd w:val="clear" w:color="000000" w:fill="EBF1DE"/>
            <w:vAlign w:val="center"/>
          </w:tcPr>
          <w:p w14:paraId="73028F97" w14:textId="77777777" w:rsidR="0021784F" w:rsidRDefault="0021784F" w:rsidP="0021784F">
            <w:pPr>
              <w:spacing w:before="0" w:after="0"/>
              <w:jc w:val="center"/>
              <w:rPr>
                <w:sz w:val="18"/>
                <w:szCs w:val="18"/>
              </w:rPr>
            </w:pPr>
            <w:r>
              <w:rPr>
                <w:sz w:val="18"/>
                <w:szCs w:val="18"/>
              </w:rPr>
              <w:t>Dry</w:t>
            </w:r>
          </w:p>
          <w:p w14:paraId="315403E2" w14:textId="77777777" w:rsidR="0021784F" w:rsidRPr="00DF2630" w:rsidRDefault="0021784F" w:rsidP="0021784F">
            <w:pPr>
              <w:spacing w:before="0" w:after="0"/>
              <w:jc w:val="center"/>
              <w:rPr>
                <w:sz w:val="18"/>
                <w:szCs w:val="18"/>
              </w:rPr>
            </w:pPr>
          </w:p>
        </w:tc>
        <w:tc>
          <w:tcPr>
            <w:tcW w:w="808" w:type="dxa"/>
            <w:tcBorders>
              <w:top w:val="nil"/>
              <w:left w:val="nil"/>
              <w:bottom w:val="single" w:sz="8" w:space="0" w:color="FFFFFF"/>
              <w:right w:val="single" w:sz="8" w:space="0" w:color="FFFFFF"/>
            </w:tcBorders>
            <w:shd w:val="clear" w:color="000000" w:fill="EBF1DE"/>
            <w:vAlign w:val="center"/>
          </w:tcPr>
          <w:p w14:paraId="7F25C5DF" w14:textId="129DB219" w:rsidR="0021784F" w:rsidRPr="00DF2630" w:rsidRDefault="0021784F" w:rsidP="0021784F">
            <w:pPr>
              <w:spacing w:before="0" w:after="0"/>
              <w:jc w:val="center"/>
              <w:rPr>
                <w:sz w:val="18"/>
                <w:szCs w:val="18"/>
              </w:rPr>
            </w:pPr>
            <w:r>
              <w:rPr>
                <w:sz w:val="18"/>
                <w:szCs w:val="18"/>
              </w:rPr>
              <w:t>Mod-Wet</w:t>
            </w:r>
          </w:p>
        </w:tc>
        <w:tc>
          <w:tcPr>
            <w:tcW w:w="808" w:type="dxa"/>
            <w:tcBorders>
              <w:top w:val="nil"/>
              <w:left w:val="nil"/>
              <w:bottom w:val="single" w:sz="8" w:space="0" w:color="FFFFFF"/>
              <w:right w:val="single" w:sz="8" w:space="0" w:color="FFFFFF"/>
            </w:tcBorders>
            <w:shd w:val="clear" w:color="000000" w:fill="EBF1DE"/>
            <w:vAlign w:val="center"/>
          </w:tcPr>
          <w:p w14:paraId="6724F4DE" w14:textId="62706DD1" w:rsidR="0021784F" w:rsidRPr="00DF2630" w:rsidRDefault="0021784F" w:rsidP="0021784F">
            <w:pPr>
              <w:spacing w:before="0" w:after="0"/>
              <w:jc w:val="center"/>
              <w:rPr>
                <w:sz w:val="18"/>
                <w:szCs w:val="18"/>
              </w:rPr>
            </w:pPr>
            <w:r>
              <w:rPr>
                <w:sz w:val="18"/>
                <w:szCs w:val="18"/>
              </w:rPr>
              <w:t>Very-Wet</w:t>
            </w:r>
          </w:p>
        </w:tc>
        <w:tc>
          <w:tcPr>
            <w:tcW w:w="815" w:type="dxa"/>
            <w:tcBorders>
              <w:top w:val="nil"/>
              <w:left w:val="nil"/>
              <w:bottom w:val="single" w:sz="8" w:space="0" w:color="FFFFFF"/>
              <w:right w:val="single" w:sz="8" w:space="0" w:color="FFFFFF"/>
            </w:tcBorders>
            <w:shd w:val="clear" w:color="000000" w:fill="EBF1DE"/>
            <w:vAlign w:val="center"/>
          </w:tcPr>
          <w:p w14:paraId="349C9862" w14:textId="77777777" w:rsidR="0021784F" w:rsidRDefault="0021784F" w:rsidP="0021784F">
            <w:pPr>
              <w:spacing w:before="0" w:after="0"/>
              <w:jc w:val="center"/>
              <w:rPr>
                <w:sz w:val="18"/>
                <w:szCs w:val="18"/>
              </w:rPr>
            </w:pPr>
            <w:r>
              <w:rPr>
                <w:sz w:val="18"/>
                <w:szCs w:val="18"/>
              </w:rPr>
              <w:t>Drying</w:t>
            </w:r>
          </w:p>
          <w:p w14:paraId="0FD2E868" w14:textId="77777777" w:rsidR="0021784F" w:rsidRPr="00DF2630" w:rsidRDefault="0021784F" w:rsidP="0021784F">
            <w:pPr>
              <w:spacing w:before="0" w:after="0"/>
              <w:jc w:val="center"/>
              <w:rPr>
                <w:sz w:val="18"/>
                <w:szCs w:val="18"/>
              </w:rPr>
            </w:pPr>
          </w:p>
        </w:tc>
        <w:tc>
          <w:tcPr>
            <w:tcW w:w="794" w:type="dxa"/>
            <w:tcBorders>
              <w:top w:val="nil"/>
              <w:left w:val="nil"/>
              <w:bottom w:val="single" w:sz="8" w:space="0" w:color="FFFFFF"/>
              <w:right w:val="single" w:sz="8" w:space="0" w:color="FFFFFF"/>
            </w:tcBorders>
            <w:shd w:val="clear" w:color="000000" w:fill="EBF1DE"/>
            <w:vAlign w:val="center"/>
          </w:tcPr>
          <w:p w14:paraId="726D0774" w14:textId="77777777" w:rsidR="0021784F" w:rsidRDefault="0021784F" w:rsidP="0021784F">
            <w:pPr>
              <w:spacing w:before="0" w:after="0"/>
              <w:jc w:val="center"/>
              <w:rPr>
                <w:sz w:val="18"/>
                <w:szCs w:val="18"/>
              </w:rPr>
            </w:pPr>
            <w:r>
              <w:rPr>
                <w:sz w:val="18"/>
                <w:szCs w:val="18"/>
              </w:rPr>
              <w:t>Dry</w:t>
            </w:r>
          </w:p>
          <w:p w14:paraId="292A85A5" w14:textId="77777777" w:rsidR="0021784F" w:rsidRDefault="0021784F" w:rsidP="0021784F">
            <w:pPr>
              <w:spacing w:before="0" w:after="0"/>
              <w:jc w:val="center"/>
              <w:rPr>
                <w:sz w:val="18"/>
                <w:szCs w:val="18"/>
              </w:rPr>
            </w:pPr>
          </w:p>
        </w:tc>
      </w:tr>
      <w:tr w:rsidR="0021784F" w:rsidRPr="00924476" w14:paraId="1B6401F6" w14:textId="77777777" w:rsidTr="007163E8">
        <w:trPr>
          <w:trHeight w:val="255"/>
        </w:trPr>
        <w:tc>
          <w:tcPr>
            <w:tcW w:w="8119" w:type="dxa"/>
            <w:gridSpan w:val="8"/>
            <w:tcBorders>
              <w:top w:val="single" w:sz="8" w:space="0" w:color="FFFFFF"/>
              <w:left w:val="single" w:sz="8" w:space="0" w:color="FFFFFF"/>
              <w:bottom w:val="nil"/>
              <w:right w:val="nil"/>
            </w:tcBorders>
            <w:shd w:val="clear" w:color="000000" w:fill="C2D69B"/>
            <w:vAlign w:val="center"/>
            <w:hideMark/>
          </w:tcPr>
          <w:p w14:paraId="09FBA372"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Red gum community</w:t>
            </w:r>
          </w:p>
        </w:tc>
        <w:tc>
          <w:tcPr>
            <w:tcW w:w="794" w:type="dxa"/>
            <w:tcBorders>
              <w:top w:val="single" w:sz="8" w:space="0" w:color="FFFFFF"/>
              <w:left w:val="single" w:sz="8" w:space="0" w:color="FFFFFF"/>
              <w:bottom w:val="nil"/>
              <w:right w:val="nil"/>
            </w:tcBorders>
            <w:shd w:val="clear" w:color="000000" w:fill="C2D69B"/>
          </w:tcPr>
          <w:p w14:paraId="15B9FE78" w14:textId="77777777" w:rsidR="0021784F" w:rsidRPr="00DF2630" w:rsidRDefault="0021784F" w:rsidP="0021784F">
            <w:pPr>
              <w:spacing w:before="0" w:after="0"/>
              <w:rPr>
                <w:b/>
                <w:bCs/>
                <w:color w:val="FFFFFF" w:themeColor="background1"/>
                <w:sz w:val="18"/>
                <w:szCs w:val="18"/>
              </w:rPr>
            </w:pPr>
          </w:p>
        </w:tc>
      </w:tr>
      <w:tr w:rsidR="0021784F" w:rsidRPr="00924476" w14:paraId="3172B247" w14:textId="77777777" w:rsidTr="007163E8">
        <w:trPr>
          <w:trHeight w:val="495"/>
        </w:trPr>
        <w:tc>
          <w:tcPr>
            <w:tcW w:w="1260"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66ABEEF7"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Ita</w:t>
            </w:r>
          </w:p>
        </w:tc>
        <w:tc>
          <w:tcPr>
            <w:tcW w:w="1280" w:type="dxa"/>
            <w:tcBorders>
              <w:top w:val="single" w:sz="8" w:space="0" w:color="FFFFFF"/>
              <w:left w:val="nil"/>
              <w:bottom w:val="single" w:sz="8" w:space="0" w:color="FFFFFF"/>
              <w:right w:val="single" w:sz="8" w:space="0" w:color="FFFFFF"/>
            </w:tcBorders>
            <w:shd w:val="clear" w:color="000000" w:fill="EAF1DD"/>
            <w:vAlign w:val="center"/>
            <w:hideMark/>
          </w:tcPr>
          <w:p w14:paraId="6CFB6733" w14:textId="77777777" w:rsidR="0021784F" w:rsidRPr="00DF2630" w:rsidRDefault="0021784F" w:rsidP="0021784F">
            <w:pPr>
              <w:spacing w:before="0" w:after="0"/>
              <w:rPr>
                <w:sz w:val="18"/>
                <w:szCs w:val="18"/>
              </w:rPr>
            </w:pPr>
            <w:r w:rsidRPr="00DF2630">
              <w:rPr>
                <w:sz w:val="18"/>
                <w:szCs w:val="18"/>
              </w:rPr>
              <w:t>Lachlan River Floodplain</w:t>
            </w:r>
          </w:p>
        </w:tc>
        <w:tc>
          <w:tcPr>
            <w:tcW w:w="1182" w:type="dxa"/>
            <w:tcBorders>
              <w:top w:val="single" w:sz="8" w:space="0" w:color="FFFFFF"/>
              <w:left w:val="nil"/>
              <w:bottom w:val="single" w:sz="8" w:space="0" w:color="FFFFFF"/>
              <w:right w:val="single" w:sz="8" w:space="0" w:color="FFFFFF"/>
            </w:tcBorders>
            <w:shd w:val="clear" w:color="000000" w:fill="EAF1DD"/>
            <w:vAlign w:val="center"/>
            <w:hideMark/>
          </w:tcPr>
          <w:p w14:paraId="03B2F7D5" w14:textId="77777777" w:rsidR="0021784F" w:rsidRPr="00DF2630" w:rsidRDefault="0021784F" w:rsidP="0021784F">
            <w:pPr>
              <w:spacing w:before="0" w:after="0"/>
              <w:rPr>
                <w:sz w:val="18"/>
                <w:szCs w:val="18"/>
              </w:rPr>
            </w:pPr>
            <w:r w:rsidRPr="00DF2630">
              <w:rPr>
                <w:sz w:val="18"/>
                <w:szCs w:val="18"/>
              </w:rPr>
              <w:t>Nature conservation</w:t>
            </w:r>
          </w:p>
        </w:tc>
        <w:tc>
          <w:tcPr>
            <w:tcW w:w="1116" w:type="dxa"/>
            <w:tcBorders>
              <w:top w:val="single" w:sz="8" w:space="0" w:color="FFFFFF"/>
              <w:left w:val="nil"/>
              <w:bottom w:val="single" w:sz="8" w:space="0" w:color="FFFFFF"/>
              <w:right w:val="single" w:sz="8" w:space="0" w:color="FFFFFF"/>
            </w:tcBorders>
            <w:shd w:val="clear" w:color="000000" w:fill="EAF1DD"/>
            <w:vAlign w:val="center"/>
            <w:hideMark/>
          </w:tcPr>
          <w:p w14:paraId="03DA53DD" w14:textId="77777777" w:rsidR="0021784F" w:rsidRPr="00DF2630" w:rsidRDefault="0021784F" w:rsidP="0021784F">
            <w:pPr>
              <w:spacing w:before="0" w:after="0"/>
              <w:rPr>
                <w:sz w:val="18"/>
                <w:szCs w:val="18"/>
              </w:rPr>
            </w:pPr>
            <w:r w:rsidRPr="00DF2630">
              <w:rPr>
                <w:sz w:val="18"/>
                <w:szCs w:val="18"/>
              </w:rPr>
              <w:t>Low</w:t>
            </w:r>
          </w:p>
        </w:tc>
        <w:tc>
          <w:tcPr>
            <w:tcW w:w="850" w:type="dxa"/>
            <w:tcBorders>
              <w:top w:val="single" w:sz="8" w:space="0" w:color="FFFFFF"/>
              <w:left w:val="nil"/>
              <w:bottom w:val="single" w:sz="8" w:space="0" w:color="FFFFFF"/>
              <w:right w:val="single" w:sz="8" w:space="0" w:color="FFFFFF"/>
            </w:tcBorders>
            <w:shd w:val="clear" w:color="000000" w:fill="EBF1DE"/>
            <w:noWrap/>
            <w:vAlign w:val="center"/>
            <w:hideMark/>
          </w:tcPr>
          <w:p w14:paraId="69D00293" w14:textId="77777777" w:rsidR="0021784F" w:rsidRPr="00DF2630" w:rsidRDefault="0021784F" w:rsidP="0021784F">
            <w:pPr>
              <w:spacing w:before="0" w:after="0"/>
              <w:jc w:val="center"/>
              <w:rPr>
                <w:sz w:val="18"/>
                <w:szCs w:val="18"/>
              </w:rPr>
            </w:pPr>
            <w:r w:rsidRPr="00DF2630">
              <w:rPr>
                <w:sz w:val="18"/>
                <w:szCs w:val="18"/>
              </w:rPr>
              <w:t>0</w:t>
            </w:r>
          </w:p>
        </w:tc>
        <w:tc>
          <w:tcPr>
            <w:tcW w:w="808" w:type="dxa"/>
            <w:tcBorders>
              <w:top w:val="single" w:sz="8" w:space="0" w:color="FFFFFF"/>
              <w:left w:val="nil"/>
              <w:bottom w:val="single" w:sz="8" w:space="0" w:color="FFFFFF"/>
              <w:right w:val="single" w:sz="8" w:space="0" w:color="FFFFFF"/>
            </w:tcBorders>
            <w:shd w:val="clear" w:color="000000" w:fill="EBF1DE"/>
            <w:noWrap/>
            <w:vAlign w:val="center"/>
            <w:hideMark/>
          </w:tcPr>
          <w:p w14:paraId="6BFFB191" w14:textId="77777777" w:rsidR="0021784F" w:rsidRPr="00DF2630" w:rsidRDefault="0021784F" w:rsidP="0021784F">
            <w:pPr>
              <w:spacing w:before="0" w:after="0"/>
              <w:jc w:val="center"/>
              <w:rPr>
                <w:sz w:val="18"/>
                <w:szCs w:val="18"/>
              </w:rPr>
            </w:pPr>
            <w:r w:rsidRPr="00DF2630">
              <w:rPr>
                <w:sz w:val="18"/>
                <w:szCs w:val="18"/>
              </w:rPr>
              <w:t>3</w:t>
            </w:r>
          </w:p>
        </w:tc>
        <w:tc>
          <w:tcPr>
            <w:tcW w:w="808" w:type="dxa"/>
            <w:tcBorders>
              <w:top w:val="single" w:sz="8" w:space="0" w:color="FFFFFF"/>
              <w:left w:val="nil"/>
              <w:bottom w:val="single" w:sz="8" w:space="0" w:color="FFFFFF"/>
              <w:right w:val="single" w:sz="8" w:space="0" w:color="FFFFFF"/>
            </w:tcBorders>
            <w:shd w:val="clear" w:color="000000" w:fill="EBF1DE"/>
            <w:noWrap/>
            <w:vAlign w:val="center"/>
            <w:hideMark/>
          </w:tcPr>
          <w:p w14:paraId="4B4C04A8" w14:textId="77777777" w:rsidR="0021784F" w:rsidRPr="00DF2630" w:rsidRDefault="0021784F" w:rsidP="0021784F">
            <w:pPr>
              <w:spacing w:before="0" w:after="0"/>
              <w:jc w:val="center"/>
              <w:rPr>
                <w:sz w:val="18"/>
                <w:szCs w:val="18"/>
              </w:rPr>
            </w:pPr>
            <w:r w:rsidRPr="00DF2630">
              <w:rPr>
                <w:sz w:val="18"/>
                <w:szCs w:val="18"/>
              </w:rPr>
              <w:t>124</w:t>
            </w:r>
          </w:p>
        </w:tc>
        <w:tc>
          <w:tcPr>
            <w:tcW w:w="815" w:type="dxa"/>
            <w:tcBorders>
              <w:top w:val="single" w:sz="8" w:space="0" w:color="FFFFFF"/>
              <w:left w:val="nil"/>
              <w:bottom w:val="single" w:sz="8" w:space="0" w:color="FFFFFF"/>
              <w:right w:val="single" w:sz="8" w:space="0" w:color="FFFFFF"/>
            </w:tcBorders>
            <w:shd w:val="clear" w:color="000000" w:fill="EBF1DE"/>
            <w:noWrap/>
            <w:vAlign w:val="center"/>
            <w:hideMark/>
          </w:tcPr>
          <w:p w14:paraId="3E5B79F9" w14:textId="77777777" w:rsidR="0021784F" w:rsidRPr="00DF2630" w:rsidRDefault="0021784F" w:rsidP="0021784F">
            <w:pPr>
              <w:spacing w:before="0" w:after="0"/>
              <w:jc w:val="center"/>
              <w:rPr>
                <w:sz w:val="18"/>
                <w:szCs w:val="18"/>
              </w:rPr>
            </w:pPr>
            <w:r w:rsidRPr="00DF2630">
              <w:rPr>
                <w:sz w:val="18"/>
                <w:szCs w:val="18"/>
              </w:rPr>
              <w:t>1439</w:t>
            </w:r>
          </w:p>
        </w:tc>
        <w:tc>
          <w:tcPr>
            <w:tcW w:w="794" w:type="dxa"/>
            <w:tcBorders>
              <w:top w:val="single" w:sz="8" w:space="0" w:color="FFFFFF"/>
              <w:left w:val="nil"/>
              <w:bottom w:val="single" w:sz="8" w:space="0" w:color="FFFFFF"/>
              <w:right w:val="single" w:sz="8" w:space="0" w:color="FFFFFF"/>
            </w:tcBorders>
            <w:shd w:val="clear" w:color="000000" w:fill="EBF1DE"/>
            <w:vAlign w:val="center"/>
          </w:tcPr>
          <w:p w14:paraId="5663103C" w14:textId="77777777" w:rsidR="0021784F" w:rsidRPr="00DF2630" w:rsidRDefault="0021784F" w:rsidP="0021784F">
            <w:pPr>
              <w:spacing w:before="0" w:after="0"/>
              <w:jc w:val="center"/>
              <w:rPr>
                <w:sz w:val="18"/>
                <w:szCs w:val="18"/>
              </w:rPr>
            </w:pPr>
            <w:r>
              <w:rPr>
                <w:sz w:val="18"/>
                <w:szCs w:val="18"/>
              </w:rPr>
              <w:t>1021</w:t>
            </w:r>
          </w:p>
        </w:tc>
      </w:tr>
      <w:tr w:rsidR="0021784F" w:rsidRPr="00924476" w14:paraId="460D2490"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182E1786"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 xml:space="preserve">Moon Moon Swamp </w:t>
            </w:r>
          </w:p>
        </w:tc>
        <w:tc>
          <w:tcPr>
            <w:tcW w:w="1280" w:type="dxa"/>
            <w:tcBorders>
              <w:top w:val="nil"/>
              <w:left w:val="nil"/>
              <w:bottom w:val="single" w:sz="8" w:space="0" w:color="FFFFFF"/>
              <w:right w:val="single" w:sz="8" w:space="0" w:color="FFFFFF"/>
            </w:tcBorders>
            <w:shd w:val="clear" w:color="000000" w:fill="EAF1DD"/>
            <w:vAlign w:val="center"/>
            <w:hideMark/>
          </w:tcPr>
          <w:p w14:paraId="3B493F54" w14:textId="77777777" w:rsidR="0021784F" w:rsidRPr="00DF2630" w:rsidRDefault="0021784F" w:rsidP="0021784F">
            <w:pPr>
              <w:spacing w:before="0" w:after="0"/>
              <w:rPr>
                <w:sz w:val="18"/>
                <w:szCs w:val="18"/>
              </w:rPr>
            </w:pPr>
            <w:r w:rsidRPr="00DF2630">
              <w:rPr>
                <w:sz w:val="18"/>
                <w:szCs w:val="18"/>
              </w:rPr>
              <w:t>Booligal Wetlands</w:t>
            </w:r>
          </w:p>
        </w:tc>
        <w:tc>
          <w:tcPr>
            <w:tcW w:w="1182" w:type="dxa"/>
            <w:tcBorders>
              <w:top w:val="nil"/>
              <w:left w:val="nil"/>
              <w:bottom w:val="single" w:sz="8" w:space="0" w:color="FFFFFF"/>
              <w:right w:val="single" w:sz="8" w:space="0" w:color="FFFFFF"/>
            </w:tcBorders>
            <w:shd w:val="clear" w:color="000000" w:fill="EAF1DD"/>
            <w:vAlign w:val="center"/>
            <w:hideMark/>
          </w:tcPr>
          <w:p w14:paraId="040F5695" w14:textId="77777777" w:rsidR="0021784F" w:rsidRPr="00DF2630" w:rsidRDefault="0021784F" w:rsidP="0021784F">
            <w:pPr>
              <w:spacing w:before="0" w:after="0"/>
              <w:rPr>
                <w:sz w:val="18"/>
                <w:szCs w:val="18"/>
              </w:rPr>
            </w:pPr>
            <w:r w:rsidRPr="00DF2630">
              <w:rPr>
                <w:sz w:val="18"/>
                <w:szCs w:val="18"/>
              </w:rPr>
              <w:t>Grazing (cattle)</w:t>
            </w:r>
          </w:p>
        </w:tc>
        <w:tc>
          <w:tcPr>
            <w:tcW w:w="1116" w:type="dxa"/>
            <w:tcBorders>
              <w:top w:val="nil"/>
              <w:left w:val="nil"/>
              <w:bottom w:val="single" w:sz="8" w:space="0" w:color="FFFFFF"/>
              <w:right w:val="single" w:sz="8" w:space="0" w:color="FFFFFF"/>
            </w:tcBorders>
            <w:shd w:val="clear" w:color="000000" w:fill="EAF1DD"/>
            <w:vAlign w:val="center"/>
            <w:hideMark/>
          </w:tcPr>
          <w:p w14:paraId="5B79362B"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541FF79F" w14:textId="77777777" w:rsidR="0021784F" w:rsidRPr="00DF2630" w:rsidRDefault="0021784F" w:rsidP="0021784F">
            <w:pPr>
              <w:spacing w:before="0" w:after="0"/>
              <w:jc w:val="center"/>
              <w:rPr>
                <w:sz w:val="18"/>
                <w:szCs w:val="18"/>
              </w:rPr>
            </w:pPr>
            <w:r w:rsidRPr="00DF2630">
              <w:rPr>
                <w:sz w:val="18"/>
                <w:szCs w:val="18"/>
              </w:rPr>
              <w:t>7</w:t>
            </w:r>
          </w:p>
        </w:tc>
        <w:tc>
          <w:tcPr>
            <w:tcW w:w="808" w:type="dxa"/>
            <w:tcBorders>
              <w:top w:val="nil"/>
              <w:left w:val="nil"/>
              <w:bottom w:val="single" w:sz="8" w:space="0" w:color="FFFFFF"/>
              <w:right w:val="single" w:sz="8" w:space="0" w:color="FFFFFF"/>
            </w:tcBorders>
            <w:shd w:val="clear" w:color="000000" w:fill="EBF1DE"/>
            <w:noWrap/>
            <w:vAlign w:val="center"/>
            <w:hideMark/>
          </w:tcPr>
          <w:p w14:paraId="696B6D18" w14:textId="77777777" w:rsidR="0021784F" w:rsidRPr="00DF2630" w:rsidRDefault="0021784F" w:rsidP="0021784F">
            <w:pPr>
              <w:spacing w:before="0" w:after="0"/>
              <w:jc w:val="center"/>
              <w:rPr>
                <w:sz w:val="18"/>
                <w:szCs w:val="18"/>
              </w:rPr>
            </w:pPr>
            <w:r w:rsidRPr="00DF2630">
              <w:rPr>
                <w:sz w:val="18"/>
                <w:szCs w:val="18"/>
              </w:rPr>
              <w:t>37</w:t>
            </w:r>
          </w:p>
        </w:tc>
        <w:tc>
          <w:tcPr>
            <w:tcW w:w="808" w:type="dxa"/>
            <w:tcBorders>
              <w:top w:val="nil"/>
              <w:left w:val="nil"/>
              <w:bottom w:val="single" w:sz="8" w:space="0" w:color="FFFFFF"/>
              <w:right w:val="single" w:sz="8" w:space="0" w:color="FFFFFF"/>
            </w:tcBorders>
            <w:shd w:val="clear" w:color="000000" w:fill="DCE6F1"/>
            <w:vAlign w:val="center"/>
            <w:hideMark/>
          </w:tcPr>
          <w:p w14:paraId="594525DB" w14:textId="77777777" w:rsidR="0021784F" w:rsidRPr="00DF2630" w:rsidRDefault="0021784F" w:rsidP="0021784F">
            <w:pPr>
              <w:spacing w:before="0" w:after="0"/>
              <w:jc w:val="center"/>
              <w:rPr>
                <w:sz w:val="18"/>
                <w:szCs w:val="18"/>
              </w:rPr>
            </w:pPr>
            <w:r w:rsidRPr="00DF2630">
              <w:rPr>
                <w:sz w:val="18"/>
                <w:szCs w:val="18"/>
              </w:rPr>
              <w:t>water-logged</w:t>
            </w:r>
          </w:p>
        </w:tc>
        <w:tc>
          <w:tcPr>
            <w:tcW w:w="815" w:type="dxa"/>
            <w:tcBorders>
              <w:top w:val="nil"/>
              <w:left w:val="nil"/>
              <w:bottom w:val="single" w:sz="8" w:space="0" w:color="FFFFFF"/>
              <w:right w:val="single" w:sz="8" w:space="0" w:color="FFFFFF"/>
            </w:tcBorders>
            <w:shd w:val="clear" w:color="000000" w:fill="EBF1DE"/>
            <w:noWrap/>
            <w:vAlign w:val="center"/>
            <w:hideMark/>
          </w:tcPr>
          <w:p w14:paraId="4CCA313A" w14:textId="77777777" w:rsidR="0021784F" w:rsidRPr="00DF2630" w:rsidRDefault="0021784F" w:rsidP="0021784F">
            <w:pPr>
              <w:spacing w:before="0" w:after="0"/>
              <w:jc w:val="center"/>
              <w:rPr>
                <w:sz w:val="18"/>
                <w:szCs w:val="18"/>
              </w:rPr>
            </w:pPr>
            <w:r w:rsidRPr="00DF2630">
              <w:rPr>
                <w:sz w:val="18"/>
                <w:szCs w:val="18"/>
              </w:rPr>
              <w:t>12</w:t>
            </w:r>
          </w:p>
        </w:tc>
        <w:tc>
          <w:tcPr>
            <w:tcW w:w="794" w:type="dxa"/>
            <w:tcBorders>
              <w:top w:val="nil"/>
              <w:left w:val="nil"/>
              <w:bottom w:val="single" w:sz="8" w:space="0" w:color="FFFFFF"/>
              <w:right w:val="single" w:sz="8" w:space="0" w:color="FFFFFF"/>
            </w:tcBorders>
            <w:shd w:val="clear" w:color="000000" w:fill="EBF1DE"/>
            <w:vAlign w:val="center"/>
          </w:tcPr>
          <w:p w14:paraId="03CF62C7" w14:textId="77777777" w:rsidR="0021784F" w:rsidRPr="00DF2630" w:rsidRDefault="0021784F" w:rsidP="0021784F">
            <w:pPr>
              <w:spacing w:before="0" w:after="0"/>
              <w:jc w:val="center"/>
              <w:rPr>
                <w:sz w:val="18"/>
                <w:szCs w:val="18"/>
              </w:rPr>
            </w:pPr>
            <w:r>
              <w:rPr>
                <w:sz w:val="18"/>
                <w:szCs w:val="18"/>
              </w:rPr>
              <w:t>2</w:t>
            </w:r>
          </w:p>
        </w:tc>
      </w:tr>
      <w:tr w:rsidR="0021784F" w:rsidRPr="00924476" w14:paraId="56ECC9BD"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14091F7"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Clear Lake</w:t>
            </w:r>
          </w:p>
        </w:tc>
        <w:tc>
          <w:tcPr>
            <w:tcW w:w="1280" w:type="dxa"/>
            <w:tcBorders>
              <w:top w:val="nil"/>
              <w:left w:val="nil"/>
              <w:bottom w:val="single" w:sz="8" w:space="0" w:color="FFFFFF"/>
              <w:right w:val="single" w:sz="8" w:space="0" w:color="FFFFFF"/>
            </w:tcBorders>
            <w:shd w:val="clear" w:color="000000" w:fill="EAF1DD"/>
            <w:vAlign w:val="center"/>
            <w:hideMark/>
          </w:tcPr>
          <w:p w14:paraId="252C688E" w14:textId="77777777" w:rsidR="0021784F" w:rsidRPr="00DF2630" w:rsidRDefault="0021784F" w:rsidP="0021784F">
            <w:pPr>
              <w:spacing w:before="0" w:after="0"/>
              <w:rPr>
                <w:sz w:val="18"/>
                <w:szCs w:val="18"/>
              </w:rPr>
            </w:pPr>
            <w:r w:rsidRPr="00DF2630">
              <w:rPr>
                <w:sz w:val="18"/>
                <w:szCs w:val="18"/>
              </w:rPr>
              <w:t>Cumbung Swamp</w:t>
            </w:r>
          </w:p>
        </w:tc>
        <w:tc>
          <w:tcPr>
            <w:tcW w:w="1182" w:type="dxa"/>
            <w:tcBorders>
              <w:top w:val="nil"/>
              <w:left w:val="nil"/>
              <w:bottom w:val="single" w:sz="8" w:space="0" w:color="FFFFFF"/>
              <w:right w:val="single" w:sz="8" w:space="0" w:color="FFFFFF"/>
            </w:tcBorders>
            <w:shd w:val="clear" w:color="000000" w:fill="EAF1DD"/>
            <w:vAlign w:val="center"/>
            <w:hideMark/>
          </w:tcPr>
          <w:p w14:paraId="33B3CF6D" w14:textId="77777777" w:rsidR="0021784F" w:rsidRPr="00DF2630" w:rsidRDefault="0021784F" w:rsidP="0021784F">
            <w:pPr>
              <w:spacing w:before="0" w:after="0"/>
              <w:rPr>
                <w:sz w:val="18"/>
                <w:szCs w:val="18"/>
              </w:rPr>
            </w:pPr>
            <w:r w:rsidRPr="00DF2630">
              <w:rPr>
                <w:sz w:val="18"/>
                <w:szCs w:val="18"/>
              </w:rPr>
              <w:t>Grazing (cattle)</w:t>
            </w:r>
          </w:p>
        </w:tc>
        <w:tc>
          <w:tcPr>
            <w:tcW w:w="1116" w:type="dxa"/>
            <w:tcBorders>
              <w:top w:val="nil"/>
              <w:left w:val="nil"/>
              <w:bottom w:val="single" w:sz="8" w:space="0" w:color="FFFFFF"/>
              <w:right w:val="single" w:sz="8" w:space="0" w:color="FFFFFF"/>
            </w:tcBorders>
            <w:shd w:val="clear" w:color="000000" w:fill="EAF1DD"/>
            <w:vAlign w:val="center"/>
            <w:hideMark/>
          </w:tcPr>
          <w:p w14:paraId="142964A6"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1307008C" w14:textId="77777777" w:rsidR="0021784F" w:rsidRPr="00DF2630" w:rsidRDefault="0021784F" w:rsidP="0021784F">
            <w:pPr>
              <w:spacing w:before="0" w:after="0"/>
              <w:jc w:val="center"/>
              <w:rPr>
                <w:sz w:val="18"/>
                <w:szCs w:val="18"/>
              </w:rPr>
            </w:pPr>
            <w:r w:rsidRPr="00DF2630">
              <w:rPr>
                <w:sz w:val="18"/>
                <w:szCs w:val="18"/>
              </w:rPr>
              <w:t>31</w:t>
            </w:r>
          </w:p>
        </w:tc>
        <w:tc>
          <w:tcPr>
            <w:tcW w:w="808" w:type="dxa"/>
            <w:tcBorders>
              <w:top w:val="nil"/>
              <w:left w:val="nil"/>
              <w:bottom w:val="single" w:sz="8" w:space="0" w:color="FFFFFF"/>
              <w:right w:val="single" w:sz="8" w:space="0" w:color="FFFFFF"/>
            </w:tcBorders>
            <w:shd w:val="clear" w:color="000000" w:fill="EBF1DE"/>
            <w:noWrap/>
            <w:vAlign w:val="center"/>
            <w:hideMark/>
          </w:tcPr>
          <w:p w14:paraId="0EACBA97" w14:textId="77777777" w:rsidR="0021784F" w:rsidRPr="00DF2630" w:rsidRDefault="0021784F" w:rsidP="0021784F">
            <w:pPr>
              <w:spacing w:before="0" w:after="0"/>
              <w:jc w:val="center"/>
              <w:rPr>
                <w:sz w:val="18"/>
                <w:szCs w:val="18"/>
              </w:rPr>
            </w:pPr>
            <w:r w:rsidRPr="00DF2630">
              <w:rPr>
                <w:sz w:val="18"/>
                <w:szCs w:val="18"/>
              </w:rPr>
              <w:t>12</w:t>
            </w:r>
          </w:p>
        </w:tc>
        <w:tc>
          <w:tcPr>
            <w:tcW w:w="808" w:type="dxa"/>
            <w:tcBorders>
              <w:top w:val="nil"/>
              <w:left w:val="nil"/>
              <w:bottom w:val="single" w:sz="8" w:space="0" w:color="FFFFFF"/>
              <w:right w:val="single" w:sz="8" w:space="0" w:color="FFFFFF"/>
            </w:tcBorders>
            <w:shd w:val="clear" w:color="000000" w:fill="EBF1DE"/>
            <w:noWrap/>
            <w:vAlign w:val="center"/>
            <w:hideMark/>
          </w:tcPr>
          <w:p w14:paraId="137EE5C6" w14:textId="77777777" w:rsidR="0021784F" w:rsidRPr="00DF2630" w:rsidRDefault="0021784F" w:rsidP="0021784F">
            <w:pPr>
              <w:spacing w:before="0" w:after="0"/>
              <w:jc w:val="center"/>
              <w:rPr>
                <w:sz w:val="18"/>
                <w:szCs w:val="18"/>
              </w:rPr>
            </w:pPr>
            <w:r w:rsidRPr="00DF2630">
              <w:rPr>
                <w:sz w:val="18"/>
                <w:szCs w:val="18"/>
              </w:rPr>
              <w:t>40</w:t>
            </w:r>
          </w:p>
        </w:tc>
        <w:tc>
          <w:tcPr>
            <w:tcW w:w="815" w:type="dxa"/>
            <w:tcBorders>
              <w:top w:val="nil"/>
              <w:left w:val="nil"/>
              <w:bottom w:val="single" w:sz="8" w:space="0" w:color="FFFFFF"/>
              <w:right w:val="single" w:sz="8" w:space="0" w:color="FFFFFF"/>
            </w:tcBorders>
            <w:shd w:val="clear" w:color="000000" w:fill="EBF1DE"/>
            <w:noWrap/>
            <w:vAlign w:val="center"/>
            <w:hideMark/>
          </w:tcPr>
          <w:p w14:paraId="06418D86" w14:textId="77777777" w:rsidR="0021784F" w:rsidRPr="00DF2630" w:rsidRDefault="0021784F" w:rsidP="0021784F">
            <w:pPr>
              <w:spacing w:before="0" w:after="0"/>
              <w:jc w:val="center"/>
              <w:rPr>
                <w:sz w:val="18"/>
                <w:szCs w:val="18"/>
              </w:rPr>
            </w:pPr>
            <w:r w:rsidRPr="00DF2630">
              <w:rPr>
                <w:sz w:val="18"/>
                <w:szCs w:val="18"/>
              </w:rPr>
              <w:t>25</w:t>
            </w:r>
          </w:p>
        </w:tc>
        <w:tc>
          <w:tcPr>
            <w:tcW w:w="794" w:type="dxa"/>
            <w:tcBorders>
              <w:top w:val="nil"/>
              <w:left w:val="nil"/>
              <w:bottom w:val="single" w:sz="8" w:space="0" w:color="FFFFFF"/>
              <w:right w:val="single" w:sz="8" w:space="0" w:color="FFFFFF"/>
            </w:tcBorders>
            <w:shd w:val="clear" w:color="000000" w:fill="EBF1DE"/>
            <w:vAlign w:val="center"/>
          </w:tcPr>
          <w:p w14:paraId="1BDF0C6F" w14:textId="77777777" w:rsidR="0021784F" w:rsidRPr="00DF2630" w:rsidRDefault="0021784F" w:rsidP="0021784F">
            <w:pPr>
              <w:spacing w:before="0" w:after="0"/>
              <w:jc w:val="center"/>
              <w:rPr>
                <w:sz w:val="18"/>
                <w:szCs w:val="18"/>
              </w:rPr>
            </w:pPr>
            <w:r>
              <w:rPr>
                <w:sz w:val="18"/>
                <w:szCs w:val="18"/>
              </w:rPr>
              <w:t>20</w:t>
            </w:r>
          </w:p>
        </w:tc>
      </w:tr>
      <w:tr w:rsidR="0021784F" w:rsidRPr="00924476" w14:paraId="3E69774C" w14:textId="77777777" w:rsidTr="007163E8">
        <w:trPr>
          <w:trHeight w:val="73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55043DD3"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Nooran Lake</w:t>
            </w:r>
          </w:p>
        </w:tc>
        <w:tc>
          <w:tcPr>
            <w:tcW w:w="1280" w:type="dxa"/>
            <w:tcBorders>
              <w:top w:val="nil"/>
              <w:left w:val="nil"/>
              <w:bottom w:val="single" w:sz="8" w:space="0" w:color="FFFFFF"/>
              <w:right w:val="single" w:sz="8" w:space="0" w:color="FFFFFF"/>
            </w:tcBorders>
            <w:shd w:val="clear" w:color="000000" w:fill="EAF1DD"/>
            <w:vAlign w:val="center"/>
            <w:hideMark/>
          </w:tcPr>
          <w:p w14:paraId="1EC4A7DD" w14:textId="77777777" w:rsidR="0021784F" w:rsidRPr="00DF2630" w:rsidRDefault="0021784F" w:rsidP="0021784F">
            <w:pPr>
              <w:spacing w:before="0" w:after="0"/>
              <w:rPr>
                <w:sz w:val="18"/>
                <w:szCs w:val="18"/>
              </w:rPr>
            </w:pPr>
            <w:r w:rsidRPr="00DF2630">
              <w:rPr>
                <w:sz w:val="18"/>
                <w:szCs w:val="18"/>
              </w:rPr>
              <w:t>Great Cumbung Swamp</w:t>
            </w:r>
          </w:p>
        </w:tc>
        <w:tc>
          <w:tcPr>
            <w:tcW w:w="1182" w:type="dxa"/>
            <w:tcBorders>
              <w:top w:val="nil"/>
              <w:left w:val="nil"/>
              <w:bottom w:val="single" w:sz="8" w:space="0" w:color="FFFFFF"/>
              <w:right w:val="single" w:sz="8" w:space="0" w:color="FFFFFF"/>
            </w:tcBorders>
            <w:shd w:val="clear" w:color="000000" w:fill="EAF1DD"/>
            <w:vAlign w:val="center"/>
            <w:hideMark/>
          </w:tcPr>
          <w:p w14:paraId="79688573" w14:textId="77777777" w:rsidR="0021784F" w:rsidRPr="00DF2630" w:rsidRDefault="0021784F" w:rsidP="0021784F">
            <w:pPr>
              <w:spacing w:before="0" w:after="0"/>
              <w:rPr>
                <w:sz w:val="18"/>
                <w:szCs w:val="18"/>
              </w:rPr>
            </w:pPr>
            <w:r w:rsidRPr="00DF2630">
              <w:rPr>
                <w:sz w:val="18"/>
                <w:szCs w:val="18"/>
              </w:rPr>
              <w:t>Grazing (cattle)</w:t>
            </w:r>
          </w:p>
        </w:tc>
        <w:tc>
          <w:tcPr>
            <w:tcW w:w="1116" w:type="dxa"/>
            <w:tcBorders>
              <w:top w:val="nil"/>
              <w:left w:val="nil"/>
              <w:bottom w:val="single" w:sz="8" w:space="0" w:color="FFFFFF"/>
              <w:right w:val="single" w:sz="8" w:space="0" w:color="FFFFFF"/>
            </w:tcBorders>
            <w:shd w:val="clear" w:color="000000" w:fill="EAF1DD"/>
            <w:vAlign w:val="center"/>
            <w:hideMark/>
          </w:tcPr>
          <w:p w14:paraId="39D48783"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295F7473" w14:textId="77777777" w:rsidR="0021784F" w:rsidRPr="00DF2630" w:rsidRDefault="0021784F" w:rsidP="0021784F">
            <w:pPr>
              <w:spacing w:before="0" w:after="0"/>
              <w:jc w:val="center"/>
              <w:rPr>
                <w:sz w:val="18"/>
                <w:szCs w:val="18"/>
              </w:rPr>
            </w:pPr>
            <w:r w:rsidRPr="00DF2630">
              <w:rPr>
                <w:sz w:val="18"/>
                <w:szCs w:val="18"/>
              </w:rPr>
              <w:t>7</w:t>
            </w:r>
          </w:p>
        </w:tc>
        <w:tc>
          <w:tcPr>
            <w:tcW w:w="808" w:type="dxa"/>
            <w:tcBorders>
              <w:top w:val="nil"/>
              <w:left w:val="nil"/>
              <w:bottom w:val="single" w:sz="8" w:space="0" w:color="FFFFFF"/>
              <w:right w:val="single" w:sz="8" w:space="0" w:color="FFFFFF"/>
            </w:tcBorders>
            <w:shd w:val="clear" w:color="000000" w:fill="EBF1DE"/>
            <w:noWrap/>
            <w:vAlign w:val="center"/>
            <w:hideMark/>
          </w:tcPr>
          <w:p w14:paraId="4E031AAC" w14:textId="77777777" w:rsidR="0021784F" w:rsidRPr="00DF2630" w:rsidRDefault="0021784F" w:rsidP="0021784F">
            <w:pPr>
              <w:spacing w:before="0" w:after="0"/>
              <w:jc w:val="center"/>
              <w:rPr>
                <w:sz w:val="18"/>
                <w:szCs w:val="18"/>
              </w:rPr>
            </w:pPr>
            <w:r w:rsidRPr="00DF2630">
              <w:rPr>
                <w:sz w:val="18"/>
                <w:szCs w:val="18"/>
              </w:rPr>
              <w:t>19</w:t>
            </w:r>
          </w:p>
        </w:tc>
        <w:tc>
          <w:tcPr>
            <w:tcW w:w="808" w:type="dxa"/>
            <w:tcBorders>
              <w:top w:val="nil"/>
              <w:left w:val="nil"/>
              <w:bottom w:val="single" w:sz="8" w:space="0" w:color="FFFFFF"/>
              <w:right w:val="single" w:sz="8" w:space="0" w:color="FFFFFF"/>
            </w:tcBorders>
            <w:shd w:val="clear" w:color="000000" w:fill="EBF1DE"/>
            <w:noWrap/>
            <w:vAlign w:val="center"/>
            <w:hideMark/>
          </w:tcPr>
          <w:p w14:paraId="6823097B" w14:textId="77777777" w:rsidR="0021784F" w:rsidRPr="00DF2630" w:rsidRDefault="0021784F" w:rsidP="0021784F">
            <w:pPr>
              <w:spacing w:before="0" w:after="0"/>
              <w:jc w:val="center"/>
              <w:rPr>
                <w:sz w:val="18"/>
                <w:szCs w:val="18"/>
              </w:rPr>
            </w:pPr>
            <w:r w:rsidRPr="00DF2630">
              <w:rPr>
                <w:sz w:val="18"/>
                <w:szCs w:val="18"/>
              </w:rPr>
              <w:t>5</w:t>
            </w:r>
          </w:p>
        </w:tc>
        <w:tc>
          <w:tcPr>
            <w:tcW w:w="815" w:type="dxa"/>
            <w:tcBorders>
              <w:top w:val="nil"/>
              <w:left w:val="nil"/>
              <w:bottom w:val="single" w:sz="8" w:space="0" w:color="FFFFFF"/>
              <w:right w:val="single" w:sz="8" w:space="0" w:color="FFFFFF"/>
            </w:tcBorders>
            <w:shd w:val="clear" w:color="000000" w:fill="EBF1DE"/>
            <w:noWrap/>
            <w:vAlign w:val="center"/>
            <w:hideMark/>
          </w:tcPr>
          <w:p w14:paraId="232F9B16" w14:textId="77777777" w:rsidR="0021784F" w:rsidRPr="00DF2630" w:rsidRDefault="0021784F" w:rsidP="0021784F">
            <w:pPr>
              <w:spacing w:before="0" w:after="0"/>
              <w:jc w:val="center"/>
              <w:rPr>
                <w:sz w:val="18"/>
                <w:szCs w:val="18"/>
              </w:rPr>
            </w:pPr>
            <w:r w:rsidRPr="00DF2630">
              <w:rPr>
                <w:sz w:val="18"/>
                <w:szCs w:val="18"/>
              </w:rPr>
              <w:t>4</w:t>
            </w:r>
          </w:p>
        </w:tc>
        <w:tc>
          <w:tcPr>
            <w:tcW w:w="794" w:type="dxa"/>
            <w:tcBorders>
              <w:top w:val="nil"/>
              <w:left w:val="nil"/>
              <w:bottom w:val="single" w:sz="8" w:space="0" w:color="FFFFFF"/>
              <w:right w:val="single" w:sz="8" w:space="0" w:color="FFFFFF"/>
            </w:tcBorders>
            <w:shd w:val="clear" w:color="000000" w:fill="EBF1DE"/>
            <w:vAlign w:val="center"/>
          </w:tcPr>
          <w:p w14:paraId="745D67F1" w14:textId="77777777" w:rsidR="0021784F" w:rsidRPr="00DF2630" w:rsidRDefault="0021784F" w:rsidP="0021784F">
            <w:pPr>
              <w:spacing w:before="0" w:after="0"/>
              <w:jc w:val="center"/>
              <w:rPr>
                <w:sz w:val="18"/>
                <w:szCs w:val="18"/>
              </w:rPr>
            </w:pPr>
            <w:r>
              <w:rPr>
                <w:sz w:val="18"/>
                <w:szCs w:val="18"/>
              </w:rPr>
              <w:t>7</w:t>
            </w:r>
          </w:p>
        </w:tc>
      </w:tr>
      <w:tr w:rsidR="0021784F" w:rsidRPr="00924476" w14:paraId="6AB4EF40"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F126411"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Hazelwood</w:t>
            </w:r>
          </w:p>
        </w:tc>
        <w:tc>
          <w:tcPr>
            <w:tcW w:w="1280" w:type="dxa"/>
            <w:tcBorders>
              <w:top w:val="nil"/>
              <w:left w:val="nil"/>
              <w:bottom w:val="single" w:sz="8" w:space="0" w:color="FFFFFF"/>
              <w:right w:val="single" w:sz="8" w:space="0" w:color="FFFFFF"/>
            </w:tcBorders>
            <w:shd w:val="clear" w:color="000000" w:fill="EAF1DD"/>
            <w:vAlign w:val="center"/>
            <w:hideMark/>
          </w:tcPr>
          <w:p w14:paraId="2F95C8A1" w14:textId="77777777" w:rsidR="0021784F" w:rsidRPr="00DF2630" w:rsidRDefault="0021784F" w:rsidP="0021784F">
            <w:pPr>
              <w:spacing w:before="0" w:after="0"/>
              <w:rPr>
                <w:sz w:val="18"/>
                <w:szCs w:val="18"/>
              </w:rPr>
            </w:pPr>
            <w:r w:rsidRPr="00DF2630">
              <w:rPr>
                <w:sz w:val="18"/>
                <w:szCs w:val="18"/>
              </w:rPr>
              <w:t>Lachlan River Floodplain</w:t>
            </w:r>
          </w:p>
        </w:tc>
        <w:tc>
          <w:tcPr>
            <w:tcW w:w="1182" w:type="dxa"/>
            <w:tcBorders>
              <w:top w:val="nil"/>
              <w:left w:val="nil"/>
              <w:bottom w:val="single" w:sz="8" w:space="0" w:color="FFFFFF"/>
              <w:right w:val="single" w:sz="8" w:space="0" w:color="FFFFFF"/>
            </w:tcBorders>
            <w:shd w:val="clear" w:color="000000" w:fill="EAF1DD"/>
            <w:vAlign w:val="center"/>
            <w:hideMark/>
          </w:tcPr>
          <w:p w14:paraId="203E840F" w14:textId="77777777" w:rsidR="0021784F" w:rsidRPr="00DF2630" w:rsidRDefault="0021784F" w:rsidP="0021784F">
            <w:pPr>
              <w:spacing w:before="0" w:after="0"/>
              <w:rPr>
                <w:sz w:val="18"/>
                <w:szCs w:val="18"/>
              </w:rPr>
            </w:pPr>
            <w:r w:rsidRPr="00DF2630">
              <w:rPr>
                <w:sz w:val="18"/>
                <w:szCs w:val="18"/>
              </w:rPr>
              <w:t>Grazing (sheep)</w:t>
            </w:r>
          </w:p>
        </w:tc>
        <w:tc>
          <w:tcPr>
            <w:tcW w:w="1116" w:type="dxa"/>
            <w:tcBorders>
              <w:top w:val="nil"/>
              <w:left w:val="nil"/>
              <w:bottom w:val="single" w:sz="8" w:space="0" w:color="FFFFFF"/>
              <w:right w:val="single" w:sz="8" w:space="0" w:color="FFFFFF"/>
            </w:tcBorders>
            <w:shd w:val="clear" w:color="000000" w:fill="EAF1DD"/>
            <w:vAlign w:val="center"/>
            <w:hideMark/>
          </w:tcPr>
          <w:p w14:paraId="195CF670"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1E66E900" w14:textId="77777777" w:rsidR="0021784F" w:rsidRPr="00DF2630" w:rsidRDefault="0021784F" w:rsidP="0021784F">
            <w:pPr>
              <w:spacing w:before="0" w:after="0"/>
              <w:jc w:val="center"/>
              <w:rPr>
                <w:sz w:val="18"/>
                <w:szCs w:val="18"/>
              </w:rPr>
            </w:pPr>
            <w:r w:rsidRPr="00DF2630">
              <w:rPr>
                <w:sz w:val="18"/>
                <w:szCs w:val="18"/>
              </w:rPr>
              <w:t>18</w:t>
            </w:r>
          </w:p>
        </w:tc>
        <w:tc>
          <w:tcPr>
            <w:tcW w:w="808" w:type="dxa"/>
            <w:tcBorders>
              <w:top w:val="nil"/>
              <w:left w:val="nil"/>
              <w:bottom w:val="single" w:sz="8" w:space="0" w:color="FFFFFF"/>
              <w:right w:val="single" w:sz="8" w:space="0" w:color="FFFFFF"/>
            </w:tcBorders>
            <w:shd w:val="clear" w:color="000000" w:fill="EBF1DE"/>
            <w:noWrap/>
            <w:vAlign w:val="center"/>
            <w:hideMark/>
          </w:tcPr>
          <w:p w14:paraId="6D057552" w14:textId="77777777" w:rsidR="0021784F" w:rsidRPr="00DF2630" w:rsidRDefault="0021784F" w:rsidP="0021784F">
            <w:pPr>
              <w:spacing w:before="0" w:after="0"/>
              <w:jc w:val="center"/>
              <w:rPr>
                <w:sz w:val="18"/>
                <w:szCs w:val="18"/>
              </w:rPr>
            </w:pPr>
            <w:r w:rsidRPr="00DF2630">
              <w:rPr>
                <w:sz w:val="18"/>
                <w:szCs w:val="18"/>
              </w:rPr>
              <w:t>21</w:t>
            </w:r>
          </w:p>
        </w:tc>
        <w:tc>
          <w:tcPr>
            <w:tcW w:w="808" w:type="dxa"/>
            <w:tcBorders>
              <w:top w:val="nil"/>
              <w:left w:val="nil"/>
              <w:bottom w:val="single" w:sz="8" w:space="0" w:color="FFFFFF"/>
              <w:right w:val="single" w:sz="8" w:space="0" w:color="FFFFFF"/>
            </w:tcBorders>
            <w:shd w:val="clear" w:color="000000" w:fill="EBF1DE"/>
            <w:noWrap/>
            <w:vAlign w:val="center"/>
            <w:hideMark/>
          </w:tcPr>
          <w:p w14:paraId="0572C035" w14:textId="77777777" w:rsidR="0021784F" w:rsidRPr="00DF2630" w:rsidRDefault="0021784F" w:rsidP="0021784F">
            <w:pPr>
              <w:spacing w:before="0" w:after="0"/>
              <w:jc w:val="center"/>
              <w:rPr>
                <w:sz w:val="18"/>
                <w:szCs w:val="18"/>
              </w:rPr>
            </w:pPr>
            <w:r w:rsidRPr="00DF2630">
              <w:rPr>
                <w:sz w:val="18"/>
                <w:szCs w:val="18"/>
              </w:rPr>
              <w:t>15</w:t>
            </w:r>
          </w:p>
        </w:tc>
        <w:tc>
          <w:tcPr>
            <w:tcW w:w="815" w:type="dxa"/>
            <w:tcBorders>
              <w:top w:val="nil"/>
              <w:left w:val="nil"/>
              <w:bottom w:val="single" w:sz="8" w:space="0" w:color="FFFFFF"/>
              <w:right w:val="single" w:sz="8" w:space="0" w:color="FFFFFF"/>
            </w:tcBorders>
            <w:shd w:val="clear" w:color="000000" w:fill="EBF1DE"/>
            <w:noWrap/>
            <w:vAlign w:val="center"/>
            <w:hideMark/>
          </w:tcPr>
          <w:p w14:paraId="1E4456A5" w14:textId="77777777" w:rsidR="0021784F" w:rsidRPr="00DF2630" w:rsidRDefault="0021784F" w:rsidP="0021784F">
            <w:pPr>
              <w:spacing w:before="0" w:after="0"/>
              <w:jc w:val="center"/>
              <w:rPr>
                <w:sz w:val="18"/>
                <w:szCs w:val="18"/>
              </w:rPr>
            </w:pPr>
            <w:r w:rsidRPr="00DF2630">
              <w:rPr>
                <w:sz w:val="18"/>
                <w:szCs w:val="18"/>
              </w:rPr>
              <w:t>18</w:t>
            </w:r>
          </w:p>
        </w:tc>
        <w:tc>
          <w:tcPr>
            <w:tcW w:w="794" w:type="dxa"/>
            <w:tcBorders>
              <w:top w:val="nil"/>
              <w:left w:val="nil"/>
              <w:bottom w:val="single" w:sz="8" w:space="0" w:color="FFFFFF"/>
              <w:right w:val="single" w:sz="8" w:space="0" w:color="FFFFFF"/>
            </w:tcBorders>
            <w:shd w:val="clear" w:color="000000" w:fill="EBF1DE"/>
            <w:vAlign w:val="center"/>
          </w:tcPr>
          <w:p w14:paraId="3EBCC3EB" w14:textId="77777777" w:rsidR="0021784F" w:rsidRPr="00DF2630" w:rsidRDefault="0021784F" w:rsidP="0021784F">
            <w:pPr>
              <w:spacing w:before="0" w:after="0"/>
              <w:jc w:val="center"/>
              <w:rPr>
                <w:sz w:val="18"/>
                <w:szCs w:val="18"/>
              </w:rPr>
            </w:pPr>
            <w:r>
              <w:rPr>
                <w:sz w:val="18"/>
                <w:szCs w:val="18"/>
              </w:rPr>
              <w:t>15</w:t>
            </w:r>
          </w:p>
        </w:tc>
      </w:tr>
      <w:tr w:rsidR="0021784F" w:rsidRPr="00924476" w14:paraId="2E55FA06"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3A4B6522"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Bullogal</w:t>
            </w:r>
          </w:p>
        </w:tc>
        <w:tc>
          <w:tcPr>
            <w:tcW w:w="1280" w:type="dxa"/>
            <w:tcBorders>
              <w:top w:val="nil"/>
              <w:left w:val="nil"/>
              <w:bottom w:val="single" w:sz="8" w:space="0" w:color="FFFFFF"/>
              <w:right w:val="single" w:sz="8" w:space="0" w:color="FFFFFF"/>
            </w:tcBorders>
            <w:shd w:val="clear" w:color="000000" w:fill="EAF1DD"/>
            <w:vAlign w:val="center"/>
            <w:hideMark/>
          </w:tcPr>
          <w:p w14:paraId="79739EFE" w14:textId="77777777" w:rsidR="0021784F" w:rsidRPr="00DF2630" w:rsidRDefault="0021784F" w:rsidP="0021784F">
            <w:pPr>
              <w:spacing w:before="0" w:after="0"/>
              <w:rPr>
                <w:sz w:val="18"/>
                <w:szCs w:val="18"/>
              </w:rPr>
            </w:pPr>
            <w:r w:rsidRPr="00DF2630">
              <w:rPr>
                <w:sz w:val="18"/>
                <w:szCs w:val="18"/>
              </w:rPr>
              <w:t>Lachlan Swamp</w:t>
            </w:r>
          </w:p>
        </w:tc>
        <w:tc>
          <w:tcPr>
            <w:tcW w:w="1182" w:type="dxa"/>
            <w:tcBorders>
              <w:top w:val="nil"/>
              <w:left w:val="nil"/>
              <w:bottom w:val="single" w:sz="8" w:space="0" w:color="FFFFFF"/>
              <w:right w:val="single" w:sz="8" w:space="0" w:color="FFFFFF"/>
            </w:tcBorders>
            <w:shd w:val="clear" w:color="000000" w:fill="EAF1DD"/>
            <w:vAlign w:val="center"/>
            <w:hideMark/>
          </w:tcPr>
          <w:p w14:paraId="63A767B7" w14:textId="77777777" w:rsidR="0021784F" w:rsidRPr="00DF2630" w:rsidRDefault="0021784F" w:rsidP="0021784F">
            <w:pPr>
              <w:spacing w:before="0" w:after="0"/>
              <w:rPr>
                <w:sz w:val="18"/>
                <w:szCs w:val="18"/>
              </w:rPr>
            </w:pPr>
            <w:r w:rsidRPr="00DF2630">
              <w:rPr>
                <w:sz w:val="18"/>
                <w:szCs w:val="18"/>
              </w:rPr>
              <w:t>Grazing (sheep –large numbers)</w:t>
            </w:r>
          </w:p>
        </w:tc>
        <w:tc>
          <w:tcPr>
            <w:tcW w:w="1116" w:type="dxa"/>
            <w:tcBorders>
              <w:top w:val="nil"/>
              <w:left w:val="nil"/>
              <w:bottom w:val="single" w:sz="8" w:space="0" w:color="FFFFFF"/>
              <w:right w:val="single" w:sz="8" w:space="0" w:color="FFFFFF"/>
            </w:tcBorders>
            <w:shd w:val="clear" w:color="000000" w:fill="EAF1DD"/>
            <w:vAlign w:val="center"/>
            <w:hideMark/>
          </w:tcPr>
          <w:p w14:paraId="2842B19F"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21A4E7F2" w14:textId="77777777" w:rsidR="0021784F" w:rsidRPr="00DF2630" w:rsidRDefault="0021784F" w:rsidP="0021784F">
            <w:pPr>
              <w:spacing w:before="0" w:after="0"/>
              <w:jc w:val="center"/>
              <w:rPr>
                <w:sz w:val="18"/>
                <w:szCs w:val="18"/>
              </w:rPr>
            </w:pPr>
            <w:r w:rsidRPr="00DF2630">
              <w:rPr>
                <w:sz w:val="18"/>
                <w:szCs w:val="18"/>
              </w:rPr>
              <w:t>0</w:t>
            </w:r>
          </w:p>
        </w:tc>
        <w:tc>
          <w:tcPr>
            <w:tcW w:w="808" w:type="dxa"/>
            <w:tcBorders>
              <w:top w:val="nil"/>
              <w:left w:val="nil"/>
              <w:bottom w:val="single" w:sz="8" w:space="0" w:color="FFFFFF"/>
              <w:right w:val="single" w:sz="8" w:space="0" w:color="FFFFFF"/>
            </w:tcBorders>
            <w:shd w:val="clear" w:color="000000" w:fill="EBF1DE"/>
            <w:noWrap/>
            <w:vAlign w:val="center"/>
            <w:hideMark/>
          </w:tcPr>
          <w:p w14:paraId="4E62F7D2" w14:textId="77777777" w:rsidR="0021784F" w:rsidRPr="00DF2630" w:rsidRDefault="0021784F" w:rsidP="0021784F">
            <w:pPr>
              <w:spacing w:before="0" w:after="0"/>
              <w:jc w:val="center"/>
              <w:rPr>
                <w:sz w:val="18"/>
                <w:szCs w:val="18"/>
              </w:rPr>
            </w:pPr>
            <w:r w:rsidRPr="00DF2630">
              <w:rPr>
                <w:sz w:val="18"/>
                <w:szCs w:val="18"/>
              </w:rPr>
              <w:t>0</w:t>
            </w:r>
          </w:p>
        </w:tc>
        <w:tc>
          <w:tcPr>
            <w:tcW w:w="808" w:type="dxa"/>
            <w:tcBorders>
              <w:top w:val="nil"/>
              <w:left w:val="nil"/>
              <w:bottom w:val="single" w:sz="8" w:space="0" w:color="FFFFFF"/>
              <w:right w:val="single" w:sz="8" w:space="0" w:color="FFFFFF"/>
            </w:tcBorders>
            <w:shd w:val="clear" w:color="000000" w:fill="EBF1DE"/>
            <w:noWrap/>
            <w:vAlign w:val="center"/>
            <w:hideMark/>
          </w:tcPr>
          <w:p w14:paraId="45CA0303" w14:textId="77777777" w:rsidR="0021784F" w:rsidRPr="00DF2630" w:rsidRDefault="0021784F" w:rsidP="0021784F">
            <w:pPr>
              <w:spacing w:before="0" w:after="0"/>
              <w:jc w:val="center"/>
              <w:rPr>
                <w:sz w:val="18"/>
                <w:szCs w:val="18"/>
              </w:rPr>
            </w:pPr>
            <w:r w:rsidRPr="00DF2630">
              <w:rPr>
                <w:sz w:val="18"/>
                <w:szCs w:val="18"/>
              </w:rPr>
              <w:t>34</w:t>
            </w:r>
          </w:p>
        </w:tc>
        <w:tc>
          <w:tcPr>
            <w:tcW w:w="815" w:type="dxa"/>
            <w:tcBorders>
              <w:top w:val="nil"/>
              <w:left w:val="nil"/>
              <w:bottom w:val="single" w:sz="8" w:space="0" w:color="FFFFFF"/>
              <w:right w:val="single" w:sz="8" w:space="0" w:color="FFFFFF"/>
            </w:tcBorders>
            <w:shd w:val="clear" w:color="000000" w:fill="EBF1DE"/>
            <w:noWrap/>
            <w:vAlign w:val="center"/>
            <w:hideMark/>
          </w:tcPr>
          <w:p w14:paraId="71E26E1E" w14:textId="77777777" w:rsidR="0021784F" w:rsidRPr="00DF2630" w:rsidRDefault="0021784F" w:rsidP="0021784F">
            <w:pPr>
              <w:spacing w:before="0" w:after="0"/>
              <w:jc w:val="center"/>
              <w:rPr>
                <w:sz w:val="18"/>
                <w:szCs w:val="18"/>
              </w:rPr>
            </w:pPr>
            <w:r w:rsidRPr="00DF2630">
              <w:rPr>
                <w:sz w:val="18"/>
                <w:szCs w:val="18"/>
              </w:rPr>
              <w:t>4</w:t>
            </w:r>
          </w:p>
        </w:tc>
        <w:tc>
          <w:tcPr>
            <w:tcW w:w="794" w:type="dxa"/>
            <w:tcBorders>
              <w:top w:val="nil"/>
              <w:left w:val="nil"/>
              <w:bottom w:val="single" w:sz="8" w:space="0" w:color="FFFFFF"/>
              <w:right w:val="single" w:sz="8" w:space="0" w:color="FFFFFF"/>
            </w:tcBorders>
            <w:shd w:val="clear" w:color="000000" w:fill="EBF1DE"/>
            <w:vAlign w:val="center"/>
          </w:tcPr>
          <w:p w14:paraId="16A7618C" w14:textId="77777777" w:rsidR="0021784F" w:rsidRPr="00DF2630" w:rsidRDefault="0021784F" w:rsidP="0021784F">
            <w:pPr>
              <w:spacing w:before="0" w:after="0"/>
              <w:jc w:val="center"/>
              <w:rPr>
                <w:sz w:val="18"/>
                <w:szCs w:val="18"/>
              </w:rPr>
            </w:pPr>
            <w:r>
              <w:rPr>
                <w:sz w:val="18"/>
                <w:szCs w:val="18"/>
              </w:rPr>
              <w:t>1</w:t>
            </w:r>
          </w:p>
        </w:tc>
      </w:tr>
      <w:tr w:rsidR="0021784F" w:rsidRPr="00924476" w14:paraId="24A39877"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33657A91"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Tarwong</w:t>
            </w:r>
          </w:p>
        </w:tc>
        <w:tc>
          <w:tcPr>
            <w:tcW w:w="1280" w:type="dxa"/>
            <w:tcBorders>
              <w:top w:val="nil"/>
              <w:left w:val="nil"/>
              <w:bottom w:val="single" w:sz="8" w:space="0" w:color="FFFFFF"/>
              <w:right w:val="single" w:sz="8" w:space="0" w:color="FFFFFF"/>
            </w:tcBorders>
            <w:shd w:val="clear" w:color="000000" w:fill="EAF1DD"/>
            <w:vAlign w:val="center"/>
            <w:hideMark/>
          </w:tcPr>
          <w:p w14:paraId="571BE3F7" w14:textId="77777777" w:rsidR="0021784F" w:rsidRPr="00DF2630" w:rsidRDefault="0021784F" w:rsidP="0021784F">
            <w:pPr>
              <w:spacing w:before="0" w:after="0"/>
              <w:rPr>
                <w:sz w:val="18"/>
                <w:szCs w:val="18"/>
              </w:rPr>
            </w:pPr>
            <w:r w:rsidRPr="00DF2630">
              <w:rPr>
                <w:sz w:val="18"/>
                <w:szCs w:val="18"/>
              </w:rPr>
              <w:t>Merrowie/Box Creek</w:t>
            </w:r>
          </w:p>
        </w:tc>
        <w:tc>
          <w:tcPr>
            <w:tcW w:w="1182" w:type="dxa"/>
            <w:tcBorders>
              <w:top w:val="nil"/>
              <w:left w:val="nil"/>
              <w:bottom w:val="single" w:sz="8" w:space="0" w:color="FFFFFF"/>
              <w:right w:val="single" w:sz="8" w:space="0" w:color="FFFFFF"/>
            </w:tcBorders>
            <w:shd w:val="clear" w:color="000000" w:fill="EAF1DD"/>
            <w:vAlign w:val="center"/>
            <w:hideMark/>
          </w:tcPr>
          <w:p w14:paraId="64056C05" w14:textId="77777777" w:rsidR="0021784F" w:rsidRPr="00DF2630" w:rsidRDefault="0021784F" w:rsidP="0021784F">
            <w:pPr>
              <w:spacing w:before="0" w:after="0"/>
              <w:rPr>
                <w:sz w:val="18"/>
                <w:szCs w:val="18"/>
              </w:rPr>
            </w:pPr>
            <w:r w:rsidRPr="00DF2630">
              <w:rPr>
                <w:sz w:val="18"/>
                <w:szCs w:val="18"/>
              </w:rPr>
              <w:t>Grazing (sheep)</w:t>
            </w:r>
          </w:p>
        </w:tc>
        <w:tc>
          <w:tcPr>
            <w:tcW w:w="1116" w:type="dxa"/>
            <w:tcBorders>
              <w:top w:val="nil"/>
              <w:left w:val="nil"/>
              <w:bottom w:val="single" w:sz="8" w:space="0" w:color="FFFFFF"/>
              <w:right w:val="single" w:sz="8" w:space="0" w:color="FFFFFF"/>
            </w:tcBorders>
            <w:shd w:val="clear" w:color="000000" w:fill="EAF1DD"/>
            <w:vAlign w:val="center"/>
            <w:hideMark/>
          </w:tcPr>
          <w:p w14:paraId="3F0DEE3B"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1479354A" w14:textId="77777777" w:rsidR="0021784F" w:rsidRPr="00DF2630" w:rsidRDefault="0021784F" w:rsidP="0021784F">
            <w:pPr>
              <w:spacing w:before="0" w:after="0"/>
              <w:jc w:val="center"/>
              <w:rPr>
                <w:sz w:val="18"/>
                <w:szCs w:val="18"/>
              </w:rPr>
            </w:pPr>
            <w:r w:rsidRPr="00DF2630">
              <w:rPr>
                <w:sz w:val="18"/>
                <w:szCs w:val="18"/>
              </w:rPr>
              <w:t>119</w:t>
            </w:r>
          </w:p>
        </w:tc>
        <w:tc>
          <w:tcPr>
            <w:tcW w:w="808" w:type="dxa"/>
            <w:tcBorders>
              <w:top w:val="nil"/>
              <w:left w:val="nil"/>
              <w:bottom w:val="single" w:sz="8" w:space="0" w:color="FFFFFF"/>
              <w:right w:val="single" w:sz="8" w:space="0" w:color="FFFFFF"/>
            </w:tcBorders>
            <w:shd w:val="clear" w:color="000000" w:fill="EBF1DE"/>
            <w:noWrap/>
            <w:vAlign w:val="center"/>
            <w:hideMark/>
          </w:tcPr>
          <w:p w14:paraId="08FE01EC" w14:textId="77777777" w:rsidR="0021784F" w:rsidRPr="00DF2630" w:rsidRDefault="0021784F" w:rsidP="0021784F">
            <w:pPr>
              <w:spacing w:before="0" w:after="0"/>
              <w:jc w:val="center"/>
              <w:rPr>
                <w:sz w:val="18"/>
                <w:szCs w:val="18"/>
              </w:rPr>
            </w:pPr>
            <w:r w:rsidRPr="00DF2630">
              <w:rPr>
                <w:sz w:val="18"/>
                <w:szCs w:val="18"/>
              </w:rPr>
              <w:t>46</w:t>
            </w:r>
          </w:p>
        </w:tc>
        <w:tc>
          <w:tcPr>
            <w:tcW w:w="808" w:type="dxa"/>
            <w:tcBorders>
              <w:top w:val="nil"/>
              <w:left w:val="nil"/>
              <w:bottom w:val="single" w:sz="8" w:space="0" w:color="FFFFFF"/>
              <w:right w:val="single" w:sz="8" w:space="0" w:color="FFFFFF"/>
            </w:tcBorders>
            <w:shd w:val="clear" w:color="000000" w:fill="DCE6F1"/>
            <w:noWrap/>
            <w:vAlign w:val="center"/>
            <w:hideMark/>
          </w:tcPr>
          <w:p w14:paraId="139C6A64" w14:textId="77777777" w:rsidR="0021784F" w:rsidRPr="00DF2630" w:rsidRDefault="0021784F" w:rsidP="0021784F">
            <w:pPr>
              <w:spacing w:before="0" w:after="0"/>
              <w:jc w:val="center"/>
              <w:rPr>
                <w:sz w:val="18"/>
                <w:szCs w:val="18"/>
              </w:rPr>
            </w:pPr>
            <w:r w:rsidRPr="00DF2630">
              <w:rPr>
                <w:sz w:val="18"/>
                <w:szCs w:val="18"/>
              </w:rPr>
              <w:t>flooded</w:t>
            </w:r>
          </w:p>
        </w:tc>
        <w:tc>
          <w:tcPr>
            <w:tcW w:w="815" w:type="dxa"/>
            <w:tcBorders>
              <w:top w:val="nil"/>
              <w:left w:val="nil"/>
              <w:bottom w:val="single" w:sz="8" w:space="0" w:color="FFFFFF"/>
              <w:right w:val="single" w:sz="8" w:space="0" w:color="FFFFFF"/>
            </w:tcBorders>
            <w:shd w:val="clear" w:color="000000" w:fill="EBF1DE"/>
            <w:noWrap/>
            <w:vAlign w:val="center"/>
            <w:hideMark/>
          </w:tcPr>
          <w:p w14:paraId="72AA45E2" w14:textId="77777777" w:rsidR="0021784F" w:rsidRPr="00DF2630" w:rsidRDefault="0021784F" w:rsidP="0021784F">
            <w:pPr>
              <w:spacing w:before="0" w:after="0"/>
              <w:jc w:val="center"/>
              <w:rPr>
                <w:sz w:val="18"/>
                <w:szCs w:val="18"/>
              </w:rPr>
            </w:pPr>
            <w:r w:rsidRPr="00DF2630">
              <w:rPr>
                <w:sz w:val="18"/>
                <w:szCs w:val="18"/>
              </w:rPr>
              <w:t>9485</w:t>
            </w:r>
          </w:p>
        </w:tc>
        <w:tc>
          <w:tcPr>
            <w:tcW w:w="794" w:type="dxa"/>
            <w:tcBorders>
              <w:top w:val="nil"/>
              <w:left w:val="nil"/>
              <w:bottom w:val="single" w:sz="8" w:space="0" w:color="FFFFFF"/>
              <w:right w:val="single" w:sz="8" w:space="0" w:color="FFFFFF"/>
            </w:tcBorders>
            <w:shd w:val="clear" w:color="000000" w:fill="EBF1DE"/>
            <w:vAlign w:val="center"/>
          </w:tcPr>
          <w:p w14:paraId="0947DADA" w14:textId="77777777" w:rsidR="0021784F" w:rsidRPr="00DF2630" w:rsidRDefault="0021784F" w:rsidP="0021784F">
            <w:pPr>
              <w:spacing w:before="0" w:after="0"/>
              <w:jc w:val="center"/>
              <w:rPr>
                <w:sz w:val="18"/>
                <w:szCs w:val="18"/>
              </w:rPr>
            </w:pPr>
            <w:r>
              <w:rPr>
                <w:sz w:val="18"/>
                <w:szCs w:val="18"/>
              </w:rPr>
              <w:t>33</w:t>
            </w:r>
          </w:p>
        </w:tc>
      </w:tr>
      <w:tr w:rsidR="0021784F" w:rsidRPr="00924476" w14:paraId="356F50EE" w14:textId="77777777" w:rsidTr="007163E8">
        <w:trPr>
          <w:trHeight w:val="73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331CDAB5"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Marrool</w:t>
            </w:r>
          </w:p>
        </w:tc>
        <w:tc>
          <w:tcPr>
            <w:tcW w:w="1280" w:type="dxa"/>
            <w:tcBorders>
              <w:top w:val="nil"/>
              <w:left w:val="nil"/>
              <w:bottom w:val="single" w:sz="8" w:space="0" w:color="FFFFFF"/>
              <w:right w:val="single" w:sz="8" w:space="0" w:color="FFFFFF"/>
            </w:tcBorders>
            <w:shd w:val="clear" w:color="000000" w:fill="EAF1DD"/>
            <w:vAlign w:val="center"/>
            <w:hideMark/>
          </w:tcPr>
          <w:p w14:paraId="74FF248C" w14:textId="77777777" w:rsidR="0021784F" w:rsidRPr="00DF2630" w:rsidRDefault="0021784F" w:rsidP="0021784F">
            <w:pPr>
              <w:spacing w:before="0" w:after="0"/>
              <w:rPr>
                <w:sz w:val="18"/>
                <w:szCs w:val="18"/>
              </w:rPr>
            </w:pPr>
            <w:r w:rsidRPr="00DF2630">
              <w:rPr>
                <w:sz w:val="18"/>
                <w:szCs w:val="18"/>
              </w:rPr>
              <w:t>Great Cumbung Swamp</w:t>
            </w:r>
          </w:p>
        </w:tc>
        <w:tc>
          <w:tcPr>
            <w:tcW w:w="1182" w:type="dxa"/>
            <w:tcBorders>
              <w:top w:val="nil"/>
              <w:left w:val="nil"/>
              <w:bottom w:val="single" w:sz="8" w:space="0" w:color="FFFFFF"/>
              <w:right w:val="single" w:sz="8" w:space="0" w:color="FFFFFF"/>
            </w:tcBorders>
            <w:shd w:val="clear" w:color="000000" w:fill="EAF1DD"/>
            <w:vAlign w:val="center"/>
            <w:hideMark/>
          </w:tcPr>
          <w:p w14:paraId="7B2A040B" w14:textId="77777777" w:rsidR="0021784F" w:rsidRPr="00DF2630" w:rsidRDefault="0021784F" w:rsidP="0021784F">
            <w:pPr>
              <w:spacing w:before="0" w:after="0"/>
              <w:rPr>
                <w:sz w:val="18"/>
                <w:szCs w:val="18"/>
              </w:rPr>
            </w:pPr>
            <w:r w:rsidRPr="00DF2630">
              <w:rPr>
                <w:sz w:val="18"/>
                <w:szCs w:val="18"/>
              </w:rPr>
              <w:t xml:space="preserve">Grazing </w:t>
            </w:r>
          </w:p>
        </w:tc>
        <w:tc>
          <w:tcPr>
            <w:tcW w:w="1116" w:type="dxa"/>
            <w:tcBorders>
              <w:top w:val="nil"/>
              <w:left w:val="nil"/>
              <w:bottom w:val="single" w:sz="8" w:space="0" w:color="FFFFFF"/>
              <w:right w:val="single" w:sz="8" w:space="0" w:color="FFFFFF"/>
            </w:tcBorders>
            <w:shd w:val="clear" w:color="000000" w:fill="EAF1DD"/>
            <w:vAlign w:val="center"/>
            <w:hideMark/>
          </w:tcPr>
          <w:p w14:paraId="15EA1D80" w14:textId="77777777" w:rsidR="0021784F" w:rsidRPr="00DF2630" w:rsidRDefault="0021784F" w:rsidP="0021784F">
            <w:pPr>
              <w:spacing w:before="0" w:after="0"/>
              <w:rPr>
                <w:sz w:val="18"/>
                <w:szCs w:val="18"/>
              </w:rPr>
            </w:pPr>
            <w:r w:rsidRPr="00DF2630">
              <w:rPr>
                <w:sz w:val="18"/>
                <w:szCs w:val="18"/>
              </w:rPr>
              <w:t>Recent and occasional</w:t>
            </w:r>
          </w:p>
        </w:tc>
        <w:tc>
          <w:tcPr>
            <w:tcW w:w="850" w:type="dxa"/>
            <w:tcBorders>
              <w:top w:val="nil"/>
              <w:left w:val="nil"/>
              <w:bottom w:val="single" w:sz="8" w:space="0" w:color="FFFFFF"/>
              <w:right w:val="single" w:sz="8" w:space="0" w:color="FFFFFF"/>
            </w:tcBorders>
            <w:shd w:val="clear" w:color="000000" w:fill="EBF1DE"/>
            <w:noWrap/>
            <w:vAlign w:val="center"/>
            <w:hideMark/>
          </w:tcPr>
          <w:p w14:paraId="517A6295" w14:textId="77777777" w:rsidR="0021784F" w:rsidRPr="00DF2630" w:rsidRDefault="0021784F" w:rsidP="0021784F">
            <w:pPr>
              <w:spacing w:before="0" w:after="0"/>
              <w:jc w:val="center"/>
              <w:rPr>
                <w:sz w:val="18"/>
                <w:szCs w:val="18"/>
              </w:rPr>
            </w:pPr>
            <w:r w:rsidRPr="00DF2630">
              <w:rPr>
                <w:sz w:val="18"/>
                <w:szCs w:val="18"/>
              </w:rPr>
              <w:t>1</w:t>
            </w:r>
          </w:p>
        </w:tc>
        <w:tc>
          <w:tcPr>
            <w:tcW w:w="808" w:type="dxa"/>
            <w:tcBorders>
              <w:top w:val="nil"/>
              <w:left w:val="nil"/>
              <w:bottom w:val="single" w:sz="8" w:space="0" w:color="FFFFFF"/>
              <w:right w:val="single" w:sz="8" w:space="0" w:color="FFFFFF"/>
            </w:tcBorders>
            <w:shd w:val="clear" w:color="000000" w:fill="EBF1DE"/>
            <w:noWrap/>
            <w:vAlign w:val="center"/>
            <w:hideMark/>
          </w:tcPr>
          <w:p w14:paraId="5F24D8FA" w14:textId="77777777" w:rsidR="0021784F" w:rsidRPr="00DF2630" w:rsidRDefault="0021784F" w:rsidP="0021784F">
            <w:pPr>
              <w:spacing w:before="0" w:after="0"/>
              <w:jc w:val="center"/>
              <w:rPr>
                <w:sz w:val="18"/>
                <w:szCs w:val="18"/>
              </w:rPr>
            </w:pPr>
            <w:r w:rsidRPr="00DF2630">
              <w:rPr>
                <w:sz w:val="18"/>
                <w:szCs w:val="18"/>
              </w:rPr>
              <w:t>1</w:t>
            </w:r>
          </w:p>
        </w:tc>
        <w:tc>
          <w:tcPr>
            <w:tcW w:w="808" w:type="dxa"/>
            <w:tcBorders>
              <w:top w:val="nil"/>
              <w:left w:val="nil"/>
              <w:bottom w:val="single" w:sz="8" w:space="0" w:color="FFFFFF"/>
              <w:right w:val="single" w:sz="8" w:space="0" w:color="FFFFFF"/>
            </w:tcBorders>
            <w:shd w:val="clear" w:color="000000" w:fill="EBF1DE"/>
            <w:noWrap/>
            <w:vAlign w:val="center"/>
            <w:hideMark/>
          </w:tcPr>
          <w:p w14:paraId="23A4C969" w14:textId="77777777" w:rsidR="0021784F" w:rsidRPr="00DF2630" w:rsidRDefault="0021784F" w:rsidP="0021784F">
            <w:pPr>
              <w:spacing w:before="0" w:after="0"/>
              <w:jc w:val="center"/>
              <w:rPr>
                <w:sz w:val="18"/>
                <w:szCs w:val="18"/>
              </w:rPr>
            </w:pPr>
            <w:r w:rsidRPr="00DF2630">
              <w:rPr>
                <w:sz w:val="18"/>
                <w:szCs w:val="18"/>
              </w:rPr>
              <w:t>1</w:t>
            </w:r>
          </w:p>
        </w:tc>
        <w:tc>
          <w:tcPr>
            <w:tcW w:w="815" w:type="dxa"/>
            <w:tcBorders>
              <w:top w:val="nil"/>
              <w:left w:val="nil"/>
              <w:bottom w:val="single" w:sz="8" w:space="0" w:color="FFFFFF"/>
              <w:right w:val="single" w:sz="8" w:space="0" w:color="FFFFFF"/>
            </w:tcBorders>
            <w:shd w:val="clear" w:color="000000" w:fill="EBF1DE"/>
            <w:noWrap/>
            <w:vAlign w:val="center"/>
            <w:hideMark/>
          </w:tcPr>
          <w:p w14:paraId="03CF8BC7" w14:textId="77777777" w:rsidR="0021784F" w:rsidRPr="00DF2630" w:rsidRDefault="0021784F" w:rsidP="0021784F">
            <w:pPr>
              <w:spacing w:before="0" w:after="0"/>
              <w:jc w:val="center"/>
              <w:rPr>
                <w:sz w:val="18"/>
                <w:szCs w:val="18"/>
              </w:rPr>
            </w:pPr>
            <w:r w:rsidRPr="00DF2630">
              <w:rPr>
                <w:sz w:val="18"/>
                <w:szCs w:val="18"/>
              </w:rPr>
              <w:t>1</w:t>
            </w:r>
          </w:p>
        </w:tc>
        <w:tc>
          <w:tcPr>
            <w:tcW w:w="794" w:type="dxa"/>
            <w:tcBorders>
              <w:top w:val="nil"/>
              <w:left w:val="nil"/>
              <w:bottom w:val="single" w:sz="8" w:space="0" w:color="FFFFFF"/>
              <w:right w:val="single" w:sz="8" w:space="0" w:color="FFFFFF"/>
            </w:tcBorders>
            <w:shd w:val="clear" w:color="000000" w:fill="EBF1DE"/>
            <w:vAlign w:val="center"/>
          </w:tcPr>
          <w:p w14:paraId="4C320179" w14:textId="77777777" w:rsidR="0021784F" w:rsidRPr="00DF2630" w:rsidRDefault="0021784F" w:rsidP="0021784F">
            <w:pPr>
              <w:spacing w:before="0" w:after="0"/>
              <w:jc w:val="center"/>
              <w:rPr>
                <w:sz w:val="18"/>
                <w:szCs w:val="18"/>
              </w:rPr>
            </w:pPr>
            <w:r>
              <w:rPr>
                <w:sz w:val="18"/>
                <w:szCs w:val="18"/>
              </w:rPr>
              <w:t>1</w:t>
            </w:r>
          </w:p>
        </w:tc>
      </w:tr>
      <w:tr w:rsidR="0021784F" w:rsidRPr="00924476" w14:paraId="44FBDE6B"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A80895D"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Whealbah</w:t>
            </w:r>
          </w:p>
        </w:tc>
        <w:tc>
          <w:tcPr>
            <w:tcW w:w="1280" w:type="dxa"/>
            <w:tcBorders>
              <w:top w:val="nil"/>
              <w:left w:val="nil"/>
              <w:bottom w:val="single" w:sz="8" w:space="0" w:color="FFFFFF"/>
              <w:right w:val="single" w:sz="8" w:space="0" w:color="FFFFFF"/>
            </w:tcBorders>
            <w:shd w:val="clear" w:color="000000" w:fill="EAF1DD"/>
            <w:vAlign w:val="center"/>
            <w:hideMark/>
          </w:tcPr>
          <w:p w14:paraId="00227288" w14:textId="77777777" w:rsidR="0021784F" w:rsidRPr="00DF2630" w:rsidRDefault="0021784F" w:rsidP="0021784F">
            <w:pPr>
              <w:spacing w:before="0" w:after="0"/>
              <w:rPr>
                <w:sz w:val="18"/>
                <w:szCs w:val="18"/>
              </w:rPr>
            </w:pPr>
            <w:r w:rsidRPr="00DF2630">
              <w:rPr>
                <w:sz w:val="18"/>
                <w:szCs w:val="18"/>
              </w:rPr>
              <w:t>Lachlan River Floodplain</w:t>
            </w:r>
          </w:p>
        </w:tc>
        <w:tc>
          <w:tcPr>
            <w:tcW w:w="1182" w:type="dxa"/>
            <w:tcBorders>
              <w:top w:val="nil"/>
              <w:left w:val="nil"/>
              <w:bottom w:val="single" w:sz="8" w:space="0" w:color="FFFFFF"/>
              <w:right w:val="single" w:sz="8" w:space="0" w:color="FFFFFF"/>
            </w:tcBorders>
            <w:shd w:val="clear" w:color="000000" w:fill="EAF1DD"/>
            <w:vAlign w:val="center"/>
            <w:hideMark/>
          </w:tcPr>
          <w:p w14:paraId="4490724B" w14:textId="77777777" w:rsidR="0021784F" w:rsidRPr="00DF2630" w:rsidRDefault="0021784F" w:rsidP="0021784F">
            <w:pPr>
              <w:spacing w:before="0" w:after="0"/>
              <w:rPr>
                <w:sz w:val="18"/>
                <w:szCs w:val="18"/>
              </w:rPr>
            </w:pPr>
            <w:r w:rsidRPr="00DF2630">
              <w:rPr>
                <w:sz w:val="18"/>
                <w:szCs w:val="18"/>
              </w:rPr>
              <w:t>Grazing (sheep)</w:t>
            </w:r>
          </w:p>
        </w:tc>
        <w:tc>
          <w:tcPr>
            <w:tcW w:w="1116" w:type="dxa"/>
            <w:tcBorders>
              <w:top w:val="nil"/>
              <w:left w:val="nil"/>
              <w:bottom w:val="single" w:sz="8" w:space="0" w:color="FFFFFF"/>
              <w:right w:val="single" w:sz="8" w:space="0" w:color="FFFFFF"/>
            </w:tcBorders>
            <w:shd w:val="clear" w:color="000000" w:fill="EAF1DD"/>
            <w:vAlign w:val="center"/>
            <w:hideMark/>
          </w:tcPr>
          <w:p w14:paraId="747D8B80" w14:textId="77777777" w:rsidR="0021784F" w:rsidRPr="00DF2630" w:rsidRDefault="0021784F" w:rsidP="0021784F">
            <w:pPr>
              <w:spacing w:before="0" w:after="0"/>
              <w:rPr>
                <w:sz w:val="18"/>
                <w:szCs w:val="18"/>
              </w:rPr>
            </w:pPr>
            <w:r w:rsidRPr="00DF2630">
              <w:rPr>
                <w:sz w:val="18"/>
                <w:szCs w:val="18"/>
              </w:rPr>
              <w:t>Recent and occasional</w:t>
            </w:r>
          </w:p>
        </w:tc>
        <w:tc>
          <w:tcPr>
            <w:tcW w:w="850" w:type="dxa"/>
            <w:tcBorders>
              <w:top w:val="nil"/>
              <w:left w:val="nil"/>
              <w:bottom w:val="single" w:sz="8" w:space="0" w:color="FFFFFF"/>
              <w:right w:val="single" w:sz="8" w:space="0" w:color="FFFFFF"/>
            </w:tcBorders>
            <w:shd w:val="clear" w:color="000000" w:fill="EBF1DE"/>
            <w:noWrap/>
            <w:vAlign w:val="center"/>
            <w:hideMark/>
          </w:tcPr>
          <w:p w14:paraId="0F5D9714" w14:textId="77777777" w:rsidR="0021784F" w:rsidRPr="00DF2630" w:rsidRDefault="0021784F" w:rsidP="0021784F">
            <w:pPr>
              <w:spacing w:before="0" w:after="0"/>
              <w:jc w:val="center"/>
              <w:rPr>
                <w:sz w:val="18"/>
                <w:szCs w:val="18"/>
              </w:rPr>
            </w:pPr>
            <w:r w:rsidRPr="00DF2630">
              <w:rPr>
                <w:sz w:val="18"/>
                <w:szCs w:val="18"/>
              </w:rPr>
              <w:t>370</w:t>
            </w:r>
          </w:p>
        </w:tc>
        <w:tc>
          <w:tcPr>
            <w:tcW w:w="808" w:type="dxa"/>
            <w:tcBorders>
              <w:top w:val="nil"/>
              <w:left w:val="nil"/>
              <w:bottom w:val="single" w:sz="8" w:space="0" w:color="FFFFFF"/>
              <w:right w:val="single" w:sz="8" w:space="0" w:color="FFFFFF"/>
            </w:tcBorders>
            <w:shd w:val="clear" w:color="000000" w:fill="EBF1DE"/>
            <w:noWrap/>
            <w:vAlign w:val="center"/>
            <w:hideMark/>
          </w:tcPr>
          <w:p w14:paraId="14798B32" w14:textId="77777777" w:rsidR="0021784F" w:rsidRPr="00DF2630" w:rsidRDefault="0021784F" w:rsidP="0021784F">
            <w:pPr>
              <w:spacing w:before="0" w:after="0"/>
              <w:jc w:val="center"/>
              <w:rPr>
                <w:sz w:val="18"/>
                <w:szCs w:val="18"/>
              </w:rPr>
            </w:pPr>
            <w:r w:rsidRPr="00DF2630">
              <w:rPr>
                <w:sz w:val="18"/>
                <w:szCs w:val="18"/>
              </w:rPr>
              <w:t>463</w:t>
            </w:r>
          </w:p>
        </w:tc>
        <w:tc>
          <w:tcPr>
            <w:tcW w:w="808" w:type="dxa"/>
            <w:tcBorders>
              <w:top w:val="nil"/>
              <w:left w:val="nil"/>
              <w:bottom w:val="single" w:sz="8" w:space="0" w:color="FFFFFF"/>
              <w:right w:val="single" w:sz="8" w:space="0" w:color="FFFFFF"/>
            </w:tcBorders>
            <w:shd w:val="clear" w:color="000000" w:fill="EBF1DE"/>
            <w:noWrap/>
            <w:vAlign w:val="center"/>
            <w:hideMark/>
          </w:tcPr>
          <w:p w14:paraId="15DDC818" w14:textId="77777777" w:rsidR="0021784F" w:rsidRPr="00DF2630" w:rsidRDefault="0021784F" w:rsidP="0021784F">
            <w:pPr>
              <w:spacing w:before="0" w:after="0"/>
              <w:jc w:val="center"/>
              <w:rPr>
                <w:sz w:val="18"/>
                <w:szCs w:val="18"/>
              </w:rPr>
            </w:pPr>
            <w:r w:rsidRPr="00DF2630">
              <w:rPr>
                <w:sz w:val="18"/>
                <w:szCs w:val="18"/>
              </w:rPr>
              <w:t>67</w:t>
            </w:r>
          </w:p>
        </w:tc>
        <w:tc>
          <w:tcPr>
            <w:tcW w:w="815" w:type="dxa"/>
            <w:tcBorders>
              <w:top w:val="nil"/>
              <w:left w:val="nil"/>
              <w:bottom w:val="single" w:sz="8" w:space="0" w:color="FFFFFF"/>
              <w:right w:val="single" w:sz="8" w:space="0" w:color="FFFFFF"/>
            </w:tcBorders>
            <w:shd w:val="clear" w:color="000000" w:fill="EBF1DE"/>
            <w:noWrap/>
            <w:vAlign w:val="center"/>
            <w:hideMark/>
          </w:tcPr>
          <w:p w14:paraId="78520CC5" w14:textId="77777777" w:rsidR="0021784F" w:rsidRPr="00DF2630" w:rsidRDefault="0021784F" w:rsidP="0021784F">
            <w:pPr>
              <w:spacing w:before="0" w:after="0"/>
              <w:jc w:val="center"/>
              <w:rPr>
                <w:sz w:val="18"/>
                <w:szCs w:val="18"/>
              </w:rPr>
            </w:pPr>
            <w:r w:rsidRPr="00DF2630">
              <w:rPr>
                <w:sz w:val="18"/>
                <w:szCs w:val="18"/>
              </w:rPr>
              <w:t>35</w:t>
            </w:r>
          </w:p>
        </w:tc>
        <w:tc>
          <w:tcPr>
            <w:tcW w:w="794" w:type="dxa"/>
            <w:tcBorders>
              <w:top w:val="nil"/>
              <w:left w:val="nil"/>
              <w:bottom w:val="single" w:sz="8" w:space="0" w:color="FFFFFF"/>
              <w:right w:val="single" w:sz="8" w:space="0" w:color="FFFFFF"/>
            </w:tcBorders>
            <w:shd w:val="clear" w:color="000000" w:fill="EBF1DE"/>
            <w:vAlign w:val="center"/>
          </w:tcPr>
          <w:p w14:paraId="7EC0C96A" w14:textId="77777777" w:rsidR="0021784F" w:rsidRPr="00DF2630" w:rsidRDefault="0021784F" w:rsidP="0021784F">
            <w:pPr>
              <w:spacing w:before="0" w:after="0"/>
              <w:jc w:val="center"/>
              <w:rPr>
                <w:sz w:val="18"/>
                <w:szCs w:val="18"/>
              </w:rPr>
            </w:pPr>
            <w:r>
              <w:rPr>
                <w:sz w:val="18"/>
                <w:szCs w:val="18"/>
              </w:rPr>
              <w:t>13</w:t>
            </w:r>
          </w:p>
        </w:tc>
      </w:tr>
      <w:tr w:rsidR="0021784F" w:rsidRPr="00924476" w14:paraId="547082E7" w14:textId="77777777" w:rsidTr="007163E8">
        <w:trPr>
          <w:trHeight w:val="255"/>
        </w:trPr>
        <w:tc>
          <w:tcPr>
            <w:tcW w:w="8119" w:type="dxa"/>
            <w:gridSpan w:val="8"/>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0D9092E7"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Black box community</w:t>
            </w:r>
          </w:p>
        </w:tc>
        <w:tc>
          <w:tcPr>
            <w:tcW w:w="794" w:type="dxa"/>
            <w:tcBorders>
              <w:top w:val="single" w:sz="8" w:space="0" w:color="FFFFFF"/>
              <w:left w:val="single" w:sz="8" w:space="0" w:color="FFFFFF"/>
              <w:bottom w:val="single" w:sz="8" w:space="0" w:color="FFFFFF"/>
              <w:right w:val="single" w:sz="8" w:space="0" w:color="FFFFFF"/>
            </w:tcBorders>
            <w:shd w:val="clear" w:color="000000" w:fill="C2D69B"/>
          </w:tcPr>
          <w:p w14:paraId="7E606E32" w14:textId="77777777" w:rsidR="0021784F" w:rsidRPr="00DF2630" w:rsidRDefault="0021784F" w:rsidP="0021784F">
            <w:pPr>
              <w:spacing w:before="0" w:after="0"/>
              <w:rPr>
                <w:b/>
                <w:bCs/>
                <w:color w:val="FFFFFF" w:themeColor="background1"/>
                <w:sz w:val="18"/>
                <w:szCs w:val="18"/>
              </w:rPr>
            </w:pPr>
          </w:p>
        </w:tc>
      </w:tr>
      <w:tr w:rsidR="0021784F" w:rsidRPr="00924476" w14:paraId="5FCD7F0F"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7B5AB2CD"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Booligal wetland</w:t>
            </w:r>
          </w:p>
        </w:tc>
        <w:tc>
          <w:tcPr>
            <w:tcW w:w="1280" w:type="dxa"/>
            <w:tcBorders>
              <w:top w:val="nil"/>
              <w:left w:val="nil"/>
              <w:bottom w:val="single" w:sz="8" w:space="0" w:color="FFFFFF"/>
              <w:right w:val="single" w:sz="8" w:space="0" w:color="FFFFFF"/>
            </w:tcBorders>
            <w:shd w:val="clear" w:color="000000" w:fill="EAF1DD"/>
            <w:vAlign w:val="center"/>
            <w:hideMark/>
          </w:tcPr>
          <w:p w14:paraId="618A6F56" w14:textId="77777777" w:rsidR="0021784F" w:rsidRPr="00DF2630" w:rsidRDefault="0021784F" w:rsidP="0021784F">
            <w:pPr>
              <w:spacing w:before="0" w:after="0"/>
              <w:rPr>
                <w:sz w:val="18"/>
                <w:szCs w:val="18"/>
              </w:rPr>
            </w:pPr>
            <w:r w:rsidRPr="00DF2630">
              <w:rPr>
                <w:sz w:val="18"/>
                <w:szCs w:val="18"/>
              </w:rPr>
              <w:t>Booligal Wetlands</w:t>
            </w:r>
          </w:p>
        </w:tc>
        <w:tc>
          <w:tcPr>
            <w:tcW w:w="1182" w:type="dxa"/>
            <w:tcBorders>
              <w:top w:val="nil"/>
              <w:left w:val="nil"/>
              <w:bottom w:val="single" w:sz="8" w:space="0" w:color="FFFFFF"/>
              <w:right w:val="single" w:sz="8" w:space="0" w:color="FFFFFF"/>
            </w:tcBorders>
            <w:shd w:val="clear" w:color="000000" w:fill="EAF1DD"/>
            <w:vAlign w:val="center"/>
            <w:hideMark/>
          </w:tcPr>
          <w:p w14:paraId="16DE22AB" w14:textId="77777777" w:rsidR="0021784F" w:rsidRPr="00DF2630" w:rsidRDefault="0021784F" w:rsidP="0021784F">
            <w:pPr>
              <w:spacing w:before="0" w:after="0"/>
              <w:rPr>
                <w:sz w:val="18"/>
                <w:szCs w:val="18"/>
              </w:rPr>
            </w:pPr>
            <w:r w:rsidRPr="00DF2630">
              <w:rPr>
                <w:sz w:val="18"/>
                <w:szCs w:val="18"/>
              </w:rPr>
              <w:t>Nature conservation</w:t>
            </w:r>
          </w:p>
        </w:tc>
        <w:tc>
          <w:tcPr>
            <w:tcW w:w="1116" w:type="dxa"/>
            <w:tcBorders>
              <w:top w:val="nil"/>
              <w:left w:val="nil"/>
              <w:bottom w:val="single" w:sz="8" w:space="0" w:color="FFFFFF"/>
              <w:right w:val="single" w:sz="8" w:space="0" w:color="FFFFFF"/>
            </w:tcBorders>
            <w:shd w:val="clear" w:color="000000" w:fill="EAF1DD"/>
            <w:vAlign w:val="center"/>
            <w:hideMark/>
          </w:tcPr>
          <w:p w14:paraId="62E4A73A" w14:textId="77777777" w:rsidR="0021784F" w:rsidRPr="00DF2630" w:rsidRDefault="0021784F" w:rsidP="0021784F">
            <w:pPr>
              <w:spacing w:before="0" w:after="0"/>
              <w:rPr>
                <w:sz w:val="18"/>
                <w:szCs w:val="18"/>
              </w:rPr>
            </w:pPr>
            <w:r w:rsidRPr="00DF2630">
              <w:rPr>
                <w:sz w:val="18"/>
                <w:szCs w:val="18"/>
              </w:rPr>
              <w:t>Low</w:t>
            </w:r>
          </w:p>
        </w:tc>
        <w:tc>
          <w:tcPr>
            <w:tcW w:w="850" w:type="dxa"/>
            <w:tcBorders>
              <w:top w:val="nil"/>
              <w:left w:val="nil"/>
              <w:bottom w:val="single" w:sz="8" w:space="0" w:color="FFFFFF"/>
              <w:right w:val="single" w:sz="8" w:space="0" w:color="FFFFFF"/>
            </w:tcBorders>
            <w:shd w:val="clear" w:color="000000" w:fill="EBF1DE"/>
            <w:noWrap/>
            <w:vAlign w:val="center"/>
            <w:hideMark/>
          </w:tcPr>
          <w:p w14:paraId="78F0433E" w14:textId="77777777" w:rsidR="0021784F" w:rsidRPr="00DF2630" w:rsidRDefault="0021784F" w:rsidP="0021784F">
            <w:pPr>
              <w:spacing w:before="0" w:after="0"/>
              <w:jc w:val="center"/>
              <w:rPr>
                <w:sz w:val="18"/>
                <w:szCs w:val="18"/>
              </w:rPr>
            </w:pPr>
            <w:r w:rsidRPr="00DF2630">
              <w:rPr>
                <w:sz w:val="18"/>
                <w:szCs w:val="18"/>
              </w:rPr>
              <w:t>14</w:t>
            </w:r>
          </w:p>
        </w:tc>
        <w:tc>
          <w:tcPr>
            <w:tcW w:w="808" w:type="dxa"/>
            <w:tcBorders>
              <w:top w:val="nil"/>
              <w:left w:val="nil"/>
              <w:bottom w:val="single" w:sz="8" w:space="0" w:color="FFFFFF"/>
              <w:right w:val="single" w:sz="8" w:space="0" w:color="FFFFFF"/>
            </w:tcBorders>
            <w:shd w:val="clear" w:color="000000" w:fill="EBF1DE"/>
            <w:noWrap/>
            <w:vAlign w:val="center"/>
            <w:hideMark/>
          </w:tcPr>
          <w:p w14:paraId="3450A64C" w14:textId="77777777" w:rsidR="0021784F" w:rsidRPr="00DF2630" w:rsidRDefault="0021784F" w:rsidP="0021784F">
            <w:pPr>
              <w:spacing w:before="0" w:after="0"/>
              <w:jc w:val="center"/>
              <w:rPr>
                <w:sz w:val="18"/>
                <w:szCs w:val="18"/>
              </w:rPr>
            </w:pPr>
            <w:r w:rsidRPr="00DF2630">
              <w:rPr>
                <w:sz w:val="18"/>
                <w:szCs w:val="18"/>
              </w:rPr>
              <w:t>22</w:t>
            </w:r>
          </w:p>
        </w:tc>
        <w:tc>
          <w:tcPr>
            <w:tcW w:w="808" w:type="dxa"/>
            <w:tcBorders>
              <w:top w:val="nil"/>
              <w:left w:val="nil"/>
              <w:bottom w:val="single" w:sz="8" w:space="0" w:color="FFFFFF"/>
              <w:right w:val="single" w:sz="8" w:space="0" w:color="FFFFFF"/>
            </w:tcBorders>
            <w:shd w:val="clear" w:color="000000" w:fill="EBF1DE"/>
            <w:noWrap/>
            <w:vAlign w:val="center"/>
            <w:hideMark/>
          </w:tcPr>
          <w:p w14:paraId="1508865B" w14:textId="77777777" w:rsidR="0021784F" w:rsidRPr="00DF2630" w:rsidRDefault="0021784F" w:rsidP="0021784F">
            <w:pPr>
              <w:spacing w:before="0" w:after="0"/>
              <w:jc w:val="center"/>
              <w:rPr>
                <w:sz w:val="18"/>
                <w:szCs w:val="18"/>
              </w:rPr>
            </w:pPr>
            <w:r w:rsidRPr="00DF2630">
              <w:rPr>
                <w:sz w:val="18"/>
                <w:szCs w:val="18"/>
              </w:rPr>
              <w:t>56</w:t>
            </w:r>
          </w:p>
        </w:tc>
        <w:tc>
          <w:tcPr>
            <w:tcW w:w="815" w:type="dxa"/>
            <w:tcBorders>
              <w:top w:val="nil"/>
              <w:left w:val="nil"/>
              <w:bottom w:val="single" w:sz="8" w:space="0" w:color="FFFFFF"/>
              <w:right w:val="single" w:sz="8" w:space="0" w:color="FFFFFF"/>
            </w:tcBorders>
            <w:shd w:val="clear" w:color="000000" w:fill="EBF1DE"/>
            <w:noWrap/>
            <w:vAlign w:val="center"/>
            <w:hideMark/>
          </w:tcPr>
          <w:p w14:paraId="0317153F" w14:textId="77777777" w:rsidR="0021784F" w:rsidRPr="00DF2630" w:rsidRDefault="0021784F" w:rsidP="0021784F">
            <w:pPr>
              <w:spacing w:before="0" w:after="0"/>
              <w:jc w:val="center"/>
              <w:rPr>
                <w:sz w:val="18"/>
                <w:szCs w:val="18"/>
              </w:rPr>
            </w:pPr>
            <w:r w:rsidRPr="00DF2630">
              <w:rPr>
                <w:sz w:val="18"/>
                <w:szCs w:val="18"/>
              </w:rPr>
              <w:t>46</w:t>
            </w:r>
          </w:p>
        </w:tc>
        <w:tc>
          <w:tcPr>
            <w:tcW w:w="794" w:type="dxa"/>
            <w:tcBorders>
              <w:top w:val="nil"/>
              <w:left w:val="nil"/>
              <w:bottom w:val="single" w:sz="8" w:space="0" w:color="FFFFFF"/>
              <w:right w:val="single" w:sz="8" w:space="0" w:color="FFFFFF"/>
            </w:tcBorders>
            <w:shd w:val="clear" w:color="000000" w:fill="EBF1DE"/>
            <w:vAlign w:val="center"/>
          </w:tcPr>
          <w:p w14:paraId="2796D09B" w14:textId="77777777" w:rsidR="0021784F" w:rsidRPr="00DF2630" w:rsidRDefault="0021784F" w:rsidP="0021784F">
            <w:pPr>
              <w:spacing w:before="0" w:after="0"/>
              <w:jc w:val="center"/>
              <w:rPr>
                <w:sz w:val="18"/>
                <w:szCs w:val="18"/>
              </w:rPr>
            </w:pPr>
            <w:r>
              <w:rPr>
                <w:sz w:val="18"/>
                <w:szCs w:val="18"/>
              </w:rPr>
              <w:t>47</w:t>
            </w:r>
          </w:p>
        </w:tc>
      </w:tr>
      <w:tr w:rsidR="0021784F" w:rsidRPr="00924476" w14:paraId="3160988C"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9904E7E"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Ita</w:t>
            </w:r>
          </w:p>
        </w:tc>
        <w:tc>
          <w:tcPr>
            <w:tcW w:w="1280" w:type="dxa"/>
            <w:tcBorders>
              <w:top w:val="nil"/>
              <w:left w:val="nil"/>
              <w:bottom w:val="single" w:sz="8" w:space="0" w:color="FFFFFF"/>
              <w:right w:val="single" w:sz="8" w:space="0" w:color="FFFFFF"/>
            </w:tcBorders>
            <w:shd w:val="clear" w:color="000000" w:fill="EAF1DD"/>
            <w:vAlign w:val="center"/>
            <w:hideMark/>
          </w:tcPr>
          <w:p w14:paraId="60203520" w14:textId="77777777" w:rsidR="0021784F" w:rsidRPr="00DF2630" w:rsidRDefault="0021784F" w:rsidP="0021784F">
            <w:pPr>
              <w:spacing w:before="0" w:after="0"/>
              <w:rPr>
                <w:sz w:val="18"/>
                <w:szCs w:val="18"/>
              </w:rPr>
            </w:pPr>
            <w:r w:rsidRPr="00DF2630">
              <w:rPr>
                <w:sz w:val="18"/>
                <w:szCs w:val="18"/>
              </w:rPr>
              <w:t>Lachlan River Floodplain</w:t>
            </w:r>
          </w:p>
        </w:tc>
        <w:tc>
          <w:tcPr>
            <w:tcW w:w="1182" w:type="dxa"/>
            <w:tcBorders>
              <w:top w:val="nil"/>
              <w:left w:val="nil"/>
              <w:bottom w:val="single" w:sz="8" w:space="0" w:color="FFFFFF"/>
              <w:right w:val="single" w:sz="8" w:space="0" w:color="FFFFFF"/>
            </w:tcBorders>
            <w:shd w:val="clear" w:color="000000" w:fill="EAF1DD"/>
            <w:vAlign w:val="center"/>
            <w:hideMark/>
          </w:tcPr>
          <w:p w14:paraId="4EA30868" w14:textId="77777777" w:rsidR="0021784F" w:rsidRPr="00DF2630" w:rsidRDefault="0021784F" w:rsidP="0021784F">
            <w:pPr>
              <w:spacing w:before="0" w:after="0"/>
              <w:rPr>
                <w:sz w:val="18"/>
                <w:szCs w:val="18"/>
              </w:rPr>
            </w:pPr>
            <w:r w:rsidRPr="00DF2630">
              <w:rPr>
                <w:sz w:val="18"/>
                <w:szCs w:val="18"/>
              </w:rPr>
              <w:t>Nature conservation</w:t>
            </w:r>
          </w:p>
        </w:tc>
        <w:tc>
          <w:tcPr>
            <w:tcW w:w="1116" w:type="dxa"/>
            <w:tcBorders>
              <w:top w:val="nil"/>
              <w:left w:val="nil"/>
              <w:bottom w:val="single" w:sz="8" w:space="0" w:color="FFFFFF"/>
              <w:right w:val="single" w:sz="8" w:space="0" w:color="FFFFFF"/>
            </w:tcBorders>
            <w:shd w:val="clear" w:color="000000" w:fill="EAF1DD"/>
            <w:vAlign w:val="center"/>
            <w:hideMark/>
          </w:tcPr>
          <w:p w14:paraId="5F865A51"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4043BBC7" w14:textId="77777777" w:rsidR="0021784F" w:rsidRPr="00DF2630" w:rsidRDefault="0021784F" w:rsidP="0021784F">
            <w:pPr>
              <w:spacing w:before="0" w:after="0"/>
              <w:jc w:val="center"/>
              <w:rPr>
                <w:sz w:val="18"/>
                <w:szCs w:val="18"/>
              </w:rPr>
            </w:pPr>
            <w:r w:rsidRPr="00DF2630">
              <w:rPr>
                <w:sz w:val="18"/>
                <w:szCs w:val="18"/>
              </w:rPr>
              <w:t>0</w:t>
            </w:r>
          </w:p>
        </w:tc>
        <w:tc>
          <w:tcPr>
            <w:tcW w:w="808" w:type="dxa"/>
            <w:tcBorders>
              <w:top w:val="nil"/>
              <w:left w:val="nil"/>
              <w:bottom w:val="single" w:sz="8" w:space="0" w:color="FFFFFF"/>
              <w:right w:val="single" w:sz="8" w:space="0" w:color="FFFFFF"/>
            </w:tcBorders>
            <w:shd w:val="clear" w:color="000000" w:fill="EBF1DE"/>
            <w:noWrap/>
            <w:vAlign w:val="center"/>
            <w:hideMark/>
          </w:tcPr>
          <w:p w14:paraId="01879FC8" w14:textId="77777777" w:rsidR="0021784F" w:rsidRPr="00DF2630" w:rsidRDefault="0021784F" w:rsidP="0021784F">
            <w:pPr>
              <w:spacing w:before="0" w:after="0"/>
              <w:jc w:val="center"/>
              <w:rPr>
                <w:sz w:val="18"/>
                <w:szCs w:val="18"/>
              </w:rPr>
            </w:pPr>
            <w:r w:rsidRPr="00DF2630">
              <w:rPr>
                <w:sz w:val="18"/>
                <w:szCs w:val="18"/>
              </w:rPr>
              <w:t>1</w:t>
            </w:r>
          </w:p>
        </w:tc>
        <w:tc>
          <w:tcPr>
            <w:tcW w:w="808" w:type="dxa"/>
            <w:tcBorders>
              <w:top w:val="nil"/>
              <w:left w:val="nil"/>
              <w:bottom w:val="single" w:sz="8" w:space="0" w:color="FFFFFF"/>
              <w:right w:val="single" w:sz="8" w:space="0" w:color="FFFFFF"/>
            </w:tcBorders>
            <w:shd w:val="clear" w:color="000000" w:fill="EBF1DE"/>
            <w:noWrap/>
            <w:vAlign w:val="center"/>
            <w:hideMark/>
          </w:tcPr>
          <w:p w14:paraId="4B097101" w14:textId="77777777" w:rsidR="0021784F" w:rsidRPr="00DF2630" w:rsidRDefault="0021784F" w:rsidP="0021784F">
            <w:pPr>
              <w:spacing w:before="0" w:after="0"/>
              <w:jc w:val="center"/>
              <w:rPr>
                <w:sz w:val="18"/>
                <w:szCs w:val="18"/>
              </w:rPr>
            </w:pPr>
            <w:r w:rsidRPr="00DF2630">
              <w:rPr>
                <w:sz w:val="18"/>
                <w:szCs w:val="18"/>
              </w:rPr>
              <w:t>1</w:t>
            </w:r>
          </w:p>
        </w:tc>
        <w:tc>
          <w:tcPr>
            <w:tcW w:w="815" w:type="dxa"/>
            <w:tcBorders>
              <w:top w:val="nil"/>
              <w:left w:val="nil"/>
              <w:bottom w:val="single" w:sz="8" w:space="0" w:color="FFFFFF"/>
              <w:right w:val="single" w:sz="8" w:space="0" w:color="FFFFFF"/>
            </w:tcBorders>
            <w:shd w:val="clear" w:color="000000" w:fill="EBF1DE"/>
            <w:noWrap/>
            <w:vAlign w:val="center"/>
            <w:hideMark/>
          </w:tcPr>
          <w:p w14:paraId="444119CB" w14:textId="77777777" w:rsidR="0021784F" w:rsidRPr="00DF2630" w:rsidRDefault="0021784F" w:rsidP="0021784F">
            <w:pPr>
              <w:spacing w:before="0" w:after="0"/>
              <w:jc w:val="center"/>
              <w:rPr>
                <w:sz w:val="18"/>
                <w:szCs w:val="18"/>
              </w:rPr>
            </w:pPr>
            <w:r w:rsidRPr="00DF2630">
              <w:rPr>
                <w:sz w:val="18"/>
                <w:szCs w:val="18"/>
              </w:rPr>
              <w:t>2</w:t>
            </w:r>
          </w:p>
        </w:tc>
        <w:tc>
          <w:tcPr>
            <w:tcW w:w="794" w:type="dxa"/>
            <w:tcBorders>
              <w:top w:val="nil"/>
              <w:left w:val="nil"/>
              <w:bottom w:val="single" w:sz="8" w:space="0" w:color="FFFFFF"/>
              <w:right w:val="single" w:sz="8" w:space="0" w:color="FFFFFF"/>
            </w:tcBorders>
            <w:shd w:val="clear" w:color="000000" w:fill="EBF1DE"/>
            <w:vAlign w:val="center"/>
          </w:tcPr>
          <w:p w14:paraId="10874B4E" w14:textId="77777777" w:rsidR="0021784F" w:rsidRPr="00DF2630" w:rsidRDefault="0021784F" w:rsidP="0021784F">
            <w:pPr>
              <w:spacing w:before="0" w:after="0"/>
              <w:jc w:val="center"/>
              <w:rPr>
                <w:sz w:val="18"/>
                <w:szCs w:val="18"/>
              </w:rPr>
            </w:pPr>
            <w:r>
              <w:rPr>
                <w:sz w:val="18"/>
                <w:szCs w:val="18"/>
              </w:rPr>
              <w:t>0</w:t>
            </w:r>
          </w:p>
        </w:tc>
      </w:tr>
      <w:tr w:rsidR="0021784F" w:rsidRPr="00924476" w14:paraId="7C51E35D"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1C908F3"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Tom’s Lake</w:t>
            </w:r>
          </w:p>
        </w:tc>
        <w:tc>
          <w:tcPr>
            <w:tcW w:w="1280" w:type="dxa"/>
            <w:tcBorders>
              <w:top w:val="nil"/>
              <w:left w:val="nil"/>
              <w:bottom w:val="single" w:sz="8" w:space="0" w:color="FFFFFF"/>
              <w:right w:val="single" w:sz="8" w:space="0" w:color="FFFFFF"/>
            </w:tcBorders>
            <w:shd w:val="clear" w:color="000000" w:fill="EAF1DD"/>
            <w:vAlign w:val="center"/>
            <w:hideMark/>
          </w:tcPr>
          <w:p w14:paraId="7869472A" w14:textId="77777777" w:rsidR="0021784F" w:rsidRPr="00DF2630" w:rsidRDefault="0021784F" w:rsidP="0021784F">
            <w:pPr>
              <w:spacing w:before="0" w:after="0"/>
              <w:rPr>
                <w:sz w:val="18"/>
                <w:szCs w:val="18"/>
              </w:rPr>
            </w:pPr>
            <w:r w:rsidRPr="00DF2630">
              <w:rPr>
                <w:sz w:val="18"/>
                <w:szCs w:val="18"/>
              </w:rPr>
              <w:t>Booligal Wetlands</w:t>
            </w:r>
          </w:p>
        </w:tc>
        <w:tc>
          <w:tcPr>
            <w:tcW w:w="1182" w:type="dxa"/>
            <w:tcBorders>
              <w:top w:val="nil"/>
              <w:left w:val="nil"/>
              <w:bottom w:val="single" w:sz="8" w:space="0" w:color="FFFFFF"/>
              <w:right w:val="single" w:sz="8" w:space="0" w:color="FFFFFF"/>
            </w:tcBorders>
            <w:shd w:val="clear" w:color="000000" w:fill="EAF1DD"/>
            <w:vAlign w:val="center"/>
            <w:hideMark/>
          </w:tcPr>
          <w:p w14:paraId="79DBFDE1" w14:textId="77777777" w:rsidR="0021784F" w:rsidRPr="00DF2630" w:rsidRDefault="0021784F" w:rsidP="0021784F">
            <w:pPr>
              <w:spacing w:before="0" w:after="0"/>
              <w:rPr>
                <w:sz w:val="18"/>
                <w:szCs w:val="18"/>
              </w:rPr>
            </w:pPr>
            <w:r w:rsidRPr="00DF2630">
              <w:rPr>
                <w:sz w:val="18"/>
                <w:szCs w:val="18"/>
              </w:rPr>
              <w:t>Grazing (cattle)</w:t>
            </w:r>
          </w:p>
        </w:tc>
        <w:tc>
          <w:tcPr>
            <w:tcW w:w="1116" w:type="dxa"/>
            <w:tcBorders>
              <w:top w:val="nil"/>
              <w:left w:val="nil"/>
              <w:bottom w:val="single" w:sz="8" w:space="0" w:color="FFFFFF"/>
              <w:right w:val="single" w:sz="8" w:space="0" w:color="FFFFFF"/>
            </w:tcBorders>
            <w:shd w:val="clear" w:color="000000" w:fill="EAF1DD"/>
            <w:vAlign w:val="center"/>
            <w:hideMark/>
          </w:tcPr>
          <w:p w14:paraId="07A7A909"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460C8155" w14:textId="77777777" w:rsidR="0021784F" w:rsidRPr="00DF2630" w:rsidRDefault="0021784F" w:rsidP="0021784F">
            <w:pPr>
              <w:spacing w:before="0" w:after="0"/>
              <w:jc w:val="center"/>
              <w:rPr>
                <w:sz w:val="18"/>
                <w:szCs w:val="18"/>
              </w:rPr>
            </w:pPr>
            <w:r w:rsidRPr="00DF2630">
              <w:rPr>
                <w:sz w:val="18"/>
                <w:szCs w:val="18"/>
              </w:rPr>
              <w:t>1</w:t>
            </w:r>
          </w:p>
        </w:tc>
        <w:tc>
          <w:tcPr>
            <w:tcW w:w="808" w:type="dxa"/>
            <w:tcBorders>
              <w:top w:val="nil"/>
              <w:left w:val="nil"/>
              <w:bottom w:val="single" w:sz="8" w:space="0" w:color="FFFFFF"/>
              <w:right w:val="single" w:sz="8" w:space="0" w:color="FFFFFF"/>
            </w:tcBorders>
            <w:shd w:val="clear" w:color="000000" w:fill="EBF1DE"/>
            <w:noWrap/>
            <w:vAlign w:val="center"/>
            <w:hideMark/>
          </w:tcPr>
          <w:p w14:paraId="68CA6328" w14:textId="77777777" w:rsidR="0021784F" w:rsidRPr="00DF2630" w:rsidRDefault="0021784F" w:rsidP="0021784F">
            <w:pPr>
              <w:spacing w:before="0" w:after="0"/>
              <w:jc w:val="center"/>
              <w:rPr>
                <w:sz w:val="18"/>
                <w:szCs w:val="18"/>
              </w:rPr>
            </w:pPr>
            <w:r w:rsidRPr="00DF2630">
              <w:rPr>
                <w:sz w:val="18"/>
                <w:szCs w:val="18"/>
              </w:rPr>
              <w:t>21</w:t>
            </w:r>
          </w:p>
        </w:tc>
        <w:tc>
          <w:tcPr>
            <w:tcW w:w="808" w:type="dxa"/>
            <w:tcBorders>
              <w:top w:val="nil"/>
              <w:left w:val="nil"/>
              <w:bottom w:val="single" w:sz="8" w:space="0" w:color="FFFFFF"/>
              <w:right w:val="single" w:sz="8" w:space="0" w:color="FFFFFF"/>
            </w:tcBorders>
            <w:shd w:val="clear" w:color="000000" w:fill="EBF1DE"/>
            <w:noWrap/>
            <w:vAlign w:val="center"/>
            <w:hideMark/>
          </w:tcPr>
          <w:p w14:paraId="374AE819" w14:textId="77777777" w:rsidR="0021784F" w:rsidRPr="00DF2630" w:rsidRDefault="0021784F" w:rsidP="0021784F">
            <w:pPr>
              <w:spacing w:before="0" w:after="0"/>
              <w:jc w:val="center"/>
              <w:rPr>
                <w:sz w:val="18"/>
                <w:szCs w:val="18"/>
              </w:rPr>
            </w:pPr>
            <w:r w:rsidRPr="00DF2630">
              <w:rPr>
                <w:sz w:val="18"/>
                <w:szCs w:val="18"/>
              </w:rPr>
              <w:t>110</w:t>
            </w:r>
          </w:p>
        </w:tc>
        <w:tc>
          <w:tcPr>
            <w:tcW w:w="815" w:type="dxa"/>
            <w:tcBorders>
              <w:top w:val="nil"/>
              <w:left w:val="nil"/>
              <w:bottom w:val="single" w:sz="8" w:space="0" w:color="FFFFFF"/>
              <w:right w:val="single" w:sz="8" w:space="0" w:color="FFFFFF"/>
            </w:tcBorders>
            <w:shd w:val="clear" w:color="000000" w:fill="EBF1DE"/>
            <w:noWrap/>
            <w:vAlign w:val="center"/>
            <w:hideMark/>
          </w:tcPr>
          <w:p w14:paraId="4FB6D681" w14:textId="77777777" w:rsidR="0021784F" w:rsidRPr="00DF2630" w:rsidRDefault="0021784F" w:rsidP="0021784F">
            <w:pPr>
              <w:spacing w:before="0" w:after="0"/>
              <w:jc w:val="center"/>
              <w:rPr>
                <w:sz w:val="18"/>
                <w:szCs w:val="18"/>
              </w:rPr>
            </w:pPr>
            <w:r w:rsidRPr="00DF2630">
              <w:rPr>
                <w:sz w:val="18"/>
                <w:szCs w:val="18"/>
              </w:rPr>
              <w:t>5</w:t>
            </w:r>
          </w:p>
        </w:tc>
        <w:tc>
          <w:tcPr>
            <w:tcW w:w="794" w:type="dxa"/>
            <w:tcBorders>
              <w:top w:val="nil"/>
              <w:left w:val="nil"/>
              <w:bottom w:val="single" w:sz="8" w:space="0" w:color="FFFFFF"/>
              <w:right w:val="single" w:sz="8" w:space="0" w:color="FFFFFF"/>
            </w:tcBorders>
            <w:shd w:val="clear" w:color="000000" w:fill="EBF1DE"/>
            <w:vAlign w:val="center"/>
          </w:tcPr>
          <w:p w14:paraId="34500162" w14:textId="77777777" w:rsidR="0021784F" w:rsidRPr="00DF2630" w:rsidRDefault="0021784F" w:rsidP="0021784F">
            <w:pPr>
              <w:spacing w:before="0" w:after="0"/>
              <w:jc w:val="center"/>
              <w:rPr>
                <w:sz w:val="18"/>
                <w:szCs w:val="18"/>
              </w:rPr>
            </w:pPr>
            <w:r>
              <w:rPr>
                <w:sz w:val="18"/>
                <w:szCs w:val="18"/>
              </w:rPr>
              <w:t>12</w:t>
            </w:r>
          </w:p>
        </w:tc>
      </w:tr>
      <w:tr w:rsidR="0021784F" w:rsidRPr="00924476" w14:paraId="3C8CAD6A"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C8C7406"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Lake Tarwong</w:t>
            </w:r>
          </w:p>
        </w:tc>
        <w:tc>
          <w:tcPr>
            <w:tcW w:w="1280" w:type="dxa"/>
            <w:tcBorders>
              <w:top w:val="nil"/>
              <w:left w:val="nil"/>
              <w:bottom w:val="single" w:sz="8" w:space="0" w:color="FFFFFF"/>
              <w:right w:val="single" w:sz="8" w:space="0" w:color="FFFFFF"/>
            </w:tcBorders>
            <w:shd w:val="clear" w:color="000000" w:fill="EAF1DD"/>
            <w:vAlign w:val="center"/>
            <w:hideMark/>
          </w:tcPr>
          <w:p w14:paraId="634BF327" w14:textId="77777777" w:rsidR="0021784F" w:rsidRPr="00DF2630" w:rsidRDefault="0021784F" w:rsidP="0021784F">
            <w:pPr>
              <w:spacing w:before="0" w:after="0"/>
              <w:rPr>
                <w:sz w:val="18"/>
                <w:szCs w:val="18"/>
              </w:rPr>
            </w:pPr>
            <w:r w:rsidRPr="00DF2630">
              <w:rPr>
                <w:sz w:val="18"/>
                <w:szCs w:val="18"/>
              </w:rPr>
              <w:t>Merrowie/Box Creek</w:t>
            </w:r>
          </w:p>
        </w:tc>
        <w:tc>
          <w:tcPr>
            <w:tcW w:w="1182" w:type="dxa"/>
            <w:tcBorders>
              <w:top w:val="nil"/>
              <w:left w:val="nil"/>
              <w:bottom w:val="single" w:sz="8" w:space="0" w:color="FFFFFF"/>
              <w:right w:val="single" w:sz="8" w:space="0" w:color="FFFFFF"/>
            </w:tcBorders>
            <w:shd w:val="clear" w:color="000000" w:fill="EAF1DD"/>
            <w:vAlign w:val="center"/>
            <w:hideMark/>
          </w:tcPr>
          <w:p w14:paraId="73BC0B70" w14:textId="77777777" w:rsidR="0021784F" w:rsidRPr="00DF2630" w:rsidRDefault="0021784F" w:rsidP="0021784F">
            <w:pPr>
              <w:spacing w:before="0" w:after="0"/>
              <w:rPr>
                <w:sz w:val="18"/>
                <w:szCs w:val="18"/>
              </w:rPr>
            </w:pPr>
            <w:r w:rsidRPr="00DF2630">
              <w:rPr>
                <w:sz w:val="18"/>
                <w:szCs w:val="18"/>
              </w:rPr>
              <w:t>Grazing (sheep)</w:t>
            </w:r>
          </w:p>
        </w:tc>
        <w:tc>
          <w:tcPr>
            <w:tcW w:w="1116" w:type="dxa"/>
            <w:tcBorders>
              <w:top w:val="nil"/>
              <w:left w:val="nil"/>
              <w:bottom w:val="single" w:sz="8" w:space="0" w:color="FFFFFF"/>
              <w:right w:val="single" w:sz="8" w:space="0" w:color="FFFFFF"/>
            </w:tcBorders>
            <w:shd w:val="clear" w:color="000000" w:fill="EAF1DD"/>
            <w:vAlign w:val="center"/>
            <w:hideMark/>
          </w:tcPr>
          <w:p w14:paraId="100FB396" w14:textId="77777777" w:rsidR="0021784F" w:rsidRPr="00DF2630" w:rsidRDefault="0021784F" w:rsidP="0021784F">
            <w:pPr>
              <w:spacing w:before="0" w:after="0"/>
              <w:rPr>
                <w:sz w:val="18"/>
                <w:szCs w:val="18"/>
              </w:rPr>
            </w:pPr>
            <w:r w:rsidRPr="00DF2630">
              <w:rPr>
                <w:sz w:val="18"/>
                <w:szCs w:val="18"/>
              </w:rPr>
              <w:t>Recent and frequent</w:t>
            </w:r>
          </w:p>
        </w:tc>
        <w:tc>
          <w:tcPr>
            <w:tcW w:w="850" w:type="dxa"/>
            <w:tcBorders>
              <w:top w:val="nil"/>
              <w:left w:val="nil"/>
              <w:bottom w:val="single" w:sz="8" w:space="0" w:color="FFFFFF"/>
              <w:right w:val="single" w:sz="8" w:space="0" w:color="FFFFFF"/>
            </w:tcBorders>
            <w:shd w:val="clear" w:color="000000" w:fill="EBF1DE"/>
            <w:noWrap/>
            <w:vAlign w:val="center"/>
            <w:hideMark/>
          </w:tcPr>
          <w:p w14:paraId="45694A8C" w14:textId="77777777" w:rsidR="0021784F" w:rsidRPr="00DF2630" w:rsidRDefault="0021784F" w:rsidP="0021784F">
            <w:pPr>
              <w:spacing w:before="0" w:after="0"/>
              <w:jc w:val="center"/>
              <w:rPr>
                <w:sz w:val="18"/>
                <w:szCs w:val="18"/>
              </w:rPr>
            </w:pPr>
            <w:r w:rsidRPr="00DF2630">
              <w:rPr>
                <w:sz w:val="18"/>
                <w:szCs w:val="18"/>
              </w:rPr>
              <w:t>0</w:t>
            </w:r>
          </w:p>
        </w:tc>
        <w:tc>
          <w:tcPr>
            <w:tcW w:w="808" w:type="dxa"/>
            <w:tcBorders>
              <w:top w:val="nil"/>
              <w:left w:val="nil"/>
              <w:bottom w:val="single" w:sz="8" w:space="0" w:color="FFFFFF"/>
              <w:right w:val="single" w:sz="8" w:space="0" w:color="FFFFFF"/>
            </w:tcBorders>
            <w:shd w:val="clear" w:color="000000" w:fill="EBF1DE"/>
            <w:noWrap/>
            <w:vAlign w:val="center"/>
            <w:hideMark/>
          </w:tcPr>
          <w:p w14:paraId="735DBA84" w14:textId="77777777" w:rsidR="0021784F" w:rsidRPr="00DF2630" w:rsidRDefault="0021784F" w:rsidP="0021784F">
            <w:pPr>
              <w:spacing w:before="0" w:after="0"/>
              <w:jc w:val="center"/>
              <w:rPr>
                <w:sz w:val="18"/>
                <w:szCs w:val="18"/>
              </w:rPr>
            </w:pPr>
            <w:r w:rsidRPr="00DF2630">
              <w:rPr>
                <w:sz w:val="18"/>
                <w:szCs w:val="18"/>
              </w:rPr>
              <w:t>1</w:t>
            </w:r>
          </w:p>
        </w:tc>
        <w:tc>
          <w:tcPr>
            <w:tcW w:w="808" w:type="dxa"/>
            <w:tcBorders>
              <w:top w:val="nil"/>
              <w:left w:val="nil"/>
              <w:bottom w:val="single" w:sz="8" w:space="0" w:color="FFFFFF"/>
              <w:right w:val="single" w:sz="8" w:space="0" w:color="FFFFFF"/>
            </w:tcBorders>
            <w:shd w:val="clear" w:color="000000" w:fill="EBF1DE"/>
            <w:noWrap/>
            <w:vAlign w:val="center"/>
            <w:hideMark/>
          </w:tcPr>
          <w:p w14:paraId="6DC95C1A" w14:textId="77777777" w:rsidR="0021784F" w:rsidRPr="00DF2630" w:rsidRDefault="0021784F" w:rsidP="0021784F">
            <w:pPr>
              <w:spacing w:before="0" w:after="0"/>
              <w:jc w:val="center"/>
              <w:rPr>
                <w:sz w:val="18"/>
                <w:szCs w:val="18"/>
              </w:rPr>
            </w:pPr>
            <w:r w:rsidRPr="00DF2630">
              <w:rPr>
                <w:sz w:val="18"/>
                <w:szCs w:val="18"/>
              </w:rPr>
              <w:t>80</w:t>
            </w:r>
          </w:p>
        </w:tc>
        <w:tc>
          <w:tcPr>
            <w:tcW w:w="815" w:type="dxa"/>
            <w:tcBorders>
              <w:top w:val="nil"/>
              <w:left w:val="nil"/>
              <w:bottom w:val="single" w:sz="8" w:space="0" w:color="FFFFFF"/>
              <w:right w:val="single" w:sz="8" w:space="0" w:color="FFFFFF"/>
            </w:tcBorders>
            <w:shd w:val="clear" w:color="000000" w:fill="EBF1DE"/>
            <w:noWrap/>
            <w:vAlign w:val="center"/>
            <w:hideMark/>
          </w:tcPr>
          <w:p w14:paraId="60DF3EEA" w14:textId="77777777" w:rsidR="0021784F" w:rsidRPr="00DF2630" w:rsidRDefault="0021784F" w:rsidP="0021784F">
            <w:pPr>
              <w:spacing w:before="0" w:after="0"/>
              <w:jc w:val="center"/>
              <w:rPr>
                <w:sz w:val="18"/>
                <w:szCs w:val="18"/>
              </w:rPr>
            </w:pPr>
            <w:r w:rsidRPr="00DF2630">
              <w:rPr>
                <w:sz w:val="18"/>
                <w:szCs w:val="18"/>
              </w:rPr>
              <w:t>17</w:t>
            </w:r>
          </w:p>
        </w:tc>
        <w:tc>
          <w:tcPr>
            <w:tcW w:w="794" w:type="dxa"/>
            <w:tcBorders>
              <w:top w:val="nil"/>
              <w:left w:val="nil"/>
              <w:bottom w:val="single" w:sz="8" w:space="0" w:color="FFFFFF"/>
              <w:right w:val="single" w:sz="8" w:space="0" w:color="FFFFFF"/>
            </w:tcBorders>
            <w:shd w:val="clear" w:color="000000" w:fill="EBF1DE"/>
            <w:vAlign w:val="center"/>
          </w:tcPr>
          <w:p w14:paraId="6F7D7F61" w14:textId="77777777" w:rsidR="0021784F" w:rsidRPr="00DF2630" w:rsidRDefault="0021784F" w:rsidP="0021784F">
            <w:pPr>
              <w:spacing w:before="0" w:after="0"/>
              <w:jc w:val="center"/>
              <w:rPr>
                <w:sz w:val="18"/>
                <w:szCs w:val="18"/>
              </w:rPr>
            </w:pPr>
            <w:r>
              <w:rPr>
                <w:sz w:val="18"/>
                <w:szCs w:val="18"/>
              </w:rPr>
              <w:t>4</w:t>
            </w:r>
          </w:p>
        </w:tc>
      </w:tr>
      <w:tr w:rsidR="0021784F" w:rsidRPr="00924476" w14:paraId="03A7F499" w14:textId="77777777" w:rsidTr="007163E8">
        <w:trPr>
          <w:trHeight w:val="255"/>
        </w:trPr>
        <w:tc>
          <w:tcPr>
            <w:tcW w:w="8119" w:type="dxa"/>
            <w:gridSpan w:val="8"/>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7BE59B0A"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Mixed Red Gum, River Cooba and Black Box</w:t>
            </w:r>
          </w:p>
        </w:tc>
        <w:tc>
          <w:tcPr>
            <w:tcW w:w="794" w:type="dxa"/>
            <w:tcBorders>
              <w:top w:val="single" w:sz="8" w:space="0" w:color="FFFFFF"/>
              <w:left w:val="single" w:sz="8" w:space="0" w:color="FFFFFF"/>
              <w:bottom w:val="single" w:sz="8" w:space="0" w:color="FFFFFF"/>
              <w:right w:val="single" w:sz="8" w:space="0" w:color="FFFFFF"/>
            </w:tcBorders>
            <w:shd w:val="clear" w:color="000000" w:fill="C2D69B"/>
          </w:tcPr>
          <w:p w14:paraId="3279BF2D" w14:textId="77777777" w:rsidR="0021784F" w:rsidRPr="00DF2630" w:rsidRDefault="0021784F" w:rsidP="0021784F">
            <w:pPr>
              <w:spacing w:before="0" w:after="0"/>
              <w:rPr>
                <w:b/>
                <w:bCs/>
                <w:color w:val="FFFFFF" w:themeColor="background1"/>
                <w:sz w:val="18"/>
                <w:szCs w:val="18"/>
              </w:rPr>
            </w:pPr>
          </w:p>
        </w:tc>
      </w:tr>
      <w:tr w:rsidR="0021784F" w:rsidRPr="00924476" w14:paraId="4AD428DB" w14:textId="77777777" w:rsidTr="007163E8">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5D5F3D7D" w14:textId="77777777" w:rsidR="0021784F" w:rsidRPr="00DF2630" w:rsidRDefault="0021784F" w:rsidP="0021784F">
            <w:pPr>
              <w:spacing w:before="0" w:after="0"/>
              <w:rPr>
                <w:b/>
                <w:bCs/>
                <w:color w:val="FFFFFF" w:themeColor="background1"/>
                <w:sz w:val="18"/>
                <w:szCs w:val="18"/>
              </w:rPr>
            </w:pPr>
            <w:r w:rsidRPr="00DF2630">
              <w:rPr>
                <w:b/>
                <w:bCs/>
                <w:color w:val="FFFFFF" w:themeColor="background1"/>
                <w:sz w:val="18"/>
                <w:szCs w:val="18"/>
              </w:rPr>
              <w:t xml:space="preserve">The Ville </w:t>
            </w:r>
          </w:p>
        </w:tc>
        <w:tc>
          <w:tcPr>
            <w:tcW w:w="1280" w:type="dxa"/>
            <w:tcBorders>
              <w:top w:val="nil"/>
              <w:left w:val="nil"/>
              <w:bottom w:val="single" w:sz="8" w:space="0" w:color="FFFFFF"/>
              <w:right w:val="single" w:sz="8" w:space="0" w:color="FFFFFF"/>
            </w:tcBorders>
            <w:shd w:val="clear" w:color="000000" w:fill="EAF1DD"/>
            <w:vAlign w:val="center"/>
            <w:hideMark/>
          </w:tcPr>
          <w:p w14:paraId="29C6CF2F" w14:textId="77777777" w:rsidR="0021784F" w:rsidRPr="00DF2630" w:rsidRDefault="0021784F" w:rsidP="0021784F">
            <w:pPr>
              <w:spacing w:before="0" w:after="0"/>
              <w:rPr>
                <w:sz w:val="18"/>
                <w:szCs w:val="18"/>
              </w:rPr>
            </w:pPr>
            <w:r w:rsidRPr="00DF2630">
              <w:rPr>
                <w:sz w:val="18"/>
                <w:szCs w:val="18"/>
              </w:rPr>
              <w:t>Lachlan Swamp</w:t>
            </w:r>
          </w:p>
        </w:tc>
        <w:tc>
          <w:tcPr>
            <w:tcW w:w="1182" w:type="dxa"/>
            <w:tcBorders>
              <w:top w:val="nil"/>
              <w:left w:val="nil"/>
              <w:bottom w:val="single" w:sz="8" w:space="0" w:color="FFFFFF"/>
              <w:right w:val="single" w:sz="8" w:space="0" w:color="FFFFFF"/>
            </w:tcBorders>
            <w:shd w:val="clear" w:color="000000" w:fill="EAF1DD"/>
            <w:vAlign w:val="center"/>
            <w:hideMark/>
          </w:tcPr>
          <w:p w14:paraId="4B0711B2" w14:textId="77777777" w:rsidR="0021784F" w:rsidRPr="00DF2630" w:rsidRDefault="0021784F" w:rsidP="0021784F">
            <w:pPr>
              <w:spacing w:before="0" w:after="0"/>
              <w:rPr>
                <w:sz w:val="18"/>
                <w:szCs w:val="18"/>
              </w:rPr>
            </w:pPr>
            <w:r w:rsidRPr="00DF2630">
              <w:rPr>
                <w:sz w:val="18"/>
                <w:szCs w:val="18"/>
              </w:rPr>
              <w:t>Nature conservation</w:t>
            </w:r>
          </w:p>
        </w:tc>
        <w:tc>
          <w:tcPr>
            <w:tcW w:w="1116" w:type="dxa"/>
            <w:tcBorders>
              <w:top w:val="nil"/>
              <w:left w:val="nil"/>
              <w:bottom w:val="single" w:sz="8" w:space="0" w:color="FFFFFF"/>
              <w:right w:val="single" w:sz="8" w:space="0" w:color="FFFFFF"/>
            </w:tcBorders>
            <w:shd w:val="clear" w:color="000000" w:fill="EAF1DD"/>
            <w:vAlign w:val="center"/>
            <w:hideMark/>
          </w:tcPr>
          <w:p w14:paraId="693EA869" w14:textId="77777777" w:rsidR="0021784F" w:rsidRPr="00DF2630" w:rsidRDefault="0021784F" w:rsidP="0021784F">
            <w:pPr>
              <w:spacing w:before="0" w:after="0"/>
              <w:rPr>
                <w:sz w:val="18"/>
                <w:szCs w:val="18"/>
              </w:rPr>
            </w:pPr>
            <w:r w:rsidRPr="00DF2630">
              <w:rPr>
                <w:sz w:val="18"/>
                <w:szCs w:val="18"/>
              </w:rPr>
              <w:t>Low</w:t>
            </w:r>
          </w:p>
        </w:tc>
        <w:tc>
          <w:tcPr>
            <w:tcW w:w="850" w:type="dxa"/>
            <w:tcBorders>
              <w:top w:val="nil"/>
              <w:left w:val="nil"/>
              <w:bottom w:val="single" w:sz="8" w:space="0" w:color="FFFFFF"/>
              <w:right w:val="single" w:sz="8" w:space="0" w:color="FFFFFF"/>
            </w:tcBorders>
            <w:shd w:val="clear" w:color="000000" w:fill="EBF1DE"/>
            <w:noWrap/>
            <w:vAlign w:val="center"/>
            <w:hideMark/>
          </w:tcPr>
          <w:p w14:paraId="23CFC0AD" w14:textId="77777777" w:rsidR="0021784F" w:rsidRPr="00DF2630" w:rsidRDefault="0021784F" w:rsidP="0021784F">
            <w:pPr>
              <w:spacing w:before="0" w:after="0"/>
              <w:jc w:val="center"/>
              <w:rPr>
                <w:sz w:val="18"/>
                <w:szCs w:val="18"/>
              </w:rPr>
            </w:pPr>
            <w:r w:rsidRPr="00DF2630">
              <w:rPr>
                <w:sz w:val="18"/>
                <w:szCs w:val="18"/>
              </w:rPr>
              <w:t>21</w:t>
            </w:r>
          </w:p>
        </w:tc>
        <w:tc>
          <w:tcPr>
            <w:tcW w:w="808" w:type="dxa"/>
            <w:tcBorders>
              <w:top w:val="nil"/>
              <w:left w:val="nil"/>
              <w:bottom w:val="single" w:sz="8" w:space="0" w:color="FFFFFF"/>
              <w:right w:val="single" w:sz="8" w:space="0" w:color="FFFFFF"/>
            </w:tcBorders>
            <w:shd w:val="clear" w:color="000000" w:fill="EBF1DE"/>
            <w:noWrap/>
            <w:vAlign w:val="center"/>
            <w:hideMark/>
          </w:tcPr>
          <w:p w14:paraId="741F8257" w14:textId="77777777" w:rsidR="0021784F" w:rsidRPr="00DF2630" w:rsidRDefault="0021784F" w:rsidP="0021784F">
            <w:pPr>
              <w:spacing w:before="0" w:after="0"/>
              <w:jc w:val="center"/>
              <w:rPr>
                <w:sz w:val="18"/>
                <w:szCs w:val="18"/>
              </w:rPr>
            </w:pPr>
            <w:r w:rsidRPr="00DF2630">
              <w:rPr>
                <w:sz w:val="18"/>
                <w:szCs w:val="18"/>
              </w:rPr>
              <w:t>39</w:t>
            </w:r>
          </w:p>
        </w:tc>
        <w:tc>
          <w:tcPr>
            <w:tcW w:w="808" w:type="dxa"/>
            <w:tcBorders>
              <w:top w:val="nil"/>
              <w:left w:val="nil"/>
              <w:bottom w:val="single" w:sz="8" w:space="0" w:color="FFFFFF"/>
              <w:right w:val="single" w:sz="8" w:space="0" w:color="FFFFFF"/>
            </w:tcBorders>
            <w:shd w:val="clear" w:color="000000" w:fill="EBF1DE"/>
            <w:noWrap/>
            <w:vAlign w:val="center"/>
            <w:hideMark/>
          </w:tcPr>
          <w:p w14:paraId="77D8271B" w14:textId="77777777" w:rsidR="0021784F" w:rsidRPr="00DF2630" w:rsidRDefault="0021784F" w:rsidP="0021784F">
            <w:pPr>
              <w:spacing w:before="0" w:after="0"/>
              <w:jc w:val="center"/>
              <w:rPr>
                <w:sz w:val="18"/>
                <w:szCs w:val="18"/>
              </w:rPr>
            </w:pPr>
            <w:r w:rsidRPr="00DF2630">
              <w:rPr>
                <w:sz w:val="18"/>
                <w:szCs w:val="18"/>
              </w:rPr>
              <w:t>58</w:t>
            </w:r>
          </w:p>
        </w:tc>
        <w:tc>
          <w:tcPr>
            <w:tcW w:w="815" w:type="dxa"/>
            <w:tcBorders>
              <w:top w:val="nil"/>
              <w:left w:val="nil"/>
              <w:bottom w:val="single" w:sz="8" w:space="0" w:color="FFFFFF"/>
              <w:right w:val="single" w:sz="8" w:space="0" w:color="FFFFFF"/>
            </w:tcBorders>
            <w:shd w:val="clear" w:color="000000" w:fill="EBF1DE"/>
            <w:noWrap/>
            <w:vAlign w:val="center"/>
            <w:hideMark/>
          </w:tcPr>
          <w:p w14:paraId="3A613F67" w14:textId="77777777" w:rsidR="0021784F" w:rsidRPr="00DF2630" w:rsidRDefault="0021784F" w:rsidP="0021784F">
            <w:pPr>
              <w:spacing w:before="0" w:after="0"/>
              <w:jc w:val="center"/>
              <w:rPr>
                <w:sz w:val="18"/>
                <w:szCs w:val="18"/>
              </w:rPr>
            </w:pPr>
            <w:r w:rsidRPr="00DF2630">
              <w:rPr>
                <w:sz w:val="18"/>
                <w:szCs w:val="18"/>
              </w:rPr>
              <w:t>51</w:t>
            </w:r>
          </w:p>
        </w:tc>
        <w:tc>
          <w:tcPr>
            <w:tcW w:w="794" w:type="dxa"/>
            <w:tcBorders>
              <w:top w:val="nil"/>
              <w:left w:val="nil"/>
              <w:bottom w:val="single" w:sz="8" w:space="0" w:color="FFFFFF"/>
              <w:right w:val="single" w:sz="8" w:space="0" w:color="FFFFFF"/>
            </w:tcBorders>
            <w:shd w:val="clear" w:color="000000" w:fill="EBF1DE"/>
            <w:vAlign w:val="center"/>
          </w:tcPr>
          <w:p w14:paraId="3FCA315A" w14:textId="77777777" w:rsidR="0021784F" w:rsidRPr="00DF2630" w:rsidRDefault="0021784F" w:rsidP="0021784F">
            <w:pPr>
              <w:spacing w:before="0" w:after="0"/>
              <w:jc w:val="center"/>
              <w:rPr>
                <w:sz w:val="18"/>
                <w:szCs w:val="18"/>
              </w:rPr>
            </w:pPr>
            <w:r>
              <w:rPr>
                <w:sz w:val="18"/>
                <w:szCs w:val="18"/>
              </w:rPr>
              <w:t>27</w:t>
            </w:r>
          </w:p>
        </w:tc>
      </w:tr>
    </w:tbl>
    <w:p w14:paraId="0D2EDEE4" w14:textId="77777777" w:rsidR="008C056E" w:rsidRDefault="008C056E" w:rsidP="007163E8">
      <w:pPr>
        <w:rPr>
          <w:lang w:val="en-GB"/>
        </w:rPr>
      </w:pPr>
      <w:bookmarkStart w:id="662" w:name="_Toc4574828"/>
      <w:bookmarkStart w:id="663" w:name="_Toc499912031"/>
    </w:p>
    <w:p w14:paraId="48302742" w14:textId="677B3A68" w:rsidR="007163E8" w:rsidRDefault="007163E8" w:rsidP="007163E8">
      <w:pPr>
        <w:rPr>
          <w:lang w:val="x-none" w:eastAsia="x-none"/>
        </w:rPr>
      </w:pPr>
      <w:r>
        <w:rPr>
          <w:lang w:val="en-GB"/>
        </w:rPr>
        <w:t>The numbers of recruits increased at many sites in 2017 and 2018 following the recession of flood waters in 2017. The numbers of seedlings ha</w:t>
      </w:r>
      <w:r w:rsidR="0097581A">
        <w:rPr>
          <w:lang w:val="en-GB"/>
        </w:rPr>
        <w:t>d</w:t>
      </w:r>
      <w:r>
        <w:rPr>
          <w:lang w:val="en-GB"/>
        </w:rPr>
        <w:t xml:space="preserve"> reduced at some sites over the 2018-19 watering season compared to the previous year. </w:t>
      </w:r>
      <w:bookmarkStart w:id="664" w:name="_Hlk31786683"/>
      <w:r>
        <w:rPr>
          <w:lang w:val="en-GB"/>
        </w:rPr>
        <w:t xml:space="preserve">This was </w:t>
      </w:r>
      <w:r w:rsidR="00C93F08">
        <w:rPr>
          <w:lang w:val="en-GB"/>
        </w:rPr>
        <w:t xml:space="preserve">likely </w:t>
      </w:r>
      <w:r>
        <w:rPr>
          <w:lang w:val="en-GB"/>
        </w:rPr>
        <w:t xml:space="preserve">related to land use, with sites that are used for grazing (sheep or cattle) having considerably reduced numbers of recruits compared to the previous year. This pattern </w:t>
      </w:r>
      <w:r w:rsidR="0097581A">
        <w:rPr>
          <w:lang w:val="en-GB"/>
        </w:rPr>
        <w:t xml:space="preserve">of seedling loss </w:t>
      </w:r>
      <w:r>
        <w:rPr>
          <w:lang w:val="en-GB"/>
        </w:rPr>
        <w:t>was not observed at</w:t>
      </w:r>
      <w:r w:rsidR="00C93F08">
        <w:rPr>
          <w:lang w:val="en-GB"/>
        </w:rPr>
        <w:t xml:space="preserve"> some of the</w:t>
      </w:r>
      <w:r>
        <w:rPr>
          <w:lang w:val="en-GB"/>
        </w:rPr>
        <w:t xml:space="preserve"> nature conservation sites (</w:t>
      </w:r>
      <w:r>
        <w:rPr>
          <w:lang w:val="en-GB"/>
        </w:rPr>
        <w:fldChar w:fldCharType="begin"/>
      </w:r>
      <w:r>
        <w:rPr>
          <w:lang w:val="en-GB"/>
        </w:rPr>
        <w:instrText xml:space="preserve"> REF _Ref17464629 \h </w:instrText>
      </w:r>
      <w:r>
        <w:rPr>
          <w:lang w:val="en-GB"/>
        </w:rPr>
      </w:r>
      <w:r>
        <w:rPr>
          <w:lang w:val="en-GB"/>
        </w:rPr>
        <w:fldChar w:fldCharType="separate"/>
      </w:r>
      <w:r w:rsidR="007F7607">
        <w:t xml:space="preserve">Figure </w:t>
      </w:r>
      <w:r w:rsidR="007F7607">
        <w:rPr>
          <w:noProof/>
        </w:rPr>
        <w:t>90</w:t>
      </w:r>
      <w:r>
        <w:rPr>
          <w:lang w:val="en-GB"/>
        </w:rPr>
        <w:fldChar w:fldCharType="end"/>
      </w:r>
      <w:r>
        <w:rPr>
          <w:lang w:val="en-GB"/>
        </w:rPr>
        <w:t>).</w:t>
      </w:r>
      <w:bookmarkEnd w:id="664"/>
    </w:p>
    <w:p w14:paraId="7A5EF6AD" w14:textId="77777777" w:rsidR="007163E8" w:rsidRDefault="007163E8" w:rsidP="007163E8">
      <w:pPr>
        <w:rPr>
          <w:lang w:val="x-none" w:eastAsia="x-none"/>
        </w:rPr>
      </w:pPr>
      <w:r>
        <w:rPr>
          <w:noProof/>
          <w:lang w:eastAsia="en-AU"/>
        </w:rPr>
        <w:drawing>
          <wp:inline distT="0" distB="0" distL="0" distR="0" wp14:anchorId="1AFB434F" wp14:editId="3451E96B">
            <wp:extent cx="5731510" cy="3609975"/>
            <wp:effectExtent l="0" t="0" r="2540" b="9525"/>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cruits.PNG"/>
                    <pic:cNvPicPr/>
                  </pic:nvPicPr>
                  <pic:blipFill>
                    <a:blip r:embed="rId187" cstate="email">
                      <a:extLst>
                        <a:ext uri="{28A0092B-C50C-407E-A947-70E740481C1C}">
                          <a14:useLocalDpi xmlns:a14="http://schemas.microsoft.com/office/drawing/2010/main"/>
                        </a:ext>
                      </a:extLst>
                    </a:blip>
                    <a:stretch>
                      <a:fillRect/>
                    </a:stretch>
                  </pic:blipFill>
                  <pic:spPr>
                    <a:xfrm>
                      <a:off x="0" y="0"/>
                      <a:ext cx="5731510" cy="3609975"/>
                    </a:xfrm>
                    <a:prstGeom prst="rect">
                      <a:avLst/>
                    </a:prstGeom>
                  </pic:spPr>
                </pic:pic>
              </a:graphicData>
            </a:graphic>
          </wp:inline>
        </w:drawing>
      </w:r>
    </w:p>
    <w:p w14:paraId="282A33AD" w14:textId="7110E9D1" w:rsidR="007163E8" w:rsidRDefault="007163E8" w:rsidP="007163E8">
      <w:pPr>
        <w:pStyle w:val="Caption"/>
      </w:pPr>
      <w:bookmarkStart w:id="665" w:name="_Ref17464629"/>
      <w:bookmarkStart w:id="666" w:name="_Toc31985654"/>
      <w:r>
        <w:t xml:space="preserve">Figure </w:t>
      </w:r>
      <w:r>
        <w:fldChar w:fldCharType="begin"/>
      </w:r>
      <w:r>
        <w:instrText>SEQ Figure \* ARABIC</w:instrText>
      </w:r>
      <w:r>
        <w:fldChar w:fldCharType="separate"/>
      </w:r>
      <w:r w:rsidR="007F7607">
        <w:rPr>
          <w:noProof/>
        </w:rPr>
        <w:t>90</w:t>
      </w:r>
      <w:r>
        <w:fldChar w:fldCharType="end"/>
      </w:r>
      <w:bookmarkEnd w:id="665"/>
      <w:r w:rsidRPr="00AC2555">
        <w:t xml:space="preserve">. </w:t>
      </w:r>
      <w:r>
        <w:t xml:space="preserve">The mean number of recruits per site, within grazing and nature conservation land use categories. Error bars represent </w:t>
      </w:r>
      <w:r>
        <w:rPr>
          <w:rFonts w:cs="Calibri"/>
        </w:rPr>
        <w:t>±</w:t>
      </w:r>
      <w:r>
        <w:t>1 SE.</w:t>
      </w:r>
      <w:bookmarkEnd w:id="666"/>
    </w:p>
    <w:p w14:paraId="760D2BD1" w14:textId="77777777" w:rsidR="007163E8" w:rsidRDefault="007163E8" w:rsidP="007163E8"/>
    <w:p w14:paraId="7256E510" w14:textId="77777777" w:rsidR="007163E8" w:rsidRPr="00FA777E" w:rsidRDefault="007163E8" w:rsidP="007163E8">
      <w:pPr>
        <w:pStyle w:val="Heading2"/>
      </w:pPr>
      <w:bookmarkStart w:id="667" w:name="_Toc31985538"/>
      <w:r w:rsidRPr="00924476">
        <w:t>Discussion</w:t>
      </w:r>
      <w:bookmarkEnd w:id="662"/>
      <w:bookmarkEnd w:id="663"/>
      <w:bookmarkEnd w:id="667"/>
    </w:p>
    <w:p w14:paraId="0A9E85A3" w14:textId="638758C7" w:rsidR="007163E8" w:rsidRDefault="007163E8" w:rsidP="007163E8">
      <w:r>
        <w:t>Over the five years of monitoring, t</w:t>
      </w:r>
      <w:r w:rsidRPr="00924476">
        <w:t>he floodplain and wetland vegetation communities have continued to display dry and wet phases depending on the prevailing conditions</w:t>
      </w:r>
      <w:r>
        <w:t>. This has been particularly evident in the composition of species making up the groundcover vegetation, with different species being present under certain hydrological</w:t>
      </w:r>
      <w:r w:rsidR="007E5275">
        <w:t xml:space="preserve"> or climatic</w:t>
      </w:r>
      <w:r>
        <w:t xml:space="preserve"> conditions related to species specific hydrological responses. Our assessment of the vegetation species richness and diversity within tree and non-tree communities demonstrate that many plants that occur on the floodplains of the lower Lachlan river germinate and establish under species/functional group specific hydrological conditions </w:t>
      </w:r>
      <w:r w:rsidRPr="00753D9C">
        <w:rPr>
          <w:rFonts w:eastAsia="Times New Roman"/>
          <w:kern w:val="26"/>
          <w:lang w:val="en-US"/>
        </w:rPr>
        <w:fldChar w:fldCharType="begin">
          <w:fldData xml:space="preserve">PEVuZE5vdGU+PENpdGU+PEF1dGhvcj5DYXNhbm92YTwvQXV0aG9yPjxZZWFyPjIwMDA8L1llYXI+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</w:fldData>
        </w:fldChar>
      </w:r>
      <w:r w:rsidR="005D4E80">
        <w:rPr>
          <w:rFonts w:eastAsia="Times New Roman"/>
          <w:kern w:val="26"/>
          <w:lang w:val="en-US"/>
        </w:rPr>
        <w:instrText xml:space="preserve"> ADDIN EN.CITE </w:instrText>
      </w:r>
      <w:r w:rsidR="005D4E80">
        <w:rPr>
          <w:rFonts w:eastAsia="Times New Roman"/>
          <w:kern w:val="26"/>
          <w:lang w:val="en-US"/>
        </w:rPr>
        <w:fldChar w:fldCharType="begin">
          <w:fldData xml:space="preserve">PEVuZE5vdGU+PENpdGU+PEF1dGhvcj5DYXNhbm92YTwvQXV0aG9yPjxZZWFyPjIwMDA8L1llYXI+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</w:fldData>
        </w:fldChar>
      </w:r>
      <w:r w:rsidR="005D4E80">
        <w:rPr>
          <w:rFonts w:eastAsia="Times New Roman"/>
          <w:kern w:val="26"/>
          <w:lang w:val="en-US"/>
        </w:rPr>
        <w:instrText xml:space="preserve"> ADDIN EN.CITE.DATA </w:instrText>
      </w:r>
      <w:r w:rsidR="005D4E80">
        <w:rPr>
          <w:rFonts w:eastAsia="Times New Roman"/>
          <w:kern w:val="26"/>
          <w:lang w:val="en-US"/>
        </w:rPr>
      </w:r>
      <w:r w:rsidR="005D4E80">
        <w:rPr>
          <w:rFonts w:eastAsia="Times New Roman"/>
          <w:kern w:val="26"/>
          <w:lang w:val="en-US"/>
        </w:rPr>
        <w:fldChar w:fldCharType="end"/>
      </w:r>
      <w:r w:rsidRPr="00753D9C">
        <w:rPr>
          <w:rFonts w:eastAsia="Times New Roman"/>
          <w:kern w:val="26"/>
          <w:lang w:val="en-US"/>
        </w:rPr>
      </w:r>
      <w:r w:rsidRPr="00753D9C">
        <w:rPr>
          <w:rFonts w:eastAsia="Times New Roman"/>
          <w:kern w:val="26"/>
          <w:lang w:val="en-US"/>
        </w:rPr>
        <w:fldChar w:fldCharType="separate"/>
      </w:r>
      <w:r>
        <w:rPr>
          <w:rFonts w:eastAsia="Times New Roman"/>
          <w:noProof/>
          <w:kern w:val="26"/>
          <w:lang w:val="en-US"/>
        </w:rPr>
        <w:t>(as described by Casanova and Brock 2000, Capon 2003, Nicol et al. 2003)</w:t>
      </w:r>
      <w:r w:rsidRPr="00753D9C">
        <w:rPr>
          <w:rFonts w:eastAsia="Times New Roman"/>
          <w:kern w:val="26"/>
          <w:lang w:val="en-US"/>
        </w:rPr>
        <w:fldChar w:fldCharType="end"/>
      </w:r>
      <w:r>
        <w:t xml:space="preserve">. This means that the assemblage of species shifts depending on the prevailing conditions. </w:t>
      </w:r>
    </w:p>
    <w:p w14:paraId="7E796433" w14:textId="5F1B5D28" w:rsidR="007163E8" w:rsidRDefault="007163E8" w:rsidP="007163E8">
      <w:r>
        <w:t>F</w:t>
      </w:r>
      <w:r w:rsidRPr="00753D9C">
        <w:t xml:space="preserve">looding stimulates germination and growth responses in </w:t>
      </w:r>
      <w:r>
        <w:t xml:space="preserve">many </w:t>
      </w:r>
      <w:r w:rsidRPr="00753D9C">
        <w:t xml:space="preserve">aquatic and semi-aquatic species, resulting in these species re-establishing </w:t>
      </w:r>
      <w:r>
        <w:t xml:space="preserve">from the soil seed bank </w:t>
      </w:r>
      <w:r w:rsidRPr="00753D9C">
        <w:t>during flooding or following flood recession</w:t>
      </w:r>
      <w:r>
        <w:t xml:space="preserve"> </w:t>
      </w:r>
      <w:r>
        <w:fldChar w:fldCharType="begin"/>
      </w:r>
      <w:r w:rsidR="005D4E80">
        <w:instrText xml:space="preserve"> ADDIN EN.CITE &lt;EndNote&gt;&lt;Cite&gt;&lt;Author&gt;Capon&lt;/Author&gt;&lt;Year&gt;2006&lt;/Year&gt;&lt;RecNum&gt;375&lt;/RecNum&gt;&lt;DisplayText&gt;(Casanova and Brock 2000, Capon and Brock 2006)&lt;/DisplayText&gt;&lt;record&gt;&lt;rec-number&gt;375&lt;/rec-number&gt;&lt;foreign-keys&gt;&lt;key app="EN" db-id="0a0zttz0gewd9befav559p5osxw5sftwfpdv" timestamp="1567119135"&gt;375&lt;/key&gt;&lt;/foreign-keys&gt;&lt;ref-type name="Journal Article"&gt;17&lt;/ref-type&gt;&lt;contributors&gt;&lt;authors&gt;&lt;author&gt;Capon, Samantha J&lt;/author&gt;&lt;author&gt;Brock, Margaret A&lt;/author&gt;&lt;/authors&gt;&lt;/contributors&gt;&lt;titles&gt;&lt;title&gt;Flooding, soil seed bank dynamics and vegetation resilience of a hydrologically variable desert floodplain&lt;/title&gt;&lt;secondary-title&gt;Freshwater Biology&lt;/secondary-title&gt;&lt;/titles&gt;&lt;periodical&gt;&lt;full-title&gt;Freshwater Biology&lt;/full-title&gt;&lt;/periodical&gt;&lt;pages&gt;206-223&lt;/pages&gt;&lt;volume&gt;51&lt;/volume&gt;&lt;number&gt;2&lt;/number&gt;&lt;dates&gt;&lt;year&gt;2006&lt;/year&gt;&lt;/dates&gt;&lt;isbn&gt;0046-5070&lt;/isbn&gt;&lt;urls&gt;&lt;/urls&gt;&lt;/record&gt;&lt;/Cite&gt;&lt;Cite&gt;&lt;Author&gt;Casanova&lt;/Author&gt;&lt;Year&gt;2000&lt;/Year&gt;&lt;RecNum&gt;372&lt;/RecNum&gt;&lt;record&gt;&lt;rec-number&gt;372&lt;/rec-number&gt;&lt;foreign-keys&gt;&lt;key app="EN" db-id="0a0zttz0gewd9befav559p5osxw5sftwfpdv" timestamp="1567119029"&gt;372&lt;/key&gt;&lt;/foreign-keys&gt;&lt;ref-type name="Journal Article"&gt;17&lt;/ref-type&gt;&lt;contributors&gt;&lt;authors&gt;&lt;author&gt;Casanova, Michelle T&lt;/author&gt;&lt;author&gt;Brock, Margaret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Ecology&lt;/full-title&gt;&lt;abbr-1&gt;Plant Ecology&lt;/abbr-1&gt;&lt;/periodical&gt;&lt;pages&gt;237-250&lt;/pages&gt;&lt;volume&gt;147&lt;/volume&gt;&lt;number&gt;2&lt;/number&gt;&lt;dates&gt;&lt;year&gt;2000&lt;/year&gt;&lt;/dates&gt;&lt;isbn&gt;1385-0237&lt;/isbn&gt;&lt;urls&gt;&lt;/urls&gt;&lt;/record&gt;&lt;/Cite&gt;&lt;/EndNote&gt;</w:instrText>
      </w:r>
      <w:r>
        <w:fldChar w:fldCharType="separate"/>
      </w:r>
      <w:r>
        <w:rPr>
          <w:noProof/>
        </w:rPr>
        <w:t>(Casanova and Brock 2000, Capon and Brock 2006)</w:t>
      </w:r>
      <w:r>
        <w:fldChar w:fldCharType="end"/>
      </w:r>
      <w:r>
        <w:t>. The results showed that under dry conditions, recent rainfall resulted in an increase in the cover and species richness of terrestrial often exotic annual species which ma</w:t>
      </w:r>
      <w:r w:rsidR="0097581A">
        <w:t>de</w:t>
      </w:r>
      <w:r>
        <w:t xml:space="preserve"> up the dominant groundcover. During and following flooding conditions, a diverse assemblage of amphibious species dominate</w:t>
      </w:r>
      <w:r w:rsidR="0097581A">
        <w:t>d</w:t>
      </w:r>
      <w:r>
        <w:t xml:space="preserve">, and interestingly in the lower Lachlan catchment these are primarily native. Flooding events provide an important opportunity for these annual or short-lived perennial amphibious species to germinate, grow and ultimately replenish the soil seed bank. As observed following flooding in 2016 </w:t>
      </w:r>
      <w:r>
        <w:fldChar w:fldCharType="begin"/>
      </w:r>
      <w:r>
        <w:instrText xml:space="preserve"> ADDIN EN.CITE &lt;EndNote&gt;&lt;Cite&gt;&lt;Author&gt;Dyer&lt;/Author&gt;&lt;Year&gt;2017&lt;/Year&gt;&lt;RecNum&gt;232&lt;/RecNum&gt;&lt;DisplayText&gt;(Dyer et al. 2017)&lt;/DisplayText&gt;&lt;record&gt;&lt;rec-number&gt;232&lt;/rec-number&gt;&lt;foreign-keys&gt;&lt;key app="EN" db-id="0a0zttz0gewd9befav559p5osxw5sftwfpdv" timestamp="1539572347"&gt;232&lt;/key&gt;&lt;/foreign-keys&gt;&lt;ref-type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fldChar w:fldCharType="separate"/>
      </w:r>
      <w:r>
        <w:rPr>
          <w:noProof/>
        </w:rPr>
        <w:t>(Dyer et al. 2017)</w:t>
      </w:r>
      <w:r>
        <w:fldChar w:fldCharType="end"/>
      </w:r>
      <w:r>
        <w:t xml:space="preserve">, while replenishing the soil seed bank of amphibious species, flooding may also reduce the seed bank of terrestrial exotic annual species, if flooding persists for an extended period of time. Exotic annual species had reduced at sites where flooding during 2016-17 persisted for a few months. These exotic terrestrial species may not have seeds adapted to anaerobic conditions and thus lose viability during flooding. </w:t>
      </w:r>
    </w:p>
    <w:p w14:paraId="1205FC41" w14:textId="53881A01" w:rsidR="007163E8" w:rsidRDefault="007163E8" w:rsidP="007163E8">
      <w:r>
        <w:t>The fact that a range of amphibious species w</w:t>
      </w:r>
      <w:r w:rsidR="00C102D0">
        <w:t>as</w:t>
      </w:r>
      <w:r>
        <w:t xml:space="preserve"> observed in the wetter phases suggests some resilience of the floodplain and wetland plant communities in the lower Lachlan river system. </w:t>
      </w:r>
      <w:r w:rsidRPr="00753D9C">
        <w:t xml:space="preserve">While the seed of many </w:t>
      </w:r>
      <w:r w:rsidR="00DE5506">
        <w:t xml:space="preserve">amphibious </w:t>
      </w:r>
      <w:r>
        <w:t>floodplain</w:t>
      </w:r>
      <w:r w:rsidRPr="00753D9C">
        <w:t xml:space="preserve"> species can remain viable for decades and over successive wetting and drying cycles </w:t>
      </w:r>
      <w:r w:rsidRPr="00753D9C">
        <w:fldChar w:fldCharType="begin"/>
      </w:r>
      <w:r w:rsidR="005D4E80">
        <w:instrText xml:space="preserve"> ADDIN EN.CITE &lt;EndNote&gt;&lt;Cite&gt;&lt;Author&gt;Brock&lt;/Author&gt;&lt;Year&gt;1998&lt;/Year&gt;&lt;RecNum&gt;377&lt;/RecNum&gt;&lt;DisplayText&gt;(Brock and Rogers 1998, Brock 2011)&lt;/DisplayText&gt;&lt;record&gt;&lt;rec-number&gt;377&lt;/rec-number&gt;&lt;foreign-keys&gt;&lt;key app="EN" db-id="0a0zttz0gewd9befav559p5osxw5sftwfpdv" timestamp="1567119210"&gt;377&lt;/key&gt;&lt;/foreign-keys&gt;&lt;ref-type name="Journal Article"&gt;17&lt;/ref-type&gt;&lt;contributors&gt;&lt;authors&gt;&lt;author&gt;Brock, Margaret A&lt;/author&gt;&lt;author&gt;Rogers, KH&lt;/author&gt;&lt;/authors&gt;&lt;/contributors&gt;&lt;titles&gt;&lt;title&gt;The regeneration potential of the seed bank of an ephemeral floodplain in South Africa&lt;/title&gt;&lt;secondary-title&gt;Aquatic Botany&lt;/secondary-title&gt;&lt;/titles&gt;&lt;periodical&gt;&lt;full-title&gt;Aquatic Botany&lt;/full-title&gt;&lt;/periodical&gt;&lt;pages&gt;123-135&lt;/pages&gt;&lt;volume&gt;61&lt;/volume&gt;&lt;number&gt;2&lt;/number&gt;&lt;dates&gt;&lt;year&gt;1998&lt;/year&gt;&lt;/dates&gt;&lt;isbn&gt;0304-3770&lt;/isbn&gt;&lt;urls&gt;&lt;/urls&gt;&lt;/record&gt;&lt;/Cite&gt;&lt;Cite&gt;&lt;Author&gt;Brock&lt;/Author&gt;&lt;Year&gt;2011&lt;/Year&gt;&lt;RecNum&gt;378&lt;/RecNum&gt;&lt;record&gt;&lt;rec-number&gt;378&lt;/rec-number&gt;&lt;foreign-keys&gt;&lt;key app="EN" db-id="0a0zttz0gewd9befav559p5osxw5sftwfpdv" timestamp="1567119226"&gt;378&lt;/key&gt;&lt;/foreign-keys&gt;&lt;ref-type name="Journal Article"&gt;17&lt;/ref-type&gt;&lt;contributors&gt;&lt;authors&gt;&lt;author&gt;Brock, Margaret A&lt;/author&gt;&lt;/authors&gt;&lt;/contributors&gt;&lt;titles&gt;&lt;title&gt;Persistence of seed banks in Australian temporary wetlands&lt;/title&gt;&lt;secondary-title&gt;Freshwater Biology&lt;/secondary-title&gt;&lt;/titles&gt;&lt;periodical&gt;&lt;full-title&gt;Freshwater Biology&lt;/full-title&gt;&lt;/periodical&gt;&lt;pages&gt;1312-1327&lt;/pages&gt;&lt;volume&gt;56&lt;/volume&gt;&lt;number&gt;7&lt;/number&gt;&lt;dates&gt;&lt;year&gt;2011&lt;/year&gt;&lt;/dates&gt;&lt;isbn&gt;0046-5070&lt;/isbn&gt;&lt;urls&gt;&lt;/urls&gt;&lt;/record&gt;&lt;/Cite&gt;&lt;/EndNote&gt;</w:instrText>
      </w:r>
      <w:r w:rsidRPr="00753D9C">
        <w:fldChar w:fldCharType="separate"/>
      </w:r>
      <w:r>
        <w:rPr>
          <w:noProof/>
        </w:rPr>
        <w:t>(Brock and Rogers 1998, Brock 2011)</w:t>
      </w:r>
      <w:r w:rsidRPr="00753D9C">
        <w:fldChar w:fldCharType="end"/>
      </w:r>
      <w:r w:rsidRPr="00753D9C">
        <w:t xml:space="preserve">, </w:t>
      </w:r>
      <w:r>
        <w:t xml:space="preserve">prolonged drying has been observed to reduce species richness and number of individuals compared to sites more recently flooded </w:t>
      </w:r>
      <w:r w:rsidRPr="008B139F">
        <w:fldChar w:fldCharType="begin"/>
      </w:r>
      <w:r w:rsidR="005D4E80">
        <w:instrText xml:space="preserve"> ADDIN EN.CITE &lt;EndNote&gt;&lt;Cite&gt;&lt;Author&gt;Nielsen&lt;/Author&gt;&lt;Year&gt;2013&lt;/Year&gt;&lt;RecNum&gt;379&lt;/RecNum&gt;&lt;DisplayText&gt;(Brock et al. 2003, Nielsen et al. 2013)&lt;/DisplayText&gt;&lt;record&gt;&lt;rec-number&gt;379&lt;/rec-number&gt;&lt;foreign-keys&gt;&lt;key app="EN" db-id="0a0zttz0gewd9befav559p5osxw5sftwfpdv" timestamp="1567119248"&gt;379&lt;/key&gt;&lt;/foreign-keys&gt;&lt;ref-type name="Journal Article"&gt;17&lt;/ref-type&gt;&lt;contributors&gt;&lt;authors&gt;&lt;author&gt;Nielsen, Daryl L&lt;/author&gt;&lt;author&gt;Podnar, Kiya&lt;/author&gt;&lt;author&gt;Watts, RJ&lt;/author&gt;&lt;author&gt;Wilson, AL&lt;/author&gt;&lt;/authors&gt;&lt;/contributors&gt;&lt;titles&gt;&lt;title&gt;Empirical evidence linking increased hydrologic stability with decreased biotic diversity within wetlands&lt;/title&gt;&lt;secondary-title&gt;Hydrobiologia&lt;/secondary-title&gt;&lt;/titles&gt;&lt;periodical&gt;&lt;full-title&gt;Hydrobiologia&lt;/full-title&gt;&lt;abbr-1&gt;Hydrobiologia&lt;/abbr-1&gt;&lt;/periodical&gt;&lt;pages&gt;81-96&lt;/pages&gt;&lt;volume&gt;708&lt;/volume&gt;&lt;number&gt;1&lt;/number&gt;&lt;dates&gt;&lt;year&gt;2013&lt;/year&gt;&lt;/dates&gt;&lt;isbn&gt;0018-8158&lt;/isbn&gt;&lt;urls&gt;&lt;/urls&gt;&lt;/record&gt;&lt;/Cite&gt;&lt;Cite&gt;&lt;Author&gt;Brock&lt;/Author&gt;&lt;Year&gt;2003&lt;/Year&gt;&lt;RecNum&gt;380&lt;/RecNum&gt;&lt;record&gt;&lt;rec-number&gt;380&lt;/rec-number&gt;&lt;foreign-keys&gt;&lt;key app="EN" db-id="0a0zttz0gewd9befav559p5osxw5sftwfpdv" timestamp="1567119268"&gt;380&lt;/key&gt;&lt;/foreign-keys&gt;&lt;ref-type name="Journal Article"&gt;17&lt;/ref-type&gt;&lt;contributors&gt;&lt;authors&gt;&lt;author&gt;Brock, MA&lt;/author&gt;&lt;author&gt;Nielsen, Daryl L&lt;/author&gt;&lt;author&gt;Shiel, Russell J&lt;/author&gt;&lt;author&gt;Green, John D&lt;/author&gt;&lt;author&gt;Langley, John D&lt;/author&gt;&lt;/authors&gt;&lt;/contributors&gt;&lt;titles&gt;&lt;title&gt;Drought and aquatic community resilience: the role of eggs and seeds in sediments of temporary wetlands&lt;/title&gt;&lt;secondary-title&gt;Freshwater Biology&lt;/secondary-title&gt;&lt;/titles&gt;&lt;periodical&gt;&lt;full-title&gt;Freshwater Biology&lt;/full-title&gt;&lt;/periodical&gt;&lt;pages&gt;1207-1218&lt;/pages&gt;&lt;volume&gt;48&lt;/volume&gt;&lt;number&gt;7&lt;/number&gt;&lt;dates&gt;&lt;year&gt;2003&lt;/year&gt;&lt;/dates&gt;&lt;isbn&gt;0046-5070&lt;/isbn&gt;&lt;urls&gt;&lt;/urls&gt;&lt;/record&gt;&lt;/Cite&gt;&lt;/EndNote&gt;</w:instrText>
      </w:r>
      <w:r w:rsidRPr="008B139F">
        <w:fldChar w:fldCharType="separate"/>
      </w:r>
      <w:r>
        <w:rPr>
          <w:noProof/>
        </w:rPr>
        <w:t>(Brock et al. 2003, Nielsen et al. 2013)</w:t>
      </w:r>
      <w:r w:rsidRPr="008B139F">
        <w:fldChar w:fldCharType="end"/>
      </w:r>
      <w:r>
        <w:t>. Nooran Lake was found to have the greatest number of amphibious species present of all sites. Nooran Lake was the most frequently flooded site, and this provides regular opportunity for replenishment of the soil seed bank via contribution of seed produced by extant vegetation and hydrochorous dispersal. In considering environmental watering for floodplain vegetation, one focus should be on maintaining/increasing the numbers of these amphibious species (as these are a) primarily native and b) require flooding), while reducing the numbers of exotic terrestrial species (by lowering the viable soil seed bank of terrestrial species).</w:t>
      </w:r>
    </w:p>
    <w:p w14:paraId="0AAB09AE" w14:textId="2E503C33" w:rsidR="007163E8" w:rsidRDefault="007163E8" w:rsidP="007163E8">
      <w:r>
        <w:t xml:space="preserve">Woody perennial plants on floodplains often </w:t>
      </w:r>
      <w:r w:rsidRPr="008B139F">
        <w:t xml:space="preserve">require flooding for survival, growth and reproduction </w:t>
      </w:r>
      <w:r>
        <w:t xml:space="preserve">as rainfall alone is often insufficient </w:t>
      </w:r>
      <w:r>
        <w:fldChar w:fldCharType="begin"/>
      </w:r>
      <w:r w:rsidR="005D4E80">
        <w:instrText xml:space="preserve"> ADDIN EN.CITE &lt;EndNote&gt;&lt;Cite&gt;&lt;Author&gt;Roberts&lt;/Author&gt;&lt;Year&gt;2011&lt;/Year&gt;&lt;RecNum&gt;381&lt;/RecNum&gt;&lt;DisplayText&gt;(Roberts and Marston 2011)&lt;/DisplayText&gt;&lt;record&gt;&lt;rec-number&gt;381&lt;/rec-number&gt;&lt;foreign-keys&gt;&lt;key app="EN" db-id="0a0zttz0gewd9befav559p5osxw5sftwfpdv" timestamp="1567119295"&gt;381&lt;/key&gt;&lt;/foreign-keys&gt;&lt;ref-type name="Book"&gt;6&lt;/ref-type&gt;&lt;contributors&gt;&lt;authors&gt;&lt;author&gt;Roberts, Jane&lt;/author&gt;&lt;author&gt;Marston, Frances&lt;/author&gt;&lt;/authors&gt;&lt;/contributors&gt;&lt;titles&gt;&lt;title&gt;Water regime for wetland and floodplain plants: a source book for the Murray-Darling Basin&lt;/title&gt;&lt;/titles&gt;&lt;dates&gt;&lt;year&gt;2011&lt;/year&gt;&lt;/dates&gt;&lt;publisher&gt;National Water Commission Canberra&lt;/publisher&gt;&lt;isbn&gt;1921853034&lt;/isbn&gt;&lt;urls&gt;&lt;/urls&gt;&lt;/record&gt;&lt;/Cite&gt;&lt;/EndNote&gt;</w:instrText>
      </w:r>
      <w:r>
        <w:fldChar w:fldCharType="separate"/>
      </w:r>
      <w:r>
        <w:rPr>
          <w:noProof/>
        </w:rPr>
        <w:t>(Roberts and Marston 2011)</w:t>
      </w:r>
      <w:r>
        <w:fldChar w:fldCharType="end"/>
      </w:r>
      <w:r>
        <w:t xml:space="preserve">. For example, flooding maintains tree condition in floodplain trees river red gum and black box </w:t>
      </w:r>
      <w:r>
        <w:fldChar w:fldCharType="begin"/>
      </w:r>
      <w:r w:rsidR="00740557">
        <w:instrText xml:space="preserve"> ADDIN EN.CITE &lt;EndNote&gt;&lt;Cite&gt;&lt;Author&gt;Holland&lt;/Author&gt;&lt;Year&gt;2009&lt;/Year&gt;&lt;RecNum&gt;382&lt;/RecNum&gt;&lt;DisplayText&gt;(Holland et al. 2009)&lt;/DisplayText&gt;&lt;record&gt;&lt;rec-number&gt;382&lt;/rec-number&gt;&lt;foreign-keys&gt;&lt;key app="EN" db-id="0a0zttz0gewd9befav559p5osxw5sftwfpdv" timestamp="1567119312"&gt;382&lt;/key&gt;&lt;/foreign-keys&gt;&lt;ref-type name="Journal Article"&gt;17&lt;/ref-type&gt;&lt;contributors&gt;&lt;authors&gt;&lt;author&gt;Holland, Kate L&lt;/author&gt;&lt;author&gt;Charles, Alison H&lt;/author&gt;&lt;author&gt;Jolly, Ian D&lt;/author&gt;&lt;author&gt;Overton, Ian C&lt;/author&gt;&lt;author&gt;Gehrig, Susan&lt;/author&gt;&lt;author&gt;Simmons, Craig T&lt;/author&gt;&lt;/authors&gt;&lt;/contributors&gt;&lt;titles&gt;&lt;title&gt;Effectiveness of artificial watering of a semi-arid saline wetland for managing riparian vegetation health&lt;/title&gt;&lt;secondary-title&gt;Hydrological Processes: An International Journal&lt;/secondary-title&gt;&lt;/titles&gt;&lt;periodical&gt;&lt;full-title&gt;Hydrological Processes: An International Journal&lt;/full-title&gt;&lt;/periodical&gt;&lt;pages&gt;3474-3484&lt;/pages&gt;&lt;volume&gt;23&lt;/volume&gt;&lt;number&gt;24&lt;/number&gt;&lt;dates&gt;&lt;year&gt;2009&lt;/year&gt;&lt;/dates&gt;&lt;isbn&gt;0885-6087&lt;/isbn&gt;&lt;urls&gt;&lt;/urls&gt;&lt;/record&gt;&lt;/Cite&gt;&lt;/EndNote&gt;</w:instrText>
      </w:r>
      <w:r>
        <w:fldChar w:fldCharType="separate"/>
      </w:r>
      <w:r>
        <w:rPr>
          <w:noProof/>
        </w:rPr>
        <w:t>(Holland et al. 2009)</w:t>
      </w:r>
      <w:r>
        <w:fldChar w:fldCharType="end"/>
      </w:r>
      <w:r>
        <w:t xml:space="preserve">. </w:t>
      </w:r>
      <w:r w:rsidR="0097581A">
        <w:t>Percent foliage</w:t>
      </w:r>
      <w:r>
        <w:t xml:space="preserve"> cover increased in river red gum and black box community sites following the 2016-17 floods. While the two black box sites </w:t>
      </w:r>
      <w:r w:rsidR="003A5F9A">
        <w:t xml:space="preserve">(Tom’s Lake and Booligal) </w:t>
      </w:r>
      <w:r>
        <w:t>within watering category B</w:t>
      </w:r>
      <w:r w:rsidR="003A5F9A">
        <w:t xml:space="preserve"> (i.e. one environmental water)</w:t>
      </w:r>
      <w:r>
        <w:t xml:space="preserve"> haven’t received additional environmental watering since 2014, their position on tributaries which are used for stock and domestic water delivery appears to have benefited the black box trees at these sites, with </w:t>
      </w:r>
      <w:r w:rsidR="007E5275">
        <w:t>percent foliage</w:t>
      </w:r>
      <w:r>
        <w:t xml:space="preserve"> cover much higher in 2017 and 2018 compared to the black box sites in watering category A</w:t>
      </w:r>
      <w:r w:rsidR="003A5F9A">
        <w:t xml:space="preserve"> (i.e. floods only)</w:t>
      </w:r>
      <w:r>
        <w:t>.</w:t>
      </w:r>
    </w:p>
    <w:p w14:paraId="5E9F174D" w14:textId="3ECFCEE9" w:rsidR="007163E8" w:rsidRDefault="007163E8" w:rsidP="007163E8">
      <w:r>
        <w:t xml:space="preserve">The tree condition and tree condition metrics appear to change at a slower rate to the fast growing often annual groundcover species. Tree condition appears to respond to flooding by increasing </w:t>
      </w:r>
      <w:r w:rsidR="0097581A">
        <w:t>foliage</w:t>
      </w:r>
      <w:r>
        <w:t xml:space="preserve"> cover over the following year. </w:t>
      </w:r>
      <w:r w:rsidR="007E5275">
        <w:t>Foliage</w:t>
      </w:r>
      <w:r>
        <w:t xml:space="preserve"> cover then appears to remain high for at least the next two to three years.</w:t>
      </w:r>
      <w:r w:rsidRPr="00E0009B">
        <w:t xml:space="preserve"> </w:t>
      </w:r>
      <w:r>
        <w:t xml:space="preserve">Many of the tree condition metrics (apart from </w:t>
      </w:r>
      <w:r w:rsidR="000421BB">
        <w:t>foliage</w:t>
      </w:r>
      <w:r>
        <w:t xml:space="preserve"> cover) didn’t relate strongly to changes in hydrological conditions and may require longer data sets to detect temporal variation. It is also likely that there is spatial variation between our sites in relation to floodplain topography resulting in variation in how long water sits in different parts of the landscape as well as depth of groundwater.</w:t>
      </w:r>
    </w:p>
    <w:p w14:paraId="184DBC91" w14:textId="030B32E3" w:rsidR="007163E8" w:rsidRDefault="007163E8" w:rsidP="007163E8">
      <w:r>
        <w:t xml:space="preserve">Woody perennial plants which occur on floodplains of the Murray Darling Basin are known to time reproduction around flooding </w:t>
      </w:r>
      <w:r>
        <w:fldChar w:fldCharType="begin">
          <w:fldData xml:space="preserve">PEVuZE5vdGU+PENpdGU+PEF1dGhvcj5Eb29keTwvQXV0aG9yPjxZZWFyPjIwMTQ8L1llYXI+PFJl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</w:fldData>
        </w:fldChar>
      </w:r>
      <w:r w:rsidR="004F03DB">
        <w:instrText xml:space="preserve"> ADDIN EN.CITE </w:instrText>
      </w:r>
      <w:r w:rsidR="004F03DB">
        <w:fldChar w:fldCharType="begin">
          <w:fldData xml:space="preserve">PEVuZE5vdGU+PENpdGU+PEF1dGhvcj5Eb29keTwvQXV0aG9yPjxZZWFyPjIwMTQ8L1llYXI+PFJl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</w:fldData>
        </w:fldChar>
      </w:r>
      <w:r w:rsidR="004F03DB">
        <w:instrText xml:space="preserve"> ADDIN EN.CITE.DATA </w:instrText>
      </w:r>
      <w:r w:rsidR="004F03DB">
        <w:fldChar w:fldCharType="end"/>
      </w:r>
      <w:r>
        <w:fldChar w:fldCharType="separate"/>
      </w:r>
      <w:r w:rsidR="004F03DB">
        <w:rPr>
          <w:noProof/>
        </w:rPr>
        <w:t>(Doody et al. 2014, Catelotti et al. 2015, Higgisson et al. 2018, 2019a)</w:t>
      </w:r>
      <w:r>
        <w:fldChar w:fldCharType="end"/>
      </w:r>
      <w:r>
        <w:t>. As such, flooding provides the conditions vital for key life history stages (i.e., seed production, dispersal and germination). The numbers of seedlings of trees river red gum, black box, and river cooba were observed to be strongly related to the occurrence of flooding, with no increase in seedling abundance during dry conditions, and substantial increases at most sites following flooding (particularly evident following flooding in 2016-17). This result demonstrates the importance of flooding events in maintaining the tree communities within the floodplain landscape. The often-uncommon occurrence of flooding events on the fringing communities which occur on floodplains (particularly in intermittent black box floodplain swamps) means that when flooding does occur, it is vital that (at least some of) these seedlings survive. Comparisons in the numbers of seedlings between land use (livestock grazing and nature conservation) categories showed the negative effect that livestock have on seedling survivorship and suggests that watering actions should be coupled with other complementary management actions. This result also highlighted the important role of nature reserves in maintaining these communities in the landscape.</w:t>
      </w:r>
    </w:p>
    <w:p w14:paraId="7947C71C" w14:textId="77777777" w:rsidR="007163E8" w:rsidRDefault="007163E8" w:rsidP="007163E8"/>
    <w:p w14:paraId="51AE8577" w14:textId="77777777" w:rsidR="007163E8" w:rsidRDefault="007163E8" w:rsidP="007163E8">
      <w:pPr>
        <w:pStyle w:val="Heading3"/>
      </w:pPr>
      <w:bookmarkStart w:id="668" w:name="_Toc4574829"/>
      <w:bookmarkStart w:id="669" w:name="_Toc31985539"/>
      <w:r>
        <w:t>What did Commonwealth environmental water contribute to native riparian and wetland vegetation communities?</w:t>
      </w:r>
      <w:bookmarkEnd w:id="668"/>
      <w:bookmarkEnd w:id="669"/>
    </w:p>
    <w:p w14:paraId="2F430FA8" w14:textId="77130DC1" w:rsidR="007163E8" w:rsidRDefault="007163E8" w:rsidP="007163E8">
      <w:pPr>
        <w:rPr>
          <w:lang w:val="en-US"/>
        </w:rPr>
      </w:pPr>
      <w:r>
        <w:t>Commonwealth environmental water reached the Great Cumbung Swamp in winter 2019. The water was persisting in parts of the Great Cumbung Swamp during a site visit from 29</w:t>
      </w:r>
      <w:r w:rsidRPr="00ED4163">
        <w:rPr>
          <w:vertAlign w:val="superscript"/>
        </w:rPr>
        <w:t>th</w:t>
      </w:r>
      <w:r>
        <w:t xml:space="preserve"> July- 1</w:t>
      </w:r>
      <w:r w:rsidRPr="006578B9">
        <w:rPr>
          <w:vertAlign w:val="superscript"/>
        </w:rPr>
        <w:t>st</w:t>
      </w:r>
      <w:r>
        <w:t xml:space="preserve"> August 2019. Water had inundated parts of the central reedbeds (</w:t>
      </w:r>
      <w:r>
        <w:fldChar w:fldCharType="begin"/>
      </w:r>
      <w:r>
        <w:instrText xml:space="preserve"> REF _Ref17464681 \h </w:instrText>
      </w:r>
      <w:r>
        <w:fldChar w:fldCharType="separate"/>
      </w:r>
      <w:r w:rsidR="007F7607">
        <w:t xml:space="preserve">Figure </w:t>
      </w:r>
      <w:r w:rsidR="007F7607">
        <w:rPr>
          <w:noProof/>
        </w:rPr>
        <w:t>91</w:t>
      </w:r>
      <w:r>
        <w:fldChar w:fldCharType="end"/>
      </w:r>
      <w:r>
        <w:t>). The water had also inundated the intermittent river red gum floodplain swamp south of the central reedbeds (</w:t>
      </w:r>
      <w:r>
        <w:fldChar w:fldCharType="begin"/>
      </w:r>
      <w:r>
        <w:instrText xml:space="preserve"> REF _Ref17464687 \h </w:instrText>
      </w:r>
      <w:r>
        <w:fldChar w:fldCharType="separate"/>
      </w:r>
      <w:r w:rsidR="007F7607">
        <w:t xml:space="preserve">Figure </w:t>
      </w:r>
      <w:r w:rsidR="007F7607">
        <w:rPr>
          <w:noProof/>
        </w:rPr>
        <w:t>92</w:t>
      </w:r>
      <w:r>
        <w:fldChar w:fldCharType="end"/>
      </w:r>
      <w:r>
        <w:t>). While purely observational, new reed shoots were present in and surrounding the floodwater in the reedbeds and there w</w:t>
      </w:r>
      <w:r w:rsidR="00C102D0">
        <w:t>as</w:t>
      </w:r>
      <w:r>
        <w:t xml:space="preserve"> a diverse range of amphibious respondent species under the river red gums. </w:t>
      </w:r>
      <w:r>
        <w:rPr>
          <w:lang w:val="en-US"/>
        </w:rPr>
        <w:t>The reedbeds of the Great Cumbung Swamp are mentioned in the Basin-wide environmental watering strategy,</w:t>
      </w:r>
      <w:r>
        <w:rPr>
          <w:noProof/>
          <w:lang w:val="en-US"/>
        </w:rPr>
        <w:t xml:space="preserve"> which specifies key objectives to maintain the current extent and increase periods of growth for stands of common reed and cumbungi (</w:t>
      </w:r>
      <w:r w:rsidRPr="00ED4163">
        <w:rPr>
          <w:i/>
          <w:iCs/>
          <w:noProof/>
          <w:lang w:val="en-US"/>
        </w:rPr>
        <w:t>Typha sp</w:t>
      </w:r>
      <w:r>
        <w:rPr>
          <w:noProof/>
          <w:lang w:val="en-US"/>
        </w:rPr>
        <w:t xml:space="preserve">.) in the Great Cumbung Swamp </w:t>
      </w:r>
      <w:r>
        <w:rPr>
          <w:lang w:val="en-US"/>
        </w:rPr>
        <w:fldChar w:fldCharType="begin"/>
      </w:r>
      <w:r w:rsidR="00495604">
        <w:rPr>
          <w:lang w:val="en-US"/>
        </w:rPr>
        <w:instrText xml:space="preserve"> ADDIN EN.CITE &lt;EndNote&gt;&lt;Cite&gt;&lt;Author&gt;MDBA&lt;/Author&gt;&lt;Year&gt;2014&lt;/Year&gt;&lt;RecNum&gt;256&lt;/RecNum&gt;&lt;DisplayText&gt;(MDBA 2014)&lt;/DisplayText&gt;&lt;record&gt;&lt;rec-number&gt;256&lt;/rec-number&gt;&lt;foreign-keys&gt;&lt;key app="EN" db-id="0a0zttz0gewd9befav559p5osxw5sftwfpdv" timestamp="1544404762"&gt;256&lt;/key&gt;&lt;/foreign-keys&gt;&lt;ref-type name="Report"&gt;27&lt;/ref-type&gt;&lt;contributors&gt;&lt;authors&gt;&lt;author&gt;MDBA&lt;/author&gt;&lt;/authors&gt;&lt;/contributors&gt;&lt;titles&gt;&lt;title&gt;Basin-wide enviromental watering strategy&lt;/title&gt;&lt;/titles&gt;&lt;volume&gt;20/14&lt;/volume&gt;&lt;number&gt;MDBA Publication No 20/14&lt;/number&gt;&lt;dates&gt;&lt;year&gt;2014&lt;/year&gt;&lt;/dates&gt;&lt;pub-location&gt;Canberra, Australia&lt;/pub-location&gt;&lt;publisher&gt;Murray–Darling Basin Authority&lt;/publisher&gt;&lt;urls&gt;&lt;/urls&gt;&lt;/record&gt;&lt;/Cite&gt;&lt;/EndNote&gt;</w:instrText>
      </w:r>
      <w:r>
        <w:rPr>
          <w:lang w:val="en-US"/>
        </w:rPr>
        <w:fldChar w:fldCharType="separate"/>
      </w:r>
      <w:r>
        <w:rPr>
          <w:noProof/>
          <w:lang w:val="en-US"/>
        </w:rPr>
        <w:t>(MDBA 2014)</w:t>
      </w:r>
      <w:r>
        <w:rPr>
          <w:lang w:val="en-US"/>
        </w:rPr>
        <w:fldChar w:fldCharType="end"/>
      </w:r>
      <w:r>
        <w:rPr>
          <w:lang w:val="en-US"/>
        </w:rPr>
        <w:t xml:space="preserve"> and they have been targeted with environmental water over the past five years. For these reasons the central reedbeds of the Great Cumbung Swamp are likely to be monitored as part of the up-coming M</w:t>
      </w:r>
      <w:r w:rsidR="003A5F9A">
        <w:rPr>
          <w:lang w:val="en-US"/>
        </w:rPr>
        <w:t xml:space="preserve">onitoring, </w:t>
      </w:r>
      <w:r>
        <w:rPr>
          <w:lang w:val="en-US"/>
        </w:rPr>
        <w:t>E</w:t>
      </w:r>
      <w:r w:rsidR="003A5F9A">
        <w:rPr>
          <w:lang w:val="en-US"/>
        </w:rPr>
        <w:t xml:space="preserve">valuation and </w:t>
      </w:r>
      <w:r>
        <w:rPr>
          <w:lang w:val="en-US"/>
        </w:rPr>
        <w:t>R</w:t>
      </w:r>
      <w:r w:rsidR="003A5F9A">
        <w:rPr>
          <w:lang w:val="en-US"/>
        </w:rPr>
        <w:t>esearch</w:t>
      </w:r>
      <w:r>
        <w:rPr>
          <w:lang w:val="en-US"/>
        </w:rPr>
        <w:t xml:space="preserve"> pro</w:t>
      </w:r>
      <w:r w:rsidR="003E03C8">
        <w:rPr>
          <w:lang w:val="en-US"/>
        </w:rPr>
        <w:t>gram</w:t>
      </w:r>
      <w:r>
        <w:rPr>
          <w:lang w:val="en-US"/>
        </w:rPr>
        <w:t>.</w:t>
      </w:r>
    </w:p>
    <w:p w14:paraId="781265CF" w14:textId="77777777" w:rsidR="0031364D" w:rsidRDefault="0031364D" w:rsidP="007163E8"/>
    <w:p w14:paraId="3ABC6950" w14:textId="77777777" w:rsidR="007163E8" w:rsidRDefault="007163E8" w:rsidP="007163E8">
      <w:r>
        <w:rPr>
          <w:noProof/>
          <w:lang w:eastAsia="en-AU"/>
        </w:rPr>
        <w:drawing>
          <wp:inline distT="0" distB="0" distL="0" distR="0" wp14:anchorId="45747ECB" wp14:editId="13EBC138">
            <wp:extent cx="4099727" cy="272860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113574" cy="2737820"/>
                    </a:xfrm>
                    <a:prstGeom prst="rect">
                      <a:avLst/>
                    </a:prstGeom>
                    <a:noFill/>
                    <a:ln>
                      <a:noFill/>
                    </a:ln>
                  </pic:spPr>
                </pic:pic>
              </a:graphicData>
            </a:graphic>
          </wp:inline>
        </w:drawing>
      </w:r>
    </w:p>
    <w:p w14:paraId="397D9EE4" w14:textId="60622A59" w:rsidR="00A660C2" w:rsidRDefault="007163E8" w:rsidP="003E03C8">
      <w:pPr>
        <w:pStyle w:val="Caption"/>
      </w:pPr>
      <w:bookmarkStart w:id="670" w:name="_Ref17464681"/>
      <w:bookmarkStart w:id="671" w:name="_Toc31985655"/>
      <w:r>
        <w:t xml:space="preserve">Figure </w:t>
      </w:r>
      <w:r>
        <w:fldChar w:fldCharType="begin"/>
      </w:r>
      <w:r>
        <w:instrText>SEQ Figure \* ARABIC</w:instrText>
      </w:r>
      <w:r>
        <w:fldChar w:fldCharType="separate"/>
      </w:r>
      <w:r w:rsidR="007F7607">
        <w:rPr>
          <w:noProof/>
        </w:rPr>
        <w:t>91</w:t>
      </w:r>
      <w:r>
        <w:fldChar w:fldCharType="end"/>
      </w:r>
      <w:bookmarkEnd w:id="670"/>
      <w:r w:rsidR="006529C2">
        <w:rPr>
          <w:noProof/>
        </w:rPr>
        <w:t>.</w:t>
      </w:r>
      <w:r>
        <w:t xml:space="preserve"> Photo taken of the Great Cumbung Swamp, central reedbeds on 31</w:t>
      </w:r>
      <w:r w:rsidRPr="00CF0BCC">
        <w:rPr>
          <w:vertAlign w:val="superscript"/>
        </w:rPr>
        <w:t>st</w:t>
      </w:r>
      <w:r>
        <w:t xml:space="preserve"> August.</w:t>
      </w:r>
      <w:r w:rsidR="003E03C8">
        <w:t xml:space="preserve"> </w:t>
      </w:r>
      <w:r w:rsidR="003E03C8" w:rsidRPr="00583D49">
        <w:t>Photo by Will Higgisson.</w:t>
      </w:r>
      <w:bookmarkEnd w:id="671"/>
    </w:p>
    <w:p w14:paraId="01548ED2" w14:textId="77777777" w:rsidR="003E03C8" w:rsidRPr="003E03C8" w:rsidRDefault="003E03C8" w:rsidP="003E03C8"/>
    <w:p w14:paraId="2F617621" w14:textId="77777777" w:rsidR="007163E8" w:rsidRDefault="007163E8" w:rsidP="007163E8">
      <w:r>
        <w:rPr>
          <w:noProof/>
          <w:lang w:eastAsia="en-AU"/>
        </w:rPr>
        <w:drawing>
          <wp:inline distT="0" distB="0" distL="0" distR="0" wp14:anchorId="72933FC8" wp14:editId="1602CA07">
            <wp:extent cx="2571679" cy="342900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586012" cy="3448111"/>
                    </a:xfrm>
                    <a:prstGeom prst="rect">
                      <a:avLst/>
                    </a:prstGeom>
                    <a:noFill/>
                    <a:ln>
                      <a:noFill/>
                    </a:ln>
                  </pic:spPr>
                </pic:pic>
              </a:graphicData>
            </a:graphic>
          </wp:inline>
        </w:drawing>
      </w:r>
    </w:p>
    <w:p w14:paraId="17D1B6BB" w14:textId="0BE24D2C" w:rsidR="003E03C8" w:rsidRPr="00583D49" w:rsidRDefault="007163E8" w:rsidP="003E03C8">
      <w:pPr>
        <w:pStyle w:val="Caption"/>
      </w:pPr>
      <w:bookmarkStart w:id="672" w:name="_Ref17464687"/>
      <w:bookmarkStart w:id="673" w:name="_Toc31985656"/>
      <w:r>
        <w:t xml:space="preserve">Figure </w:t>
      </w:r>
      <w:r>
        <w:fldChar w:fldCharType="begin"/>
      </w:r>
      <w:r>
        <w:instrText>SEQ Figure \* ARABIC</w:instrText>
      </w:r>
      <w:r>
        <w:fldChar w:fldCharType="separate"/>
      </w:r>
      <w:r w:rsidR="007F7607">
        <w:rPr>
          <w:noProof/>
        </w:rPr>
        <w:t>92</w:t>
      </w:r>
      <w:r>
        <w:fldChar w:fldCharType="end"/>
      </w:r>
      <w:bookmarkEnd w:id="672"/>
      <w:r w:rsidR="006529C2">
        <w:rPr>
          <w:noProof/>
        </w:rPr>
        <w:t>.</w:t>
      </w:r>
      <w:r w:rsidR="00A660C2">
        <w:rPr>
          <w:noProof/>
        </w:rPr>
        <w:t xml:space="preserve"> P</w:t>
      </w:r>
      <w:r>
        <w:t xml:space="preserve">hoto taken of the Great Cumbung Swamp, river red gum floodplain swamp on </w:t>
      </w:r>
      <w:r w:rsidR="00A660C2">
        <w:t xml:space="preserve">the </w:t>
      </w:r>
      <w:r>
        <w:t>30</w:t>
      </w:r>
      <w:r w:rsidR="00A660C2">
        <w:rPr>
          <w:vertAlign w:val="superscript"/>
        </w:rPr>
        <w:t>th </w:t>
      </w:r>
      <w:r>
        <w:t>August.</w:t>
      </w:r>
      <w:r w:rsidR="003E03C8">
        <w:t xml:space="preserve"> </w:t>
      </w:r>
      <w:r w:rsidR="003E03C8" w:rsidRPr="00583D49">
        <w:t xml:space="preserve">Photo by </w:t>
      </w:r>
      <w:r w:rsidR="002A3B40">
        <w:t>Damian McRae</w:t>
      </w:r>
      <w:r w:rsidR="003E03C8" w:rsidRPr="00583D49">
        <w:t>.</w:t>
      </w:r>
      <w:bookmarkEnd w:id="673"/>
    </w:p>
    <w:p w14:paraId="43C29A35" w14:textId="77777777" w:rsidR="007163E8" w:rsidRDefault="007163E8" w:rsidP="007163E8">
      <w:r>
        <w:t>Commonwealth water inundated the non-tree community at Nooran Lake in December 2018 through January 2019, resulting from the Commonwealth environmental watering action which occurred from October through to December 2018 targeting fish and stream productivity outcomes. The non-tree community at Nooran Lake has the greatest number of amphibious species of all sites and this is (at least partially) related to the regular influence of environmental watering.</w:t>
      </w:r>
    </w:p>
    <w:p w14:paraId="1BA2CA22" w14:textId="77777777" w:rsidR="007163E8" w:rsidRDefault="007163E8" w:rsidP="007163E8">
      <w:pPr>
        <w:pStyle w:val="Heading3"/>
      </w:pPr>
      <w:bookmarkStart w:id="674" w:name="_Toc4574830"/>
      <w:bookmarkStart w:id="675" w:name="_Toc31985540"/>
      <w:r w:rsidRPr="00924476">
        <w:t xml:space="preserve">Vegetation responses to </w:t>
      </w:r>
      <w:r>
        <w:rPr>
          <w:lang w:val="en-AU"/>
        </w:rPr>
        <w:t>annual weather</w:t>
      </w:r>
      <w:r w:rsidRPr="00924476">
        <w:t xml:space="preserve"> and hydrological conditions</w:t>
      </w:r>
      <w:bookmarkEnd w:id="674"/>
      <w:bookmarkEnd w:id="675"/>
    </w:p>
    <w:p w14:paraId="4F313CE3" w14:textId="57F4EE7F" w:rsidR="007163E8" w:rsidRPr="00924476" w:rsidRDefault="007163E8" w:rsidP="007163E8">
      <w:r>
        <w:rPr>
          <w:lang w:eastAsia="x-none"/>
        </w:rPr>
        <w:t>Analysis of the five years of monitoring data from the LTIM in the lower Lachlan river system has provided valuable insight into the response of the vegetation which occurs on the floodplain to the hydrological</w:t>
      </w:r>
      <w:r w:rsidR="001C1C31">
        <w:rPr>
          <w:lang w:eastAsia="x-none"/>
        </w:rPr>
        <w:t xml:space="preserve"> and </w:t>
      </w:r>
      <w:r>
        <w:rPr>
          <w:lang w:eastAsia="x-none"/>
        </w:rPr>
        <w:t xml:space="preserve">climatic conditions. The species assemblage of the groundcover shifts in response to recent </w:t>
      </w:r>
      <w:r w:rsidR="001C1C31">
        <w:rPr>
          <w:lang w:eastAsia="x-none"/>
        </w:rPr>
        <w:t>changes in hydrology and climate.</w:t>
      </w:r>
      <w:r>
        <w:rPr>
          <w:lang w:eastAsia="x-none"/>
        </w:rPr>
        <w:t xml:space="preserve"> The cover and diversity </w:t>
      </w:r>
      <w:r w:rsidR="00C102D0">
        <w:rPr>
          <w:lang w:eastAsia="x-none"/>
        </w:rPr>
        <w:t>are</w:t>
      </w:r>
      <w:r>
        <w:rPr>
          <w:lang w:eastAsia="x-none"/>
        </w:rPr>
        <w:t xml:space="preserve"> typically very low during very dry periods (such as Spring 2018), and terrestrial annual and mostly exotic species dominate in response to rainfall during these dry periods (as observed at some sites in Autumn 2019). During and following flooding a range of amphibious (mostly native) species establish. This is a time of great productivity on the floodplain with cover and diversity at the highest observed following recent flood recession.</w:t>
      </w:r>
    </w:p>
    <w:p w14:paraId="2EF9B5B2" w14:textId="77777777" w:rsidR="007163E8" w:rsidRDefault="007163E8" w:rsidP="007163E8">
      <w:r w:rsidRPr="00924476">
        <w:t xml:space="preserve">Greater vegetation cover is present during wetter conditions and when there is residual water in the landscape (through the drying phase) than in years when the sites have been dry. There is also a greater number and cover of amphibious and terrestrial damp species during wetter conditions than in years when the sites have been dry. The catchment </w:t>
      </w:r>
      <w:r>
        <w:t>weather</w:t>
      </w:r>
      <w:r w:rsidRPr="00924476">
        <w:t xml:space="preserve"> and hydrological conditions are strong drivers of vegetation cover and community composition in the floodplains and wetlands of the Lower Lachlan river system.  </w:t>
      </w:r>
    </w:p>
    <w:p w14:paraId="3CBC305A" w14:textId="77777777" w:rsidR="007163E8" w:rsidRPr="00924476" w:rsidRDefault="007163E8" w:rsidP="007163E8"/>
    <w:p w14:paraId="1A97B980" w14:textId="6C3ECAC5" w:rsidR="007163E8" w:rsidRDefault="00D15DDC" w:rsidP="00D15DDC">
      <w:pPr>
        <w:pStyle w:val="Heading2"/>
      </w:pPr>
      <w:bookmarkStart w:id="676" w:name="_Toc31985541"/>
      <w:r>
        <w:t>Evaluation</w:t>
      </w:r>
      <w:bookmarkEnd w:id="676"/>
    </w:p>
    <w:p w14:paraId="49B41DF2" w14:textId="15B5E5B8" w:rsidR="007163E8" w:rsidRDefault="00F847BA" w:rsidP="007163E8">
      <w:r>
        <w:rPr>
          <w:lang w:val="en-US" w:eastAsia="x-none"/>
        </w:rPr>
        <w:t xml:space="preserve">The </w:t>
      </w:r>
      <w:r>
        <w:t>outcomes for vegetation in the Lower Lachlan river system</w:t>
      </w:r>
      <w:r w:rsidR="007329FF">
        <w:rPr>
          <w:rStyle w:val="FootnoteReference"/>
        </w:rPr>
        <w:t xml:space="preserve"> </w:t>
      </w:r>
      <w:r w:rsidR="007329FF">
        <w:t xml:space="preserve">are addressed in the answers to </w:t>
      </w:r>
      <w:r>
        <w:t>the specific evaluation questions</w:t>
      </w:r>
      <w:r w:rsidR="007329FF">
        <w:t xml:space="preserve"> (the questions for both short and long terms responses are the same) in the following sections. </w:t>
      </w:r>
    </w:p>
    <w:p w14:paraId="262E08E0" w14:textId="1A9CAB3C" w:rsidR="007329FF" w:rsidRPr="00872FB7" w:rsidRDefault="007329FF" w:rsidP="007329FF">
      <w:pPr>
        <w:rPr>
          <w:i/>
          <w:lang w:val="en-GB"/>
        </w:rPr>
      </w:pPr>
      <w:r w:rsidRPr="00872FB7">
        <w:rPr>
          <w:i/>
          <w:lang w:val="en-GB"/>
        </w:rPr>
        <w:t>Short-term (one year</w:t>
      </w:r>
      <w:r>
        <w:rPr>
          <w:i/>
          <w:lang w:val="en-GB"/>
        </w:rPr>
        <w:t>)</w:t>
      </w:r>
      <w:r w:rsidRPr="00872FB7">
        <w:rPr>
          <w:i/>
          <w:lang w:val="en-GB"/>
        </w:rPr>
        <w:t xml:space="preserve"> </w:t>
      </w:r>
      <w:r>
        <w:rPr>
          <w:i/>
          <w:lang w:val="en-GB"/>
        </w:rPr>
        <w:t xml:space="preserve">and long-term (five year) </w:t>
      </w:r>
      <w:r w:rsidRPr="00872FB7">
        <w:rPr>
          <w:i/>
          <w:lang w:val="en-GB"/>
        </w:rPr>
        <w:t>evaluation questions:</w:t>
      </w:r>
    </w:p>
    <w:p w14:paraId="1DED9A78" w14:textId="1DB8F28C" w:rsidR="007163E8" w:rsidRPr="007329FF" w:rsidRDefault="007163E8" w:rsidP="00D437E3">
      <w:pPr>
        <w:numPr>
          <w:ilvl w:val="0"/>
          <w:numId w:val="43"/>
        </w:numPr>
      </w:pPr>
      <w:r w:rsidRPr="007329FF">
        <w:t>What did Commonwealth environmental water, in the context of the recent watering history of the sites, contribute to vegetation species diversity?</w:t>
      </w:r>
    </w:p>
    <w:p w14:paraId="3F4BA0FF" w14:textId="7A8BC1B6" w:rsidR="007163E8" w:rsidRDefault="007329FF" w:rsidP="007163E8">
      <w:r w:rsidRPr="007329FF">
        <w:rPr>
          <w:b/>
          <w:bCs/>
          <w:color w:val="4F6228" w:themeColor="accent3" w:themeShade="80"/>
        </w:rPr>
        <w:t xml:space="preserve">In the absence of Commonwealth environmental water, </w:t>
      </w:r>
      <w:r w:rsidR="00105AD7">
        <w:rPr>
          <w:b/>
          <w:bCs/>
          <w:color w:val="4F6228" w:themeColor="accent3" w:themeShade="80"/>
        </w:rPr>
        <w:t xml:space="preserve">fewer </w:t>
      </w:r>
      <w:r w:rsidRPr="007329FF">
        <w:rPr>
          <w:b/>
          <w:bCs/>
          <w:color w:val="4F6228" w:themeColor="accent3" w:themeShade="80"/>
        </w:rPr>
        <w:t>native amphibious plant species would have occurred in the lower Lachlan River system.</w:t>
      </w:r>
      <w:r>
        <w:rPr>
          <w:b/>
          <w:bCs/>
          <w:color w:val="4F6228" w:themeColor="accent3" w:themeShade="80"/>
        </w:rPr>
        <w:t xml:space="preserve"> </w:t>
      </w:r>
      <w:r w:rsidR="007163E8">
        <w:t xml:space="preserve">The number of amphibious species observed increased at sites which received environmental water in 2014 while sites that did not receive environmental water in 2014 did not see this same increase in amphibious species. </w:t>
      </w:r>
      <w:r>
        <w:t xml:space="preserve"> </w:t>
      </w:r>
      <w:r w:rsidR="007163E8">
        <w:t xml:space="preserve">The </w:t>
      </w:r>
      <w:r>
        <w:t xml:space="preserve">site which has received the most frequent environmental watering in the five years of the LTIM </w:t>
      </w:r>
      <w:r w:rsidR="00C20A5F">
        <w:t>P</w:t>
      </w:r>
      <w:r w:rsidR="00D271BC">
        <w:t>roject</w:t>
      </w:r>
      <w:r>
        <w:t xml:space="preserve"> (</w:t>
      </w:r>
      <w:r w:rsidR="007163E8">
        <w:t>Nooran Lake</w:t>
      </w:r>
      <w:r>
        <w:t xml:space="preserve"> – Watering Treatment C</w:t>
      </w:r>
      <w:r w:rsidR="007163E8">
        <w:t xml:space="preserve">) </w:t>
      </w:r>
      <w:r>
        <w:t xml:space="preserve">displays </w:t>
      </w:r>
      <w:r w:rsidR="007163E8">
        <w:t>the greatest number of amphibious species of all sites and this is likely to be at least partially related to the regular input of environmental water maintaining and replenishing the soil seed bank.</w:t>
      </w:r>
      <w:r w:rsidR="007163E8" w:rsidRPr="009C7F40">
        <w:t xml:space="preserve"> </w:t>
      </w:r>
      <w:r w:rsidR="007163E8">
        <w:t>The vast majority of amphibious species observed across the Lachlan river system were native</w:t>
      </w:r>
      <w:r>
        <w:t>.</w:t>
      </w:r>
    </w:p>
    <w:p w14:paraId="536C2157" w14:textId="3F4D8FFC" w:rsidR="007163E8" w:rsidRDefault="007329FF" w:rsidP="007163E8">
      <w:r w:rsidRPr="00105AD7">
        <w:rPr>
          <w:b/>
          <w:bCs/>
          <w:color w:val="4F6228" w:themeColor="accent3" w:themeShade="80"/>
        </w:rPr>
        <w:t>Patterns</w:t>
      </w:r>
      <w:r w:rsidR="007163E8" w:rsidRPr="00105AD7">
        <w:rPr>
          <w:b/>
          <w:bCs/>
          <w:color w:val="4F6228" w:themeColor="accent3" w:themeShade="80"/>
        </w:rPr>
        <w:t xml:space="preserve"> in site scale </w:t>
      </w:r>
      <w:r w:rsidRPr="00105AD7">
        <w:rPr>
          <w:b/>
          <w:bCs/>
          <w:color w:val="4F6228" w:themeColor="accent3" w:themeShade="80"/>
        </w:rPr>
        <w:t xml:space="preserve">vegetation </w:t>
      </w:r>
      <w:r w:rsidR="007163E8" w:rsidRPr="00105AD7">
        <w:rPr>
          <w:b/>
          <w:bCs/>
          <w:color w:val="4F6228" w:themeColor="accent3" w:themeShade="80"/>
        </w:rPr>
        <w:t xml:space="preserve">diversity suggest that it is a combination of recent watering history and weather conditions that defines the response of site scale diversity </w:t>
      </w:r>
      <w:r w:rsidR="00C102D0" w:rsidRPr="00105AD7">
        <w:rPr>
          <w:b/>
          <w:bCs/>
          <w:color w:val="4F6228" w:themeColor="accent3" w:themeShade="80"/>
        </w:rPr>
        <w:t xml:space="preserve">to </w:t>
      </w:r>
      <w:r w:rsidR="007163E8" w:rsidRPr="00105AD7">
        <w:rPr>
          <w:b/>
          <w:bCs/>
          <w:color w:val="4F6228" w:themeColor="accent3" w:themeShade="80"/>
        </w:rPr>
        <w:t>environmental water.</w:t>
      </w:r>
      <w:r w:rsidR="007163E8" w:rsidRPr="00105AD7">
        <w:rPr>
          <w:color w:val="4F6228" w:themeColor="accent3" w:themeShade="80"/>
        </w:rPr>
        <w:t xml:space="preserve"> </w:t>
      </w:r>
      <w:r w:rsidR="007163E8">
        <w:t>This information is useful in defining expectations for watering actions.</w:t>
      </w:r>
    </w:p>
    <w:p w14:paraId="3F0720C0" w14:textId="77777777" w:rsidR="007163E8" w:rsidRPr="00105AD7" w:rsidRDefault="007163E8" w:rsidP="00D437E3">
      <w:pPr>
        <w:numPr>
          <w:ilvl w:val="0"/>
          <w:numId w:val="43"/>
        </w:numPr>
      </w:pPr>
      <w:r w:rsidRPr="00105AD7">
        <w:t>What did Commonwealth environmental water, in the context of the watering history of sites, contribute to vegetation community diversity?</w:t>
      </w:r>
    </w:p>
    <w:p w14:paraId="63A0EBEB" w14:textId="0CEBD02D" w:rsidR="008C629B" w:rsidRDefault="008C629B" w:rsidP="008C629B">
      <w:r>
        <w:t>Some of t</w:t>
      </w:r>
      <w:r w:rsidRPr="00924476">
        <w:t xml:space="preserve">he monitored sites </w:t>
      </w:r>
      <w:r>
        <w:t xml:space="preserve">reduced their degree of nativeness in 2018-19, with the cover of exotic species increasing in response to rainfall conditions. </w:t>
      </w:r>
      <w:r w:rsidRPr="00924476">
        <w:t xml:space="preserve">There were </w:t>
      </w:r>
      <w:r>
        <w:t>no or very few</w:t>
      </w:r>
      <w:r w:rsidRPr="00924476">
        <w:t xml:space="preserve"> amphibious and terrestrial damp species in 201</w:t>
      </w:r>
      <w:r>
        <w:t>8</w:t>
      </w:r>
      <w:r w:rsidRPr="00924476">
        <w:t>-1</w:t>
      </w:r>
      <w:r>
        <w:t>9</w:t>
      </w:r>
      <w:r w:rsidRPr="00924476">
        <w:t xml:space="preserve"> </w:t>
      </w:r>
      <w:r>
        <w:t>compared with the previous years. This reflects</w:t>
      </w:r>
      <w:r w:rsidRPr="00924476">
        <w:t xml:space="preserve"> the dry </w:t>
      </w:r>
      <w:r>
        <w:t xml:space="preserve">conditions </w:t>
      </w:r>
      <w:r w:rsidRPr="00924476">
        <w:t>and a return to a dominan</w:t>
      </w:r>
      <w:r>
        <w:t xml:space="preserve">ce of terrestrial dry species. </w:t>
      </w:r>
      <w:r w:rsidRPr="00924476">
        <w:t xml:space="preserve">This was observed across all sites, irrespective of </w:t>
      </w:r>
      <w:r>
        <w:t xml:space="preserve">recent </w:t>
      </w:r>
      <w:r w:rsidRPr="00924476">
        <w:t>watering history</w:t>
      </w:r>
      <w:r>
        <w:t xml:space="preserve"> illustrating the role of local weather conditions in driving the vegetation community</w:t>
      </w:r>
      <w:r w:rsidRPr="00924476">
        <w:t>.</w:t>
      </w:r>
    </w:p>
    <w:p w14:paraId="1B70ABFF" w14:textId="666F54FE" w:rsidR="00105AD7" w:rsidRDefault="00105AD7" w:rsidP="007163E8">
      <w:pPr>
        <w:rPr>
          <w:b/>
          <w:bCs/>
          <w:color w:val="4F6228" w:themeColor="accent3" w:themeShade="80"/>
        </w:rPr>
      </w:pPr>
      <w:r w:rsidRPr="00105AD7">
        <w:rPr>
          <w:b/>
          <w:bCs/>
          <w:color w:val="4F6228" w:themeColor="accent3" w:themeShade="80"/>
        </w:rPr>
        <w:t>Commonwealth environmental water has provided the hydrological conditions which ha</w:t>
      </w:r>
      <w:r>
        <w:rPr>
          <w:b/>
          <w:bCs/>
          <w:color w:val="4F6228" w:themeColor="accent3" w:themeShade="80"/>
        </w:rPr>
        <w:t>v</w:t>
      </w:r>
      <w:r w:rsidRPr="00105AD7">
        <w:rPr>
          <w:b/>
          <w:bCs/>
          <w:color w:val="4F6228" w:themeColor="accent3" w:themeShade="80"/>
        </w:rPr>
        <w:t>e maintained amphibious flood respondent species in the lower Lachlan River system</w:t>
      </w:r>
      <w:r>
        <w:rPr>
          <w:b/>
          <w:bCs/>
          <w:color w:val="4F6228" w:themeColor="accent3" w:themeShade="80"/>
        </w:rPr>
        <w:t xml:space="preserve">. </w:t>
      </w:r>
      <w:r w:rsidRPr="00105AD7">
        <w:rPr>
          <w:b/>
          <w:bCs/>
          <w:color w:val="4F6228" w:themeColor="accent3" w:themeShade="80"/>
        </w:rPr>
        <w:t xml:space="preserve"> </w:t>
      </w:r>
      <w:r w:rsidRPr="007329FF">
        <w:rPr>
          <w:b/>
          <w:bCs/>
          <w:color w:val="4F6228" w:themeColor="accent3" w:themeShade="80"/>
        </w:rPr>
        <w:t>In the absence of Commonwealth environmental water, native amphibious plant species would have occurred less frequently in the lower Lachlan River system.</w:t>
      </w:r>
      <w:r>
        <w:rPr>
          <w:b/>
          <w:bCs/>
          <w:color w:val="4F6228" w:themeColor="accent3" w:themeShade="80"/>
        </w:rPr>
        <w:t xml:space="preserve">  </w:t>
      </w:r>
      <w:r>
        <w:t xml:space="preserve">The site which has received the most frequent environmental watering in the five years of the LTIM </w:t>
      </w:r>
      <w:r w:rsidR="00417A59">
        <w:t>P</w:t>
      </w:r>
      <w:r w:rsidR="00D271BC">
        <w:t>roject</w:t>
      </w:r>
      <w:r>
        <w:t xml:space="preserve"> (Nooran Lake – Watering Treatment C) displays the greatest number and cover of amphibious species of all sites and this is likely to be at least partially related to the regular input of environmental water maintaining and replenishing the soil seed bank.</w:t>
      </w:r>
    </w:p>
    <w:p w14:paraId="0515952A" w14:textId="77777777" w:rsidR="007163E8" w:rsidRPr="00105AD7" w:rsidRDefault="007163E8" w:rsidP="00D437E3">
      <w:pPr>
        <w:numPr>
          <w:ilvl w:val="0"/>
          <w:numId w:val="43"/>
        </w:numPr>
      </w:pPr>
      <w:r w:rsidRPr="00105AD7">
        <w:t>What did Commonwealth environmental water, in the context of the watering history of the sites, contribute to the condition of floodplain and riparian trees?</w:t>
      </w:r>
    </w:p>
    <w:p w14:paraId="28083251" w14:textId="23CECE74" w:rsidR="007163E8" w:rsidRDefault="008C629B" w:rsidP="007163E8">
      <w:r w:rsidRPr="008C629B">
        <w:rPr>
          <w:b/>
          <w:bCs/>
          <w:color w:val="4F6228" w:themeColor="accent3" w:themeShade="80"/>
        </w:rPr>
        <w:t>It has not been possible to disentangle the role of Commonwealth environmental water in the condition of floodplain and riparian trees from the role of local weather conditions.</w:t>
      </w:r>
      <w:r w:rsidRPr="008C629B">
        <w:rPr>
          <w:color w:val="4F6228" w:themeColor="accent3" w:themeShade="80"/>
        </w:rPr>
        <w:t xml:space="preserve"> </w:t>
      </w:r>
      <w:r>
        <w:t xml:space="preserve">This is, in part, attributed to monitoring few sites that regularly receive environmental water. </w:t>
      </w:r>
      <w:r w:rsidR="007163E8">
        <w:t>The</w:t>
      </w:r>
      <w:r w:rsidR="007163E8" w:rsidRPr="00924476">
        <w:t xml:space="preserve"> tree condition </w:t>
      </w:r>
      <w:r w:rsidR="007163E8">
        <w:t>across all sites</w:t>
      </w:r>
      <w:r>
        <w:t xml:space="preserve"> was observed to improve </w:t>
      </w:r>
      <w:r w:rsidR="00105AD7">
        <w:t>with wetter conditions and environmental water in 2015-16 and again (slightly)</w:t>
      </w:r>
      <w:r w:rsidR="007163E8">
        <w:t xml:space="preserve"> following flooding in 2016-17</w:t>
      </w:r>
      <w:r>
        <w:t>. Tree condition has</w:t>
      </w:r>
      <w:r w:rsidR="007163E8">
        <w:t xml:space="preserve"> remained fairly consistent </w:t>
      </w:r>
      <w:r>
        <w:t>subsequently</w:t>
      </w:r>
      <w:r w:rsidR="007163E8" w:rsidRPr="00924476">
        <w:t xml:space="preserve">. Watering history does not appear to have influenced the response of foliage cover when considered in the context of the response to </w:t>
      </w:r>
      <w:r w:rsidR="007163E8">
        <w:t>annual weather</w:t>
      </w:r>
      <w:r w:rsidR="007163E8" w:rsidRPr="00924476">
        <w:t xml:space="preserve"> conditions.</w:t>
      </w:r>
      <w:r w:rsidR="007163E8" w:rsidRPr="00F62E1A">
        <w:t xml:space="preserve"> </w:t>
      </w:r>
    </w:p>
    <w:p w14:paraId="5D7F20E5" w14:textId="581C7A53" w:rsidR="007163E8" w:rsidRDefault="008C629B" w:rsidP="007163E8">
      <w:r>
        <w:t>It is noted that t</w:t>
      </w:r>
      <w:r w:rsidR="007163E8">
        <w:t xml:space="preserve">he condition of black box trees </w:t>
      </w:r>
      <w:r>
        <w:t xml:space="preserve">at </w:t>
      </w:r>
      <w:r w:rsidR="007163E8">
        <w:t xml:space="preserve">Booligal and Tom’s Lake have maintained condition over 2018 and 2019, while black box </w:t>
      </w:r>
      <w:r>
        <w:t xml:space="preserve">trees at other </w:t>
      </w:r>
      <w:r w:rsidR="007163E8">
        <w:t xml:space="preserve">sites have reduced in condition over this same period. </w:t>
      </w:r>
      <w:r>
        <w:t>T</w:t>
      </w:r>
      <w:r w:rsidR="007163E8">
        <w:t>h</w:t>
      </w:r>
      <w:r>
        <w:t xml:space="preserve">e maintenance of condition at Booligal and Tom’s Lake </w:t>
      </w:r>
      <w:r w:rsidR="007163E8">
        <w:t xml:space="preserve">may be </w:t>
      </w:r>
      <w:r>
        <w:t>an</w:t>
      </w:r>
      <w:r w:rsidR="007163E8">
        <w:t xml:space="preserve"> </w:t>
      </w:r>
      <w:r>
        <w:t xml:space="preserve">environmental </w:t>
      </w:r>
      <w:r w:rsidR="007163E8">
        <w:t>benefit</w:t>
      </w:r>
      <w:r>
        <w:t xml:space="preserve"> from </w:t>
      </w:r>
      <w:r w:rsidR="007163E8">
        <w:t xml:space="preserve">stock and domestic water passing near to these sites. While not environmental water, </w:t>
      </w:r>
      <w:r w:rsidR="007163E8" w:rsidRPr="008C629B">
        <w:rPr>
          <w:b/>
          <w:bCs/>
          <w:color w:val="4F6228" w:themeColor="accent3" w:themeShade="80"/>
        </w:rPr>
        <w:t>the role of other sources of water such as stock and domestic appears to provide some benefit to condition of floodplain trees</w:t>
      </w:r>
      <w:r w:rsidR="007163E8">
        <w:t>.</w:t>
      </w:r>
    </w:p>
    <w:p w14:paraId="21026C8F" w14:textId="77777777" w:rsidR="007163E8" w:rsidRPr="00105AD7" w:rsidRDefault="007163E8" w:rsidP="00D437E3">
      <w:pPr>
        <w:numPr>
          <w:ilvl w:val="0"/>
          <w:numId w:val="43"/>
        </w:numPr>
      </w:pPr>
      <w:r w:rsidRPr="00105AD7">
        <w:t>What did Commonwealth environmental water, in the context of the watering history of the sites, contribute to populations of long-lived organisms following flooding?</w:t>
      </w:r>
    </w:p>
    <w:p w14:paraId="76C0D3F3" w14:textId="46F23399" w:rsidR="00562372" w:rsidRDefault="008C629B" w:rsidP="007163E8">
      <w:r w:rsidRPr="00562372">
        <w:rPr>
          <w:b/>
          <w:bCs/>
          <w:color w:val="4F6228" w:themeColor="accent3" w:themeShade="80"/>
        </w:rPr>
        <w:t xml:space="preserve">Environmental water resulted in a large number of eucalypt seedlings germinating at sites which received environmental water in </w:t>
      </w:r>
      <w:r w:rsidR="007163E8" w:rsidRPr="00562372">
        <w:rPr>
          <w:b/>
          <w:bCs/>
          <w:color w:val="4F6228" w:themeColor="accent3" w:themeShade="80"/>
        </w:rPr>
        <w:t>2015 (most notably at Moon Moon, Nooran Lake, and Tom’s Lake).</w:t>
      </w:r>
      <w:r w:rsidR="007163E8" w:rsidRPr="00562372">
        <w:rPr>
          <w:color w:val="4F6228" w:themeColor="accent3" w:themeShade="80"/>
        </w:rPr>
        <w:t xml:space="preserve"> </w:t>
      </w:r>
      <w:bookmarkStart w:id="677" w:name="_Hlk31786781"/>
      <w:r w:rsidR="007163E8">
        <w:t xml:space="preserve">This increase in the numbers of seedlings was not observed at sites </w:t>
      </w:r>
      <w:r>
        <w:t>that did not receive environmental water</w:t>
      </w:r>
      <w:r w:rsidR="007163E8">
        <w:t>.</w:t>
      </w:r>
      <w:r>
        <w:t xml:space="preserve"> This eucalypt germination response was dwarfed by the large natural flood in 2016-17</w:t>
      </w:r>
      <w:r w:rsidR="00C93F08">
        <w:t xml:space="preserve">, </w:t>
      </w:r>
      <w:r w:rsidR="00ED2C4C">
        <w:t>with large numbers of seedlings being observed across most sites following flood recession</w:t>
      </w:r>
      <w:r>
        <w:t xml:space="preserve">. </w:t>
      </w:r>
      <w:bookmarkEnd w:id="677"/>
    </w:p>
    <w:p w14:paraId="194EF157" w14:textId="0F4575B2" w:rsidR="00562372" w:rsidRDefault="00562372" w:rsidP="007163E8">
      <w:r>
        <w:t>Monitoring has shown the negative effect that livestock have on seedling survivorship and suggests that watering actions should be coupled with other complementary management actions. This result also highlighted the important role of nature reserves in maintaining these communities in the landscape.</w:t>
      </w:r>
    </w:p>
    <w:p w14:paraId="550836D9" w14:textId="77777777" w:rsidR="007163E8" w:rsidRDefault="007163E8" w:rsidP="00BB5F37">
      <w:pPr>
        <w:pStyle w:val="Heading2"/>
      </w:pPr>
      <w:bookmarkStart w:id="678" w:name="_Toc4574832"/>
      <w:bookmarkStart w:id="679" w:name="_Toc31985542"/>
      <w:r w:rsidRPr="00924476">
        <w:t>Further comments and recommendations</w:t>
      </w:r>
      <w:bookmarkEnd w:id="678"/>
      <w:bookmarkEnd w:id="679"/>
    </w:p>
    <w:p w14:paraId="372D0810" w14:textId="77777777" w:rsidR="007163E8" w:rsidRPr="00A75CDD" w:rsidRDefault="007163E8" w:rsidP="007163E8">
      <w:pPr>
        <w:spacing w:before="0" w:after="0"/>
        <w:rPr>
          <w:lang w:val="x-none" w:eastAsia="x-none"/>
        </w:rPr>
      </w:pPr>
      <w:r w:rsidRPr="00924476">
        <w:t>In combination, the observations from f</w:t>
      </w:r>
      <w:r>
        <w:t>ive</w:t>
      </w:r>
      <w:r w:rsidRPr="00924476">
        <w:t xml:space="preserve"> years of monitoring vegetation in the Lachlan catchment informs the use of environmental water for vegetation outcomes. </w:t>
      </w:r>
      <w:r>
        <w:t xml:space="preserve">The following provides further comments and specific recommendations relating to vegetation outcomes.  </w:t>
      </w:r>
    </w:p>
    <w:p w14:paraId="559B107F" w14:textId="77777777" w:rsidR="007163E8" w:rsidRPr="00604012" w:rsidRDefault="007163E8" w:rsidP="007163E8">
      <w:pPr>
        <w:pStyle w:val="Heading4"/>
      </w:pPr>
      <w:r w:rsidRPr="00604012">
        <w:t>Recommendation 1:  Develop specific objectives for vegetation outcomes</w:t>
      </w:r>
    </w:p>
    <w:p w14:paraId="38D4CB4D" w14:textId="5119DD34" w:rsidR="007163E8" w:rsidRDefault="007163E8" w:rsidP="007163E8">
      <w:r>
        <w:t xml:space="preserve">The nature of the benefit for vegetation expected within the Great Cumbung Swamp was not well described within relevant documentation and was simply described in terms of providing an end of system flow. </w:t>
      </w:r>
      <w:bookmarkStart w:id="680" w:name="_Hlk3813661"/>
      <w:r>
        <w:t xml:space="preserve">The establishment of explicit, measurable objectives for wetland vegetation is a challenge faced by environmental water managers, in part because of the temporal variability in wetland vegetation. </w:t>
      </w:r>
      <w:r w:rsidRPr="00C3409D">
        <w:rPr>
          <w:b/>
          <w:color w:val="4F6228" w:themeColor="accent3" w:themeShade="80"/>
        </w:rPr>
        <w:t>It is recommended that specific objectives for vegetation sites be developed.</w:t>
      </w:r>
      <w:r w:rsidRPr="00C3409D">
        <w:rPr>
          <w:color w:val="4F6228" w:themeColor="accent3" w:themeShade="80"/>
        </w:rPr>
        <w:t xml:space="preserve"> </w:t>
      </w:r>
      <w:bookmarkEnd w:id="680"/>
      <w:r w:rsidRPr="00924476">
        <w:t xml:space="preserve">This can be incorporated into the existing ‘river run’ approach to annual hydrograph planning. </w:t>
      </w:r>
      <w:r>
        <w:t>Out of the results of this report, a specific objective could be on maintaining/increasing the numbers of amphibious plant species (as these are a) primarily native and b) require flooding), while reducing the numbers of exotic terrestrial species.</w:t>
      </w:r>
      <w:r w:rsidR="002F3E50">
        <w:t xml:space="preserve"> There is a need to develop clear and measurable objectives around the timing, duration and depth of flows to achieve vegetation responses. </w:t>
      </w:r>
      <w:r w:rsidR="005B4A51">
        <w:t xml:space="preserve">Each watering action should test our ability to achieve the desired vegetation response or inform future us of Commonwealth Environmental Water. </w:t>
      </w:r>
    </w:p>
    <w:p w14:paraId="568829C7" w14:textId="77777777" w:rsidR="007163E8" w:rsidRDefault="007163E8" w:rsidP="007163E8">
      <w:pPr>
        <w:pStyle w:val="Heading4"/>
      </w:pPr>
      <w:r>
        <w:t>Recommendation 2: Increase the number of sites monitored to include a greater number of sites that receive environmental water.</w:t>
      </w:r>
    </w:p>
    <w:p w14:paraId="40B7AB35" w14:textId="2CFCF55B" w:rsidR="007163E8" w:rsidRDefault="007163E8" w:rsidP="007163E8">
      <w:pPr>
        <w:rPr>
          <w:lang w:val="en-US" w:eastAsia="x-none"/>
        </w:rPr>
      </w:pPr>
      <w:r>
        <w:rPr>
          <w:lang w:val="en-US" w:eastAsia="x-none"/>
        </w:rPr>
        <w:t xml:space="preserve">Monitoring a greater number of sites that receive or may receive environmental water would increase our ability to assess and </w:t>
      </w:r>
      <w:r w:rsidR="001C1C31">
        <w:rPr>
          <w:lang w:val="en-US" w:eastAsia="x-none"/>
        </w:rPr>
        <w:t>analyze</w:t>
      </w:r>
      <w:r>
        <w:rPr>
          <w:lang w:val="en-US" w:eastAsia="x-none"/>
        </w:rPr>
        <w:t xml:space="preserve"> the response of the vegetation to environmental water. </w:t>
      </w:r>
      <w:r w:rsidRPr="00C3409D">
        <w:rPr>
          <w:b/>
          <w:bCs/>
          <w:color w:val="4F6228" w:themeColor="accent3" w:themeShade="80"/>
          <w:lang w:val="en-US" w:eastAsia="x-none"/>
        </w:rPr>
        <w:t xml:space="preserve">The inclusion of extra sites that are likely to receive environmental water should be considered moving into the MER </w:t>
      </w:r>
      <w:r w:rsidR="00151BA6">
        <w:rPr>
          <w:b/>
          <w:bCs/>
          <w:color w:val="4F6228" w:themeColor="accent3" w:themeShade="80"/>
          <w:lang w:val="en-US" w:eastAsia="x-none"/>
        </w:rPr>
        <w:t>P</w:t>
      </w:r>
      <w:r w:rsidRPr="00C3409D">
        <w:rPr>
          <w:b/>
          <w:bCs/>
          <w:color w:val="4F6228" w:themeColor="accent3" w:themeShade="80"/>
          <w:lang w:val="en-US" w:eastAsia="x-none"/>
        </w:rPr>
        <w:t>rogram.</w:t>
      </w:r>
      <w:r w:rsidR="005B4A51" w:rsidRPr="00C3409D">
        <w:rPr>
          <w:color w:val="4F6228" w:themeColor="accent3" w:themeShade="80"/>
          <w:lang w:val="en-US" w:eastAsia="x-none"/>
        </w:rPr>
        <w:t xml:space="preserve"> </w:t>
      </w:r>
      <w:r w:rsidR="005B4A51">
        <w:rPr>
          <w:lang w:val="en-US" w:eastAsia="x-none"/>
        </w:rPr>
        <w:t xml:space="preserve">There are sites (especially some black box sites) which have been </w:t>
      </w:r>
      <w:r w:rsidR="00F54179">
        <w:rPr>
          <w:lang w:val="en-US" w:eastAsia="x-none"/>
        </w:rPr>
        <w:t>monitored</w:t>
      </w:r>
      <w:r w:rsidR="005B4A51">
        <w:rPr>
          <w:lang w:val="en-US" w:eastAsia="x-none"/>
        </w:rPr>
        <w:t xml:space="preserve"> </w:t>
      </w:r>
      <w:r w:rsidR="00F54179">
        <w:rPr>
          <w:lang w:val="en-US" w:eastAsia="x-none"/>
        </w:rPr>
        <w:t xml:space="preserve">in the lower Lachlan River Catchment over the past five years of the LTIM </w:t>
      </w:r>
      <w:r w:rsidR="00417A59">
        <w:rPr>
          <w:lang w:val="en-US" w:eastAsia="x-none"/>
        </w:rPr>
        <w:t xml:space="preserve">Project </w:t>
      </w:r>
      <w:r w:rsidR="00F54179">
        <w:rPr>
          <w:lang w:val="en-US" w:eastAsia="x-none"/>
        </w:rPr>
        <w:t xml:space="preserve">which </w:t>
      </w:r>
      <w:r w:rsidR="005B4A51">
        <w:rPr>
          <w:lang w:val="en-US" w:eastAsia="x-none"/>
        </w:rPr>
        <w:t xml:space="preserve">have not and will not </w:t>
      </w:r>
      <w:r w:rsidR="001C1C31">
        <w:rPr>
          <w:lang w:val="en-US" w:eastAsia="x-none"/>
        </w:rPr>
        <w:t xml:space="preserve">and very unlikely to </w:t>
      </w:r>
      <w:r w:rsidR="005B4A51">
        <w:rPr>
          <w:lang w:val="en-US" w:eastAsia="x-none"/>
        </w:rPr>
        <w:t xml:space="preserve">receive environmental water. </w:t>
      </w:r>
      <w:r w:rsidR="005B2058">
        <w:rPr>
          <w:lang w:val="en-US" w:eastAsia="x-none"/>
        </w:rPr>
        <w:t>One</w:t>
      </w:r>
      <w:r w:rsidR="00F54179">
        <w:rPr>
          <w:lang w:val="en-US" w:eastAsia="x-none"/>
        </w:rPr>
        <w:t xml:space="preserve"> option is to drop a few of these sites </w:t>
      </w:r>
      <w:r w:rsidR="005B2058">
        <w:rPr>
          <w:lang w:val="en-US" w:eastAsia="x-none"/>
        </w:rPr>
        <w:t>and</w:t>
      </w:r>
      <w:r w:rsidR="00F54179">
        <w:rPr>
          <w:lang w:val="en-US" w:eastAsia="x-none"/>
        </w:rPr>
        <w:t xml:space="preserve"> add </w:t>
      </w:r>
      <w:r w:rsidR="005B4A51">
        <w:rPr>
          <w:lang w:val="en-US" w:eastAsia="x-none"/>
        </w:rPr>
        <w:t xml:space="preserve">additional sites </w:t>
      </w:r>
      <w:r w:rsidR="00F54179">
        <w:rPr>
          <w:lang w:val="en-US" w:eastAsia="x-none"/>
        </w:rPr>
        <w:t>which are more likely to flood and thus will provide more useful data on the response of the vegetation to watering.</w:t>
      </w:r>
      <w:r w:rsidR="005B4A51">
        <w:rPr>
          <w:lang w:val="en-US" w:eastAsia="x-none"/>
        </w:rPr>
        <w:t xml:space="preserve"> </w:t>
      </w:r>
      <w:r w:rsidR="005B2058">
        <w:rPr>
          <w:lang w:val="en-US" w:eastAsia="x-none"/>
        </w:rPr>
        <w:t>Choosing</w:t>
      </w:r>
      <w:r w:rsidR="00F54179">
        <w:rPr>
          <w:lang w:val="en-US" w:eastAsia="x-none"/>
        </w:rPr>
        <w:t xml:space="preserve"> sites which have some level of environmental protection and away from sites heavily influenced by sheep and cattle grazing will also improve our ability to detect </w:t>
      </w:r>
      <w:r w:rsidR="005B2058">
        <w:rPr>
          <w:lang w:val="en-US" w:eastAsia="x-none"/>
        </w:rPr>
        <w:t xml:space="preserve">a </w:t>
      </w:r>
      <w:r w:rsidR="00F54179">
        <w:rPr>
          <w:lang w:val="en-US" w:eastAsia="x-none"/>
        </w:rPr>
        <w:t>response to watering.</w:t>
      </w:r>
    </w:p>
    <w:p w14:paraId="612FEA04" w14:textId="77777777" w:rsidR="007163E8" w:rsidRDefault="007163E8" w:rsidP="007163E8">
      <w:pPr>
        <w:pStyle w:val="Heading4"/>
      </w:pPr>
      <w:r>
        <w:t xml:space="preserve">Recommendation </w:t>
      </w:r>
      <w:r>
        <w:rPr>
          <w:lang w:val="en-US"/>
        </w:rPr>
        <w:t>3</w:t>
      </w:r>
      <w:r>
        <w:t xml:space="preserve">:  </w:t>
      </w:r>
      <w:r>
        <w:rPr>
          <w:lang w:val="en-US"/>
        </w:rPr>
        <w:t>Monitor the growth and condition of lignum shrublands and their response to environmental watering</w:t>
      </w:r>
    </w:p>
    <w:p w14:paraId="06318C86" w14:textId="533027F1" w:rsidR="007163E8" w:rsidRDefault="007163E8" w:rsidP="007163E8">
      <w:r>
        <w:t xml:space="preserve">One of the 2018-19 annual watering priorities of the Murray Darling Basin was to enable growth and maintain the condition of lignum shrublands. While lignum occurs and forms part of the vegetation community at some of our monitoring sites, we do not explicitly monitor any lignum shrublands as part of the Lachlan </w:t>
      </w:r>
      <w:r w:rsidR="005B2058">
        <w:t>c</w:t>
      </w:r>
      <w:r>
        <w:t xml:space="preserve">atchment monitoring program. </w:t>
      </w:r>
      <w:r w:rsidRPr="00C3409D">
        <w:rPr>
          <w:b/>
          <w:bCs/>
          <w:color w:val="4F6228" w:themeColor="accent3" w:themeShade="80"/>
        </w:rPr>
        <w:t xml:space="preserve">It is recommended that sites within Lignum Shrublands which are targets for environmental watering as well as non-target sites for environmental watering be included as part of the monitoring program over the subsequent MER </w:t>
      </w:r>
      <w:r w:rsidR="00151BA6">
        <w:rPr>
          <w:b/>
          <w:bCs/>
          <w:color w:val="4F6228" w:themeColor="accent3" w:themeShade="80"/>
        </w:rPr>
        <w:t>P</w:t>
      </w:r>
      <w:r w:rsidRPr="00C3409D">
        <w:rPr>
          <w:b/>
          <w:bCs/>
          <w:color w:val="4F6228" w:themeColor="accent3" w:themeShade="80"/>
        </w:rPr>
        <w:t>rogram.</w:t>
      </w:r>
      <w:r w:rsidRPr="00C3409D">
        <w:rPr>
          <w:color w:val="4F6228" w:themeColor="accent3" w:themeShade="80"/>
        </w:rPr>
        <w:t xml:space="preserve">  </w:t>
      </w:r>
      <w:r>
        <w:t xml:space="preserve">This will allow us to detect the response to and benefits of environmental watering as well as develop information on the requirements and tolerances to drying and wetting in tangled lignum. This should underpin the development of flow recommendations </w:t>
      </w:r>
      <w:r w:rsidRPr="00924476">
        <w:t>that include details on intended timing, duration and depth of inundation and how these elements are required for the vegetation outcomes being targeted.</w:t>
      </w:r>
    </w:p>
    <w:p w14:paraId="35E8A7D4" w14:textId="77777777" w:rsidR="007163E8" w:rsidRDefault="007163E8" w:rsidP="007163E8">
      <w:pPr>
        <w:pStyle w:val="Heading4"/>
      </w:pPr>
      <w:r>
        <w:t xml:space="preserve">Recommendation </w:t>
      </w:r>
      <w:r>
        <w:rPr>
          <w:lang w:val="en-US"/>
        </w:rPr>
        <w:t>4</w:t>
      </w:r>
      <w:r>
        <w:t>: Consider landscape vegetation diversity when setting objectives for vegetation outcomes</w:t>
      </w:r>
    </w:p>
    <w:p w14:paraId="397B3DDE" w14:textId="4790A461" w:rsidR="007163E8" w:rsidRDefault="007163E8" w:rsidP="007163E8">
      <w:pPr>
        <w:rPr>
          <w:b/>
          <w:color w:val="4F6228" w:themeColor="accent3" w:themeShade="80"/>
        </w:rPr>
      </w:pPr>
      <w:r w:rsidRPr="00924476">
        <w:t xml:space="preserve">Landscape position influences the depth and duration of watering and the vegetation that occurs at them. The vegetation present within the sequences of dry and wet phases differs depending on the landscape position and the current approach to evaluating the changes has provided some valuable understanding to date but needs to be considered within a landscape diversity context for future watering actions. </w:t>
      </w:r>
      <w:r w:rsidRPr="00874E2B">
        <w:rPr>
          <w:b/>
          <w:color w:val="4F6228" w:themeColor="accent3" w:themeShade="80"/>
        </w:rPr>
        <w:t>It is recommended that landscape vegetation diversity be a consideration when setting objectives for vegetation outcomes and that a nested set of objectives may be appropriate.</w:t>
      </w:r>
      <w:r w:rsidR="00562372">
        <w:rPr>
          <w:b/>
          <w:color w:val="4F6228" w:themeColor="accent3" w:themeShade="80"/>
        </w:rPr>
        <w:t xml:space="preserve"> </w:t>
      </w:r>
      <w:r w:rsidR="00562372">
        <w:rPr>
          <w:bCs/>
        </w:rPr>
        <w:t>This has not been well done elsewhere and would require investment in the development of an appropriate approach. It would require combining vegetation mapping data with potential inundation mapping and scenario testing to establish landscape priorities. Some analysis of historical data (refer Recommendation 5) would provide the framing for such a task.</w:t>
      </w:r>
    </w:p>
    <w:p w14:paraId="48013CEC" w14:textId="77777777" w:rsidR="007163E8" w:rsidRPr="00924476" w:rsidRDefault="007163E8" w:rsidP="007163E8">
      <w:pPr>
        <w:pStyle w:val="Heading4"/>
      </w:pPr>
      <w:r>
        <w:t xml:space="preserve">Recommendation </w:t>
      </w:r>
      <w:r>
        <w:rPr>
          <w:lang w:val="en-US"/>
        </w:rPr>
        <w:t>5</w:t>
      </w:r>
      <w:r>
        <w:t>: Use a combination of current research and invest in an analysis of historical data sets to inform watering objectives</w:t>
      </w:r>
    </w:p>
    <w:p w14:paraId="728B0A50" w14:textId="7A2FCF2E" w:rsidR="007163E8" w:rsidRDefault="007163E8" w:rsidP="007163E8">
      <w:r>
        <w:t xml:space="preserve">Research conducted by the University can be used to inform the establishment of objectives. </w:t>
      </w:r>
      <w:r w:rsidRPr="00924476">
        <w:t xml:space="preserve">Work by </w:t>
      </w:r>
      <w:r w:rsidR="00985659">
        <w:t xml:space="preserve">(former) </w:t>
      </w:r>
      <w:r w:rsidRPr="00924476">
        <w:t>PhD student Will Higgisson to better understand the vegetation communities of the floodplains and wetlands of the Lower Lachlan system (including seedbank studies and predictions of vegetation community patter</w:t>
      </w:r>
      <w:r>
        <w:t>n</w:t>
      </w:r>
      <w:r w:rsidRPr="00924476">
        <w:t>s) will inform future decisions for watering of these sites. His work suggests that the open water wetlands within the catchment (those which would have been flooded frequently) are vulnerable to vegetation encroachment as the</w:t>
      </w:r>
      <w:r>
        <w:t xml:space="preserve">y are watered less frequently. </w:t>
      </w:r>
      <w:r w:rsidRPr="00924476">
        <w:t>It is likely that some encroachment has already occurred, and an analysis of historical aerial imagery shou</w:t>
      </w:r>
      <w:r>
        <w:t xml:space="preserve">ld give some insights to this. </w:t>
      </w:r>
      <w:r w:rsidRPr="00924476">
        <w:t>If this is the case, then thought should be given to maintaining open water areas with watering actions.</w:t>
      </w:r>
      <w:r>
        <w:t xml:space="preserve">  </w:t>
      </w:r>
    </w:p>
    <w:p w14:paraId="5B17A46F" w14:textId="6EA74766" w:rsidR="007163E8" w:rsidRPr="00924476" w:rsidRDefault="007163E8" w:rsidP="007163E8">
      <w:r>
        <w:t>It is also noted that the establishment of objectives for wetland vegetation has been the subject of work by the E</w:t>
      </w:r>
      <w:r w:rsidR="00C3409D">
        <w:t xml:space="preserve">nvironmental </w:t>
      </w:r>
      <w:r>
        <w:t>W</w:t>
      </w:r>
      <w:r w:rsidR="00C3409D">
        <w:t xml:space="preserve">ater </w:t>
      </w:r>
      <w:r>
        <w:t>K</w:t>
      </w:r>
      <w:r w:rsidR="00C3409D">
        <w:t xml:space="preserve">nowledge and </w:t>
      </w:r>
      <w:r>
        <w:t>R</w:t>
      </w:r>
      <w:r w:rsidR="00C3409D">
        <w:t>esearch</w:t>
      </w:r>
      <w:r>
        <w:t xml:space="preserve"> team and a forthcoming publication provides a framework that may assist with the development of objectives. </w:t>
      </w:r>
      <w:r w:rsidRPr="00874E2B">
        <w:rPr>
          <w:b/>
          <w:color w:val="4F6228" w:themeColor="accent3" w:themeShade="80"/>
        </w:rPr>
        <w:t xml:space="preserve">It is therefore recommended that an analysis of historical imagery, historical reports and data sources be conducted and the information combined with </w:t>
      </w:r>
      <w:r>
        <w:rPr>
          <w:b/>
          <w:color w:val="4F6228" w:themeColor="accent3" w:themeShade="80"/>
        </w:rPr>
        <w:t>current research</w:t>
      </w:r>
      <w:r w:rsidRPr="00874E2B">
        <w:rPr>
          <w:b/>
          <w:color w:val="4F6228" w:themeColor="accent3" w:themeShade="80"/>
        </w:rPr>
        <w:t xml:space="preserve"> to inform future watering actions.</w:t>
      </w:r>
    </w:p>
    <w:p w14:paraId="350C1C74" w14:textId="77777777" w:rsidR="007163E8" w:rsidRPr="00924476" w:rsidRDefault="007163E8" w:rsidP="007163E8">
      <w:pPr>
        <w:pStyle w:val="Heading4"/>
      </w:pPr>
      <w:r w:rsidRPr="00924476">
        <w:t xml:space="preserve">Recommendation </w:t>
      </w:r>
      <w:r>
        <w:t>6</w:t>
      </w:r>
      <w:r w:rsidRPr="00924476">
        <w:t>:</w:t>
      </w:r>
      <w:r>
        <w:t xml:space="preserve"> Consider exotic weeds when using environmental water</w:t>
      </w:r>
      <w:r w:rsidRPr="00924476">
        <w:t xml:space="preserve"> </w:t>
      </w:r>
    </w:p>
    <w:p w14:paraId="6AAE15EB" w14:textId="1778E31D" w:rsidR="007163E8" w:rsidRDefault="007163E8" w:rsidP="00562372">
      <w:pPr>
        <w:spacing w:before="0" w:after="0"/>
      </w:pPr>
      <w:r w:rsidRPr="00924476">
        <w:t>Flows may have the capacity to assist with managing invasive weed species at certain sites, through a combination of appropriate timing, duration and depth. Environmental water managers may want to</w:t>
      </w:r>
      <w:r w:rsidR="00562372">
        <w:t xml:space="preserve"> </w:t>
      </w:r>
      <w:r w:rsidRPr="00924476">
        <w:t xml:space="preserve">consider the option of trialling </w:t>
      </w:r>
      <w:r w:rsidR="00562372">
        <w:t xml:space="preserve">some experiments </w:t>
      </w:r>
      <w:r w:rsidRPr="00924476">
        <w:t>that would enable the impact of flows to manage invasive weed species and the re-establishment of native plant species</w:t>
      </w:r>
      <w:r w:rsidR="00562372">
        <w:t xml:space="preserve">. This could be undertaken as a set of glass house trials (e.g. to test the field observation </w:t>
      </w:r>
      <w:r w:rsidR="006D098D">
        <w:t>of flood duration for promoting/killing exotic plants such as African Boxth</w:t>
      </w:r>
      <w:r w:rsidR="00D077A5">
        <w:t>orn</w:t>
      </w:r>
      <w:r w:rsidR="006D098D">
        <w:t xml:space="preserve"> or Bathurst Burr) </w:t>
      </w:r>
      <w:r w:rsidR="00562372">
        <w:t xml:space="preserve">or </w:t>
      </w:r>
      <w:r w:rsidR="006D098D">
        <w:t xml:space="preserve">in the </w:t>
      </w:r>
      <w:r w:rsidR="00562372">
        <w:t>field at monitoring sites</w:t>
      </w:r>
      <w:r w:rsidR="006D098D">
        <w:t xml:space="preserve"> (in particular, the open wetland and Billabong sites)</w:t>
      </w:r>
      <w:r w:rsidRPr="00924476">
        <w:t>.</w:t>
      </w:r>
      <w:r w:rsidR="00562372">
        <w:t xml:space="preserve"> </w:t>
      </w:r>
    </w:p>
    <w:p w14:paraId="338BBDAD" w14:textId="77777777" w:rsidR="007163E8" w:rsidRDefault="007163E8" w:rsidP="007163E8">
      <w:pPr>
        <w:pStyle w:val="Heading4"/>
      </w:pPr>
      <w:r>
        <w:t>Recommendation 7: Review the monitoring approach to better detect vegetation outcomes</w:t>
      </w:r>
    </w:p>
    <w:p w14:paraId="12F85F81" w14:textId="0D7D4941" w:rsidR="007163E8" w:rsidRPr="00924476" w:rsidRDefault="007163E8" w:rsidP="007163E8">
      <w:pPr>
        <w:spacing w:before="0" w:after="0"/>
      </w:pPr>
      <w:r>
        <w:t xml:space="preserve">The reedbeds of the Great Cumbung Swamp are not monitored as part of the </w:t>
      </w:r>
      <w:r w:rsidR="00E05711">
        <w:t>LTIM Project</w:t>
      </w:r>
      <w:r>
        <w:t xml:space="preserve"> for logistical and financial reasons. This means it was not possible to evaluate the outcomes of the 2017-18 watering for the reedbeds, nor of previous years watering actions that have reached the reedbeds. </w:t>
      </w:r>
      <w:r w:rsidRPr="00B26052">
        <w:rPr>
          <w:b/>
          <w:color w:val="4F6228" w:themeColor="accent3" w:themeShade="80"/>
        </w:rPr>
        <w:t xml:space="preserve">It is recommended that non-standard methods be developed to monitor the condition of the central reedbeds as part of the on-going </w:t>
      </w:r>
      <w:r w:rsidR="00D077A5">
        <w:rPr>
          <w:b/>
          <w:color w:val="4F6228" w:themeColor="accent3" w:themeShade="80"/>
        </w:rPr>
        <w:t>MER program</w:t>
      </w:r>
      <w:r>
        <w:t>. Drones for monitoring vegetation were trialled as part of the 2016-17 Lachlan LTIM, but the design was opportunistic and not well or strategically targeted. The development of drone based methods for monitoring the reedbeds would be a useful investment given the significance of the vegetation community in the Great Cumbung Swamp.</w:t>
      </w:r>
    </w:p>
    <w:p w14:paraId="5D74A08B" w14:textId="77777777" w:rsidR="007163E8" w:rsidRPr="00924476" w:rsidRDefault="007163E8" w:rsidP="007163E8">
      <w:pPr>
        <w:pStyle w:val="Heading4"/>
      </w:pPr>
      <w:r w:rsidRPr="00924476">
        <w:t xml:space="preserve">Recommendation </w:t>
      </w:r>
      <w:r>
        <w:rPr>
          <w:lang w:val="en-AU"/>
        </w:rPr>
        <w:t>8</w:t>
      </w:r>
      <w:r w:rsidRPr="00924476">
        <w:t xml:space="preserve">: </w:t>
      </w:r>
      <w:r>
        <w:t>Manage herbivory for vegetation outcomes in association with environmental watering actions.</w:t>
      </w:r>
    </w:p>
    <w:p w14:paraId="51F53E3D" w14:textId="0B606737" w:rsidR="00455FA8" w:rsidRDefault="007163E8" w:rsidP="00562372">
      <w:pPr>
        <w:spacing w:before="0" w:after="0"/>
      </w:pPr>
      <w:r w:rsidRPr="00924476">
        <w:t>There are a number of factors other than the provision (or not) of environmental water, including herbivory, that can impact on the vegetation response observed at monitoring sites. Environmental water managers may want to</w:t>
      </w:r>
      <w:r w:rsidR="00562372">
        <w:t xml:space="preserve"> </w:t>
      </w:r>
      <w:r w:rsidRPr="00924476">
        <w:t xml:space="preserve">consider the option of trialling an experimental design that would enable the impact of excluding herbivory (e.g. the use of herbivore exclusion fencing) to be examined in relation to the </w:t>
      </w:r>
      <w:r>
        <w:t>associated</w:t>
      </w:r>
      <w:r w:rsidRPr="00924476">
        <w:t xml:space="preserve"> use of environmental water at monitoring sites.</w:t>
      </w:r>
    </w:p>
    <w:p w14:paraId="0C64587D" w14:textId="77777777" w:rsidR="00455FA8" w:rsidRDefault="00455FA8">
      <w:pPr>
        <w:spacing w:before="0" w:after="0"/>
      </w:pPr>
      <w:r>
        <w:br w:type="page"/>
      </w:r>
    </w:p>
    <w:p w14:paraId="1B3EDB78" w14:textId="7E926608" w:rsidR="00455FA8" w:rsidRDefault="00455FA8" w:rsidP="00455FA8">
      <w:pPr>
        <w:pStyle w:val="Heading2"/>
      </w:pPr>
      <w:bookmarkStart w:id="681" w:name="_Toc31985543"/>
      <w:r>
        <w:t>Appendix 1</w:t>
      </w:r>
      <w:r>
        <w:rPr>
          <w:lang w:val="en-AU"/>
        </w:rPr>
        <w:t>:</w:t>
      </w:r>
      <w:r>
        <w:t xml:space="preserve">  </w:t>
      </w:r>
      <w:bookmarkStart w:id="682" w:name="_Hlk31966995"/>
      <w:r>
        <w:t xml:space="preserve">Species list from non-tree and tree community sites from the 5 years of LTIM monitoring across all sites within the lower Lachlan river </w:t>
      </w:r>
      <w:r w:rsidR="00E12DBE" w:rsidRPr="003C1511">
        <w:t>selected area.</w:t>
      </w:r>
      <w:bookmarkEnd w:id="681"/>
    </w:p>
    <w:bookmarkEnd w:id="682"/>
    <w:p w14:paraId="75AE6E22" w14:textId="7FA87D46" w:rsidR="00455FA8" w:rsidRDefault="00455FA8" w:rsidP="00455FA8">
      <w:pPr>
        <w:rPr>
          <w:lang w:val="x-none" w:eastAsia="x-none"/>
        </w:rPr>
      </w:pPr>
    </w:p>
    <w:p w14:paraId="51FC208F" w14:textId="5F5EA5BA" w:rsidR="00455FA8" w:rsidRDefault="00455FA8" w:rsidP="00455FA8">
      <w:pPr>
        <w:pStyle w:val="Caption"/>
      </w:pPr>
      <w:bookmarkStart w:id="683" w:name="_Toc31985698"/>
      <w:r w:rsidRPr="00DF2630">
        <w:t xml:space="preserve">Table </w:t>
      </w:r>
      <w:r>
        <w:rPr>
          <w:noProof/>
        </w:rPr>
        <w:fldChar w:fldCharType="begin"/>
      </w:r>
      <w:r>
        <w:rPr>
          <w:noProof/>
        </w:rPr>
        <w:instrText xml:space="preserve"> SEQ Table \* ARABIC </w:instrText>
      </w:r>
      <w:r>
        <w:rPr>
          <w:noProof/>
        </w:rPr>
        <w:fldChar w:fldCharType="separate"/>
      </w:r>
      <w:r w:rsidR="007F7607">
        <w:rPr>
          <w:noProof/>
        </w:rPr>
        <w:t>31</w:t>
      </w:r>
      <w:r>
        <w:rPr>
          <w:noProof/>
        </w:rPr>
        <w:fldChar w:fldCharType="end"/>
      </w:r>
      <w:r w:rsidRPr="00DF2630">
        <w:t xml:space="preserve">. </w:t>
      </w:r>
      <w:r>
        <w:t>Species list from non-tree community sites over 5 years of LTIM monitoring across all sites within the lower Lachlan River (A-Z)</w:t>
      </w:r>
      <w:bookmarkEnd w:id="683"/>
    </w:p>
    <w:tbl>
      <w:tblPr>
        <w:tblW w:w="9209" w:type="dxa"/>
        <w:tblLook w:val="04A0" w:firstRow="1" w:lastRow="0" w:firstColumn="1" w:lastColumn="0" w:noHBand="0" w:noVBand="1"/>
      </w:tblPr>
      <w:tblGrid>
        <w:gridCol w:w="3681"/>
        <w:gridCol w:w="2268"/>
        <w:gridCol w:w="1701"/>
        <w:gridCol w:w="1559"/>
      </w:tblGrid>
      <w:tr w:rsidR="00455FA8" w:rsidRPr="00455FA8" w14:paraId="6F30ECD7" w14:textId="77777777" w:rsidTr="00455FA8">
        <w:trPr>
          <w:trHeight w:val="510"/>
          <w:tblHeader/>
        </w:trPr>
        <w:tc>
          <w:tcPr>
            <w:tcW w:w="3681" w:type="dxa"/>
            <w:tcBorders>
              <w:top w:val="single" w:sz="4" w:space="0" w:color="auto"/>
              <w:left w:val="single" w:sz="4" w:space="0" w:color="auto"/>
              <w:bottom w:val="single" w:sz="4" w:space="0" w:color="auto"/>
              <w:right w:val="single" w:sz="4" w:space="0" w:color="auto"/>
            </w:tcBorders>
            <w:shd w:val="clear" w:color="000000" w:fill="9BBB59" w:themeFill="accent3"/>
            <w:vAlign w:val="center"/>
            <w:hideMark/>
          </w:tcPr>
          <w:p w14:paraId="5FF0A0CE" w14:textId="77777777" w:rsidR="00455FA8" w:rsidRPr="00455FA8" w:rsidRDefault="00455FA8" w:rsidP="00455FA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Species list non-tree community sites</w:t>
            </w:r>
          </w:p>
        </w:tc>
        <w:tc>
          <w:tcPr>
            <w:tcW w:w="2268" w:type="dxa"/>
            <w:tcBorders>
              <w:top w:val="single" w:sz="4" w:space="0" w:color="auto"/>
              <w:left w:val="nil"/>
              <w:bottom w:val="single" w:sz="4" w:space="0" w:color="auto"/>
              <w:right w:val="single" w:sz="4" w:space="0" w:color="auto"/>
            </w:tcBorders>
            <w:shd w:val="clear" w:color="000000" w:fill="9BBB59" w:themeFill="accent3"/>
            <w:noWrap/>
            <w:vAlign w:val="center"/>
            <w:hideMark/>
          </w:tcPr>
          <w:p w14:paraId="2D55F573" w14:textId="77777777" w:rsidR="00455FA8" w:rsidRPr="00455FA8" w:rsidRDefault="00455FA8" w:rsidP="00455FA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Family</w:t>
            </w:r>
          </w:p>
        </w:tc>
        <w:tc>
          <w:tcPr>
            <w:tcW w:w="1701" w:type="dxa"/>
            <w:tcBorders>
              <w:top w:val="single" w:sz="4" w:space="0" w:color="auto"/>
              <w:left w:val="nil"/>
              <w:bottom w:val="single" w:sz="4" w:space="0" w:color="auto"/>
              <w:right w:val="single" w:sz="4" w:space="0" w:color="auto"/>
            </w:tcBorders>
            <w:shd w:val="clear" w:color="000000" w:fill="9BBB59" w:themeFill="accent3"/>
            <w:vAlign w:val="center"/>
            <w:hideMark/>
          </w:tcPr>
          <w:p w14:paraId="55B604DB" w14:textId="77777777" w:rsidR="00455FA8" w:rsidRPr="00455FA8" w:rsidRDefault="00455FA8" w:rsidP="00455FA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Functional Group</w:t>
            </w:r>
          </w:p>
        </w:tc>
        <w:tc>
          <w:tcPr>
            <w:tcW w:w="1559" w:type="dxa"/>
            <w:tcBorders>
              <w:top w:val="single" w:sz="4" w:space="0" w:color="auto"/>
              <w:left w:val="nil"/>
              <w:bottom w:val="single" w:sz="4" w:space="0" w:color="auto"/>
              <w:right w:val="single" w:sz="4" w:space="0" w:color="auto"/>
            </w:tcBorders>
            <w:shd w:val="clear" w:color="000000" w:fill="9BBB59" w:themeFill="accent3"/>
            <w:vAlign w:val="center"/>
            <w:hideMark/>
          </w:tcPr>
          <w:p w14:paraId="42E53BB8" w14:textId="77777777" w:rsidR="00455FA8" w:rsidRPr="00455FA8" w:rsidRDefault="00455FA8" w:rsidP="00455FA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Native/ Non-native</w:t>
            </w:r>
          </w:p>
        </w:tc>
      </w:tr>
      <w:tr w:rsidR="00455FA8" w:rsidRPr="00EC4D3A" w14:paraId="35A403C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2FADCA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Abutilon theophrasti</w:t>
            </w:r>
          </w:p>
        </w:tc>
        <w:tc>
          <w:tcPr>
            <w:tcW w:w="2268" w:type="dxa"/>
            <w:tcBorders>
              <w:top w:val="nil"/>
              <w:left w:val="nil"/>
              <w:bottom w:val="single" w:sz="4" w:space="0" w:color="auto"/>
              <w:right w:val="single" w:sz="4" w:space="0" w:color="auto"/>
            </w:tcBorders>
            <w:shd w:val="clear" w:color="auto" w:fill="auto"/>
            <w:noWrap/>
            <w:vAlign w:val="bottom"/>
            <w:hideMark/>
          </w:tcPr>
          <w:p w14:paraId="2CEEF55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6645DC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12222F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6F4DABF"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032671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Acacia stenophylla</w:t>
            </w:r>
          </w:p>
        </w:tc>
        <w:tc>
          <w:tcPr>
            <w:tcW w:w="2268" w:type="dxa"/>
            <w:tcBorders>
              <w:top w:val="nil"/>
              <w:left w:val="nil"/>
              <w:bottom w:val="single" w:sz="4" w:space="0" w:color="auto"/>
              <w:right w:val="single" w:sz="4" w:space="0" w:color="auto"/>
            </w:tcBorders>
            <w:shd w:val="clear" w:color="auto" w:fill="auto"/>
            <w:noWrap/>
            <w:vAlign w:val="bottom"/>
            <w:hideMark/>
          </w:tcPr>
          <w:p w14:paraId="58A9260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(Mimosoideae)</w:t>
            </w:r>
          </w:p>
        </w:tc>
        <w:tc>
          <w:tcPr>
            <w:tcW w:w="1701" w:type="dxa"/>
            <w:tcBorders>
              <w:top w:val="nil"/>
              <w:left w:val="nil"/>
              <w:bottom w:val="single" w:sz="4" w:space="0" w:color="auto"/>
              <w:right w:val="single" w:sz="4" w:space="0" w:color="auto"/>
            </w:tcBorders>
            <w:shd w:val="clear" w:color="auto" w:fill="auto"/>
            <w:noWrap/>
            <w:vAlign w:val="bottom"/>
            <w:hideMark/>
          </w:tcPr>
          <w:p w14:paraId="6C25E5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4E1D6A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1C04C22"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A78CAE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Alopecurus geniculatus</w:t>
            </w:r>
          </w:p>
        </w:tc>
        <w:tc>
          <w:tcPr>
            <w:tcW w:w="2268" w:type="dxa"/>
            <w:tcBorders>
              <w:top w:val="nil"/>
              <w:left w:val="nil"/>
              <w:bottom w:val="single" w:sz="4" w:space="0" w:color="auto"/>
              <w:right w:val="single" w:sz="4" w:space="0" w:color="auto"/>
            </w:tcBorders>
            <w:shd w:val="clear" w:color="auto" w:fill="auto"/>
            <w:noWrap/>
            <w:vAlign w:val="bottom"/>
            <w:hideMark/>
          </w:tcPr>
          <w:p w14:paraId="670D8B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0D9BC7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C34698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373F73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9359F1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w:t>
            </w:r>
          </w:p>
        </w:tc>
        <w:tc>
          <w:tcPr>
            <w:tcW w:w="2268" w:type="dxa"/>
            <w:tcBorders>
              <w:top w:val="nil"/>
              <w:left w:val="nil"/>
              <w:bottom w:val="single" w:sz="4" w:space="0" w:color="auto"/>
              <w:right w:val="single" w:sz="4" w:space="0" w:color="auto"/>
            </w:tcBorders>
            <w:shd w:val="clear" w:color="auto" w:fill="auto"/>
            <w:noWrap/>
            <w:vAlign w:val="bottom"/>
            <w:hideMark/>
          </w:tcPr>
          <w:p w14:paraId="1926625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7096B9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15A622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D4A5AA8"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2DECCC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 denticulata</w:t>
            </w:r>
          </w:p>
        </w:tc>
        <w:tc>
          <w:tcPr>
            <w:tcW w:w="2268" w:type="dxa"/>
            <w:tcBorders>
              <w:top w:val="nil"/>
              <w:left w:val="nil"/>
              <w:bottom w:val="single" w:sz="4" w:space="0" w:color="auto"/>
              <w:right w:val="single" w:sz="4" w:space="0" w:color="auto"/>
            </w:tcBorders>
            <w:shd w:val="clear" w:color="auto" w:fill="auto"/>
            <w:noWrap/>
            <w:vAlign w:val="bottom"/>
            <w:hideMark/>
          </w:tcPr>
          <w:p w14:paraId="6863783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4B07A22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EE5B47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54F4F0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884B5E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 nodiflora</w:t>
            </w:r>
          </w:p>
        </w:tc>
        <w:tc>
          <w:tcPr>
            <w:tcW w:w="2268" w:type="dxa"/>
            <w:tcBorders>
              <w:top w:val="nil"/>
              <w:left w:val="nil"/>
              <w:bottom w:val="single" w:sz="4" w:space="0" w:color="auto"/>
              <w:right w:val="single" w:sz="4" w:space="0" w:color="auto"/>
            </w:tcBorders>
            <w:shd w:val="clear" w:color="auto" w:fill="auto"/>
            <w:noWrap/>
            <w:vAlign w:val="bottom"/>
            <w:hideMark/>
          </w:tcPr>
          <w:p w14:paraId="564219D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40E6CB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11387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0CEE5EA"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E966B4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Arabidella nasturtium</w:t>
            </w:r>
          </w:p>
        </w:tc>
        <w:tc>
          <w:tcPr>
            <w:tcW w:w="2268" w:type="dxa"/>
            <w:tcBorders>
              <w:top w:val="nil"/>
              <w:left w:val="nil"/>
              <w:bottom w:val="single" w:sz="4" w:space="0" w:color="auto"/>
              <w:right w:val="single" w:sz="4" w:space="0" w:color="auto"/>
            </w:tcBorders>
            <w:shd w:val="clear" w:color="auto" w:fill="auto"/>
            <w:noWrap/>
            <w:vAlign w:val="bottom"/>
            <w:hideMark/>
          </w:tcPr>
          <w:p w14:paraId="0B9E1FB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C338DA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0CE98F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4B8C40A"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57260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Asperula gemella</w:t>
            </w:r>
          </w:p>
        </w:tc>
        <w:tc>
          <w:tcPr>
            <w:tcW w:w="2268" w:type="dxa"/>
            <w:tcBorders>
              <w:top w:val="nil"/>
              <w:left w:val="nil"/>
              <w:bottom w:val="single" w:sz="4" w:space="0" w:color="auto"/>
              <w:right w:val="single" w:sz="4" w:space="0" w:color="auto"/>
            </w:tcBorders>
            <w:shd w:val="clear" w:color="auto" w:fill="auto"/>
            <w:noWrap/>
            <w:vAlign w:val="bottom"/>
            <w:hideMark/>
          </w:tcPr>
          <w:p w14:paraId="165B13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3F17E0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207EA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0076649"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F45A42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Asteraceae</w:t>
            </w:r>
          </w:p>
        </w:tc>
        <w:tc>
          <w:tcPr>
            <w:tcW w:w="2268" w:type="dxa"/>
            <w:tcBorders>
              <w:top w:val="nil"/>
              <w:left w:val="nil"/>
              <w:bottom w:val="single" w:sz="4" w:space="0" w:color="auto"/>
              <w:right w:val="single" w:sz="4" w:space="0" w:color="auto"/>
            </w:tcBorders>
            <w:shd w:val="clear" w:color="auto" w:fill="auto"/>
            <w:noWrap/>
            <w:vAlign w:val="bottom"/>
            <w:hideMark/>
          </w:tcPr>
          <w:p w14:paraId="3DB825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C814AB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671D74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437A9503"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6EBFAA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leptocarpa</w:t>
            </w:r>
          </w:p>
        </w:tc>
        <w:tc>
          <w:tcPr>
            <w:tcW w:w="2268" w:type="dxa"/>
            <w:tcBorders>
              <w:top w:val="nil"/>
              <w:left w:val="nil"/>
              <w:bottom w:val="single" w:sz="4" w:space="0" w:color="auto"/>
              <w:right w:val="single" w:sz="4" w:space="0" w:color="auto"/>
            </w:tcBorders>
            <w:shd w:val="clear" w:color="auto" w:fill="auto"/>
            <w:noWrap/>
            <w:vAlign w:val="bottom"/>
            <w:hideMark/>
          </w:tcPr>
          <w:p w14:paraId="05FC97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65DAAE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2723C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44A5122"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0B35CB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lindleyi</w:t>
            </w:r>
          </w:p>
        </w:tc>
        <w:tc>
          <w:tcPr>
            <w:tcW w:w="2268" w:type="dxa"/>
            <w:tcBorders>
              <w:top w:val="nil"/>
              <w:left w:val="nil"/>
              <w:bottom w:val="single" w:sz="4" w:space="0" w:color="auto"/>
              <w:right w:val="single" w:sz="4" w:space="0" w:color="auto"/>
            </w:tcBorders>
            <w:shd w:val="clear" w:color="auto" w:fill="auto"/>
            <w:noWrap/>
            <w:vAlign w:val="bottom"/>
            <w:hideMark/>
          </w:tcPr>
          <w:p w14:paraId="0BF7F2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22D6FE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42A42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F870694"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21765D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nummularia</w:t>
            </w:r>
          </w:p>
        </w:tc>
        <w:tc>
          <w:tcPr>
            <w:tcW w:w="2268" w:type="dxa"/>
            <w:tcBorders>
              <w:top w:val="nil"/>
              <w:left w:val="nil"/>
              <w:bottom w:val="single" w:sz="4" w:space="0" w:color="auto"/>
              <w:right w:val="single" w:sz="4" w:space="0" w:color="auto"/>
            </w:tcBorders>
            <w:shd w:val="clear" w:color="auto" w:fill="auto"/>
            <w:noWrap/>
            <w:vAlign w:val="bottom"/>
            <w:hideMark/>
          </w:tcPr>
          <w:p w14:paraId="06AB80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C7F47B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9EE21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1101AD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1463F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semibaccata</w:t>
            </w:r>
          </w:p>
        </w:tc>
        <w:tc>
          <w:tcPr>
            <w:tcW w:w="2268" w:type="dxa"/>
            <w:tcBorders>
              <w:top w:val="nil"/>
              <w:left w:val="nil"/>
              <w:bottom w:val="single" w:sz="4" w:space="0" w:color="auto"/>
              <w:right w:val="single" w:sz="4" w:space="0" w:color="auto"/>
            </w:tcBorders>
            <w:shd w:val="clear" w:color="auto" w:fill="auto"/>
            <w:noWrap/>
            <w:vAlign w:val="bottom"/>
            <w:hideMark/>
          </w:tcPr>
          <w:p w14:paraId="7B4C9D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532DCB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B4A00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D5B7C96"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1E1996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suberecta</w:t>
            </w:r>
          </w:p>
        </w:tc>
        <w:tc>
          <w:tcPr>
            <w:tcW w:w="2268" w:type="dxa"/>
            <w:tcBorders>
              <w:top w:val="nil"/>
              <w:left w:val="nil"/>
              <w:bottom w:val="single" w:sz="4" w:space="0" w:color="auto"/>
              <w:right w:val="single" w:sz="4" w:space="0" w:color="auto"/>
            </w:tcBorders>
            <w:shd w:val="clear" w:color="auto" w:fill="auto"/>
            <w:noWrap/>
            <w:vAlign w:val="bottom"/>
            <w:hideMark/>
          </w:tcPr>
          <w:p w14:paraId="16C781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EBE01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A5EAE8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4F032EA"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C7822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vesicaria</w:t>
            </w:r>
          </w:p>
        </w:tc>
        <w:tc>
          <w:tcPr>
            <w:tcW w:w="2268" w:type="dxa"/>
            <w:tcBorders>
              <w:top w:val="nil"/>
              <w:left w:val="nil"/>
              <w:bottom w:val="single" w:sz="4" w:space="0" w:color="auto"/>
              <w:right w:val="single" w:sz="4" w:space="0" w:color="auto"/>
            </w:tcBorders>
            <w:shd w:val="clear" w:color="auto" w:fill="auto"/>
            <w:noWrap/>
            <w:vAlign w:val="bottom"/>
            <w:hideMark/>
          </w:tcPr>
          <w:p w14:paraId="35D7D4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3FB3D0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861A4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F948FD6"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DE1D3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Austrostipa</w:t>
            </w:r>
          </w:p>
        </w:tc>
        <w:tc>
          <w:tcPr>
            <w:tcW w:w="2268" w:type="dxa"/>
            <w:tcBorders>
              <w:top w:val="nil"/>
              <w:left w:val="nil"/>
              <w:bottom w:val="single" w:sz="4" w:space="0" w:color="auto"/>
              <w:right w:val="single" w:sz="4" w:space="0" w:color="auto"/>
            </w:tcBorders>
            <w:shd w:val="clear" w:color="auto" w:fill="auto"/>
            <w:noWrap/>
            <w:vAlign w:val="bottom"/>
            <w:hideMark/>
          </w:tcPr>
          <w:p w14:paraId="7D148C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84C74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81102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A6000E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15EEDB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Azolla filiculoides</w:t>
            </w:r>
          </w:p>
        </w:tc>
        <w:tc>
          <w:tcPr>
            <w:tcW w:w="2268" w:type="dxa"/>
            <w:tcBorders>
              <w:top w:val="nil"/>
              <w:left w:val="nil"/>
              <w:bottom w:val="single" w:sz="4" w:space="0" w:color="auto"/>
              <w:right w:val="single" w:sz="4" w:space="0" w:color="auto"/>
            </w:tcBorders>
            <w:shd w:val="clear" w:color="auto" w:fill="auto"/>
            <w:noWrap/>
            <w:vAlign w:val="bottom"/>
            <w:hideMark/>
          </w:tcPr>
          <w:p w14:paraId="01D271A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Azollaceae</w:t>
            </w:r>
          </w:p>
        </w:tc>
        <w:tc>
          <w:tcPr>
            <w:tcW w:w="1701" w:type="dxa"/>
            <w:tcBorders>
              <w:top w:val="nil"/>
              <w:left w:val="nil"/>
              <w:bottom w:val="single" w:sz="4" w:space="0" w:color="auto"/>
              <w:right w:val="single" w:sz="4" w:space="0" w:color="auto"/>
            </w:tcBorders>
            <w:shd w:val="clear" w:color="auto" w:fill="auto"/>
            <w:noWrap/>
            <w:vAlign w:val="bottom"/>
            <w:hideMark/>
          </w:tcPr>
          <w:p w14:paraId="015FDEC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5F2457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CECCBCB"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00E7AD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Bergia trimera</w:t>
            </w:r>
          </w:p>
        </w:tc>
        <w:tc>
          <w:tcPr>
            <w:tcW w:w="2268" w:type="dxa"/>
            <w:tcBorders>
              <w:top w:val="nil"/>
              <w:left w:val="nil"/>
              <w:bottom w:val="single" w:sz="4" w:space="0" w:color="auto"/>
              <w:right w:val="single" w:sz="4" w:space="0" w:color="auto"/>
            </w:tcBorders>
            <w:shd w:val="clear" w:color="auto" w:fill="auto"/>
            <w:noWrap/>
            <w:vAlign w:val="bottom"/>
            <w:hideMark/>
          </w:tcPr>
          <w:p w14:paraId="268CB3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Elatinaceae</w:t>
            </w:r>
          </w:p>
        </w:tc>
        <w:tc>
          <w:tcPr>
            <w:tcW w:w="1701" w:type="dxa"/>
            <w:tcBorders>
              <w:top w:val="nil"/>
              <w:left w:val="nil"/>
              <w:bottom w:val="single" w:sz="4" w:space="0" w:color="auto"/>
              <w:right w:val="single" w:sz="4" w:space="0" w:color="auto"/>
            </w:tcBorders>
            <w:shd w:val="clear" w:color="auto" w:fill="auto"/>
            <w:noWrap/>
            <w:vAlign w:val="bottom"/>
            <w:hideMark/>
          </w:tcPr>
          <w:p w14:paraId="7ED3C9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DDAC60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74688CC"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3531A3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Boerhavia</w:t>
            </w:r>
          </w:p>
        </w:tc>
        <w:tc>
          <w:tcPr>
            <w:tcW w:w="2268" w:type="dxa"/>
            <w:tcBorders>
              <w:top w:val="nil"/>
              <w:left w:val="nil"/>
              <w:bottom w:val="single" w:sz="4" w:space="0" w:color="auto"/>
              <w:right w:val="single" w:sz="4" w:space="0" w:color="auto"/>
            </w:tcBorders>
            <w:shd w:val="clear" w:color="auto" w:fill="auto"/>
            <w:noWrap/>
            <w:vAlign w:val="bottom"/>
            <w:hideMark/>
          </w:tcPr>
          <w:p w14:paraId="36227AC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Nyctaginaceae</w:t>
            </w:r>
          </w:p>
        </w:tc>
        <w:tc>
          <w:tcPr>
            <w:tcW w:w="1701" w:type="dxa"/>
            <w:tcBorders>
              <w:top w:val="nil"/>
              <w:left w:val="nil"/>
              <w:bottom w:val="single" w:sz="4" w:space="0" w:color="auto"/>
              <w:right w:val="single" w:sz="4" w:space="0" w:color="auto"/>
            </w:tcBorders>
            <w:shd w:val="clear" w:color="auto" w:fill="auto"/>
            <w:noWrap/>
            <w:vAlign w:val="bottom"/>
            <w:hideMark/>
          </w:tcPr>
          <w:p w14:paraId="63CD6F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B2A0D2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FC0C784"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7FAE3D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Boerhavia dominii</w:t>
            </w:r>
          </w:p>
        </w:tc>
        <w:tc>
          <w:tcPr>
            <w:tcW w:w="2268" w:type="dxa"/>
            <w:tcBorders>
              <w:top w:val="nil"/>
              <w:left w:val="nil"/>
              <w:bottom w:val="single" w:sz="4" w:space="0" w:color="auto"/>
              <w:right w:val="single" w:sz="4" w:space="0" w:color="auto"/>
            </w:tcBorders>
            <w:shd w:val="clear" w:color="auto" w:fill="auto"/>
            <w:noWrap/>
            <w:vAlign w:val="bottom"/>
            <w:hideMark/>
          </w:tcPr>
          <w:p w14:paraId="1F0347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Nyctaginaceae</w:t>
            </w:r>
          </w:p>
        </w:tc>
        <w:tc>
          <w:tcPr>
            <w:tcW w:w="1701" w:type="dxa"/>
            <w:tcBorders>
              <w:top w:val="nil"/>
              <w:left w:val="nil"/>
              <w:bottom w:val="single" w:sz="4" w:space="0" w:color="auto"/>
              <w:right w:val="single" w:sz="4" w:space="0" w:color="auto"/>
            </w:tcBorders>
            <w:shd w:val="clear" w:color="auto" w:fill="auto"/>
            <w:noWrap/>
            <w:vAlign w:val="bottom"/>
            <w:hideMark/>
          </w:tcPr>
          <w:p w14:paraId="5BDEEE5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26B0C3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88354E9"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1B2E08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Bolboschoenus fluviatilis</w:t>
            </w:r>
          </w:p>
        </w:tc>
        <w:tc>
          <w:tcPr>
            <w:tcW w:w="2268" w:type="dxa"/>
            <w:tcBorders>
              <w:top w:val="nil"/>
              <w:left w:val="nil"/>
              <w:bottom w:val="single" w:sz="4" w:space="0" w:color="auto"/>
              <w:right w:val="single" w:sz="4" w:space="0" w:color="auto"/>
            </w:tcBorders>
            <w:shd w:val="clear" w:color="auto" w:fill="auto"/>
            <w:noWrap/>
            <w:vAlign w:val="bottom"/>
            <w:hideMark/>
          </w:tcPr>
          <w:p w14:paraId="165B8E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17B813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A1812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E3E7DD5"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5D644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w:t>
            </w:r>
          </w:p>
        </w:tc>
        <w:tc>
          <w:tcPr>
            <w:tcW w:w="2268" w:type="dxa"/>
            <w:tcBorders>
              <w:top w:val="nil"/>
              <w:left w:val="nil"/>
              <w:bottom w:val="single" w:sz="4" w:space="0" w:color="auto"/>
              <w:right w:val="single" w:sz="4" w:space="0" w:color="auto"/>
            </w:tcBorders>
            <w:shd w:val="clear" w:color="auto" w:fill="auto"/>
            <w:noWrap/>
            <w:vAlign w:val="bottom"/>
            <w:hideMark/>
          </w:tcPr>
          <w:p w14:paraId="36DCFEB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72577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36CC1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991AD9B"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E6E161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 basaltica</w:t>
            </w:r>
          </w:p>
        </w:tc>
        <w:tc>
          <w:tcPr>
            <w:tcW w:w="2268" w:type="dxa"/>
            <w:tcBorders>
              <w:top w:val="nil"/>
              <w:left w:val="nil"/>
              <w:bottom w:val="single" w:sz="4" w:space="0" w:color="auto"/>
              <w:right w:val="single" w:sz="4" w:space="0" w:color="auto"/>
            </w:tcBorders>
            <w:shd w:val="clear" w:color="auto" w:fill="auto"/>
            <w:noWrap/>
            <w:vAlign w:val="bottom"/>
            <w:hideMark/>
          </w:tcPr>
          <w:p w14:paraId="305255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1ACFE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49B01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952B4AE"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4BDB6F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 goniocarpa</w:t>
            </w:r>
          </w:p>
        </w:tc>
        <w:tc>
          <w:tcPr>
            <w:tcW w:w="2268" w:type="dxa"/>
            <w:tcBorders>
              <w:top w:val="nil"/>
              <w:left w:val="nil"/>
              <w:bottom w:val="single" w:sz="4" w:space="0" w:color="auto"/>
              <w:right w:val="single" w:sz="4" w:space="0" w:color="auto"/>
            </w:tcBorders>
            <w:shd w:val="clear" w:color="auto" w:fill="auto"/>
            <w:noWrap/>
            <w:vAlign w:val="bottom"/>
            <w:hideMark/>
          </w:tcPr>
          <w:p w14:paraId="6D2159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3385BEC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CF40A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732B4D1"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4EA479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Brassica tournefortii</w:t>
            </w:r>
          </w:p>
        </w:tc>
        <w:tc>
          <w:tcPr>
            <w:tcW w:w="2268" w:type="dxa"/>
            <w:tcBorders>
              <w:top w:val="nil"/>
              <w:left w:val="nil"/>
              <w:bottom w:val="single" w:sz="4" w:space="0" w:color="auto"/>
              <w:right w:val="single" w:sz="4" w:space="0" w:color="auto"/>
            </w:tcBorders>
            <w:shd w:val="clear" w:color="auto" w:fill="auto"/>
            <w:noWrap/>
            <w:vAlign w:val="bottom"/>
            <w:hideMark/>
          </w:tcPr>
          <w:p w14:paraId="0ACA01B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02AFAA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83A7F4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BAA4268"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F4FB2D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Brassicaceae</w:t>
            </w:r>
          </w:p>
        </w:tc>
        <w:tc>
          <w:tcPr>
            <w:tcW w:w="2268" w:type="dxa"/>
            <w:tcBorders>
              <w:top w:val="nil"/>
              <w:left w:val="nil"/>
              <w:bottom w:val="single" w:sz="4" w:space="0" w:color="auto"/>
              <w:right w:val="single" w:sz="4" w:space="0" w:color="auto"/>
            </w:tcBorders>
            <w:shd w:val="clear" w:color="auto" w:fill="auto"/>
            <w:noWrap/>
            <w:vAlign w:val="bottom"/>
            <w:hideMark/>
          </w:tcPr>
          <w:p w14:paraId="4F8C675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5865B6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511AC9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6791B5F2"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DC24DA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Bulbine</w:t>
            </w:r>
          </w:p>
        </w:tc>
        <w:tc>
          <w:tcPr>
            <w:tcW w:w="2268" w:type="dxa"/>
            <w:tcBorders>
              <w:top w:val="nil"/>
              <w:left w:val="nil"/>
              <w:bottom w:val="single" w:sz="4" w:space="0" w:color="auto"/>
              <w:right w:val="single" w:sz="4" w:space="0" w:color="auto"/>
            </w:tcBorders>
            <w:shd w:val="clear" w:color="auto" w:fill="auto"/>
            <w:noWrap/>
            <w:vAlign w:val="bottom"/>
            <w:hideMark/>
          </w:tcPr>
          <w:p w14:paraId="422A9AA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Asphodelaceae</w:t>
            </w:r>
          </w:p>
        </w:tc>
        <w:tc>
          <w:tcPr>
            <w:tcW w:w="1701" w:type="dxa"/>
            <w:tcBorders>
              <w:top w:val="nil"/>
              <w:left w:val="nil"/>
              <w:bottom w:val="single" w:sz="4" w:space="0" w:color="auto"/>
              <w:right w:val="single" w:sz="4" w:space="0" w:color="auto"/>
            </w:tcBorders>
            <w:shd w:val="clear" w:color="auto" w:fill="auto"/>
            <w:noWrap/>
            <w:vAlign w:val="bottom"/>
            <w:hideMark/>
          </w:tcPr>
          <w:p w14:paraId="777C947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159A8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E9893EA"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FDE4F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Callitriche sonderi</w:t>
            </w:r>
          </w:p>
        </w:tc>
        <w:tc>
          <w:tcPr>
            <w:tcW w:w="2268" w:type="dxa"/>
            <w:tcBorders>
              <w:top w:val="nil"/>
              <w:left w:val="nil"/>
              <w:bottom w:val="single" w:sz="4" w:space="0" w:color="auto"/>
              <w:right w:val="single" w:sz="4" w:space="0" w:color="auto"/>
            </w:tcBorders>
            <w:shd w:val="clear" w:color="auto" w:fill="auto"/>
            <w:noWrap/>
            <w:vAlign w:val="bottom"/>
            <w:hideMark/>
          </w:tcPr>
          <w:p w14:paraId="364604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Callitrichaceae</w:t>
            </w:r>
          </w:p>
        </w:tc>
        <w:tc>
          <w:tcPr>
            <w:tcW w:w="1701" w:type="dxa"/>
            <w:tcBorders>
              <w:top w:val="nil"/>
              <w:left w:val="nil"/>
              <w:bottom w:val="single" w:sz="4" w:space="0" w:color="auto"/>
              <w:right w:val="single" w:sz="4" w:space="0" w:color="auto"/>
            </w:tcBorders>
            <w:shd w:val="clear" w:color="auto" w:fill="auto"/>
            <w:noWrap/>
            <w:vAlign w:val="bottom"/>
            <w:hideMark/>
          </w:tcPr>
          <w:p w14:paraId="3728108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70FA7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12A5385"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6F525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Calotis scabiosifolia</w:t>
            </w:r>
          </w:p>
        </w:tc>
        <w:tc>
          <w:tcPr>
            <w:tcW w:w="2268" w:type="dxa"/>
            <w:tcBorders>
              <w:top w:val="nil"/>
              <w:left w:val="nil"/>
              <w:bottom w:val="single" w:sz="4" w:space="0" w:color="auto"/>
              <w:right w:val="single" w:sz="4" w:space="0" w:color="auto"/>
            </w:tcBorders>
            <w:shd w:val="clear" w:color="auto" w:fill="auto"/>
            <w:noWrap/>
            <w:vAlign w:val="bottom"/>
            <w:hideMark/>
          </w:tcPr>
          <w:p w14:paraId="1FB7E29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C7CEA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F3C8E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CD467C1"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D2CB1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Calotis scapigera</w:t>
            </w:r>
          </w:p>
        </w:tc>
        <w:tc>
          <w:tcPr>
            <w:tcW w:w="2268" w:type="dxa"/>
            <w:tcBorders>
              <w:top w:val="nil"/>
              <w:left w:val="nil"/>
              <w:bottom w:val="single" w:sz="4" w:space="0" w:color="auto"/>
              <w:right w:val="single" w:sz="4" w:space="0" w:color="auto"/>
            </w:tcBorders>
            <w:shd w:val="clear" w:color="auto" w:fill="auto"/>
            <w:noWrap/>
            <w:vAlign w:val="bottom"/>
            <w:hideMark/>
          </w:tcPr>
          <w:p w14:paraId="04C701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18DE5F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BBB55B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2C861C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B9D573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Capsella bursa-pastoris</w:t>
            </w:r>
          </w:p>
        </w:tc>
        <w:tc>
          <w:tcPr>
            <w:tcW w:w="2268" w:type="dxa"/>
            <w:tcBorders>
              <w:top w:val="nil"/>
              <w:left w:val="nil"/>
              <w:bottom w:val="single" w:sz="4" w:space="0" w:color="auto"/>
              <w:right w:val="single" w:sz="4" w:space="0" w:color="auto"/>
            </w:tcBorders>
            <w:shd w:val="clear" w:color="auto" w:fill="auto"/>
            <w:noWrap/>
            <w:vAlign w:val="bottom"/>
            <w:hideMark/>
          </w:tcPr>
          <w:p w14:paraId="5E28B0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5A033E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97D9BA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3F2BB46"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C5B030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Cardamine hirsuta</w:t>
            </w:r>
          </w:p>
        </w:tc>
        <w:tc>
          <w:tcPr>
            <w:tcW w:w="2268" w:type="dxa"/>
            <w:tcBorders>
              <w:top w:val="nil"/>
              <w:left w:val="nil"/>
              <w:bottom w:val="single" w:sz="4" w:space="0" w:color="auto"/>
              <w:right w:val="single" w:sz="4" w:space="0" w:color="auto"/>
            </w:tcBorders>
            <w:shd w:val="clear" w:color="auto" w:fill="auto"/>
            <w:noWrap/>
            <w:vAlign w:val="bottom"/>
            <w:hideMark/>
          </w:tcPr>
          <w:p w14:paraId="1A8FFC3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20CA6C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0AB3A9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FA7724C"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20723C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Carrichtera annua</w:t>
            </w:r>
          </w:p>
        </w:tc>
        <w:tc>
          <w:tcPr>
            <w:tcW w:w="2268" w:type="dxa"/>
            <w:tcBorders>
              <w:top w:val="nil"/>
              <w:left w:val="nil"/>
              <w:bottom w:val="single" w:sz="4" w:space="0" w:color="auto"/>
              <w:right w:val="single" w:sz="4" w:space="0" w:color="auto"/>
            </w:tcBorders>
            <w:shd w:val="clear" w:color="auto" w:fill="auto"/>
            <w:noWrap/>
            <w:vAlign w:val="bottom"/>
            <w:hideMark/>
          </w:tcPr>
          <w:p w14:paraId="46F5523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C6064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8F665A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42831C2"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D875E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Centaurea melitensis</w:t>
            </w:r>
          </w:p>
        </w:tc>
        <w:tc>
          <w:tcPr>
            <w:tcW w:w="2268" w:type="dxa"/>
            <w:tcBorders>
              <w:top w:val="nil"/>
              <w:left w:val="nil"/>
              <w:bottom w:val="single" w:sz="4" w:space="0" w:color="auto"/>
              <w:right w:val="single" w:sz="4" w:space="0" w:color="auto"/>
            </w:tcBorders>
            <w:shd w:val="clear" w:color="auto" w:fill="auto"/>
            <w:noWrap/>
            <w:vAlign w:val="bottom"/>
            <w:hideMark/>
          </w:tcPr>
          <w:p w14:paraId="7C30AD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28D83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9F842D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164AC7D"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5098D3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Centipeda cunninghamii</w:t>
            </w:r>
          </w:p>
        </w:tc>
        <w:tc>
          <w:tcPr>
            <w:tcW w:w="2268" w:type="dxa"/>
            <w:tcBorders>
              <w:top w:val="nil"/>
              <w:left w:val="nil"/>
              <w:bottom w:val="single" w:sz="4" w:space="0" w:color="auto"/>
              <w:right w:val="single" w:sz="4" w:space="0" w:color="auto"/>
            </w:tcBorders>
            <w:shd w:val="clear" w:color="auto" w:fill="auto"/>
            <w:noWrap/>
            <w:vAlign w:val="bottom"/>
            <w:hideMark/>
          </w:tcPr>
          <w:p w14:paraId="2A7A164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8B538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B539AC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56B7537"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3A111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w:t>
            </w:r>
          </w:p>
        </w:tc>
        <w:tc>
          <w:tcPr>
            <w:tcW w:w="2268" w:type="dxa"/>
            <w:tcBorders>
              <w:top w:val="nil"/>
              <w:left w:val="nil"/>
              <w:bottom w:val="single" w:sz="4" w:space="0" w:color="auto"/>
              <w:right w:val="single" w:sz="4" w:space="0" w:color="auto"/>
            </w:tcBorders>
            <w:shd w:val="clear" w:color="auto" w:fill="auto"/>
            <w:noWrap/>
            <w:vAlign w:val="bottom"/>
            <w:hideMark/>
          </w:tcPr>
          <w:p w14:paraId="44AED62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25B84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BF0F1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E1D890B"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7C7E6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album</w:t>
            </w:r>
          </w:p>
        </w:tc>
        <w:tc>
          <w:tcPr>
            <w:tcW w:w="2268" w:type="dxa"/>
            <w:tcBorders>
              <w:top w:val="nil"/>
              <w:left w:val="nil"/>
              <w:bottom w:val="single" w:sz="4" w:space="0" w:color="auto"/>
              <w:right w:val="single" w:sz="4" w:space="0" w:color="auto"/>
            </w:tcBorders>
            <w:shd w:val="clear" w:color="auto" w:fill="auto"/>
            <w:noWrap/>
            <w:vAlign w:val="bottom"/>
            <w:hideMark/>
          </w:tcPr>
          <w:p w14:paraId="210B53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A8E19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869CE5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CC5EFE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1F2FA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melanocarpum</w:t>
            </w:r>
          </w:p>
        </w:tc>
        <w:tc>
          <w:tcPr>
            <w:tcW w:w="2268" w:type="dxa"/>
            <w:tcBorders>
              <w:top w:val="nil"/>
              <w:left w:val="nil"/>
              <w:bottom w:val="single" w:sz="4" w:space="0" w:color="auto"/>
              <w:right w:val="single" w:sz="4" w:space="0" w:color="auto"/>
            </w:tcBorders>
            <w:shd w:val="clear" w:color="auto" w:fill="auto"/>
            <w:noWrap/>
            <w:vAlign w:val="bottom"/>
            <w:hideMark/>
          </w:tcPr>
          <w:p w14:paraId="3D731C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40687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998FA4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708A38C"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09030C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murale</w:t>
            </w:r>
          </w:p>
        </w:tc>
        <w:tc>
          <w:tcPr>
            <w:tcW w:w="2268" w:type="dxa"/>
            <w:tcBorders>
              <w:top w:val="nil"/>
              <w:left w:val="nil"/>
              <w:bottom w:val="single" w:sz="4" w:space="0" w:color="auto"/>
              <w:right w:val="single" w:sz="4" w:space="0" w:color="auto"/>
            </w:tcBorders>
            <w:shd w:val="clear" w:color="auto" w:fill="auto"/>
            <w:noWrap/>
            <w:vAlign w:val="bottom"/>
            <w:hideMark/>
          </w:tcPr>
          <w:p w14:paraId="16AD0CC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7D0F6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69256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B6A646E"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17729A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nitrariaceum</w:t>
            </w:r>
          </w:p>
        </w:tc>
        <w:tc>
          <w:tcPr>
            <w:tcW w:w="2268" w:type="dxa"/>
            <w:tcBorders>
              <w:top w:val="nil"/>
              <w:left w:val="nil"/>
              <w:bottom w:val="single" w:sz="4" w:space="0" w:color="auto"/>
              <w:right w:val="single" w:sz="4" w:space="0" w:color="auto"/>
            </w:tcBorders>
            <w:shd w:val="clear" w:color="auto" w:fill="auto"/>
            <w:noWrap/>
            <w:vAlign w:val="bottom"/>
            <w:hideMark/>
          </w:tcPr>
          <w:p w14:paraId="63866FF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78257A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E6A9F3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42A71A6"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B9BC84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Cirsium vulgare</w:t>
            </w:r>
          </w:p>
        </w:tc>
        <w:tc>
          <w:tcPr>
            <w:tcW w:w="2268" w:type="dxa"/>
            <w:tcBorders>
              <w:top w:val="nil"/>
              <w:left w:val="nil"/>
              <w:bottom w:val="single" w:sz="4" w:space="0" w:color="auto"/>
              <w:right w:val="single" w:sz="4" w:space="0" w:color="auto"/>
            </w:tcBorders>
            <w:shd w:val="clear" w:color="auto" w:fill="auto"/>
            <w:noWrap/>
            <w:vAlign w:val="bottom"/>
            <w:hideMark/>
          </w:tcPr>
          <w:p w14:paraId="625FDA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25451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7B70AE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039AAA5"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B56C17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Convolvulus erubescens</w:t>
            </w:r>
          </w:p>
        </w:tc>
        <w:tc>
          <w:tcPr>
            <w:tcW w:w="2268" w:type="dxa"/>
            <w:tcBorders>
              <w:top w:val="nil"/>
              <w:left w:val="nil"/>
              <w:bottom w:val="single" w:sz="4" w:space="0" w:color="auto"/>
              <w:right w:val="single" w:sz="4" w:space="0" w:color="auto"/>
            </w:tcBorders>
            <w:shd w:val="clear" w:color="auto" w:fill="auto"/>
            <w:noWrap/>
            <w:vAlign w:val="bottom"/>
            <w:hideMark/>
          </w:tcPr>
          <w:p w14:paraId="4A4831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Convolvulaceae</w:t>
            </w:r>
          </w:p>
        </w:tc>
        <w:tc>
          <w:tcPr>
            <w:tcW w:w="1701" w:type="dxa"/>
            <w:tcBorders>
              <w:top w:val="nil"/>
              <w:left w:val="nil"/>
              <w:bottom w:val="single" w:sz="4" w:space="0" w:color="auto"/>
              <w:right w:val="single" w:sz="4" w:space="0" w:color="auto"/>
            </w:tcBorders>
            <w:shd w:val="clear" w:color="auto" w:fill="auto"/>
            <w:noWrap/>
            <w:vAlign w:val="bottom"/>
            <w:hideMark/>
          </w:tcPr>
          <w:p w14:paraId="4EB0CA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F50F7A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C9206FB"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F5441D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w:t>
            </w:r>
          </w:p>
        </w:tc>
        <w:tc>
          <w:tcPr>
            <w:tcW w:w="2268" w:type="dxa"/>
            <w:tcBorders>
              <w:top w:val="nil"/>
              <w:left w:val="nil"/>
              <w:bottom w:val="single" w:sz="4" w:space="0" w:color="auto"/>
              <w:right w:val="single" w:sz="4" w:space="0" w:color="auto"/>
            </w:tcBorders>
            <w:shd w:val="clear" w:color="auto" w:fill="auto"/>
            <w:noWrap/>
            <w:vAlign w:val="bottom"/>
            <w:hideMark/>
          </w:tcPr>
          <w:p w14:paraId="2E6F0D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56E87F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C63D29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93D06B0"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92279C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 bonariensis</w:t>
            </w:r>
          </w:p>
        </w:tc>
        <w:tc>
          <w:tcPr>
            <w:tcW w:w="2268" w:type="dxa"/>
            <w:tcBorders>
              <w:top w:val="nil"/>
              <w:left w:val="nil"/>
              <w:bottom w:val="single" w:sz="4" w:space="0" w:color="auto"/>
              <w:right w:val="single" w:sz="4" w:space="0" w:color="auto"/>
            </w:tcBorders>
            <w:shd w:val="clear" w:color="auto" w:fill="auto"/>
            <w:noWrap/>
            <w:vAlign w:val="bottom"/>
            <w:hideMark/>
          </w:tcPr>
          <w:p w14:paraId="1AA713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6A2E1A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1B85FB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9E2C88C"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536568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 sumatrensis</w:t>
            </w:r>
          </w:p>
        </w:tc>
        <w:tc>
          <w:tcPr>
            <w:tcW w:w="2268" w:type="dxa"/>
            <w:tcBorders>
              <w:top w:val="nil"/>
              <w:left w:val="nil"/>
              <w:bottom w:val="single" w:sz="4" w:space="0" w:color="auto"/>
              <w:right w:val="single" w:sz="4" w:space="0" w:color="auto"/>
            </w:tcBorders>
            <w:shd w:val="clear" w:color="auto" w:fill="auto"/>
            <w:noWrap/>
            <w:vAlign w:val="bottom"/>
            <w:hideMark/>
          </w:tcPr>
          <w:p w14:paraId="20A303B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8D248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636A84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310AE74E"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34560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Coronidium rutidolepis</w:t>
            </w:r>
          </w:p>
        </w:tc>
        <w:tc>
          <w:tcPr>
            <w:tcW w:w="2268" w:type="dxa"/>
            <w:tcBorders>
              <w:top w:val="nil"/>
              <w:left w:val="nil"/>
              <w:bottom w:val="single" w:sz="4" w:space="0" w:color="auto"/>
              <w:right w:val="single" w:sz="4" w:space="0" w:color="auto"/>
            </w:tcBorders>
            <w:shd w:val="clear" w:color="auto" w:fill="auto"/>
            <w:noWrap/>
            <w:vAlign w:val="bottom"/>
            <w:hideMark/>
          </w:tcPr>
          <w:p w14:paraId="6ED5736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DBA2C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A56DA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EC9FADD"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5868E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Cucumis myriocarpus</w:t>
            </w:r>
          </w:p>
        </w:tc>
        <w:tc>
          <w:tcPr>
            <w:tcW w:w="2268" w:type="dxa"/>
            <w:tcBorders>
              <w:top w:val="nil"/>
              <w:left w:val="nil"/>
              <w:bottom w:val="single" w:sz="4" w:space="0" w:color="auto"/>
              <w:right w:val="single" w:sz="4" w:space="0" w:color="auto"/>
            </w:tcBorders>
            <w:shd w:val="clear" w:color="auto" w:fill="auto"/>
            <w:noWrap/>
            <w:vAlign w:val="bottom"/>
            <w:hideMark/>
          </w:tcPr>
          <w:p w14:paraId="7CBCA63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Cucurbitaceae</w:t>
            </w:r>
          </w:p>
        </w:tc>
        <w:tc>
          <w:tcPr>
            <w:tcW w:w="1701" w:type="dxa"/>
            <w:tcBorders>
              <w:top w:val="nil"/>
              <w:left w:val="nil"/>
              <w:bottom w:val="single" w:sz="4" w:space="0" w:color="auto"/>
              <w:right w:val="single" w:sz="4" w:space="0" w:color="auto"/>
            </w:tcBorders>
            <w:shd w:val="clear" w:color="auto" w:fill="auto"/>
            <w:noWrap/>
            <w:vAlign w:val="bottom"/>
            <w:hideMark/>
          </w:tcPr>
          <w:p w14:paraId="6C41F02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8A64C4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B3D48BD"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5A9E8C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Cynodon dactylon</w:t>
            </w:r>
          </w:p>
        </w:tc>
        <w:tc>
          <w:tcPr>
            <w:tcW w:w="2268" w:type="dxa"/>
            <w:tcBorders>
              <w:top w:val="nil"/>
              <w:left w:val="nil"/>
              <w:bottom w:val="single" w:sz="4" w:space="0" w:color="auto"/>
              <w:right w:val="single" w:sz="4" w:space="0" w:color="auto"/>
            </w:tcBorders>
            <w:shd w:val="clear" w:color="auto" w:fill="auto"/>
            <w:noWrap/>
            <w:vAlign w:val="bottom"/>
            <w:hideMark/>
          </w:tcPr>
          <w:p w14:paraId="6253AA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EBD0D4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5B3512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5256ED6"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91C795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 difformis</w:t>
            </w:r>
          </w:p>
        </w:tc>
        <w:tc>
          <w:tcPr>
            <w:tcW w:w="2268" w:type="dxa"/>
            <w:tcBorders>
              <w:top w:val="nil"/>
              <w:left w:val="nil"/>
              <w:bottom w:val="single" w:sz="4" w:space="0" w:color="auto"/>
              <w:right w:val="single" w:sz="4" w:space="0" w:color="auto"/>
            </w:tcBorders>
            <w:shd w:val="clear" w:color="auto" w:fill="auto"/>
            <w:noWrap/>
            <w:vAlign w:val="bottom"/>
            <w:hideMark/>
          </w:tcPr>
          <w:p w14:paraId="5468C4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24BC78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0324F9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27923CC"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19ED0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 gymnocaulos</w:t>
            </w:r>
          </w:p>
        </w:tc>
        <w:tc>
          <w:tcPr>
            <w:tcW w:w="2268" w:type="dxa"/>
            <w:tcBorders>
              <w:top w:val="nil"/>
              <w:left w:val="nil"/>
              <w:bottom w:val="single" w:sz="4" w:space="0" w:color="auto"/>
              <w:right w:val="single" w:sz="4" w:space="0" w:color="auto"/>
            </w:tcBorders>
            <w:shd w:val="clear" w:color="auto" w:fill="auto"/>
            <w:noWrap/>
            <w:vAlign w:val="bottom"/>
            <w:hideMark/>
          </w:tcPr>
          <w:p w14:paraId="45A7AF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4CF1F52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955FA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082775E"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5F34A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Daucus glochidiatus</w:t>
            </w:r>
          </w:p>
        </w:tc>
        <w:tc>
          <w:tcPr>
            <w:tcW w:w="2268" w:type="dxa"/>
            <w:tcBorders>
              <w:top w:val="nil"/>
              <w:left w:val="nil"/>
              <w:bottom w:val="single" w:sz="4" w:space="0" w:color="auto"/>
              <w:right w:val="single" w:sz="4" w:space="0" w:color="auto"/>
            </w:tcBorders>
            <w:shd w:val="clear" w:color="auto" w:fill="auto"/>
            <w:noWrap/>
            <w:vAlign w:val="bottom"/>
            <w:hideMark/>
          </w:tcPr>
          <w:p w14:paraId="5B72F78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Apiaceae</w:t>
            </w:r>
          </w:p>
        </w:tc>
        <w:tc>
          <w:tcPr>
            <w:tcW w:w="1701" w:type="dxa"/>
            <w:tcBorders>
              <w:top w:val="nil"/>
              <w:left w:val="nil"/>
              <w:bottom w:val="single" w:sz="4" w:space="0" w:color="auto"/>
              <w:right w:val="single" w:sz="4" w:space="0" w:color="auto"/>
            </w:tcBorders>
            <w:shd w:val="clear" w:color="auto" w:fill="auto"/>
            <w:noWrap/>
            <w:vAlign w:val="bottom"/>
            <w:hideMark/>
          </w:tcPr>
          <w:p w14:paraId="648DE2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2401C1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E011353" w14:textId="77777777" w:rsidTr="00455FA8">
        <w:trPr>
          <w:trHeight w:val="255"/>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2A494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Duma florulenta</w:t>
            </w:r>
          </w:p>
        </w:tc>
        <w:tc>
          <w:tcPr>
            <w:tcW w:w="2268" w:type="dxa"/>
            <w:tcBorders>
              <w:top w:val="nil"/>
              <w:left w:val="nil"/>
              <w:bottom w:val="single" w:sz="4" w:space="0" w:color="auto"/>
              <w:right w:val="single" w:sz="4" w:space="0" w:color="auto"/>
            </w:tcBorders>
            <w:shd w:val="clear" w:color="auto" w:fill="auto"/>
            <w:noWrap/>
            <w:vAlign w:val="bottom"/>
            <w:hideMark/>
          </w:tcPr>
          <w:p w14:paraId="594949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6B8F32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F8B4C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D5A11A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A4F238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Dysphania pumilio</w:t>
            </w:r>
          </w:p>
        </w:tc>
        <w:tc>
          <w:tcPr>
            <w:tcW w:w="2268" w:type="dxa"/>
            <w:tcBorders>
              <w:top w:val="nil"/>
              <w:left w:val="nil"/>
              <w:bottom w:val="single" w:sz="4" w:space="0" w:color="auto"/>
              <w:right w:val="single" w:sz="4" w:space="0" w:color="auto"/>
            </w:tcBorders>
            <w:shd w:val="clear" w:color="auto" w:fill="auto"/>
            <w:noWrap/>
            <w:vAlign w:val="bottom"/>
            <w:hideMark/>
          </w:tcPr>
          <w:p w14:paraId="6911E93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F2D15F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B13C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CBE4B2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363CCF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Echium plantagineum</w:t>
            </w:r>
          </w:p>
        </w:tc>
        <w:tc>
          <w:tcPr>
            <w:tcW w:w="2268" w:type="dxa"/>
            <w:tcBorders>
              <w:top w:val="nil"/>
              <w:left w:val="nil"/>
              <w:bottom w:val="single" w:sz="4" w:space="0" w:color="auto"/>
              <w:right w:val="single" w:sz="4" w:space="0" w:color="auto"/>
            </w:tcBorders>
            <w:shd w:val="clear" w:color="auto" w:fill="auto"/>
            <w:noWrap/>
            <w:vAlign w:val="bottom"/>
            <w:hideMark/>
          </w:tcPr>
          <w:p w14:paraId="66BC15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5887FE1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2B508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5A3EA5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B54E80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Eclipta platyglossa</w:t>
            </w:r>
          </w:p>
        </w:tc>
        <w:tc>
          <w:tcPr>
            <w:tcW w:w="2268" w:type="dxa"/>
            <w:tcBorders>
              <w:top w:val="nil"/>
              <w:left w:val="nil"/>
              <w:bottom w:val="single" w:sz="4" w:space="0" w:color="auto"/>
              <w:right w:val="single" w:sz="4" w:space="0" w:color="auto"/>
            </w:tcBorders>
            <w:shd w:val="clear" w:color="auto" w:fill="auto"/>
            <w:noWrap/>
            <w:vAlign w:val="bottom"/>
            <w:hideMark/>
          </w:tcPr>
          <w:p w14:paraId="335774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3D24A43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1BC73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6EB3B7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62071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Einadia</w:t>
            </w:r>
          </w:p>
        </w:tc>
        <w:tc>
          <w:tcPr>
            <w:tcW w:w="2268" w:type="dxa"/>
            <w:tcBorders>
              <w:top w:val="nil"/>
              <w:left w:val="nil"/>
              <w:bottom w:val="single" w:sz="4" w:space="0" w:color="auto"/>
              <w:right w:val="single" w:sz="4" w:space="0" w:color="auto"/>
            </w:tcBorders>
            <w:shd w:val="clear" w:color="auto" w:fill="auto"/>
            <w:noWrap/>
            <w:vAlign w:val="bottom"/>
            <w:hideMark/>
          </w:tcPr>
          <w:p w14:paraId="47B6BE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8A496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D2671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560BEB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54708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Einadia nutans</w:t>
            </w:r>
          </w:p>
        </w:tc>
        <w:tc>
          <w:tcPr>
            <w:tcW w:w="2268" w:type="dxa"/>
            <w:tcBorders>
              <w:top w:val="nil"/>
              <w:left w:val="nil"/>
              <w:bottom w:val="single" w:sz="4" w:space="0" w:color="auto"/>
              <w:right w:val="single" w:sz="4" w:space="0" w:color="auto"/>
            </w:tcBorders>
            <w:shd w:val="clear" w:color="auto" w:fill="auto"/>
            <w:noWrap/>
            <w:vAlign w:val="bottom"/>
            <w:hideMark/>
          </w:tcPr>
          <w:p w14:paraId="776E15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554758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D0BB6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6D73C8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82638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w:t>
            </w:r>
          </w:p>
        </w:tc>
        <w:tc>
          <w:tcPr>
            <w:tcW w:w="2268" w:type="dxa"/>
            <w:tcBorders>
              <w:top w:val="nil"/>
              <w:left w:val="nil"/>
              <w:bottom w:val="single" w:sz="4" w:space="0" w:color="auto"/>
              <w:right w:val="single" w:sz="4" w:space="0" w:color="auto"/>
            </w:tcBorders>
            <w:shd w:val="clear" w:color="auto" w:fill="auto"/>
            <w:noWrap/>
            <w:vAlign w:val="bottom"/>
            <w:hideMark/>
          </w:tcPr>
          <w:p w14:paraId="343015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33B937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3A11C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FF7C5F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39A25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 acuta</w:t>
            </w:r>
          </w:p>
        </w:tc>
        <w:tc>
          <w:tcPr>
            <w:tcW w:w="2268" w:type="dxa"/>
            <w:tcBorders>
              <w:top w:val="nil"/>
              <w:left w:val="nil"/>
              <w:bottom w:val="single" w:sz="4" w:space="0" w:color="auto"/>
              <w:right w:val="single" w:sz="4" w:space="0" w:color="auto"/>
            </w:tcBorders>
            <w:shd w:val="clear" w:color="auto" w:fill="auto"/>
            <w:noWrap/>
            <w:vAlign w:val="bottom"/>
            <w:hideMark/>
          </w:tcPr>
          <w:p w14:paraId="1014DB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0B3F95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15E76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4410EF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F73338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 plana</w:t>
            </w:r>
          </w:p>
        </w:tc>
        <w:tc>
          <w:tcPr>
            <w:tcW w:w="2268" w:type="dxa"/>
            <w:tcBorders>
              <w:top w:val="nil"/>
              <w:left w:val="nil"/>
              <w:bottom w:val="single" w:sz="4" w:space="0" w:color="auto"/>
              <w:right w:val="single" w:sz="4" w:space="0" w:color="auto"/>
            </w:tcBorders>
            <w:shd w:val="clear" w:color="auto" w:fill="auto"/>
            <w:noWrap/>
            <w:vAlign w:val="bottom"/>
            <w:hideMark/>
          </w:tcPr>
          <w:p w14:paraId="218DB4B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45A9A0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2D5198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AA8BFB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EE8A33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 pusilla</w:t>
            </w:r>
          </w:p>
        </w:tc>
        <w:tc>
          <w:tcPr>
            <w:tcW w:w="2268" w:type="dxa"/>
            <w:tcBorders>
              <w:top w:val="nil"/>
              <w:left w:val="nil"/>
              <w:bottom w:val="single" w:sz="4" w:space="0" w:color="auto"/>
              <w:right w:val="single" w:sz="4" w:space="0" w:color="auto"/>
            </w:tcBorders>
            <w:shd w:val="clear" w:color="auto" w:fill="auto"/>
            <w:noWrap/>
            <w:vAlign w:val="bottom"/>
            <w:hideMark/>
          </w:tcPr>
          <w:p w14:paraId="7DC9CA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416D243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31368D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461ED7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6CEB1C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Enchylaena tomentosa</w:t>
            </w:r>
          </w:p>
        </w:tc>
        <w:tc>
          <w:tcPr>
            <w:tcW w:w="2268" w:type="dxa"/>
            <w:tcBorders>
              <w:top w:val="nil"/>
              <w:left w:val="nil"/>
              <w:bottom w:val="single" w:sz="4" w:space="0" w:color="auto"/>
              <w:right w:val="single" w:sz="4" w:space="0" w:color="auto"/>
            </w:tcBorders>
            <w:shd w:val="clear" w:color="auto" w:fill="auto"/>
            <w:noWrap/>
            <w:vAlign w:val="bottom"/>
            <w:hideMark/>
          </w:tcPr>
          <w:p w14:paraId="22862BC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049618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A2E7C4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74BAEF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E06B0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Epaltes australis</w:t>
            </w:r>
          </w:p>
        </w:tc>
        <w:tc>
          <w:tcPr>
            <w:tcW w:w="2268" w:type="dxa"/>
            <w:tcBorders>
              <w:top w:val="nil"/>
              <w:left w:val="nil"/>
              <w:bottom w:val="single" w:sz="4" w:space="0" w:color="auto"/>
              <w:right w:val="single" w:sz="4" w:space="0" w:color="auto"/>
            </w:tcBorders>
            <w:shd w:val="clear" w:color="auto" w:fill="auto"/>
            <w:noWrap/>
            <w:vAlign w:val="bottom"/>
            <w:hideMark/>
          </w:tcPr>
          <w:p w14:paraId="3B7732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6E9953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A0D9CF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9E1F37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83D72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Eragrostis</w:t>
            </w:r>
          </w:p>
        </w:tc>
        <w:tc>
          <w:tcPr>
            <w:tcW w:w="2268" w:type="dxa"/>
            <w:tcBorders>
              <w:top w:val="nil"/>
              <w:left w:val="nil"/>
              <w:bottom w:val="single" w:sz="4" w:space="0" w:color="auto"/>
              <w:right w:val="single" w:sz="4" w:space="0" w:color="auto"/>
            </w:tcBorders>
            <w:shd w:val="clear" w:color="auto" w:fill="auto"/>
            <w:noWrap/>
            <w:vAlign w:val="bottom"/>
            <w:hideMark/>
          </w:tcPr>
          <w:p w14:paraId="25E2C1F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073750A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01D2A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A9BA32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46A4A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Eragrostis australasica</w:t>
            </w:r>
          </w:p>
        </w:tc>
        <w:tc>
          <w:tcPr>
            <w:tcW w:w="2268" w:type="dxa"/>
            <w:tcBorders>
              <w:top w:val="nil"/>
              <w:left w:val="nil"/>
              <w:bottom w:val="single" w:sz="4" w:space="0" w:color="auto"/>
              <w:right w:val="single" w:sz="4" w:space="0" w:color="auto"/>
            </w:tcBorders>
            <w:shd w:val="clear" w:color="auto" w:fill="auto"/>
            <w:noWrap/>
            <w:vAlign w:val="bottom"/>
            <w:hideMark/>
          </w:tcPr>
          <w:p w14:paraId="1D2774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0DBBD0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93112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DCEEE6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CEEFB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Erodium crinitum</w:t>
            </w:r>
          </w:p>
        </w:tc>
        <w:tc>
          <w:tcPr>
            <w:tcW w:w="2268" w:type="dxa"/>
            <w:tcBorders>
              <w:top w:val="nil"/>
              <w:left w:val="nil"/>
              <w:bottom w:val="single" w:sz="4" w:space="0" w:color="auto"/>
              <w:right w:val="single" w:sz="4" w:space="0" w:color="auto"/>
            </w:tcBorders>
            <w:shd w:val="clear" w:color="auto" w:fill="auto"/>
            <w:noWrap/>
            <w:vAlign w:val="bottom"/>
            <w:hideMark/>
          </w:tcPr>
          <w:p w14:paraId="70D077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088F33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8BB8AF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AB19C5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69D137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Erodium malacoides</w:t>
            </w:r>
          </w:p>
        </w:tc>
        <w:tc>
          <w:tcPr>
            <w:tcW w:w="2268" w:type="dxa"/>
            <w:tcBorders>
              <w:top w:val="nil"/>
              <w:left w:val="nil"/>
              <w:bottom w:val="single" w:sz="4" w:space="0" w:color="auto"/>
              <w:right w:val="single" w:sz="4" w:space="0" w:color="auto"/>
            </w:tcBorders>
            <w:shd w:val="clear" w:color="auto" w:fill="auto"/>
            <w:noWrap/>
            <w:vAlign w:val="bottom"/>
            <w:hideMark/>
          </w:tcPr>
          <w:p w14:paraId="230107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79815E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31EABC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087D5D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C7400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Eucalyptus camaldulensis</w:t>
            </w:r>
          </w:p>
        </w:tc>
        <w:tc>
          <w:tcPr>
            <w:tcW w:w="2268" w:type="dxa"/>
            <w:tcBorders>
              <w:top w:val="nil"/>
              <w:left w:val="nil"/>
              <w:bottom w:val="single" w:sz="4" w:space="0" w:color="auto"/>
              <w:right w:val="single" w:sz="4" w:space="0" w:color="auto"/>
            </w:tcBorders>
            <w:shd w:val="clear" w:color="auto" w:fill="auto"/>
            <w:noWrap/>
            <w:vAlign w:val="bottom"/>
            <w:hideMark/>
          </w:tcPr>
          <w:p w14:paraId="18EFE3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Myrtaceae</w:t>
            </w:r>
          </w:p>
        </w:tc>
        <w:tc>
          <w:tcPr>
            <w:tcW w:w="1701" w:type="dxa"/>
            <w:tcBorders>
              <w:top w:val="nil"/>
              <w:left w:val="nil"/>
              <w:bottom w:val="single" w:sz="4" w:space="0" w:color="auto"/>
              <w:right w:val="single" w:sz="4" w:space="0" w:color="auto"/>
            </w:tcBorders>
            <w:shd w:val="clear" w:color="auto" w:fill="auto"/>
            <w:noWrap/>
            <w:vAlign w:val="bottom"/>
            <w:hideMark/>
          </w:tcPr>
          <w:p w14:paraId="45EDC3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D646BC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E634D3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623481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Eucalyptus largiflorens</w:t>
            </w:r>
          </w:p>
        </w:tc>
        <w:tc>
          <w:tcPr>
            <w:tcW w:w="2268" w:type="dxa"/>
            <w:tcBorders>
              <w:top w:val="nil"/>
              <w:left w:val="nil"/>
              <w:bottom w:val="single" w:sz="4" w:space="0" w:color="auto"/>
              <w:right w:val="single" w:sz="4" w:space="0" w:color="auto"/>
            </w:tcBorders>
            <w:shd w:val="clear" w:color="auto" w:fill="auto"/>
            <w:noWrap/>
            <w:vAlign w:val="bottom"/>
            <w:hideMark/>
          </w:tcPr>
          <w:p w14:paraId="6291498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Myrtaceae</w:t>
            </w:r>
          </w:p>
        </w:tc>
        <w:tc>
          <w:tcPr>
            <w:tcW w:w="1701" w:type="dxa"/>
            <w:tcBorders>
              <w:top w:val="nil"/>
              <w:left w:val="nil"/>
              <w:bottom w:val="single" w:sz="4" w:space="0" w:color="auto"/>
              <w:right w:val="single" w:sz="4" w:space="0" w:color="auto"/>
            </w:tcBorders>
            <w:shd w:val="clear" w:color="auto" w:fill="auto"/>
            <w:noWrap/>
            <w:vAlign w:val="bottom"/>
            <w:hideMark/>
          </w:tcPr>
          <w:p w14:paraId="7ABFDD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D9E56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27644E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295989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Euchiton sphaericus</w:t>
            </w:r>
          </w:p>
        </w:tc>
        <w:tc>
          <w:tcPr>
            <w:tcW w:w="2268" w:type="dxa"/>
            <w:tcBorders>
              <w:top w:val="nil"/>
              <w:left w:val="nil"/>
              <w:bottom w:val="single" w:sz="4" w:space="0" w:color="auto"/>
              <w:right w:val="single" w:sz="4" w:space="0" w:color="auto"/>
            </w:tcBorders>
            <w:shd w:val="clear" w:color="auto" w:fill="auto"/>
            <w:noWrap/>
            <w:vAlign w:val="bottom"/>
            <w:hideMark/>
          </w:tcPr>
          <w:p w14:paraId="300A89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F4AE9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7E2CA4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62A946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E3E469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Euphorbia drummondii</w:t>
            </w:r>
          </w:p>
        </w:tc>
        <w:tc>
          <w:tcPr>
            <w:tcW w:w="2268" w:type="dxa"/>
            <w:tcBorders>
              <w:top w:val="nil"/>
              <w:left w:val="nil"/>
              <w:bottom w:val="single" w:sz="4" w:space="0" w:color="auto"/>
              <w:right w:val="single" w:sz="4" w:space="0" w:color="auto"/>
            </w:tcBorders>
            <w:shd w:val="clear" w:color="auto" w:fill="auto"/>
            <w:noWrap/>
            <w:vAlign w:val="bottom"/>
            <w:hideMark/>
          </w:tcPr>
          <w:p w14:paraId="762694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Euphorbiaceae</w:t>
            </w:r>
          </w:p>
        </w:tc>
        <w:tc>
          <w:tcPr>
            <w:tcW w:w="1701" w:type="dxa"/>
            <w:tcBorders>
              <w:top w:val="nil"/>
              <w:left w:val="nil"/>
              <w:bottom w:val="single" w:sz="4" w:space="0" w:color="auto"/>
              <w:right w:val="single" w:sz="4" w:space="0" w:color="auto"/>
            </w:tcBorders>
            <w:shd w:val="clear" w:color="auto" w:fill="auto"/>
            <w:noWrap/>
            <w:vAlign w:val="bottom"/>
            <w:hideMark/>
          </w:tcPr>
          <w:p w14:paraId="412C16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37838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F0A9A4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A8B577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Euphorbia planiticola</w:t>
            </w:r>
          </w:p>
        </w:tc>
        <w:tc>
          <w:tcPr>
            <w:tcW w:w="2268" w:type="dxa"/>
            <w:tcBorders>
              <w:top w:val="nil"/>
              <w:left w:val="nil"/>
              <w:bottom w:val="single" w:sz="4" w:space="0" w:color="auto"/>
              <w:right w:val="single" w:sz="4" w:space="0" w:color="auto"/>
            </w:tcBorders>
            <w:shd w:val="clear" w:color="auto" w:fill="auto"/>
            <w:noWrap/>
            <w:vAlign w:val="bottom"/>
            <w:hideMark/>
          </w:tcPr>
          <w:p w14:paraId="7EA7E86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Euphorbiaceae</w:t>
            </w:r>
          </w:p>
        </w:tc>
        <w:tc>
          <w:tcPr>
            <w:tcW w:w="1701" w:type="dxa"/>
            <w:tcBorders>
              <w:top w:val="nil"/>
              <w:left w:val="nil"/>
              <w:bottom w:val="single" w:sz="4" w:space="0" w:color="auto"/>
              <w:right w:val="single" w:sz="4" w:space="0" w:color="auto"/>
            </w:tcBorders>
            <w:shd w:val="clear" w:color="auto" w:fill="auto"/>
            <w:noWrap/>
            <w:vAlign w:val="bottom"/>
            <w:hideMark/>
          </w:tcPr>
          <w:p w14:paraId="0A8B34F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97B020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BDDE49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4CD11F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Fabaceae</w:t>
            </w:r>
          </w:p>
        </w:tc>
        <w:tc>
          <w:tcPr>
            <w:tcW w:w="2268" w:type="dxa"/>
            <w:tcBorders>
              <w:top w:val="nil"/>
              <w:left w:val="nil"/>
              <w:bottom w:val="single" w:sz="4" w:space="0" w:color="auto"/>
              <w:right w:val="single" w:sz="4" w:space="0" w:color="auto"/>
            </w:tcBorders>
            <w:shd w:val="clear" w:color="auto" w:fill="auto"/>
            <w:noWrap/>
            <w:vAlign w:val="bottom"/>
            <w:hideMark/>
          </w:tcPr>
          <w:p w14:paraId="7A374D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w:t>
            </w:r>
          </w:p>
        </w:tc>
        <w:tc>
          <w:tcPr>
            <w:tcW w:w="1701" w:type="dxa"/>
            <w:tcBorders>
              <w:top w:val="nil"/>
              <w:left w:val="nil"/>
              <w:bottom w:val="single" w:sz="4" w:space="0" w:color="auto"/>
              <w:right w:val="single" w:sz="4" w:space="0" w:color="auto"/>
            </w:tcBorders>
            <w:shd w:val="clear" w:color="auto" w:fill="auto"/>
            <w:noWrap/>
            <w:vAlign w:val="bottom"/>
            <w:hideMark/>
          </w:tcPr>
          <w:p w14:paraId="3698C1B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1D4D5C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2C045CA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A96FE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Fumaria</w:t>
            </w:r>
          </w:p>
        </w:tc>
        <w:tc>
          <w:tcPr>
            <w:tcW w:w="2268" w:type="dxa"/>
            <w:tcBorders>
              <w:top w:val="nil"/>
              <w:left w:val="nil"/>
              <w:bottom w:val="single" w:sz="4" w:space="0" w:color="auto"/>
              <w:right w:val="single" w:sz="4" w:space="0" w:color="auto"/>
            </w:tcBorders>
            <w:shd w:val="clear" w:color="auto" w:fill="auto"/>
            <w:noWrap/>
            <w:vAlign w:val="bottom"/>
            <w:hideMark/>
          </w:tcPr>
          <w:p w14:paraId="1DBA9E3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Fumariaceae</w:t>
            </w:r>
          </w:p>
        </w:tc>
        <w:tc>
          <w:tcPr>
            <w:tcW w:w="1701" w:type="dxa"/>
            <w:tcBorders>
              <w:top w:val="nil"/>
              <w:left w:val="nil"/>
              <w:bottom w:val="single" w:sz="4" w:space="0" w:color="auto"/>
              <w:right w:val="single" w:sz="4" w:space="0" w:color="auto"/>
            </w:tcBorders>
            <w:shd w:val="clear" w:color="auto" w:fill="auto"/>
            <w:noWrap/>
            <w:vAlign w:val="bottom"/>
            <w:hideMark/>
          </w:tcPr>
          <w:p w14:paraId="1B53D13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98CDCE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F3ED62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E63ED9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Fumaria capreolata</w:t>
            </w:r>
          </w:p>
        </w:tc>
        <w:tc>
          <w:tcPr>
            <w:tcW w:w="2268" w:type="dxa"/>
            <w:tcBorders>
              <w:top w:val="nil"/>
              <w:left w:val="nil"/>
              <w:bottom w:val="single" w:sz="4" w:space="0" w:color="auto"/>
              <w:right w:val="single" w:sz="4" w:space="0" w:color="auto"/>
            </w:tcBorders>
            <w:shd w:val="clear" w:color="auto" w:fill="auto"/>
            <w:noWrap/>
            <w:vAlign w:val="bottom"/>
            <w:hideMark/>
          </w:tcPr>
          <w:p w14:paraId="1A9F12D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Fumariaceae</w:t>
            </w:r>
          </w:p>
        </w:tc>
        <w:tc>
          <w:tcPr>
            <w:tcW w:w="1701" w:type="dxa"/>
            <w:tcBorders>
              <w:top w:val="nil"/>
              <w:left w:val="nil"/>
              <w:bottom w:val="single" w:sz="4" w:space="0" w:color="auto"/>
              <w:right w:val="single" w:sz="4" w:space="0" w:color="auto"/>
            </w:tcBorders>
            <w:shd w:val="clear" w:color="auto" w:fill="auto"/>
            <w:noWrap/>
            <w:vAlign w:val="bottom"/>
            <w:hideMark/>
          </w:tcPr>
          <w:p w14:paraId="63A2E9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BF2DE1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5B8DD8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8AB2A4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 aparine</w:t>
            </w:r>
          </w:p>
        </w:tc>
        <w:tc>
          <w:tcPr>
            <w:tcW w:w="2268" w:type="dxa"/>
            <w:tcBorders>
              <w:top w:val="nil"/>
              <w:left w:val="nil"/>
              <w:bottom w:val="single" w:sz="4" w:space="0" w:color="auto"/>
              <w:right w:val="single" w:sz="4" w:space="0" w:color="auto"/>
            </w:tcBorders>
            <w:shd w:val="clear" w:color="auto" w:fill="auto"/>
            <w:noWrap/>
            <w:vAlign w:val="bottom"/>
            <w:hideMark/>
          </w:tcPr>
          <w:p w14:paraId="7981CCE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039E44A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9BBD3C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5027C1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17422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 gaudichaudii</w:t>
            </w:r>
          </w:p>
        </w:tc>
        <w:tc>
          <w:tcPr>
            <w:tcW w:w="2268" w:type="dxa"/>
            <w:tcBorders>
              <w:top w:val="nil"/>
              <w:left w:val="nil"/>
              <w:bottom w:val="single" w:sz="4" w:space="0" w:color="auto"/>
              <w:right w:val="single" w:sz="4" w:space="0" w:color="auto"/>
            </w:tcBorders>
            <w:shd w:val="clear" w:color="auto" w:fill="auto"/>
            <w:noWrap/>
            <w:vAlign w:val="bottom"/>
            <w:hideMark/>
          </w:tcPr>
          <w:p w14:paraId="1751E8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3C5611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CF4C3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73A268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B5F4E7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Geococcus pusillus</w:t>
            </w:r>
          </w:p>
        </w:tc>
        <w:tc>
          <w:tcPr>
            <w:tcW w:w="2268" w:type="dxa"/>
            <w:tcBorders>
              <w:top w:val="nil"/>
              <w:left w:val="nil"/>
              <w:bottom w:val="single" w:sz="4" w:space="0" w:color="auto"/>
              <w:right w:val="single" w:sz="4" w:space="0" w:color="auto"/>
            </w:tcBorders>
            <w:shd w:val="clear" w:color="auto" w:fill="auto"/>
            <w:noWrap/>
            <w:vAlign w:val="bottom"/>
            <w:hideMark/>
          </w:tcPr>
          <w:p w14:paraId="025198A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0F59F0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8664A3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3414F5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CE5D1C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Geraniaceae</w:t>
            </w:r>
          </w:p>
        </w:tc>
        <w:tc>
          <w:tcPr>
            <w:tcW w:w="2268" w:type="dxa"/>
            <w:tcBorders>
              <w:top w:val="nil"/>
              <w:left w:val="nil"/>
              <w:bottom w:val="single" w:sz="4" w:space="0" w:color="auto"/>
              <w:right w:val="single" w:sz="4" w:space="0" w:color="auto"/>
            </w:tcBorders>
            <w:shd w:val="clear" w:color="auto" w:fill="auto"/>
            <w:noWrap/>
            <w:vAlign w:val="bottom"/>
            <w:hideMark/>
          </w:tcPr>
          <w:p w14:paraId="47ACAD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468835E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288C02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27340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B8DCA7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Geranium solanderi</w:t>
            </w:r>
          </w:p>
        </w:tc>
        <w:tc>
          <w:tcPr>
            <w:tcW w:w="2268" w:type="dxa"/>
            <w:tcBorders>
              <w:top w:val="nil"/>
              <w:left w:val="nil"/>
              <w:bottom w:val="single" w:sz="4" w:space="0" w:color="auto"/>
              <w:right w:val="single" w:sz="4" w:space="0" w:color="auto"/>
            </w:tcBorders>
            <w:shd w:val="clear" w:color="auto" w:fill="auto"/>
            <w:noWrap/>
            <w:vAlign w:val="bottom"/>
            <w:hideMark/>
          </w:tcPr>
          <w:p w14:paraId="099C4B5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4C02FD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9C700B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6B898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A71D41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Glinus lotoides</w:t>
            </w:r>
          </w:p>
        </w:tc>
        <w:tc>
          <w:tcPr>
            <w:tcW w:w="2268" w:type="dxa"/>
            <w:tcBorders>
              <w:top w:val="nil"/>
              <w:left w:val="nil"/>
              <w:bottom w:val="single" w:sz="4" w:space="0" w:color="auto"/>
              <w:right w:val="single" w:sz="4" w:space="0" w:color="auto"/>
            </w:tcBorders>
            <w:shd w:val="clear" w:color="auto" w:fill="auto"/>
            <w:noWrap/>
            <w:vAlign w:val="bottom"/>
            <w:hideMark/>
          </w:tcPr>
          <w:p w14:paraId="6BE1623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4081FA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576B98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014D62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2B8CD5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w:t>
            </w:r>
          </w:p>
        </w:tc>
        <w:tc>
          <w:tcPr>
            <w:tcW w:w="2268" w:type="dxa"/>
            <w:tcBorders>
              <w:top w:val="nil"/>
              <w:left w:val="nil"/>
              <w:bottom w:val="single" w:sz="4" w:space="0" w:color="auto"/>
              <w:right w:val="single" w:sz="4" w:space="0" w:color="auto"/>
            </w:tcBorders>
            <w:shd w:val="clear" w:color="auto" w:fill="auto"/>
            <w:noWrap/>
            <w:vAlign w:val="bottom"/>
            <w:hideMark/>
          </w:tcPr>
          <w:p w14:paraId="76AB7C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2BE1415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B9361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3E292D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A682B1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cycloptera</w:t>
            </w:r>
          </w:p>
        </w:tc>
        <w:tc>
          <w:tcPr>
            <w:tcW w:w="2268" w:type="dxa"/>
            <w:tcBorders>
              <w:top w:val="nil"/>
              <w:left w:val="nil"/>
              <w:bottom w:val="single" w:sz="4" w:space="0" w:color="auto"/>
              <w:right w:val="single" w:sz="4" w:space="0" w:color="auto"/>
            </w:tcBorders>
            <w:shd w:val="clear" w:color="auto" w:fill="auto"/>
            <w:noWrap/>
            <w:vAlign w:val="bottom"/>
            <w:hideMark/>
          </w:tcPr>
          <w:p w14:paraId="294945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7AF76D0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11EC11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AF9163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28ACE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fascicularis</w:t>
            </w:r>
          </w:p>
        </w:tc>
        <w:tc>
          <w:tcPr>
            <w:tcW w:w="2268" w:type="dxa"/>
            <w:tcBorders>
              <w:top w:val="nil"/>
              <w:left w:val="nil"/>
              <w:bottom w:val="single" w:sz="4" w:space="0" w:color="auto"/>
              <w:right w:val="single" w:sz="4" w:space="0" w:color="auto"/>
            </w:tcBorders>
            <w:shd w:val="clear" w:color="auto" w:fill="auto"/>
            <w:noWrap/>
            <w:vAlign w:val="bottom"/>
            <w:hideMark/>
          </w:tcPr>
          <w:p w14:paraId="117F15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5375C6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84FDDB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1DB831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0D6DF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heteromera</w:t>
            </w:r>
          </w:p>
        </w:tc>
        <w:tc>
          <w:tcPr>
            <w:tcW w:w="2268" w:type="dxa"/>
            <w:tcBorders>
              <w:top w:val="nil"/>
              <w:left w:val="nil"/>
              <w:bottom w:val="single" w:sz="4" w:space="0" w:color="auto"/>
              <w:right w:val="single" w:sz="4" w:space="0" w:color="auto"/>
            </w:tcBorders>
            <w:shd w:val="clear" w:color="auto" w:fill="auto"/>
            <w:noWrap/>
            <w:vAlign w:val="bottom"/>
            <w:hideMark/>
          </w:tcPr>
          <w:p w14:paraId="6E472E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3BE0D0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AACCA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2980F8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41ADA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 glauca</w:t>
            </w:r>
          </w:p>
        </w:tc>
        <w:tc>
          <w:tcPr>
            <w:tcW w:w="2268" w:type="dxa"/>
            <w:tcBorders>
              <w:top w:val="nil"/>
              <w:left w:val="nil"/>
              <w:bottom w:val="single" w:sz="4" w:space="0" w:color="auto"/>
              <w:right w:val="single" w:sz="4" w:space="0" w:color="auto"/>
            </w:tcBorders>
            <w:shd w:val="clear" w:color="auto" w:fill="auto"/>
            <w:noWrap/>
            <w:vAlign w:val="bottom"/>
            <w:hideMark/>
          </w:tcPr>
          <w:p w14:paraId="4BAFA9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2D027D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39D3F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24120B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992F7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 heterophylla</w:t>
            </w:r>
          </w:p>
        </w:tc>
        <w:tc>
          <w:tcPr>
            <w:tcW w:w="2268" w:type="dxa"/>
            <w:tcBorders>
              <w:top w:val="nil"/>
              <w:left w:val="nil"/>
              <w:bottom w:val="single" w:sz="4" w:space="0" w:color="auto"/>
              <w:right w:val="single" w:sz="4" w:space="0" w:color="auto"/>
            </w:tcBorders>
            <w:shd w:val="clear" w:color="auto" w:fill="auto"/>
            <w:noWrap/>
            <w:vAlign w:val="bottom"/>
            <w:hideMark/>
          </w:tcPr>
          <w:p w14:paraId="45BFF9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70D264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26F489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18CE46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7913EC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w:t>
            </w:r>
          </w:p>
        </w:tc>
        <w:tc>
          <w:tcPr>
            <w:tcW w:w="2268" w:type="dxa"/>
            <w:tcBorders>
              <w:top w:val="nil"/>
              <w:left w:val="nil"/>
              <w:bottom w:val="single" w:sz="4" w:space="0" w:color="auto"/>
              <w:right w:val="single" w:sz="4" w:space="0" w:color="auto"/>
            </w:tcBorders>
            <w:shd w:val="clear" w:color="auto" w:fill="auto"/>
            <w:noWrap/>
            <w:vAlign w:val="bottom"/>
            <w:hideMark/>
          </w:tcPr>
          <w:p w14:paraId="4A2370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4CA86E2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495CAA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AA3C8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5240F6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curassavicum</w:t>
            </w:r>
          </w:p>
        </w:tc>
        <w:tc>
          <w:tcPr>
            <w:tcW w:w="2268" w:type="dxa"/>
            <w:tcBorders>
              <w:top w:val="nil"/>
              <w:left w:val="nil"/>
              <w:bottom w:val="single" w:sz="4" w:space="0" w:color="auto"/>
              <w:right w:val="single" w:sz="4" w:space="0" w:color="auto"/>
            </w:tcBorders>
            <w:shd w:val="clear" w:color="auto" w:fill="auto"/>
            <w:noWrap/>
            <w:vAlign w:val="bottom"/>
            <w:hideMark/>
          </w:tcPr>
          <w:p w14:paraId="53709C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22371E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792ED3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5EE4E8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84334B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europaeum</w:t>
            </w:r>
          </w:p>
        </w:tc>
        <w:tc>
          <w:tcPr>
            <w:tcW w:w="2268" w:type="dxa"/>
            <w:tcBorders>
              <w:top w:val="nil"/>
              <w:left w:val="nil"/>
              <w:bottom w:val="single" w:sz="4" w:space="0" w:color="auto"/>
              <w:right w:val="single" w:sz="4" w:space="0" w:color="auto"/>
            </w:tcBorders>
            <w:shd w:val="clear" w:color="auto" w:fill="auto"/>
            <w:noWrap/>
            <w:vAlign w:val="bottom"/>
            <w:hideMark/>
          </w:tcPr>
          <w:p w14:paraId="654A76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74C0194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8970D8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52A3A4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24684A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supinum</w:t>
            </w:r>
          </w:p>
        </w:tc>
        <w:tc>
          <w:tcPr>
            <w:tcW w:w="2268" w:type="dxa"/>
            <w:tcBorders>
              <w:top w:val="nil"/>
              <w:left w:val="nil"/>
              <w:bottom w:val="single" w:sz="4" w:space="0" w:color="auto"/>
              <w:right w:val="single" w:sz="4" w:space="0" w:color="auto"/>
            </w:tcBorders>
            <w:shd w:val="clear" w:color="auto" w:fill="auto"/>
            <w:noWrap/>
            <w:vAlign w:val="bottom"/>
            <w:hideMark/>
          </w:tcPr>
          <w:p w14:paraId="265ADF3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073138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64A22E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438343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00ABCB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Hordeum leporinum</w:t>
            </w:r>
          </w:p>
        </w:tc>
        <w:tc>
          <w:tcPr>
            <w:tcW w:w="2268" w:type="dxa"/>
            <w:tcBorders>
              <w:top w:val="nil"/>
              <w:left w:val="nil"/>
              <w:bottom w:val="single" w:sz="4" w:space="0" w:color="auto"/>
              <w:right w:val="single" w:sz="4" w:space="0" w:color="auto"/>
            </w:tcBorders>
            <w:shd w:val="clear" w:color="auto" w:fill="auto"/>
            <w:noWrap/>
            <w:vAlign w:val="bottom"/>
            <w:hideMark/>
          </w:tcPr>
          <w:p w14:paraId="56F77D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F9CEF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29333D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A50DA2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38FB7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Hydrocotyle trachycarpa</w:t>
            </w:r>
          </w:p>
        </w:tc>
        <w:tc>
          <w:tcPr>
            <w:tcW w:w="2268" w:type="dxa"/>
            <w:tcBorders>
              <w:top w:val="nil"/>
              <w:left w:val="nil"/>
              <w:bottom w:val="single" w:sz="4" w:space="0" w:color="auto"/>
              <w:right w:val="single" w:sz="4" w:space="0" w:color="auto"/>
            </w:tcBorders>
            <w:shd w:val="clear" w:color="auto" w:fill="auto"/>
            <w:noWrap/>
            <w:vAlign w:val="bottom"/>
            <w:hideMark/>
          </w:tcPr>
          <w:p w14:paraId="64143FB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Apiaceae</w:t>
            </w:r>
          </w:p>
        </w:tc>
        <w:tc>
          <w:tcPr>
            <w:tcW w:w="1701" w:type="dxa"/>
            <w:tcBorders>
              <w:top w:val="nil"/>
              <w:left w:val="nil"/>
              <w:bottom w:val="single" w:sz="4" w:space="0" w:color="auto"/>
              <w:right w:val="single" w:sz="4" w:space="0" w:color="auto"/>
            </w:tcBorders>
            <w:shd w:val="clear" w:color="auto" w:fill="auto"/>
            <w:noWrap/>
            <w:vAlign w:val="bottom"/>
            <w:hideMark/>
          </w:tcPr>
          <w:p w14:paraId="77DCA1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6342A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B98E0B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CE0B3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Isolepis</w:t>
            </w:r>
          </w:p>
        </w:tc>
        <w:tc>
          <w:tcPr>
            <w:tcW w:w="2268" w:type="dxa"/>
            <w:tcBorders>
              <w:top w:val="nil"/>
              <w:left w:val="nil"/>
              <w:bottom w:val="single" w:sz="4" w:space="0" w:color="auto"/>
              <w:right w:val="single" w:sz="4" w:space="0" w:color="auto"/>
            </w:tcBorders>
            <w:shd w:val="clear" w:color="auto" w:fill="auto"/>
            <w:noWrap/>
            <w:vAlign w:val="bottom"/>
            <w:hideMark/>
          </w:tcPr>
          <w:p w14:paraId="1D904E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4430210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56EED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9D4DA2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2F1E1A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Isolepis australiensis</w:t>
            </w:r>
          </w:p>
        </w:tc>
        <w:tc>
          <w:tcPr>
            <w:tcW w:w="2268" w:type="dxa"/>
            <w:tcBorders>
              <w:top w:val="nil"/>
              <w:left w:val="nil"/>
              <w:bottom w:val="single" w:sz="4" w:space="0" w:color="auto"/>
              <w:right w:val="single" w:sz="4" w:space="0" w:color="auto"/>
            </w:tcBorders>
            <w:shd w:val="clear" w:color="auto" w:fill="auto"/>
            <w:noWrap/>
            <w:vAlign w:val="bottom"/>
            <w:hideMark/>
          </w:tcPr>
          <w:p w14:paraId="146B03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686046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083C2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7C642A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C3214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Juncaceae</w:t>
            </w:r>
          </w:p>
        </w:tc>
        <w:tc>
          <w:tcPr>
            <w:tcW w:w="2268" w:type="dxa"/>
            <w:tcBorders>
              <w:top w:val="nil"/>
              <w:left w:val="nil"/>
              <w:bottom w:val="single" w:sz="4" w:space="0" w:color="auto"/>
              <w:right w:val="single" w:sz="4" w:space="0" w:color="auto"/>
            </w:tcBorders>
            <w:shd w:val="clear" w:color="auto" w:fill="auto"/>
            <w:noWrap/>
            <w:vAlign w:val="bottom"/>
            <w:hideMark/>
          </w:tcPr>
          <w:p w14:paraId="49DF8E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207761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EE4BA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E05AE8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BF814B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w:t>
            </w:r>
          </w:p>
        </w:tc>
        <w:tc>
          <w:tcPr>
            <w:tcW w:w="2268" w:type="dxa"/>
            <w:tcBorders>
              <w:top w:val="nil"/>
              <w:left w:val="nil"/>
              <w:bottom w:val="single" w:sz="4" w:space="0" w:color="auto"/>
              <w:right w:val="single" w:sz="4" w:space="0" w:color="auto"/>
            </w:tcBorders>
            <w:shd w:val="clear" w:color="auto" w:fill="auto"/>
            <w:noWrap/>
            <w:vAlign w:val="bottom"/>
            <w:hideMark/>
          </w:tcPr>
          <w:p w14:paraId="173FFA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0C767BF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87F7DB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D19B36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05C9A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 flavidus</w:t>
            </w:r>
          </w:p>
        </w:tc>
        <w:tc>
          <w:tcPr>
            <w:tcW w:w="2268" w:type="dxa"/>
            <w:tcBorders>
              <w:top w:val="nil"/>
              <w:left w:val="nil"/>
              <w:bottom w:val="single" w:sz="4" w:space="0" w:color="auto"/>
              <w:right w:val="single" w:sz="4" w:space="0" w:color="auto"/>
            </w:tcBorders>
            <w:shd w:val="clear" w:color="auto" w:fill="auto"/>
            <w:noWrap/>
            <w:vAlign w:val="bottom"/>
            <w:hideMark/>
          </w:tcPr>
          <w:p w14:paraId="781636F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0747115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C7059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330499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04DF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Lachnagrostis filiformis</w:t>
            </w:r>
          </w:p>
        </w:tc>
        <w:tc>
          <w:tcPr>
            <w:tcW w:w="2268" w:type="dxa"/>
            <w:tcBorders>
              <w:top w:val="nil"/>
              <w:left w:val="nil"/>
              <w:bottom w:val="single" w:sz="4" w:space="0" w:color="auto"/>
              <w:right w:val="single" w:sz="4" w:space="0" w:color="auto"/>
            </w:tcBorders>
            <w:shd w:val="clear" w:color="auto" w:fill="auto"/>
            <w:noWrap/>
            <w:vAlign w:val="bottom"/>
            <w:hideMark/>
          </w:tcPr>
          <w:p w14:paraId="0C0B4D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28B6D13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884A1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D4513D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837AD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Lactuca saligna</w:t>
            </w:r>
          </w:p>
        </w:tc>
        <w:tc>
          <w:tcPr>
            <w:tcW w:w="2268" w:type="dxa"/>
            <w:tcBorders>
              <w:top w:val="nil"/>
              <w:left w:val="nil"/>
              <w:bottom w:val="single" w:sz="4" w:space="0" w:color="auto"/>
              <w:right w:val="single" w:sz="4" w:space="0" w:color="auto"/>
            </w:tcBorders>
            <w:shd w:val="clear" w:color="auto" w:fill="auto"/>
            <w:noWrap/>
            <w:vAlign w:val="bottom"/>
            <w:hideMark/>
          </w:tcPr>
          <w:p w14:paraId="250CA6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16159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EB2D29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3E419B0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E17E38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Lactuca serriola</w:t>
            </w:r>
          </w:p>
        </w:tc>
        <w:tc>
          <w:tcPr>
            <w:tcW w:w="2268" w:type="dxa"/>
            <w:tcBorders>
              <w:top w:val="nil"/>
              <w:left w:val="nil"/>
              <w:bottom w:val="single" w:sz="4" w:space="0" w:color="auto"/>
              <w:right w:val="single" w:sz="4" w:space="0" w:color="auto"/>
            </w:tcBorders>
            <w:shd w:val="clear" w:color="auto" w:fill="auto"/>
            <w:noWrap/>
            <w:vAlign w:val="bottom"/>
            <w:hideMark/>
          </w:tcPr>
          <w:p w14:paraId="458138D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96D844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978E6F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B9006B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5E41FD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Lemna</w:t>
            </w:r>
          </w:p>
        </w:tc>
        <w:tc>
          <w:tcPr>
            <w:tcW w:w="2268" w:type="dxa"/>
            <w:tcBorders>
              <w:top w:val="nil"/>
              <w:left w:val="nil"/>
              <w:bottom w:val="single" w:sz="4" w:space="0" w:color="auto"/>
              <w:right w:val="single" w:sz="4" w:space="0" w:color="auto"/>
            </w:tcBorders>
            <w:shd w:val="clear" w:color="auto" w:fill="auto"/>
            <w:noWrap/>
            <w:vAlign w:val="bottom"/>
            <w:hideMark/>
          </w:tcPr>
          <w:p w14:paraId="4BA6A14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Lemnaceae</w:t>
            </w:r>
          </w:p>
        </w:tc>
        <w:tc>
          <w:tcPr>
            <w:tcW w:w="1701" w:type="dxa"/>
            <w:tcBorders>
              <w:top w:val="nil"/>
              <w:left w:val="nil"/>
              <w:bottom w:val="single" w:sz="4" w:space="0" w:color="auto"/>
              <w:right w:val="single" w:sz="4" w:space="0" w:color="auto"/>
            </w:tcBorders>
            <w:shd w:val="clear" w:color="auto" w:fill="auto"/>
            <w:noWrap/>
            <w:vAlign w:val="bottom"/>
            <w:hideMark/>
          </w:tcPr>
          <w:p w14:paraId="5286B5F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4FF273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DA3B83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F5EEBA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Lemna minor</w:t>
            </w:r>
          </w:p>
        </w:tc>
        <w:tc>
          <w:tcPr>
            <w:tcW w:w="2268" w:type="dxa"/>
            <w:tcBorders>
              <w:top w:val="nil"/>
              <w:left w:val="nil"/>
              <w:bottom w:val="single" w:sz="4" w:space="0" w:color="auto"/>
              <w:right w:val="single" w:sz="4" w:space="0" w:color="auto"/>
            </w:tcBorders>
            <w:shd w:val="clear" w:color="auto" w:fill="auto"/>
            <w:noWrap/>
            <w:vAlign w:val="bottom"/>
            <w:hideMark/>
          </w:tcPr>
          <w:p w14:paraId="7784517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Lemnaceae</w:t>
            </w:r>
          </w:p>
        </w:tc>
        <w:tc>
          <w:tcPr>
            <w:tcW w:w="1701" w:type="dxa"/>
            <w:tcBorders>
              <w:top w:val="nil"/>
              <w:left w:val="nil"/>
              <w:bottom w:val="single" w:sz="4" w:space="0" w:color="auto"/>
              <w:right w:val="single" w:sz="4" w:space="0" w:color="auto"/>
            </w:tcBorders>
            <w:shd w:val="clear" w:color="auto" w:fill="auto"/>
            <w:noWrap/>
            <w:vAlign w:val="bottom"/>
            <w:hideMark/>
          </w:tcPr>
          <w:p w14:paraId="2A3557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B5D842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C339F1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CDEECF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Lepidium fasciculatum</w:t>
            </w:r>
          </w:p>
        </w:tc>
        <w:tc>
          <w:tcPr>
            <w:tcW w:w="2268" w:type="dxa"/>
            <w:tcBorders>
              <w:top w:val="nil"/>
              <w:left w:val="nil"/>
              <w:bottom w:val="single" w:sz="4" w:space="0" w:color="auto"/>
              <w:right w:val="single" w:sz="4" w:space="0" w:color="auto"/>
            </w:tcBorders>
            <w:shd w:val="clear" w:color="auto" w:fill="auto"/>
            <w:noWrap/>
            <w:vAlign w:val="bottom"/>
            <w:hideMark/>
          </w:tcPr>
          <w:p w14:paraId="0F35E1E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21272A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6A612F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6E49B8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36C440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Limosella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2B7B6D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392E66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41CFB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A2ACFB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B2F0AA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Lolium rigidum</w:t>
            </w:r>
          </w:p>
        </w:tc>
        <w:tc>
          <w:tcPr>
            <w:tcW w:w="2268" w:type="dxa"/>
            <w:tcBorders>
              <w:top w:val="nil"/>
              <w:left w:val="nil"/>
              <w:bottom w:val="single" w:sz="4" w:space="0" w:color="auto"/>
              <w:right w:val="single" w:sz="4" w:space="0" w:color="auto"/>
            </w:tcBorders>
            <w:shd w:val="clear" w:color="auto" w:fill="auto"/>
            <w:noWrap/>
            <w:vAlign w:val="bottom"/>
            <w:hideMark/>
          </w:tcPr>
          <w:p w14:paraId="46B820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20CF2F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75F9D8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A31FFD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701FA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Ludwigia peploides</w:t>
            </w:r>
          </w:p>
        </w:tc>
        <w:tc>
          <w:tcPr>
            <w:tcW w:w="2268" w:type="dxa"/>
            <w:tcBorders>
              <w:top w:val="nil"/>
              <w:left w:val="nil"/>
              <w:bottom w:val="single" w:sz="4" w:space="0" w:color="auto"/>
              <w:right w:val="single" w:sz="4" w:space="0" w:color="auto"/>
            </w:tcBorders>
            <w:shd w:val="clear" w:color="auto" w:fill="auto"/>
            <w:noWrap/>
            <w:vAlign w:val="bottom"/>
            <w:hideMark/>
          </w:tcPr>
          <w:p w14:paraId="437B715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Onagraceae</w:t>
            </w:r>
          </w:p>
        </w:tc>
        <w:tc>
          <w:tcPr>
            <w:tcW w:w="1701" w:type="dxa"/>
            <w:tcBorders>
              <w:top w:val="nil"/>
              <w:left w:val="nil"/>
              <w:bottom w:val="single" w:sz="4" w:space="0" w:color="auto"/>
              <w:right w:val="single" w:sz="4" w:space="0" w:color="auto"/>
            </w:tcBorders>
            <w:shd w:val="clear" w:color="auto" w:fill="auto"/>
            <w:noWrap/>
            <w:vAlign w:val="bottom"/>
            <w:hideMark/>
          </w:tcPr>
          <w:p w14:paraId="71B89D8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2802C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BAC712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2FB23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Lycium ferocissimum</w:t>
            </w:r>
          </w:p>
        </w:tc>
        <w:tc>
          <w:tcPr>
            <w:tcW w:w="2268" w:type="dxa"/>
            <w:tcBorders>
              <w:top w:val="nil"/>
              <w:left w:val="nil"/>
              <w:bottom w:val="single" w:sz="4" w:space="0" w:color="auto"/>
              <w:right w:val="single" w:sz="4" w:space="0" w:color="auto"/>
            </w:tcBorders>
            <w:shd w:val="clear" w:color="auto" w:fill="auto"/>
            <w:noWrap/>
            <w:vAlign w:val="bottom"/>
            <w:hideMark/>
          </w:tcPr>
          <w:p w14:paraId="3FD4D8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6375006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A9E082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287593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7CBD1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Lythrum hyssopifolia</w:t>
            </w:r>
          </w:p>
        </w:tc>
        <w:tc>
          <w:tcPr>
            <w:tcW w:w="2268" w:type="dxa"/>
            <w:tcBorders>
              <w:top w:val="nil"/>
              <w:left w:val="nil"/>
              <w:bottom w:val="single" w:sz="4" w:space="0" w:color="auto"/>
              <w:right w:val="single" w:sz="4" w:space="0" w:color="auto"/>
            </w:tcBorders>
            <w:shd w:val="clear" w:color="auto" w:fill="auto"/>
            <w:noWrap/>
            <w:vAlign w:val="bottom"/>
            <w:hideMark/>
          </w:tcPr>
          <w:p w14:paraId="096F7E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Lythraceae</w:t>
            </w:r>
          </w:p>
        </w:tc>
        <w:tc>
          <w:tcPr>
            <w:tcW w:w="1701" w:type="dxa"/>
            <w:tcBorders>
              <w:top w:val="nil"/>
              <w:left w:val="nil"/>
              <w:bottom w:val="single" w:sz="4" w:space="0" w:color="auto"/>
              <w:right w:val="single" w:sz="4" w:space="0" w:color="auto"/>
            </w:tcBorders>
            <w:shd w:val="clear" w:color="auto" w:fill="auto"/>
            <w:noWrap/>
            <w:vAlign w:val="bottom"/>
            <w:hideMark/>
          </w:tcPr>
          <w:p w14:paraId="155643C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9732CB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9408C4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77ADE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w:t>
            </w:r>
          </w:p>
        </w:tc>
        <w:tc>
          <w:tcPr>
            <w:tcW w:w="2268" w:type="dxa"/>
            <w:tcBorders>
              <w:top w:val="nil"/>
              <w:left w:val="nil"/>
              <w:bottom w:val="single" w:sz="4" w:space="0" w:color="auto"/>
              <w:right w:val="single" w:sz="4" w:space="0" w:color="auto"/>
            </w:tcBorders>
            <w:shd w:val="clear" w:color="auto" w:fill="auto"/>
            <w:noWrap/>
            <w:vAlign w:val="bottom"/>
            <w:hideMark/>
          </w:tcPr>
          <w:p w14:paraId="5356BB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16F75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BF1E08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0AE8C2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C52D18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brevifolia</w:t>
            </w:r>
          </w:p>
        </w:tc>
        <w:tc>
          <w:tcPr>
            <w:tcW w:w="2268" w:type="dxa"/>
            <w:tcBorders>
              <w:top w:val="nil"/>
              <w:left w:val="nil"/>
              <w:bottom w:val="single" w:sz="4" w:space="0" w:color="auto"/>
              <w:right w:val="single" w:sz="4" w:space="0" w:color="auto"/>
            </w:tcBorders>
            <w:shd w:val="clear" w:color="auto" w:fill="auto"/>
            <w:noWrap/>
            <w:vAlign w:val="bottom"/>
            <w:hideMark/>
          </w:tcPr>
          <w:p w14:paraId="103C9E9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09D584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508FE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C1D0E9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342BE3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decalvans</w:t>
            </w:r>
          </w:p>
        </w:tc>
        <w:tc>
          <w:tcPr>
            <w:tcW w:w="2268" w:type="dxa"/>
            <w:tcBorders>
              <w:top w:val="nil"/>
              <w:left w:val="nil"/>
              <w:bottom w:val="single" w:sz="4" w:space="0" w:color="auto"/>
              <w:right w:val="single" w:sz="4" w:space="0" w:color="auto"/>
            </w:tcBorders>
            <w:shd w:val="clear" w:color="auto" w:fill="auto"/>
            <w:noWrap/>
            <w:vAlign w:val="bottom"/>
            <w:hideMark/>
          </w:tcPr>
          <w:p w14:paraId="32874B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B56DEC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EAC895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FEA0F9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C6989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w:t>
            </w:r>
          </w:p>
        </w:tc>
        <w:tc>
          <w:tcPr>
            <w:tcW w:w="2268" w:type="dxa"/>
            <w:tcBorders>
              <w:top w:val="nil"/>
              <w:left w:val="nil"/>
              <w:bottom w:val="single" w:sz="4" w:space="0" w:color="auto"/>
              <w:right w:val="single" w:sz="4" w:space="0" w:color="auto"/>
            </w:tcBorders>
            <w:shd w:val="clear" w:color="auto" w:fill="auto"/>
            <w:noWrap/>
            <w:vAlign w:val="bottom"/>
            <w:hideMark/>
          </w:tcPr>
          <w:p w14:paraId="1AD8C6D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095165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2B1893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E98CDF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1661E4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 parviflora</w:t>
            </w:r>
          </w:p>
        </w:tc>
        <w:tc>
          <w:tcPr>
            <w:tcW w:w="2268" w:type="dxa"/>
            <w:tcBorders>
              <w:top w:val="nil"/>
              <w:left w:val="nil"/>
              <w:bottom w:val="single" w:sz="4" w:space="0" w:color="auto"/>
              <w:right w:val="single" w:sz="4" w:space="0" w:color="auto"/>
            </w:tcBorders>
            <w:shd w:val="clear" w:color="auto" w:fill="auto"/>
            <w:noWrap/>
            <w:vAlign w:val="bottom"/>
            <w:hideMark/>
          </w:tcPr>
          <w:p w14:paraId="15A469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5F7505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754785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E6AA73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723217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 preissiana</w:t>
            </w:r>
          </w:p>
        </w:tc>
        <w:tc>
          <w:tcPr>
            <w:tcW w:w="2268" w:type="dxa"/>
            <w:tcBorders>
              <w:top w:val="nil"/>
              <w:left w:val="nil"/>
              <w:bottom w:val="single" w:sz="4" w:space="0" w:color="auto"/>
              <w:right w:val="single" w:sz="4" w:space="0" w:color="auto"/>
            </w:tcBorders>
            <w:shd w:val="clear" w:color="auto" w:fill="auto"/>
            <w:noWrap/>
            <w:vAlign w:val="bottom"/>
            <w:hideMark/>
          </w:tcPr>
          <w:p w14:paraId="19C812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2B7D4F5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15AAB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3CB7B4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9E386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Malvaceae</w:t>
            </w:r>
          </w:p>
        </w:tc>
        <w:tc>
          <w:tcPr>
            <w:tcW w:w="2268" w:type="dxa"/>
            <w:tcBorders>
              <w:top w:val="nil"/>
              <w:left w:val="nil"/>
              <w:bottom w:val="single" w:sz="4" w:space="0" w:color="auto"/>
              <w:right w:val="single" w:sz="4" w:space="0" w:color="auto"/>
            </w:tcBorders>
            <w:shd w:val="clear" w:color="auto" w:fill="auto"/>
            <w:noWrap/>
            <w:vAlign w:val="bottom"/>
            <w:hideMark/>
          </w:tcPr>
          <w:p w14:paraId="4CE5E4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2A7DC85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67C260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5A2C50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04587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Marrubium vulgare</w:t>
            </w:r>
          </w:p>
        </w:tc>
        <w:tc>
          <w:tcPr>
            <w:tcW w:w="2268" w:type="dxa"/>
            <w:tcBorders>
              <w:top w:val="nil"/>
              <w:left w:val="nil"/>
              <w:bottom w:val="single" w:sz="4" w:space="0" w:color="auto"/>
              <w:right w:val="single" w:sz="4" w:space="0" w:color="auto"/>
            </w:tcBorders>
            <w:shd w:val="clear" w:color="auto" w:fill="auto"/>
            <w:noWrap/>
            <w:vAlign w:val="bottom"/>
            <w:hideMark/>
          </w:tcPr>
          <w:p w14:paraId="4678572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Lamiaceae</w:t>
            </w:r>
          </w:p>
        </w:tc>
        <w:tc>
          <w:tcPr>
            <w:tcW w:w="1701" w:type="dxa"/>
            <w:tcBorders>
              <w:top w:val="nil"/>
              <w:left w:val="nil"/>
              <w:bottom w:val="single" w:sz="4" w:space="0" w:color="auto"/>
              <w:right w:val="single" w:sz="4" w:space="0" w:color="auto"/>
            </w:tcBorders>
            <w:shd w:val="clear" w:color="auto" w:fill="auto"/>
            <w:noWrap/>
            <w:vAlign w:val="bottom"/>
            <w:hideMark/>
          </w:tcPr>
          <w:p w14:paraId="11B3970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1B4F18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0C25E5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06D501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Marsilea drummondii</w:t>
            </w:r>
          </w:p>
        </w:tc>
        <w:tc>
          <w:tcPr>
            <w:tcW w:w="2268" w:type="dxa"/>
            <w:tcBorders>
              <w:top w:val="nil"/>
              <w:left w:val="nil"/>
              <w:bottom w:val="single" w:sz="4" w:space="0" w:color="auto"/>
              <w:right w:val="single" w:sz="4" w:space="0" w:color="auto"/>
            </w:tcBorders>
            <w:shd w:val="clear" w:color="auto" w:fill="auto"/>
            <w:noWrap/>
            <w:vAlign w:val="bottom"/>
            <w:hideMark/>
          </w:tcPr>
          <w:p w14:paraId="0CA7800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Marsileaceae</w:t>
            </w:r>
          </w:p>
        </w:tc>
        <w:tc>
          <w:tcPr>
            <w:tcW w:w="1701" w:type="dxa"/>
            <w:tcBorders>
              <w:top w:val="nil"/>
              <w:left w:val="nil"/>
              <w:bottom w:val="single" w:sz="4" w:space="0" w:color="auto"/>
              <w:right w:val="single" w:sz="4" w:space="0" w:color="auto"/>
            </w:tcBorders>
            <w:shd w:val="clear" w:color="auto" w:fill="auto"/>
            <w:noWrap/>
            <w:vAlign w:val="bottom"/>
            <w:hideMark/>
          </w:tcPr>
          <w:p w14:paraId="10E7E41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B26F64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943467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AA7FC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w:t>
            </w:r>
          </w:p>
        </w:tc>
        <w:tc>
          <w:tcPr>
            <w:tcW w:w="2268" w:type="dxa"/>
            <w:tcBorders>
              <w:top w:val="nil"/>
              <w:left w:val="nil"/>
              <w:bottom w:val="single" w:sz="4" w:space="0" w:color="auto"/>
              <w:right w:val="single" w:sz="4" w:space="0" w:color="auto"/>
            </w:tcBorders>
            <w:shd w:val="clear" w:color="auto" w:fill="auto"/>
            <w:noWrap/>
            <w:vAlign w:val="bottom"/>
            <w:hideMark/>
          </w:tcPr>
          <w:p w14:paraId="26F3FF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79AC42B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0892AF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88980D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4F3F8A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 polymorpha</w:t>
            </w:r>
          </w:p>
        </w:tc>
        <w:tc>
          <w:tcPr>
            <w:tcW w:w="2268" w:type="dxa"/>
            <w:tcBorders>
              <w:top w:val="nil"/>
              <w:left w:val="nil"/>
              <w:bottom w:val="single" w:sz="4" w:space="0" w:color="auto"/>
              <w:right w:val="single" w:sz="4" w:space="0" w:color="auto"/>
            </w:tcBorders>
            <w:shd w:val="clear" w:color="auto" w:fill="auto"/>
            <w:noWrap/>
            <w:vAlign w:val="bottom"/>
            <w:hideMark/>
          </w:tcPr>
          <w:p w14:paraId="4E9832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3FC907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E35FF2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83862B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1F6DA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 praecox</w:t>
            </w:r>
          </w:p>
        </w:tc>
        <w:tc>
          <w:tcPr>
            <w:tcW w:w="2268" w:type="dxa"/>
            <w:tcBorders>
              <w:top w:val="nil"/>
              <w:left w:val="nil"/>
              <w:bottom w:val="single" w:sz="4" w:space="0" w:color="auto"/>
              <w:right w:val="single" w:sz="4" w:space="0" w:color="auto"/>
            </w:tcBorders>
            <w:shd w:val="clear" w:color="auto" w:fill="auto"/>
            <w:noWrap/>
            <w:vAlign w:val="bottom"/>
            <w:hideMark/>
          </w:tcPr>
          <w:p w14:paraId="46BE5B1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0FB936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F6BDE3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CE0BA9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62F903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Melilotus indicus</w:t>
            </w:r>
          </w:p>
        </w:tc>
        <w:tc>
          <w:tcPr>
            <w:tcW w:w="2268" w:type="dxa"/>
            <w:tcBorders>
              <w:top w:val="nil"/>
              <w:left w:val="nil"/>
              <w:bottom w:val="single" w:sz="4" w:space="0" w:color="auto"/>
              <w:right w:val="single" w:sz="4" w:space="0" w:color="auto"/>
            </w:tcBorders>
            <w:shd w:val="clear" w:color="auto" w:fill="auto"/>
            <w:noWrap/>
            <w:vAlign w:val="bottom"/>
            <w:hideMark/>
          </w:tcPr>
          <w:p w14:paraId="09BCA5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2533C9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ED4983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579A801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46324A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Mentha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4A82B0F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Lamiaceae</w:t>
            </w:r>
          </w:p>
        </w:tc>
        <w:tc>
          <w:tcPr>
            <w:tcW w:w="1701" w:type="dxa"/>
            <w:tcBorders>
              <w:top w:val="nil"/>
              <w:left w:val="nil"/>
              <w:bottom w:val="single" w:sz="4" w:space="0" w:color="auto"/>
              <w:right w:val="single" w:sz="4" w:space="0" w:color="auto"/>
            </w:tcBorders>
            <w:shd w:val="clear" w:color="auto" w:fill="auto"/>
            <w:noWrap/>
            <w:vAlign w:val="bottom"/>
            <w:hideMark/>
          </w:tcPr>
          <w:p w14:paraId="12CB4B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C21CB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7EACFB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310FD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Modiola caroliniana</w:t>
            </w:r>
          </w:p>
        </w:tc>
        <w:tc>
          <w:tcPr>
            <w:tcW w:w="2268" w:type="dxa"/>
            <w:tcBorders>
              <w:top w:val="nil"/>
              <w:left w:val="nil"/>
              <w:bottom w:val="single" w:sz="4" w:space="0" w:color="auto"/>
              <w:right w:val="single" w:sz="4" w:space="0" w:color="auto"/>
            </w:tcBorders>
            <w:shd w:val="clear" w:color="auto" w:fill="auto"/>
            <w:noWrap/>
            <w:vAlign w:val="bottom"/>
            <w:hideMark/>
          </w:tcPr>
          <w:p w14:paraId="3E3A170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55934D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F0D2FA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3226DA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62FB7C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Myosurus australis</w:t>
            </w:r>
          </w:p>
        </w:tc>
        <w:tc>
          <w:tcPr>
            <w:tcW w:w="2268" w:type="dxa"/>
            <w:tcBorders>
              <w:top w:val="nil"/>
              <w:left w:val="nil"/>
              <w:bottom w:val="single" w:sz="4" w:space="0" w:color="auto"/>
              <w:right w:val="single" w:sz="4" w:space="0" w:color="auto"/>
            </w:tcBorders>
            <w:shd w:val="clear" w:color="auto" w:fill="auto"/>
            <w:noWrap/>
            <w:vAlign w:val="bottom"/>
            <w:hideMark/>
          </w:tcPr>
          <w:p w14:paraId="7FAB649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6D3F51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115F3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EE6695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92BFA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Myriophyllum verrucosum</w:t>
            </w:r>
          </w:p>
        </w:tc>
        <w:tc>
          <w:tcPr>
            <w:tcW w:w="2268" w:type="dxa"/>
            <w:tcBorders>
              <w:top w:val="nil"/>
              <w:left w:val="nil"/>
              <w:bottom w:val="single" w:sz="4" w:space="0" w:color="auto"/>
              <w:right w:val="single" w:sz="4" w:space="0" w:color="auto"/>
            </w:tcBorders>
            <w:shd w:val="clear" w:color="auto" w:fill="auto"/>
            <w:noWrap/>
            <w:vAlign w:val="bottom"/>
            <w:hideMark/>
          </w:tcPr>
          <w:p w14:paraId="73CF3C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7043F0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970FE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94F5B7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64279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Nitraria billardierei</w:t>
            </w:r>
          </w:p>
        </w:tc>
        <w:tc>
          <w:tcPr>
            <w:tcW w:w="2268" w:type="dxa"/>
            <w:tcBorders>
              <w:top w:val="nil"/>
              <w:left w:val="nil"/>
              <w:bottom w:val="single" w:sz="4" w:space="0" w:color="auto"/>
              <w:right w:val="single" w:sz="4" w:space="0" w:color="auto"/>
            </w:tcBorders>
            <w:shd w:val="clear" w:color="auto" w:fill="auto"/>
            <w:noWrap/>
            <w:vAlign w:val="bottom"/>
            <w:hideMark/>
          </w:tcPr>
          <w:p w14:paraId="6550995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Nitrariaceae</w:t>
            </w:r>
          </w:p>
        </w:tc>
        <w:tc>
          <w:tcPr>
            <w:tcW w:w="1701" w:type="dxa"/>
            <w:tcBorders>
              <w:top w:val="nil"/>
              <w:left w:val="nil"/>
              <w:bottom w:val="single" w:sz="4" w:space="0" w:color="auto"/>
              <w:right w:val="single" w:sz="4" w:space="0" w:color="auto"/>
            </w:tcBorders>
            <w:shd w:val="clear" w:color="auto" w:fill="auto"/>
            <w:noWrap/>
            <w:vAlign w:val="bottom"/>
            <w:hideMark/>
          </w:tcPr>
          <w:p w14:paraId="60184A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EF9341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DE94FE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4750EF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Onopordum acanthium</w:t>
            </w:r>
          </w:p>
        </w:tc>
        <w:tc>
          <w:tcPr>
            <w:tcW w:w="2268" w:type="dxa"/>
            <w:tcBorders>
              <w:top w:val="nil"/>
              <w:left w:val="nil"/>
              <w:bottom w:val="single" w:sz="4" w:space="0" w:color="auto"/>
              <w:right w:val="single" w:sz="4" w:space="0" w:color="auto"/>
            </w:tcBorders>
            <w:shd w:val="clear" w:color="auto" w:fill="auto"/>
            <w:noWrap/>
            <w:vAlign w:val="bottom"/>
            <w:hideMark/>
          </w:tcPr>
          <w:p w14:paraId="29CCFE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384DCC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BBB5CF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32657F3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AB66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Oxalis</w:t>
            </w:r>
          </w:p>
        </w:tc>
        <w:tc>
          <w:tcPr>
            <w:tcW w:w="2268" w:type="dxa"/>
            <w:tcBorders>
              <w:top w:val="nil"/>
              <w:left w:val="nil"/>
              <w:bottom w:val="single" w:sz="4" w:space="0" w:color="auto"/>
              <w:right w:val="single" w:sz="4" w:space="0" w:color="auto"/>
            </w:tcBorders>
            <w:shd w:val="clear" w:color="auto" w:fill="auto"/>
            <w:noWrap/>
            <w:vAlign w:val="bottom"/>
            <w:hideMark/>
          </w:tcPr>
          <w:p w14:paraId="1C8CDEF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Oxalidaceae</w:t>
            </w:r>
          </w:p>
        </w:tc>
        <w:tc>
          <w:tcPr>
            <w:tcW w:w="1701" w:type="dxa"/>
            <w:tcBorders>
              <w:top w:val="nil"/>
              <w:left w:val="nil"/>
              <w:bottom w:val="single" w:sz="4" w:space="0" w:color="auto"/>
              <w:right w:val="single" w:sz="4" w:space="0" w:color="auto"/>
            </w:tcBorders>
            <w:shd w:val="clear" w:color="auto" w:fill="auto"/>
            <w:noWrap/>
            <w:vAlign w:val="bottom"/>
            <w:hideMark/>
          </w:tcPr>
          <w:p w14:paraId="635297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290A7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C58E52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CDD3D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Oxalis corniculata</w:t>
            </w:r>
          </w:p>
        </w:tc>
        <w:tc>
          <w:tcPr>
            <w:tcW w:w="2268" w:type="dxa"/>
            <w:tcBorders>
              <w:top w:val="nil"/>
              <w:left w:val="nil"/>
              <w:bottom w:val="single" w:sz="4" w:space="0" w:color="auto"/>
              <w:right w:val="single" w:sz="4" w:space="0" w:color="auto"/>
            </w:tcBorders>
            <w:shd w:val="clear" w:color="auto" w:fill="auto"/>
            <w:noWrap/>
            <w:vAlign w:val="bottom"/>
            <w:hideMark/>
          </w:tcPr>
          <w:p w14:paraId="4545CD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Oxalidaceae</w:t>
            </w:r>
          </w:p>
        </w:tc>
        <w:tc>
          <w:tcPr>
            <w:tcW w:w="1701" w:type="dxa"/>
            <w:tcBorders>
              <w:top w:val="nil"/>
              <w:left w:val="nil"/>
              <w:bottom w:val="single" w:sz="4" w:space="0" w:color="auto"/>
              <w:right w:val="single" w:sz="4" w:space="0" w:color="auto"/>
            </w:tcBorders>
            <w:shd w:val="clear" w:color="auto" w:fill="auto"/>
            <w:noWrap/>
            <w:vAlign w:val="bottom"/>
            <w:hideMark/>
          </w:tcPr>
          <w:p w14:paraId="21EF6FF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9A7FB1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F311F6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5B880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Paspalidium jubiflorum</w:t>
            </w:r>
          </w:p>
        </w:tc>
        <w:tc>
          <w:tcPr>
            <w:tcW w:w="2268" w:type="dxa"/>
            <w:tcBorders>
              <w:top w:val="nil"/>
              <w:left w:val="nil"/>
              <w:bottom w:val="single" w:sz="4" w:space="0" w:color="auto"/>
              <w:right w:val="single" w:sz="4" w:space="0" w:color="auto"/>
            </w:tcBorders>
            <w:shd w:val="clear" w:color="auto" w:fill="auto"/>
            <w:noWrap/>
            <w:vAlign w:val="bottom"/>
            <w:hideMark/>
          </w:tcPr>
          <w:p w14:paraId="077EF2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2C261C2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D13E4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707B38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A8D4D6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Paspalum distichum</w:t>
            </w:r>
          </w:p>
        </w:tc>
        <w:tc>
          <w:tcPr>
            <w:tcW w:w="2268" w:type="dxa"/>
            <w:tcBorders>
              <w:top w:val="nil"/>
              <w:left w:val="nil"/>
              <w:bottom w:val="single" w:sz="4" w:space="0" w:color="auto"/>
              <w:right w:val="single" w:sz="4" w:space="0" w:color="auto"/>
            </w:tcBorders>
            <w:shd w:val="clear" w:color="auto" w:fill="auto"/>
            <w:noWrap/>
            <w:vAlign w:val="bottom"/>
            <w:hideMark/>
          </w:tcPr>
          <w:p w14:paraId="49E097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483161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9867A1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D9739D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7E373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 decipiens</w:t>
            </w:r>
          </w:p>
        </w:tc>
        <w:tc>
          <w:tcPr>
            <w:tcW w:w="2268" w:type="dxa"/>
            <w:tcBorders>
              <w:top w:val="nil"/>
              <w:left w:val="nil"/>
              <w:bottom w:val="single" w:sz="4" w:space="0" w:color="auto"/>
              <w:right w:val="single" w:sz="4" w:space="0" w:color="auto"/>
            </w:tcBorders>
            <w:shd w:val="clear" w:color="auto" w:fill="auto"/>
            <w:noWrap/>
            <w:vAlign w:val="bottom"/>
            <w:hideMark/>
          </w:tcPr>
          <w:p w14:paraId="1E1889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2E5EE1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8F0EB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1A8C0E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D91B72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 lapathifolia</w:t>
            </w:r>
          </w:p>
        </w:tc>
        <w:tc>
          <w:tcPr>
            <w:tcW w:w="2268" w:type="dxa"/>
            <w:tcBorders>
              <w:top w:val="nil"/>
              <w:left w:val="nil"/>
              <w:bottom w:val="single" w:sz="4" w:space="0" w:color="auto"/>
              <w:right w:val="single" w:sz="4" w:space="0" w:color="auto"/>
            </w:tcBorders>
            <w:shd w:val="clear" w:color="auto" w:fill="auto"/>
            <w:noWrap/>
            <w:vAlign w:val="bottom"/>
            <w:hideMark/>
          </w:tcPr>
          <w:p w14:paraId="6A2D38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63E329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CB9DE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DB5288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FDED6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 prostrata</w:t>
            </w:r>
          </w:p>
        </w:tc>
        <w:tc>
          <w:tcPr>
            <w:tcW w:w="2268" w:type="dxa"/>
            <w:tcBorders>
              <w:top w:val="nil"/>
              <w:left w:val="nil"/>
              <w:bottom w:val="single" w:sz="4" w:space="0" w:color="auto"/>
              <w:right w:val="single" w:sz="4" w:space="0" w:color="auto"/>
            </w:tcBorders>
            <w:shd w:val="clear" w:color="auto" w:fill="auto"/>
            <w:noWrap/>
            <w:vAlign w:val="bottom"/>
            <w:hideMark/>
          </w:tcPr>
          <w:p w14:paraId="6588A5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464835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B2C4D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1EBDEC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E090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Phalaris paradoxa</w:t>
            </w:r>
          </w:p>
        </w:tc>
        <w:tc>
          <w:tcPr>
            <w:tcW w:w="2268" w:type="dxa"/>
            <w:tcBorders>
              <w:top w:val="nil"/>
              <w:left w:val="nil"/>
              <w:bottom w:val="single" w:sz="4" w:space="0" w:color="auto"/>
              <w:right w:val="single" w:sz="4" w:space="0" w:color="auto"/>
            </w:tcBorders>
            <w:shd w:val="clear" w:color="auto" w:fill="auto"/>
            <w:noWrap/>
            <w:vAlign w:val="bottom"/>
            <w:hideMark/>
          </w:tcPr>
          <w:p w14:paraId="772090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757FB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5686B5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9EB867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0CF164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Phyla nodiflora</w:t>
            </w:r>
          </w:p>
        </w:tc>
        <w:tc>
          <w:tcPr>
            <w:tcW w:w="2268" w:type="dxa"/>
            <w:tcBorders>
              <w:top w:val="nil"/>
              <w:left w:val="nil"/>
              <w:bottom w:val="single" w:sz="4" w:space="0" w:color="auto"/>
              <w:right w:val="single" w:sz="4" w:space="0" w:color="auto"/>
            </w:tcBorders>
            <w:shd w:val="clear" w:color="auto" w:fill="auto"/>
            <w:noWrap/>
            <w:vAlign w:val="bottom"/>
            <w:hideMark/>
          </w:tcPr>
          <w:p w14:paraId="039721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57EB095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ED1991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64CDB7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932F9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Phyllanthus lacunarius</w:t>
            </w:r>
          </w:p>
        </w:tc>
        <w:tc>
          <w:tcPr>
            <w:tcW w:w="2268" w:type="dxa"/>
            <w:tcBorders>
              <w:top w:val="nil"/>
              <w:left w:val="nil"/>
              <w:bottom w:val="single" w:sz="4" w:space="0" w:color="auto"/>
              <w:right w:val="single" w:sz="4" w:space="0" w:color="auto"/>
            </w:tcBorders>
            <w:shd w:val="clear" w:color="auto" w:fill="auto"/>
            <w:noWrap/>
            <w:vAlign w:val="bottom"/>
            <w:hideMark/>
          </w:tcPr>
          <w:p w14:paraId="3896A1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Phyllanthaceae</w:t>
            </w:r>
          </w:p>
        </w:tc>
        <w:tc>
          <w:tcPr>
            <w:tcW w:w="1701" w:type="dxa"/>
            <w:tcBorders>
              <w:top w:val="nil"/>
              <w:left w:val="nil"/>
              <w:bottom w:val="single" w:sz="4" w:space="0" w:color="auto"/>
              <w:right w:val="single" w:sz="4" w:space="0" w:color="auto"/>
            </w:tcBorders>
            <w:shd w:val="clear" w:color="auto" w:fill="auto"/>
            <w:noWrap/>
            <w:vAlign w:val="bottom"/>
            <w:hideMark/>
          </w:tcPr>
          <w:p w14:paraId="05CD1A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883E0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E1DCC2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8C952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Poa fordeana</w:t>
            </w:r>
          </w:p>
        </w:tc>
        <w:tc>
          <w:tcPr>
            <w:tcW w:w="2268" w:type="dxa"/>
            <w:tcBorders>
              <w:top w:val="nil"/>
              <w:left w:val="nil"/>
              <w:bottom w:val="single" w:sz="4" w:space="0" w:color="auto"/>
              <w:right w:val="single" w:sz="4" w:space="0" w:color="auto"/>
            </w:tcBorders>
            <w:shd w:val="clear" w:color="auto" w:fill="auto"/>
            <w:noWrap/>
            <w:vAlign w:val="bottom"/>
            <w:hideMark/>
          </w:tcPr>
          <w:p w14:paraId="054233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7CF37F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3A28D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E6773F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2E54F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Poaceae</w:t>
            </w:r>
          </w:p>
        </w:tc>
        <w:tc>
          <w:tcPr>
            <w:tcW w:w="2268" w:type="dxa"/>
            <w:tcBorders>
              <w:top w:val="nil"/>
              <w:left w:val="nil"/>
              <w:bottom w:val="single" w:sz="4" w:space="0" w:color="auto"/>
              <w:right w:val="single" w:sz="4" w:space="0" w:color="auto"/>
            </w:tcBorders>
            <w:shd w:val="clear" w:color="auto" w:fill="auto"/>
            <w:noWrap/>
            <w:vAlign w:val="bottom"/>
            <w:hideMark/>
          </w:tcPr>
          <w:p w14:paraId="547DEB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DBFBB8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3F8A0ED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1A1AF9C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1D8B73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w:t>
            </w:r>
          </w:p>
        </w:tc>
        <w:tc>
          <w:tcPr>
            <w:tcW w:w="2268" w:type="dxa"/>
            <w:tcBorders>
              <w:top w:val="nil"/>
              <w:left w:val="nil"/>
              <w:bottom w:val="single" w:sz="4" w:space="0" w:color="auto"/>
              <w:right w:val="single" w:sz="4" w:space="0" w:color="auto"/>
            </w:tcBorders>
            <w:shd w:val="clear" w:color="auto" w:fill="auto"/>
            <w:noWrap/>
            <w:vAlign w:val="bottom"/>
            <w:hideMark/>
          </w:tcPr>
          <w:p w14:paraId="01FA068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6FD88C4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18A84F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BCF7E9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ED142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 arenastrum</w:t>
            </w:r>
          </w:p>
        </w:tc>
        <w:tc>
          <w:tcPr>
            <w:tcW w:w="2268" w:type="dxa"/>
            <w:tcBorders>
              <w:top w:val="nil"/>
              <w:left w:val="nil"/>
              <w:bottom w:val="single" w:sz="4" w:space="0" w:color="auto"/>
              <w:right w:val="single" w:sz="4" w:space="0" w:color="auto"/>
            </w:tcBorders>
            <w:shd w:val="clear" w:color="auto" w:fill="auto"/>
            <w:noWrap/>
            <w:vAlign w:val="bottom"/>
            <w:hideMark/>
          </w:tcPr>
          <w:p w14:paraId="7D2B9D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0D421B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C253E3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84CD43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23962A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 aviculare</w:t>
            </w:r>
          </w:p>
        </w:tc>
        <w:tc>
          <w:tcPr>
            <w:tcW w:w="2268" w:type="dxa"/>
            <w:tcBorders>
              <w:top w:val="nil"/>
              <w:left w:val="nil"/>
              <w:bottom w:val="single" w:sz="4" w:space="0" w:color="auto"/>
              <w:right w:val="single" w:sz="4" w:space="0" w:color="auto"/>
            </w:tcBorders>
            <w:shd w:val="clear" w:color="auto" w:fill="auto"/>
            <w:noWrap/>
            <w:vAlign w:val="bottom"/>
            <w:hideMark/>
          </w:tcPr>
          <w:p w14:paraId="4E8B09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4708675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87269A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63F993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676D91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 plebeium</w:t>
            </w:r>
          </w:p>
        </w:tc>
        <w:tc>
          <w:tcPr>
            <w:tcW w:w="2268" w:type="dxa"/>
            <w:tcBorders>
              <w:top w:val="nil"/>
              <w:left w:val="nil"/>
              <w:bottom w:val="single" w:sz="4" w:space="0" w:color="auto"/>
              <w:right w:val="single" w:sz="4" w:space="0" w:color="auto"/>
            </w:tcBorders>
            <w:shd w:val="clear" w:color="auto" w:fill="auto"/>
            <w:noWrap/>
            <w:vAlign w:val="bottom"/>
            <w:hideMark/>
          </w:tcPr>
          <w:p w14:paraId="5873124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519146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D4D36E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8E69CF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0E61C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Polypogon monspeliensis</w:t>
            </w:r>
          </w:p>
        </w:tc>
        <w:tc>
          <w:tcPr>
            <w:tcW w:w="2268" w:type="dxa"/>
            <w:tcBorders>
              <w:top w:val="nil"/>
              <w:left w:val="nil"/>
              <w:bottom w:val="single" w:sz="4" w:space="0" w:color="auto"/>
              <w:right w:val="single" w:sz="4" w:space="0" w:color="auto"/>
            </w:tcBorders>
            <w:shd w:val="clear" w:color="auto" w:fill="auto"/>
            <w:noWrap/>
            <w:vAlign w:val="bottom"/>
            <w:hideMark/>
          </w:tcPr>
          <w:p w14:paraId="46D065E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43E2877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473C8A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67CF1D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22197A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Pratia concolor</w:t>
            </w:r>
          </w:p>
        </w:tc>
        <w:tc>
          <w:tcPr>
            <w:tcW w:w="2268" w:type="dxa"/>
            <w:tcBorders>
              <w:top w:val="nil"/>
              <w:left w:val="nil"/>
              <w:bottom w:val="single" w:sz="4" w:space="0" w:color="auto"/>
              <w:right w:val="single" w:sz="4" w:space="0" w:color="auto"/>
            </w:tcBorders>
            <w:shd w:val="clear" w:color="auto" w:fill="auto"/>
            <w:noWrap/>
            <w:vAlign w:val="bottom"/>
            <w:hideMark/>
          </w:tcPr>
          <w:p w14:paraId="6DC505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Lobeliaceae</w:t>
            </w:r>
          </w:p>
        </w:tc>
        <w:tc>
          <w:tcPr>
            <w:tcW w:w="1701" w:type="dxa"/>
            <w:tcBorders>
              <w:top w:val="nil"/>
              <w:left w:val="nil"/>
              <w:bottom w:val="single" w:sz="4" w:space="0" w:color="auto"/>
              <w:right w:val="single" w:sz="4" w:space="0" w:color="auto"/>
            </w:tcBorders>
            <w:shd w:val="clear" w:color="auto" w:fill="auto"/>
            <w:noWrap/>
            <w:vAlign w:val="bottom"/>
            <w:hideMark/>
          </w:tcPr>
          <w:p w14:paraId="3A7082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94566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ED61F2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2578AA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Pseudognaphalium luteoalbum</w:t>
            </w:r>
          </w:p>
        </w:tc>
        <w:tc>
          <w:tcPr>
            <w:tcW w:w="2268" w:type="dxa"/>
            <w:tcBorders>
              <w:top w:val="nil"/>
              <w:left w:val="nil"/>
              <w:bottom w:val="single" w:sz="4" w:space="0" w:color="auto"/>
              <w:right w:val="single" w:sz="4" w:space="0" w:color="auto"/>
            </w:tcBorders>
            <w:shd w:val="clear" w:color="auto" w:fill="auto"/>
            <w:noWrap/>
            <w:vAlign w:val="bottom"/>
            <w:hideMark/>
          </w:tcPr>
          <w:p w14:paraId="336FA4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D0F4E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53043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7CE7ED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750AB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Pseudoraphis spinescens</w:t>
            </w:r>
          </w:p>
        </w:tc>
        <w:tc>
          <w:tcPr>
            <w:tcW w:w="2268" w:type="dxa"/>
            <w:tcBorders>
              <w:top w:val="nil"/>
              <w:left w:val="nil"/>
              <w:bottom w:val="single" w:sz="4" w:space="0" w:color="auto"/>
              <w:right w:val="single" w:sz="4" w:space="0" w:color="auto"/>
            </w:tcBorders>
            <w:shd w:val="clear" w:color="auto" w:fill="auto"/>
            <w:noWrap/>
            <w:vAlign w:val="bottom"/>
            <w:hideMark/>
          </w:tcPr>
          <w:p w14:paraId="002893C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2FBAF5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262EA9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1AC91F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7E5E69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Radyera farragei</w:t>
            </w:r>
          </w:p>
        </w:tc>
        <w:tc>
          <w:tcPr>
            <w:tcW w:w="2268" w:type="dxa"/>
            <w:tcBorders>
              <w:top w:val="nil"/>
              <w:left w:val="nil"/>
              <w:bottom w:val="single" w:sz="4" w:space="0" w:color="auto"/>
              <w:right w:val="single" w:sz="4" w:space="0" w:color="auto"/>
            </w:tcBorders>
            <w:shd w:val="clear" w:color="auto" w:fill="auto"/>
            <w:noWrap/>
            <w:vAlign w:val="bottom"/>
            <w:hideMark/>
          </w:tcPr>
          <w:p w14:paraId="79CBDD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1CFBD0F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38C1F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4473B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468040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Ranunculus pumilio</w:t>
            </w:r>
          </w:p>
        </w:tc>
        <w:tc>
          <w:tcPr>
            <w:tcW w:w="2268" w:type="dxa"/>
            <w:tcBorders>
              <w:top w:val="nil"/>
              <w:left w:val="nil"/>
              <w:bottom w:val="single" w:sz="4" w:space="0" w:color="auto"/>
              <w:right w:val="single" w:sz="4" w:space="0" w:color="auto"/>
            </w:tcBorders>
            <w:shd w:val="clear" w:color="auto" w:fill="auto"/>
            <w:noWrap/>
            <w:vAlign w:val="bottom"/>
            <w:hideMark/>
          </w:tcPr>
          <w:p w14:paraId="656E3C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51263FE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36D544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930282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B6123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Ranunculus undosus</w:t>
            </w:r>
          </w:p>
        </w:tc>
        <w:tc>
          <w:tcPr>
            <w:tcW w:w="2268" w:type="dxa"/>
            <w:tcBorders>
              <w:top w:val="nil"/>
              <w:left w:val="nil"/>
              <w:bottom w:val="single" w:sz="4" w:space="0" w:color="auto"/>
              <w:right w:val="single" w:sz="4" w:space="0" w:color="auto"/>
            </w:tcBorders>
            <w:shd w:val="clear" w:color="auto" w:fill="auto"/>
            <w:noWrap/>
            <w:vAlign w:val="bottom"/>
            <w:hideMark/>
          </w:tcPr>
          <w:p w14:paraId="22E51B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4A4D6F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7BAED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7D7113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78047B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Raphanus raphanistrum</w:t>
            </w:r>
          </w:p>
        </w:tc>
        <w:tc>
          <w:tcPr>
            <w:tcW w:w="2268" w:type="dxa"/>
            <w:tcBorders>
              <w:top w:val="nil"/>
              <w:left w:val="nil"/>
              <w:bottom w:val="single" w:sz="4" w:space="0" w:color="auto"/>
              <w:right w:val="single" w:sz="4" w:space="0" w:color="auto"/>
            </w:tcBorders>
            <w:shd w:val="clear" w:color="auto" w:fill="auto"/>
            <w:noWrap/>
            <w:vAlign w:val="bottom"/>
            <w:hideMark/>
          </w:tcPr>
          <w:p w14:paraId="1F4B12B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1E19BF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CE427C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5DEEA3F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0BBC0C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Rapistrum rugosum</w:t>
            </w:r>
          </w:p>
        </w:tc>
        <w:tc>
          <w:tcPr>
            <w:tcW w:w="2268" w:type="dxa"/>
            <w:tcBorders>
              <w:top w:val="nil"/>
              <w:left w:val="nil"/>
              <w:bottom w:val="single" w:sz="4" w:space="0" w:color="auto"/>
              <w:right w:val="single" w:sz="4" w:space="0" w:color="auto"/>
            </w:tcBorders>
            <w:shd w:val="clear" w:color="auto" w:fill="auto"/>
            <w:noWrap/>
            <w:vAlign w:val="bottom"/>
            <w:hideMark/>
          </w:tcPr>
          <w:p w14:paraId="4DE021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2A7ECC6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D749E6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89F015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715624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Rhagodia spinescens</w:t>
            </w:r>
          </w:p>
        </w:tc>
        <w:tc>
          <w:tcPr>
            <w:tcW w:w="2268" w:type="dxa"/>
            <w:tcBorders>
              <w:top w:val="nil"/>
              <w:left w:val="nil"/>
              <w:bottom w:val="single" w:sz="4" w:space="0" w:color="auto"/>
              <w:right w:val="single" w:sz="4" w:space="0" w:color="auto"/>
            </w:tcBorders>
            <w:shd w:val="clear" w:color="auto" w:fill="auto"/>
            <w:noWrap/>
            <w:vAlign w:val="bottom"/>
            <w:hideMark/>
          </w:tcPr>
          <w:p w14:paraId="7A67D09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BBA6E1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A1F94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9511C2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703F1C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Rhodanthe corymbiflora</w:t>
            </w:r>
          </w:p>
        </w:tc>
        <w:tc>
          <w:tcPr>
            <w:tcW w:w="2268" w:type="dxa"/>
            <w:tcBorders>
              <w:top w:val="nil"/>
              <w:left w:val="nil"/>
              <w:bottom w:val="single" w:sz="4" w:space="0" w:color="auto"/>
              <w:right w:val="single" w:sz="4" w:space="0" w:color="auto"/>
            </w:tcBorders>
            <w:shd w:val="clear" w:color="auto" w:fill="auto"/>
            <w:noWrap/>
            <w:vAlign w:val="bottom"/>
            <w:hideMark/>
          </w:tcPr>
          <w:p w14:paraId="2D6014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A1163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8261DC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2A615A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7B2F6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w:t>
            </w:r>
          </w:p>
        </w:tc>
        <w:tc>
          <w:tcPr>
            <w:tcW w:w="2268" w:type="dxa"/>
            <w:tcBorders>
              <w:top w:val="nil"/>
              <w:left w:val="nil"/>
              <w:bottom w:val="single" w:sz="4" w:space="0" w:color="auto"/>
              <w:right w:val="single" w:sz="4" w:space="0" w:color="auto"/>
            </w:tcBorders>
            <w:shd w:val="clear" w:color="auto" w:fill="auto"/>
            <w:noWrap/>
            <w:vAlign w:val="bottom"/>
            <w:hideMark/>
          </w:tcPr>
          <w:p w14:paraId="0797A0F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5F0781B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E09379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F37912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898E52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 eustylis</w:t>
            </w:r>
          </w:p>
        </w:tc>
        <w:tc>
          <w:tcPr>
            <w:tcW w:w="2268" w:type="dxa"/>
            <w:tcBorders>
              <w:top w:val="nil"/>
              <w:left w:val="nil"/>
              <w:bottom w:val="single" w:sz="4" w:space="0" w:color="auto"/>
              <w:right w:val="single" w:sz="4" w:space="0" w:color="auto"/>
            </w:tcBorders>
            <w:shd w:val="clear" w:color="auto" w:fill="auto"/>
            <w:noWrap/>
            <w:vAlign w:val="bottom"/>
            <w:hideMark/>
          </w:tcPr>
          <w:p w14:paraId="5C9B17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4ED0B2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4D0F4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F92CCC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C90ED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 palustris</w:t>
            </w:r>
          </w:p>
        </w:tc>
        <w:tc>
          <w:tcPr>
            <w:tcW w:w="2268" w:type="dxa"/>
            <w:tcBorders>
              <w:top w:val="nil"/>
              <w:left w:val="nil"/>
              <w:bottom w:val="single" w:sz="4" w:space="0" w:color="auto"/>
              <w:right w:val="single" w:sz="4" w:space="0" w:color="auto"/>
            </w:tcBorders>
            <w:shd w:val="clear" w:color="auto" w:fill="auto"/>
            <w:noWrap/>
            <w:vAlign w:val="bottom"/>
            <w:hideMark/>
          </w:tcPr>
          <w:p w14:paraId="594C12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565C2C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926C65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EC9540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DC6760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w:t>
            </w:r>
          </w:p>
        </w:tc>
        <w:tc>
          <w:tcPr>
            <w:tcW w:w="2268" w:type="dxa"/>
            <w:tcBorders>
              <w:top w:val="nil"/>
              <w:left w:val="nil"/>
              <w:bottom w:val="single" w:sz="4" w:space="0" w:color="auto"/>
              <w:right w:val="single" w:sz="4" w:space="0" w:color="auto"/>
            </w:tcBorders>
            <w:shd w:val="clear" w:color="auto" w:fill="auto"/>
            <w:noWrap/>
            <w:vAlign w:val="bottom"/>
            <w:hideMark/>
          </w:tcPr>
          <w:p w14:paraId="51AA1F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0691716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4B856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58D74A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CA9C30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 crystallinus</w:t>
            </w:r>
          </w:p>
        </w:tc>
        <w:tc>
          <w:tcPr>
            <w:tcW w:w="2268" w:type="dxa"/>
            <w:tcBorders>
              <w:top w:val="nil"/>
              <w:left w:val="nil"/>
              <w:bottom w:val="single" w:sz="4" w:space="0" w:color="auto"/>
              <w:right w:val="single" w:sz="4" w:space="0" w:color="auto"/>
            </w:tcBorders>
            <w:shd w:val="clear" w:color="auto" w:fill="auto"/>
            <w:noWrap/>
            <w:vAlign w:val="bottom"/>
            <w:hideMark/>
          </w:tcPr>
          <w:p w14:paraId="67AB8A6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3AEA823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19253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A7378B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C046C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 tenax</w:t>
            </w:r>
          </w:p>
        </w:tc>
        <w:tc>
          <w:tcPr>
            <w:tcW w:w="2268" w:type="dxa"/>
            <w:tcBorders>
              <w:top w:val="nil"/>
              <w:left w:val="nil"/>
              <w:bottom w:val="single" w:sz="4" w:space="0" w:color="auto"/>
              <w:right w:val="single" w:sz="4" w:space="0" w:color="auto"/>
            </w:tcBorders>
            <w:shd w:val="clear" w:color="auto" w:fill="auto"/>
            <w:noWrap/>
            <w:vAlign w:val="bottom"/>
            <w:hideMark/>
          </w:tcPr>
          <w:p w14:paraId="4168886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62469DA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A1B0A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08B3A3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EBB1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Salsola kali</w:t>
            </w:r>
          </w:p>
        </w:tc>
        <w:tc>
          <w:tcPr>
            <w:tcW w:w="2268" w:type="dxa"/>
            <w:tcBorders>
              <w:top w:val="nil"/>
              <w:left w:val="nil"/>
              <w:bottom w:val="single" w:sz="4" w:space="0" w:color="auto"/>
              <w:right w:val="single" w:sz="4" w:space="0" w:color="auto"/>
            </w:tcBorders>
            <w:shd w:val="clear" w:color="auto" w:fill="auto"/>
            <w:noWrap/>
            <w:vAlign w:val="bottom"/>
            <w:hideMark/>
          </w:tcPr>
          <w:p w14:paraId="0F09D4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73418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AD1F0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BACD6B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45032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Schenkia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3A96F1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Gentianaceae</w:t>
            </w:r>
          </w:p>
        </w:tc>
        <w:tc>
          <w:tcPr>
            <w:tcW w:w="1701" w:type="dxa"/>
            <w:tcBorders>
              <w:top w:val="nil"/>
              <w:left w:val="nil"/>
              <w:bottom w:val="single" w:sz="4" w:space="0" w:color="auto"/>
              <w:right w:val="single" w:sz="4" w:space="0" w:color="auto"/>
            </w:tcBorders>
            <w:shd w:val="clear" w:color="auto" w:fill="auto"/>
            <w:noWrap/>
            <w:vAlign w:val="bottom"/>
            <w:hideMark/>
          </w:tcPr>
          <w:p w14:paraId="4BC2FD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27774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EEF872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B708B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Schismus barbatus</w:t>
            </w:r>
          </w:p>
        </w:tc>
        <w:tc>
          <w:tcPr>
            <w:tcW w:w="2268" w:type="dxa"/>
            <w:tcBorders>
              <w:top w:val="nil"/>
              <w:left w:val="nil"/>
              <w:bottom w:val="single" w:sz="4" w:space="0" w:color="auto"/>
              <w:right w:val="single" w:sz="4" w:space="0" w:color="auto"/>
            </w:tcBorders>
            <w:shd w:val="clear" w:color="auto" w:fill="auto"/>
            <w:noWrap/>
            <w:vAlign w:val="bottom"/>
            <w:hideMark/>
          </w:tcPr>
          <w:p w14:paraId="08D56E0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EEBDD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9961D5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2B854D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6212E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Scleroblitum atriplicinum</w:t>
            </w:r>
          </w:p>
        </w:tc>
        <w:tc>
          <w:tcPr>
            <w:tcW w:w="2268" w:type="dxa"/>
            <w:tcBorders>
              <w:top w:val="nil"/>
              <w:left w:val="nil"/>
              <w:bottom w:val="single" w:sz="4" w:space="0" w:color="auto"/>
              <w:right w:val="single" w:sz="4" w:space="0" w:color="auto"/>
            </w:tcBorders>
            <w:shd w:val="clear" w:color="auto" w:fill="auto"/>
            <w:noWrap/>
            <w:vAlign w:val="bottom"/>
            <w:hideMark/>
          </w:tcPr>
          <w:p w14:paraId="520E22F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35FBD5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AF060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41C14C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49B66B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w:t>
            </w:r>
          </w:p>
        </w:tc>
        <w:tc>
          <w:tcPr>
            <w:tcW w:w="2268" w:type="dxa"/>
            <w:tcBorders>
              <w:top w:val="nil"/>
              <w:left w:val="nil"/>
              <w:bottom w:val="single" w:sz="4" w:space="0" w:color="auto"/>
              <w:right w:val="single" w:sz="4" w:space="0" w:color="auto"/>
            </w:tcBorders>
            <w:shd w:val="clear" w:color="auto" w:fill="auto"/>
            <w:noWrap/>
            <w:vAlign w:val="bottom"/>
            <w:hideMark/>
          </w:tcPr>
          <w:p w14:paraId="48C148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9F65A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B04D9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91B08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456D6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birchii</w:t>
            </w:r>
          </w:p>
        </w:tc>
        <w:tc>
          <w:tcPr>
            <w:tcW w:w="2268" w:type="dxa"/>
            <w:tcBorders>
              <w:top w:val="nil"/>
              <w:left w:val="nil"/>
              <w:bottom w:val="single" w:sz="4" w:space="0" w:color="auto"/>
              <w:right w:val="single" w:sz="4" w:space="0" w:color="auto"/>
            </w:tcBorders>
            <w:shd w:val="clear" w:color="auto" w:fill="auto"/>
            <w:noWrap/>
            <w:vAlign w:val="bottom"/>
            <w:hideMark/>
          </w:tcPr>
          <w:p w14:paraId="12826B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0659A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4ECBCF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FEEAA0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1B773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brachyptera</w:t>
            </w:r>
          </w:p>
        </w:tc>
        <w:tc>
          <w:tcPr>
            <w:tcW w:w="2268" w:type="dxa"/>
            <w:tcBorders>
              <w:top w:val="nil"/>
              <w:left w:val="nil"/>
              <w:bottom w:val="single" w:sz="4" w:space="0" w:color="auto"/>
              <w:right w:val="single" w:sz="4" w:space="0" w:color="auto"/>
            </w:tcBorders>
            <w:shd w:val="clear" w:color="auto" w:fill="auto"/>
            <w:noWrap/>
            <w:vAlign w:val="bottom"/>
            <w:hideMark/>
          </w:tcPr>
          <w:p w14:paraId="11B9B7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CBF864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A8F20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0756C5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FD42C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muricata</w:t>
            </w:r>
          </w:p>
        </w:tc>
        <w:tc>
          <w:tcPr>
            <w:tcW w:w="2268" w:type="dxa"/>
            <w:tcBorders>
              <w:top w:val="nil"/>
              <w:left w:val="nil"/>
              <w:bottom w:val="single" w:sz="4" w:space="0" w:color="auto"/>
              <w:right w:val="single" w:sz="4" w:space="0" w:color="auto"/>
            </w:tcBorders>
            <w:shd w:val="clear" w:color="auto" w:fill="auto"/>
            <w:noWrap/>
            <w:vAlign w:val="bottom"/>
            <w:hideMark/>
          </w:tcPr>
          <w:p w14:paraId="4BF7B8A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97338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43B429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9A4961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3CA6A9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parviflora</w:t>
            </w:r>
          </w:p>
        </w:tc>
        <w:tc>
          <w:tcPr>
            <w:tcW w:w="2268" w:type="dxa"/>
            <w:tcBorders>
              <w:top w:val="nil"/>
              <w:left w:val="nil"/>
              <w:bottom w:val="single" w:sz="4" w:space="0" w:color="auto"/>
              <w:right w:val="single" w:sz="4" w:space="0" w:color="auto"/>
            </w:tcBorders>
            <w:shd w:val="clear" w:color="auto" w:fill="auto"/>
            <w:noWrap/>
            <w:vAlign w:val="bottom"/>
            <w:hideMark/>
          </w:tcPr>
          <w:p w14:paraId="7768485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6AD533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25E60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8832A3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A1F18B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stelligera</w:t>
            </w:r>
          </w:p>
        </w:tc>
        <w:tc>
          <w:tcPr>
            <w:tcW w:w="2268" w:type="dxa"/>
            <w:tcBorders>
              <w:top w:val="nil"/>
              <w:left w:val="nil"/>
              <w:bottom w:val="single" w:sz="4" w:space="0" w:color="auto"/>
              <w:right w:val="single" w:sz="4" w:space="0" w:color="auto"/>
            </w:tcBorders>
            <w:shd w:val="clear" w:color="auto" w:fill="auto"/>
            <w:noWrap/>
            <w:vAlign w:val="bottom"/>
            <w:hideMark/>
          </w:tcPr>
          <w:p w14:paraId="06042A4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8D7B5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65C93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8EE3B3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F7C33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tricuspis</w:t>
            </w:r>
          </w:p>
        </w:tc>
        <w:tc>
          <w:tcPr>
            <w:tcW w:w="2268" w:type="dxa"/>
            <w:tcBorders>
              <w:top w:val="nil"/>
              <w:left w:val="nil"/>
              <w:bottom w:val="single" w:sz="4" w:space="0" w:color="auto"/>
              <w:right w:val="single" w:sz="4" w:space="0" w:color="auto"/>
            </w:tcBorders>
            <w:shd w:val="clear" w:color="auto" w:fill="auto"/>
            <w:noWrap/>
            <w:vAlign w:val="bottom"/>
            <w:hideMark/>
          </w:tcPr>
          <w:p w14:paraId="0E0A090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20818F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BB3B9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879356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6625E0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w:t>
            </w:r>
          </w:p>
        </w:tc>
        <w:tc>
          <w:tcPr>
            <w:tcW w:w="2268" w:type="dxa"/>
            <w:tcBorders>
              <w:top w:val="nil"/>
              <w:left w:val="nil"/>
              <w:bottom w:val="single" w:sz="4" w:space="0" w:color="auto"/>
              <w:right w:val="single" w:sz="4" w:space="0" w:color="auto"/>
            </w:tcBorders>
            <w:shd w:val="clear" w:color="auto" w:fill="auto"/>
            <w:noWrap/>
            <w:vAlign w:val="bottom"/>
            <w:hideMark/>
          </w:tcPr>
          <w:p w14:paraId="26BF3E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1C66D3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4597F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A52F71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02D05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cunninghamii</w:t>
            </w:r>
          </w:p>
        </w:tc>
        <w:tc>
          <w:tcPr>
            <w:tcW w:w="2268" w:type="dxa"/>
            <w:tcBorders>
              <w:top w:val="nil"/>
              <w:left w:val="nil"/>
              <w:bottom w:val="single" w:sz="4" w:space="0" w:color="auto"/>
              <w:right w:val="single" w:sz="4" w:space="0" w:color="auto"/>
            </w:tcBorders>
            <w:shd w:val="clear" w:color="auto" w:fill="auto"/>
            <w:noWrap/>
            <w:vAlign w:val="bottom"/>
            <w:hideMark/>
          </w:tcPr>
          <w:p w14:paraId="4FFE7EE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15654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7E940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FB0E5E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DD583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quadridentatus</w:t>
            </w:r>
          </w:p>
        </w:tc>
        <w:tc>
          <w:tcPr>
            <w:tcW w:w="2268" w:type="dxa"/>
            <w:tcBorders>
              <w:top w:val="nil"/>
              <w:left w:val="nil"/>
              <w:bottom w:val="single" w:sz="4" w:space="0" w:color="auto"/>
              <w:right w:val="single" w:sz="4" w:space="0" w:color="auto"/>
            </w:tcBorders>
            <w:shd w:val="clear" w:color="auto" w:fill="auto"/>
            <w:noWrap/>
            <w:vAlign w:val="bottom"/>
            <w:hideMark/>
          </w:tcPr>
          <w:p w14:paraId="458EE8D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68646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848E61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2A57E0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07113C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runcinifolius</w:t>
            </w:r>
          </w:p>
        </w:tc>
        <w:tc>
          <w:tcPr>
            <w:tcW w:w="2268" w:type="dxa"/>
            <w:tcBorders>
              <w:top w:val="nil"/>
              <w:left w:val="nil"/>
              <w:bottom w:val="single" w:sz="4" w:space="0" w:color="auto"/>
              <w:right w:val="single" w:sz="4" w:space="0" w:color="auto"/>
            </w:tcBorders>
            <w:shd w:val="clear" w:color="auto" w:fill="auto"/>
            <w:noWrap/>
            <w:vAlign w:val="bottom"/>
            <w:hideMark/>
          </w:tcPr>
          <w:p w14:paraId="2D0FB3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4E64F3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1CD78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180EC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1DFDF0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w:t>
            </w:r>
          </w:p>
        </w:tc>
        <w:tc>
          <w:tcPr>
            <w:tcW w:w="2268" w:type="dxa"/>
            <w:tcBorders>
              <w:top w:val="nil"/>
              <w:left w:val="nil"/>
              <w:bottom w:val="single" w:sz="4" w:space="0" w:color="auto"/>
              <w:right w:val="single" w:sz="4" w:space="0" w:color="auto"/>
            </w:tcBorders>
            <w:shd w:val="clear" w:color="auto" w:fill="auto"/>
            <w:noWrap/>
            <w:vAlign w:val="bottom"/>
            <w:hideMark/>
          </w:tcPr>
          <w:p w14:paraId="347AFF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6DB2799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2EF4D9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42EE1B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9F1757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corrugata</w:t>
            </w:r>
          </w:p>
        </w:tc>
        <w:tc>
          <w:tcPr>
            <w:tcW w:w="2268" w:type="dxa"/>
            <w:tcBorders>
              <w:top w:val="nil"/>
              <w:left w:val="nil"/>
              <w:bottom w:val="single" w:sz="4" w:space="0" w:color="auto"/>
              <w:right w:val="single" w:sz="4" w:space="0" w:color="auto"/>
            </w:tcBorders>
            <w:shd w:val="clear" w:color="auto" w:fill="auto"/>
            <w:noWrap/>
            <w:vAlign w:val="bottom"/>
            <w:hideMark/>
          </w:tcPr>
          <w:p w14:paraId="2F33CDB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7166BE0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D947A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637933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5962FE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fibulifera</w:t>
            </w:r>
          </w:p>
        </w:tc>
        <w:tc>
          <w:tcPr>
            <w:tcW w:w="2268" w:type="dxa"/>
            <w:tcBorders>
              <w:top w:val="nil"/>
              <w:left w:val="nil"/>
              <w:bottom w:val="single" w:sz="4" w:space="0" w:color="auto"/>
              <w:right w:val="single" w:sz="4" w:space="0" w:color="auto"/>
            </w:tcBorders>
            <w:shd w:val="clear" w:color="auto" w:fill="auto"/>
            <w:noWrap/>
            <w:vAlign w:val="bottom"/>
            <w:hideMark/>
          </w:tcPr>
          <w:p w14:paraId="4DB8858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3AE6CF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3A7C4D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638E29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16C14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w:t>
            </w:r>
          </w:p>
        </w:tc>
        <w:tc>
          <w:tcPr>
            <w:tcW w:w="2268" w:type="dxa"/>
            <w:tcBorders>
              <w:top w:val="nil"/>
              <w:left w:val="nil"/>
              <w:bottom w:val="single" w:sz="4" w:space="0" w:color="auto"/>
              <w:right w:val="single" w:sz="4" w:space="0" w:color="auto"/>
            </w:tcBorders>
            <w:shd w:val="clear" w:color="auto" w:fill="auto"/>
            <w:noWrap/>
            <w:vAlign w:val="bottom"/>
            <w:hideMark/>
          </w:tcPr>
          <w:p w14:paraId="1D0097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3AB3AA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99C24B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562F266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F595C2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 erysimoides</w:t>
            </w:r>
          </w:p>
        </w:tc>
        <w:tc>
          <w:tcPr>
            <w:tcW w:w="2268" w:type="dxa"/>
            <w:tcBorders>
              <w:top w:val="nil"/>
              <w:left w:val="nil"/>
              <w:bottom w:val="single" w:sz="4" w:space="0" w:color="auto"/>
              <w:right w:val="single" w:sz="4" w:space="0" w:color="auto"/>
            </w:tcBorders>
            <w:shd w:val="clear" w:color="auto" w:fill="auto"/>
            <w:noWrap/>
            <w:vAlign w:val="bottom"/>
            <w:hideMark/>
          </w:tcPr>
          <w:p w14:paraId="423003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7156B2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BBDA9F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70F94A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9E2036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 irio</w:t>
            </w:r>
          </w:p>
        </w:tc>
        <w:tc>
          <w:tcPr>
            <w:tcW w:w="2268" w:type="dxa"/>
            <w:tcBorders>
              <w:top w:val="nil"/>
              <w:left w:val="nil"/>
              <w:bottom w:val="single" w:sz="4" w:space="0" w:color="auto"/>
              <w:right w:val="single" w:sz="4" w:space="0" w:color="auto"/>
            </w:tcBorders>
            <w:shd w:val="clear" w:color="auto" w:fill="auto"/>
            <w:noWrap/>
            <w:vAlign w:val="bottom"/>
            <w:hideMark/>
          </w:tcPr>
          <w:p w14:paraId="1EAA79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0CF151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0BFBF0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330A31C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BC6BE3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Solanaceae</w:t>
            </w:r>
          </w:p>
        </w:tc>
        <w:tc>
          <w:tcPr>
            <w:tcW w:w="2268" w:type="dxa"/>
            <w:tcBorders>
              <w:top w:val="nil"/>
              <w:left w:val="nil"/>
              <w:bottom w:val="single" w:sz="4" w:space="0" w:color="auto"/>
              <w:right w:val="single" w:sz="4" w:space="0" w:color="auto"/>
            </w:tcBorders>
            <w:shd w:val="clear" w:color="auto" w:fill="auto"/>
            <w:noWrap/>
            <w:vAlign w:val="bottom"/>
            <w:hideMark/>
          </w:tcPr>
          <w:p w14:paraId="027BD4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639B512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58864B7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73BAD71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925854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w:t>
            </w:r>
          </w:p>
        </w:tc>
        <w:tc>
          <w:tcPr>
            <w:tcW w:w="2268" w:type="dxa"/>
            <w:tcBorders>
              <w:top w:val="nil"/>
              <w:left w:val="nil"/>
              <w:bottom w:val="single" w:sz="4" w:space="0" w:color="auto"/>
              <w:right w:val="single" w:sz="4" w:space="0" w:color="auto"/>
            </w:tcBorders>
            <w:shd w:val="clear" w:color="auto" w:fill="auto"/>
            <w:noWrap/>
            <w:vAlign w:val="bottom"/>
            <w:hideMark/>
          </w:tcPr>
          <w:p w14:paraId="1F77B0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4DAE29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D716E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1FFA3F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DA73A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 esuriale</w:t>
            </w:r>
          </w:p>
        </w:tc>
        <w:tc>
          <w:tcPr>
            <w:tcW w:w="2268" w:type="dxa"/>
            <w:tcBorders>
              <w:top w:val="nil"/>
              <w:left w:val="nil"/>
              <w:bottom w:val="single" w:sz="4" w:space="0" w:color="auto"/>
              <w:right w:val="single" w:sz="4" w:space="0" w:color="auto"/>
            </w:tcBorders>
            <w:shd w:val="clear" w:color="auto" w:fill="auto"/>
            <w:noWrap/>
            <w:vAlign w:val="bottom"/>
            <w:hideMark/>
          </w:tcPr>
          <w:p w14:paraId="1492E5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627906D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808BB2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291E4C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742702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 nigrum</w:t>
            </w:r>
          </w:p>
        </w:tc>
        <w:tc>
          <w:tcPr>
            <w:tcW w:w="2268" w:type="dxa"/>
            <w:tcBorders>
              <w:top w:val="nil"/>
              <w:left w:val="nil"/>
              <w:bottom w:val="single" w:sz="4" w:space="0" w:color="auto"/>
              <w:right w:val="single" w:sz="4" w:space="0" w:color="auto"/>
            </w:tcBorders>
            <w:shd w:val="clear" w:color="auto" w:fill="auto"/>
            <w:noWrap/>
            <w:vAlign w:val="bottom"/>
            <w:hideMark/>
          </w:tcPr>
          <w:p w14:paraId="3AD498A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08F1F3E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5268A3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2911CF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20397D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Sonchus oleraceus</w:t>
            </w:r>
          </w:p>
        </w:tc>
        <w:tc>
          <w:tcPr>
            <w:tcW w:w="2268" w:type="dxa"/>
            <w:tcBorders>
              <w:top w:val="nil"/>
              <w:left w:val="nil"/>
              <w:bottom w:val="single" w:sz="4" w:space="0" w:color="auto"/>
              <w:right w:val="single" w:sz="4" w:space="0" w:color="auto"/>
            </w:tcBorders>
            <w:shd w:val="clear" w:color="auto" w:fill="auto"/>
            <w:noWrap/>
            <w:vAlign w:val="bottom"/>
            <w:hideMark/>
          </w:tcPr>
          <w:p w14:paraId="3EE4E7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E885B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027D13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52DEB03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4120E1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Sporobolus mitchellii</w:t>
            </w:r>
          </w:p>
        </w:tc>
        <w:tc>
          <w:tcPr>
            <w:tcW w:w="2268" w:type="dxa"/>
            <w:tcBorders>
              <w:top w:val="nil"/>
              <w:left w:val="nil"/>
              <w:bottom w:val="single" w:sz="4" w:space="0" w:color="auto"/>
              <w:right w:val="single" w:sz="4" w:space="0" w:color="auto"/>
            </w:tcBorders>
            <w:shd w:val="clear" w:color="auto" w:fill="auto"/>
            <w:noWrap/>
            <w:vAlign w:val="bottom"/>
            <w:hideMark/>
          </w:tcPr>
          <w:p w14:paraId="23B3A4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DB73F9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A0E54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B8DED0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41C27E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Stellaria media</w:t>
            </w:r>
          </w:p>
        </w:tc>
        <w:tc>
          <w:tcPr>
            <w:tcW w:w="2268" w:type="dxa"/>
            <w:tcBorders>
              <w:top w:val="nil"/>
              <w:left w:val="nil"/>
              <w:bottom w:val="single" w:sz="4" w:space="0" w:color="auto"/>
              <w:right w:val="single" w:sz="4" w:space="0" w:color="auto"/>
            </w:tcBorders>
            <w:shd w:val="clear" w:color="auto" w:fill="auto"/>
            <w:noWrap/>
            <w:vAlign w:val="bottom"/>
            <w:hideMark/>
          </w:tcPr>
          <w:p w14:paraId="073443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Caryophyllaceae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7B16285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C170E5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E28391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CA318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Stemodia florulenta</w:t>
            </w:r>
          </w:p>
        </w:tc>
        <w:tc>
          <w:tcPr>
            <w:tcW w:w="2268" w:type="dxa"/>
            <w:tcBorders>
              <w:top w:val="nil"/>
              <w:left w:val="nil"/>
              <w:bottom w:val="single" w:sz="4" w:space="0" w:color="auto"/>
              <w:right w:val="single" w:sz="4" w:space="0" w:color="auto"/>
            </w:tcBorders>
            <w:shd w:val="clear" w:color="auto" w:fill="auto"/>
            <w:noWrap/>
            <w:vAlign w:val="bottom"/>
            <w:hideMark/>
          </w:tcPr>
          <w:p w14:paraId="3DDBE7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384E29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98E2B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896ED5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8226AB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Tetragonia eremaea</w:t>
            </w:r>
          </w:p>
        </w:tc>
        <w:tc>
          <w:tcPr>
            <w:tcW w:w="2268" w:type="dxa"/>
            <w:tcBorders>
              <w:top w:val="nil"/>
              <w:left w:val="nil"/>
              <w:bottom w:val="single" w:sz="4" w:space="0" w:color="auto"/>
              <w:right w:val="single" w:sz="4" w:space="0" w:color="auto"/>
            </w:tcBorders>
            <w:shd w:val="clear" w:color="auto" w:fill="auto"/>
            <w:noWrap/>
            <w:vAlign w:val="bottom"/>
            <w:hideMark/>
          </w:tcPr>
          <w:p w14:paraId="5B65B08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6731D2D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D71FA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D48D08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11C9CA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Urtica urens</w:t>
            </w:r>
          </w:p>
        </w:tc>
        <w:tc>
          <w:tcPr>
            <w:tcW w:w="2268" w:type="dxa"/>
            <w:tcBorders>
              <w:top w:val="nil"/>
              <w:left w:val="nil"/>
              <w:bottom w:val="single" w:sz="4" w:space="0" w:color="auto"/>
              <w:right w:val="single" w:sz="4" w:space="0" w:color="auto"/>
            </w:tcBorders>
            <w:shd w:val="clear" w:color="auto" w:fill="auto"/>
            <w:noWrap/>
            <w:vAlign w:val="bottom"/>
            <w:hideMark/>
          </w:tcPr>
          <w:p w14:paraId="71B21E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Urticaceae</w:t>
            </w:r>
          </w:p>
        </w:tc>
        <w:tc>
          <w:tcPr>
            <w:tcW w:w="1701" w:type="dxa"/>
            <w:tcBorders>
              <w:top w:val="nil"/>
              <w:left w:val="nil"/>
              <w:bottom w:val="single" w:sz="4" w:space="0" w:color="auto"/>
              <w:right w:val="single" w:sz="4" w:space="0" w:color="auto"/>
            </w:tcBorders>
            <w:shd w:val="clear" w:color="auto" w:fill="auto"/>
            <w:noWrap/>
            <w:vAlign w:val="bottom"/>
            <w:hideMark/>
          </w:tcPr>
          <w:p w14:paraId="594C46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E3E0B6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BD0B8E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D75926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w:t>
            </w:r>
          </w:p>
        </w:tc>
        <w:tc>
          <w:tcPr>
            <w:tcW w:w="2268" w:type="dxa"/>
            <w:tcBorders>
              <w:top w:val="nil"/>
              <w:left w:val="nil"/>
              <w:bottom w:val="single" w:sz="4" w:space="0" w:color="auto"/>
              <w:right w:val="single" w:sz="4" w:space="0" w:color="auto"/>
            </w:tcBorders>
            <w:shd w:val="clear" w:color="auto" w:fill="auto"/>
            <w:noWrap/>
            <w:vAlign w:val="bottom"/>
            <w:hideMark/>
          </w:tcPr>
          <w:p w14:paraId="627E69C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26AE15B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F8426C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189D99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530FB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 officinalis</w:t>
            </w:r>
          </w:p>
        </w:tc>
        <w:tc>
          <w:tcPr>
            <w:tcW w:w="2268" w:type="dxa"/>
            <w:tcBorders>
              <w:top w:val="nil"/>
              <w:left w:val="nil"/>
              <w:bottom w:val="single" w:sz="4" w:space="0" w:color="auto"/>
              <w:right w:val="single" w:sz="4" w:space="0" w:color="auto"/>
            </w:tcBorders>
            <w:shd w:val="clear" w:color="auto" w:fill="auto"/>
            <w:noWrap/>
            <w:vAlign w:val="bottom"/>
            <w:hideMark/>
          </w:tcPr>
          <w:p w14:paraId="4A8F0BD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6CC5221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1B901E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6047C01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06D99A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 supina</w:t>
            </w:r>
          </w:p>
        </w:tc>
        <w:tc>
          <w:tcPr>
            <w:tcW w:w="2268" w:type="dxa"/>
            <w:tcBorders>
              <w:top w:val="nil"/>
              <w:left w:val="nil"/>
              <w:bottom w:val="single" w:sz="4" w:space="0" w:color="auto"/>
              <w:right w:val="single" w:sz="4" w:space="0" w:color="auto"/>
            </w:tcBorders>
            <w:shd w:val="clear" w:color="auto" w:fill="auto"/>
            <w:noWrap/>
            <w:vAlign w:val="bottom"/>
            <w:hideMark/>
          </w:tcPr>
          <w:p w14:paraId="37AC51B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68C6CBC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D84F21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5A72F4B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BA1B9A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Vicia</w:t>
            </w:r>
          </w:p>
        </w:tc>
        <w:tc>
          <w:tcPr>
            <w:tcW w:w="2268" w:type="dxa"/>
            <w:tcBorders>
              <w:top w:val="nil"/>
              <w:left w:val="nil"/>
              <w:bottom w:val="single" w:sz="4" w:space="0" w:color="auto"/>
              <w:right w:val="single" w:sz="4" w:space="0" w:color="auto"/>
            </w:tcBorders>
            <w:shd w:val="clear" w:color="auto" w:fill="auto"/>
            <w:noWrap/>
            <w:vAlign w:val="bottom"/>
            <w:hideMark/>
          </w:tcPr>
          <w:p w14:paraId="465C20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w:t>
            </w:r>
          </w:p>
        </w:tc>
        <w:tc>
          <w:tcPr>
            <w:tcW w:w="1701" w:type="dxa"/>
            <w:tcBorders>
              <w:top w:val="nil"/>
              <w:left w:val="nil"/>
              <w:bottom w:val="single" w:sz="4" w:space="0" w:color="auto"/>
              <w:right w:val="single" w:sz="4" w:space="0" w:color="auto"/>
            </w:tcBorders>
            <w:shd w:val="clear" w:color="auto" w:fill="auto"/>
            <w:noWrap/>
            <w:vAlign w:val="bottom"/>
            <w:hideMark/>
          </w:tcPr>
          <w:p w14:paraId="57559B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A28CDF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7D4709A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723FF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Vittadinia cuneata</w:t>
            </w:r>
          </w:p>
        </w:tc>
        <w:tc>
          <w:tcPr>
            <w:tcW w:w="2268" w:type="dxa"/>
            <w:tcBorders>
              <w:top w:val="nil"/>
              <w:left w:val="nil"/>
              <w:bottom w:val="single" w:sz="4" w:space="0" w:color="auto"/>
              <w:right w:val="single" w:sz="4" w:space="0" w:color="auto"/>
            </w:tcBorders>
            <w:shd w:val="clear" w:color="auto" w:fill="auto"/>
            <w:noWrap/>
            <w:vAlign w:val="bottom"/>
            <w:hideMark/>
          </w:tcPr>
          <w:p w14:paraId="0B157EB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2AA587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C11AD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CBD7E4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94AA2A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Vulpia bromoides</w:t>
            </w:r>
          </w:p>
        </w:tc>
        <w:tc>
          <w:tcPr>
            <w:tcW w:w="2268" w:type="dxa"/>
            <w:tcBorders>
              <w:top w:val="nil"/>
              <w:left w:val="nil"/>
              <w:bottom w:val="single" w:sz="4" w:space="0" w:color="auto"/>
              <w:right w:val="single" w:sz="4" w:space="0" w:color="auto"/>
            </w:tcBorders>
            <w:shd w:val="clear" w:color="auto" w:fill="auto"/>
            <w:noWrap/>
            <w:vAlign w:val="bottom"/>
            <w:hideMark/>
          </w:tcPr>
          <w:p w14:paraId="2F4E260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4149F3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62D23A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11E29CE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A1737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Wahlenbergia</w:t>
            </w:r>
          </w:p>
        </w:tc>
        <w:tc>
          <w:tcPr>
            <w:tcW w:w="2268" w:type="dxa"/>
            <w:tcBorders>
              <w:top w:val="nil"/>
              <w:left w:val="nil"/>
              <w:bottom w:val="single" w:sz="4" w:space="0" w:color="auto"/>
              <w:right w:val="single" w:sz="4" w:space="0" w:color="auto"/>
            </w:tcBorders>
            <w:shd w:val="clear" w:color="auto" w:fill="auto"/>
            <w:noWrap/>
            <w:vAlign w:val="bottom"/>
            <w:hideMark/>
          </w:tcPr>
          <w:p w14:paraId="38D816C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Campanulaceae</w:t>
            </w:r>
          </w:p>
        </w:tc>
        <w:tc>
          <w:tcPr>
            <w:tcW w:w="1701" w:type="dxa"/>
            <w:tcBorders>
              <w:top w:val="nil"/>
              <w:left w:val="nil"/>
              <w:bottom w:val="single" w:sz="4" w:space="0" w:color="auto"/>
              <w:right w:val="single" w:sz="4" w:space="0" w:color="auto"/>
            </w:tcBorders>
            <w:shd w:val="clear" w:color="auto" w:fill="auto"/>
            <w:noWrap/>
            <w:vAlign w:val="bottom"/>
            <w:hideMark/>
          </w:tcPr>
          <w:p w14:paraId="54EF2CC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696CA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C6F817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DA97FF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Xanthium occidentale</w:t>
            </w:r>
          </w:p>
        </w:tc>
        <w:tc>
          <w:tcPr>
            <w:tcW w:w="2268" w:type="dxa"/>
            <w:tcBorders>
              <w:top w:val="nil"/>
              <w:left w:val="nil"/>
              <w:bottom w:val="single" w:sz="4" w:space="0" w:color="auto"/>
              <w:right w:val="single" w:sz="4" w:space="0" w:color="auto"/>
            </w:tcBorders>
            <w:shd w:val="clear" w:color="auto" w:fill="auto"/>
            <w:noWrap/>
            <w:vAlign w:val="bottom"/>
            <w:hideMark/>
          </w:tcPr>
          <w:p w14:paraId="2A9EF5D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F4AA53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DB0A32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962F32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CC6362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Xanthium spinosum</w:t>
            </w:r>
          </w:p>
        </w:tc>
        <w:tc>
          <w:tcPr>
            <w:tcW w:w="2268" w:type="dxa"/>
            <w:tcBorders>
              <w:top w:val="nil"/>
              <w:left w:val="nil"/>
              <w:bottom w:val="single" w:sz="4" w:space="0" w:color="auto"/>
              <w:right w:val="single" w:sz="4" w:space="0" w:color="auto"/>
            </w:tcBorders>
            <w:shd w:val="clear" w:color="auto" w:fill="auto"/>
            <w:noWrap/>
            <w:vAlign w:val="bottom"/>
            <w:hideMark/>
          </w:tcPr>
          <w:p w14:paraId="1B1754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91360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766AF6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28B4442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41713F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Zygophyllum apiculatum</w:t>
            </w:r>
          </w:p>
        </w:tc>
        <w:tc>
          <w:tcPr>
            <w:tcW w:w="2268" w:type="dxa"/>
            <w:tcBorders>
              <w:top w:val="nil"/>
              <w:left w:val="nil"/>
              <w:bottom w:val="single" w:sz="4" w:space="0" w:color="auto"/>
              <w:right w:val="single" w:sz="4" w:space="0" w:color="auto"/>
            </w:tcBorders>
            <w:shd w:val="clear" w:color="auto" w:fill="auto"/>
            <w:noWrap/>
            <w:vAlign w:val="bottom"/>
            <w:hideMark/>
          </w:tcPr>
          <w:p w14:paraId="146664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Zygophyllaceae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3737721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52071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bl>
    <w:p w14:paraId="179B310C" w14:textId="4CC3D387" w:rsidR="00455FA8" w:rsidRDefault="00455FA8" w:rsidP="00455FA8"/>
    <w:p w14:paraId="0F96C434" w14:textId="25F1B06C" w:rsidR="00455FA8" w:rsidRDefault="00455FA8">
      <w:pPr>
        <w:spacing w:before="0" w:after="0"/>
      </w:pPr>
      <w:r>
        <w:br w:type="page"/>
      </w:r>
    </w:p>
    <w:p w14:paraId="48443D85" w14:textId="3CA55743" w:rsidR="00455FA8" w:rsidRDefault="00455FA8" w:rsidP="00455FA8">
      <w:pPr>
        <w:pStyle w:val="Caption"/>
      </w:pPr>
      <w:bookmarkStart w:id="684" w:name="_Toc31985699"/>
      <w:r w:rsidRPr="00DF2630">
        <w:t xml:space="preserve">Table </w:t>
      </w:r>
      <w:r>
        <w:rPr>
          <w:noProof/>
        </w:rPr>
        <w:fldChar w:fldCharType="begin"/>
      </w:r>
      <w:r>
        <w:rPr>
          <w:noProof/>
        </w:rPr>
        <w:instrText xml:space="preserve"> SEQ Table \* ARABIC </w:instrText>
      </w:r>
      <w:r>
        <w:rPr>
          <w:noProof/>
        </w:rPr>
        <w:fldChar w:fldCharType="separate"/>
      </w:r>
      <w:r w:rsidR="007F7607">
        <w:rPr>
          <w:noProof/>
        </w:rPr>
        <w:t>32</w:t>
      </w:r>
      <w:r>
        <w:rPr>
          <w:noProof/>
        </w:rPr>
        <w:fldChar w:fldCharType="end"/>
      </w:r>
      <w:r w:rsidRPr="00DF2630">
        <w:t xml:space="preserve">. </w:t>
      </w:r>
      <w:r>
        <w:t>Species list from tree community sites over 5 years of LTIM monitoring across all sites within the lower Lachlan River (A-Z)</w:t>
      </w:r>
      <w:bookmarkEnd w:id="684"/>
    </w:p>
    <w:tbl>
      <w:tblPr>
        <w:tblW w:w="9209" w:type="dxa"/>
        <w:tblLook w:val="04A0" w:firstRow="1" w:lastRow="0" w:firstColumn="1" w:lastColumn="0" w:noHBand="0" w:noVBand="1"/>
      </w:tblPr>
      <w:tblGrid>
        <w:gridCol w:w="3681"/>
        <w:gridCol w:w="2268"/>
        <w:gridCol w:w="1701"/>
        <w:gridCol w:w="1559"/>
      </w:tblGrid>
      <w:tr w:rsidR="00455FA8" w:rsidRPr="00455FA8" w14:paraId="72B030DB" w14:textId="77777777" w:rsidTr="00A46F68">
        <w:trPr>
          <w:trHeight w:val="300"/>
          <w:tblHeader/>
        </w:trPr>
        <w:tc>
          <w:tcPr>
            <w:tcW w:w="3681" w:type="dxa"/>
            <w:tcBorders>
              <w:top w:val="single" w:sz="4" w:space="0" w:color="auto"/>
              <w:left w:val="single" w:sz="4" w:space="0" w:color="auto"/>
              <w:bottom w:val="single" w:sz="4" w:space="0" w:color="auto"/>
              <w:right w:val="single" w:sz="4" w:space="0" w:color="auto"/>
            </w:tcBorders>
            <w:shd w:val="clear" w:color="000000" w:fill="9BBB59" w:themeFill="accent3"/>
            <w:noWrap/>
            <w:vAlign w:val="center"/>
            <w:hideMark/>
          </w:tcPr>
          <w:p w14:paraId="37B564E3" w14:textId="77777777" w:rsidR="00455FA8" w:rsidRPr="00455FA8" w:rsidRDefault="00455FA8" w:rsidP="00A46F6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Species list from tree community sites</w:t>
            </w:r>
          </w:p>
        </w:tc>
        <w:tc>
          <w:tcPr>
            <w:tcW w:w="2268" w:type="dxa"/>
            <w:tcBorders>
              <w:top w:val="single" w:sz="4" w:space="0" w:color="auto"/>
              <w:left w:val="nil"/>
              <w:bottom w:val="single" w:sz="4" w:space="0" w:color="auto"/>
              <w:right w:val="single" w:sz="4" w:space="0" w:color="auto"/>
            </w:tcBorders>
            <w:shd w:val="clear" w:color="000000" w:fill="9BBB59" w:themeFill="accent3"/>
            <w:noWrap/>
            <w:vAlign w:val="center"/>
            <w:hideMark/>
          </w:tcPr>
          <w:p w14:paraId="44EC35E7" w14:textId="77777777" w:rsidR="00455FA8" w:rsidRPr="00455FA8" w:rsidRDefault="00455FA8" w:rsidP="00A46F6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Family</w:t>
            </w:r>
          </w:p>
        </w:tc>
        <w:tc>
          <w:tcPr>
            <w:tcW w:w="1701" w:type="dxa"/>
            <w:tcBorders>
              <w:top w:val="single" w:sz="4" w:space="0" w:color="auto"/>
              <w:left w:val="nil"/>
              <w:bottom w:val="single" w:sz="4" w:space="0" w:color="auto"/>
              <w:right w:val="single" w:sz="4" w:space="0" w:color="auto"/>
            </w:tcBorders>
            <w:shd w:val="clear" w:color="000000" w:fill="9BBB59" w:themeFill="accent3"/>
            <w:noWrap/>
            <w:vAlign w:val="center"/>
            <w:hideMark/>
          </w:tcPr>
          <w:p w14:paraId="34DCA5CD" w14:textId="77777777" w:rsidR="00455FA8" w:rsidRPr="00455FA8" w:rsidRDefault="00455FA8" w:rsidP="00A46F6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Functional Group</w:t>
            </w:r>
          </w:p>
        </w:tc>
        <w:tc>
          <w:tcPr>
            <w:tcW w:w="1559" w:type="dxa"/>
            <w:tcBorders>
              <w:top w:val="single" w:sz="4" w:space="0" w:color="auto"/>
              <w:left w:val="nil"/>
              <w:bottom w:val="single" w:sz="4" w:space="0" w:color="auto"/>
              <w:right w:val="single" w:sz="4" w:space="0" w:color="auto"/>
            </w:tcBorders>
            <w:shd w:val="clear" w:color="000000" w:fill="9BBB59" w:themeFill="accent3"/>
            <w:noWrap/>
            <w:vAlign w:val="center"/>
            <w:hideMark/>
          </w:tcPr>
          <w:p w14:paraId="0FD17CDF" w14:textId="77777777" w:rsidR="00455FA8" w:rsidRPr="00455FA8" w:rsidRDefault="00455FA8" w:rsidP="00A46F68">
            <w:pPr>
              <w:spacing w:before="0" w:after="0"/>
              <w:jc w:val="center"/>
              <w:rPr>
                <w:rFonts w:eastAsia="Times New Roman" w:cs="Calibri"/>
                <w:b/>
                <w:bCs/>
                <w:caps/>
                <w:color w:val="FFFFFF" w:themeColor="background1"/>
                <w:sz w:val="18"/>
                <w:szCs w:val="18"/>
                <w:lang w:eastAsia="en-AU"/>
              </w:rPr>
            </w:pPr>
            <w:r w:rsidRPr="00455FA8">
              <w:rPr>
                <w:rFonts w:eastAsia="Times New Roman" w:cs="Calibri"/>
                <w:b/>
                <w:bCs/>
                <w:caps/>
                <w:color w:val="FFFFFF" w:themeColor="background1"/>
                <w:sz w:val="18"/>
                <w:szCs w:val="18"/>
                <w:lang w:eastAsia="en-AU"/>
              </w:rPr>
              <w:t>Native/ Non-native</w:t>
            </w:r>
          </w:p>
        </w:tc>
      </w:tr>
      <w:tr w:rsidR="00455FA8" w:rsidRPr="0027571A" w14:paraId="032407D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C4F24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Abutilon theophrasti</w:t>
            </w:r>
          </w:p>
        </w:tc>
        <w:tc>
          <w:tcPr>
            <w:tcW w:w="2268" w:type="dxa"/>
            <w:tcBorders>
              <w:top w:val="nil"/>
              <w:left w:val="nil"/>
              <w:bottom w:val="single" w:sz="4" w:space="0" w:color="auto"/>
              <w:right w:val="single" w:sz="4" w:space="0" w:color="auto"/>
            </w:tcBorders>
            <w:shd w:val="clear" w:color="auto" w:fill="auto"/>
            <w:noWrap/>
            <w:vAlign w:val="bottom"/>
            <w:hideMark/>
          </w:tcPr>
          <w:p w14:paraId="33285A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2E30393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B1015E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A5B7BC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84EB32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Acacia salicina</w:t>
            </w:r>
          </w:p>
        </w:tc>
        <w:tc>
          <w:tcPr>
            <w:tcW w:w="2268" w:type="dxa"/>
            <w:tcBorders>
              <w:top w:val="nil"/>
              <w:left w:val="nil"/>
              <w:bottom w:val="single" w:sz="4" w:space="0" w:color="auto"/>
              <w:right w:val="single" w:sz="4" w:space="0" w:color="auto"/>
            </w:tcBorders>
            <w:shd w:val="clear" w:color="auto" w:fill="auto"/>
            <w:noWrap/>
            <w:vAlign w:val="bottom"/>
            <w:hideMark/>
          </w:tcPr>
          <w:p w14:paraId="1E3BC1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(Mimosoideae)</w:t>
            </w:r>
          </w:p>
        </w:tc>
        <w:tc>
          <w:tcPr>
            <w:tcW w:w="1701" w:type="dxa"/>
            <w:tcBorders>
              <w:top w:val="nil"/>
              <w:left w:val="nil"/>
              <w:bottom w:val="single" w:sz="4" w:space="0" w:color="auto"/>
              <w:right w:val="single" w:sz="4" w:space="0" w:color="auto"/>
            </w:tcBorders>
            <w:shd w:val="clear" w:color="auto" w:fill="auto"/>
            <w:noWrap/>
            <w:vAlign w:val="bottom"/>
            <w:hideMark/>
          </w:tcPr>
          <w:p w14:paraId="75775B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F0E157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BEA07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2A88E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Acacia stenophylla</w:t>
            </w:r>
          </w:p>
        </w:tc>
        <w:tc>
          <w:tcPr>
            <w:tcW w:w="2268" w:type="dxa"/>
            <w:tcBorders>
              <w:top w:val="nil"/>
              <w:left w:val="nil"/>
              <w:bottom w:val="single" w:sz="4" w:space="0" w:color="auto"/>
              <w:right w:val="single" w:sz="4" w:space="0" w:color="auto"/>
            </w:tcBorders>
            <w:shd w:val="clear" w:color="auto" w:fill="auto"/>
            <w:noWrap/>
            <w:vAlign w:val="bottom"/>
            <w:hideMark/>
          </w:tcPr>
          <w:p w14:paraId="17821F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(Mimosoideae)</w:t>
            </w:r>
          </w:p>
        </w:tc>
        <w:tc>
          <w:tcPr>
            <w:tcW w:w="1701" w:type="dxa"/>
            <w:tcBorders>
              <w:top w:val="nil"/>
              <w:left w:val="nil"/>
              <w:bottom w:val="single" w:sz="4" w:space="0" w:color="auto"/>
              <w:right w:val="single" w:sz="4" w:space="0" w:color="auto"/>
            </w:tcBorders>
            <w:shd w:val="clear" w:color="auto" w:fill="auto"/>
            <w:noWrap/>
            <w:vAlign w:val="bottom"/>
            <w:hideMark/>
          </w:tcPr>
          <w:p w14:paraId="760070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9F876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518D97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C22030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Agrostis parviflora</w:t>
            </w:r>
          </w:p>
        </w:tc>
        <w:tc>
          <w:tcPr>
            <w:tcW w:w="2268" w:type="dxa"/>
            <w:tcBorders>
              <w:top w:val="nil"/>
              <w:left w:val="nil"/>
              <w:bottom w:val="single" w:sz="4" w:space="0" w:color="auto"/>
              <w:right w:val="single" w:sz="4" w:space="0" w:color="auto"/>
            </w:tcBorders>
            <w:shd w:val="clear" w:color="auto" w:fill="auto"/>
            <w:noWrap/>
            <w:vAlign w:val="bottom"/>
            <w:hideMark/>
          </w:tcPr>
          <w:p w14:paraId="3FDB919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56D2A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805E46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A78081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5BF9C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Alopecurus geniculatus</w:t>
            </w:r>
          </w:p>
        </w:tc>
        <w:tc>
          <w:tcPr>
            <w:tcW w:w="2268" w:type="dxa"/>
            <w:tcBorders>
              <w:top w:val="nil"/>
              <w:left w:val="nil"/>
              <w:bottom w:val="single" w:sz="4" w:space="0" w:color="auto"/>
              <w:right w:val="single" w:sz="4" w:space="0" w:color="auto"/>
            </w:tcBorders>
            <w:shd w:val="clear" w:color="auto" w:fill="auto"/>
            <w:noWrap/>
            <w:vAlign w:val="bottom"/>
            <w:hideMark/>
          </w:tcPr>
          <w:p w14:paraId="548A4D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8BA5B3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04B0E8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0595572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49DB07B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w:t>
            </w:r>
          </w:p>
        </w:tc>
        <w:tc>
          <w:tcPr>
            <w:tcW w:w="2268" w:type="dxa"/>
            <w:tcBorders>
              <w:top w:val="nil"/>
              <w:left w:val="nil"/>
              <w:bottom w:val="single" w:sz="4" w:space="0" w:color="auto"/>
              <w:right w:val="single" w:sz="4" w:space="0" w:color="auto"/>
            </w:tcBorders>
            <w:shd w:val="clear" w:color="auto" w:fill="auto"/>
            <w:vAlign w:val="bottom"/>
            <w:hideMark/>
          </w:tcPr>
          <w:p w14:paraId="72C2CF0A"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vAlign w:val="bottom"/>
            <w:hideMark/>
          </w:tcPr>
          <w:p w14:paraId="368DA640"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732FA337"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04CCD6C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D3CB1C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 denticulata</w:t>
            </w:r>
          </w:p>
        </w:tc>
        <w:tc>
          <w:tcPr>
            <w:tcW w:w="2268" w:type="dxa"/>
            <w:tcBorders>
              <w:top w:val="nil"/>
              <w:left w:val="nil"/>
              <w:bottom w:val="single" w:sz="4" w:space="0" w:color="auto"/>
              <w:right w:val="single" w:sz="4" w:space="0" w:color="auto"/>
            </w:tcBorders>
            <w:shd w:val="clear" w:color="auto" w:fill="auto"/>
            <w:noWrap/>
            <w:vAlign w:val="bottom"/>
            <w:hideMark/>
          </w:tcPr>
          <w:p w14:paraId="2C7C23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31656FF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B86288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25D259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5831B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Alternanthera nodiflora</w:t>
            </w:r>
          </w:p>
        </w:tc>
        <w:tc>
          <w:tcPr>
            <w:tcW w:w="2268" w:type="dxa"/>
            <w:tcBorders>
              <w:top w:val="nil"/>
              <w:left w:val="nil"/>
              <w:bottom w:val="single" w:sz="4" w:space="0" w:color="auto"/>
              <w:right w:val="single" w:sz="4" w:space="0" w:color="auto"/>
            </w:tcBorders>
            <w:shd w:val="clear" w:color="auto" w:fill="auto"/>
            <w:noWrap/>
            <w:vAlign w:val="bottom"/>
            <w:hideMark/>
          </w:tcPr>
          <w:p w14:paraId="6F77ED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66DB83E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E5FF5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6BFE54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A7861E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Amaranthus macrocarpus</w:t>
            </w:r>
          </w:p>
        </w:tc>
        <w:tc>
          <w:tcPr>
            <w:tcW w:w="2268" w:type="dxa"/>
            <w:tcBorders>
              <w:top w:val="nil"/>
              <w:left w:val="nil"/>
              <w:bottom w:val="single" w:sz="4" w:space="0" w:color="auto"/>
              <w:right w:val="single" w:sz="4" w:space="0" w:color="auto"/>
            </w:tcBorders>
            <w:shd w:val="clear" w:color="auto" w:fill="auto"/>
            <w:noWrap/>
            <w:vAlign w:val="bottom"/>
            <w:hideMark/>
          </w:tcPr>
          <w:p w14:paraId="1751D1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Amaranthaceae</w:t>
            </w:r>
          </w:p>
        </w:tc>
        <w:tc>
          <w:tcPr>
            <w:tcW w:w="1701" w:type="dxa"/>
            <w:tcBorders>
              <w:top w:val="nil"/>
              <w:left w:val="nil"/>
              <w:bottom w:val="single" w:sz="4" w:space="0" w:color="auto"/>
              <w:right w:val="single" w:sz="4" w:space="0" w:color="auto"/>
            </w:tcBorders>
            <w:shd w:val="clear" w:color="auto" w:fill="auto"/>
            <w:noWrap/>
            <w:vAlign w:val="bottom"/>
            <w:hideMark/>
          </w:tcPr>
          <w:p w14:paraId="38D5BD1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AC446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63F584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ACC4B3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Amphibromus nervosus</w:t>
            </w:r>
          </w:p>
        </w:tc>
        <w:tc>
          <w:tcPr>
            <w:tcW w:w="2268" w:type="dxa"/>
            <w:tcBorders>
              <w:top w:val="nil"/>
              <w:left w:val="nil"/>
              <w:bottom w:val="single" w:sz="4" w:space="0" w:color="auto"/>
              <w:right w:val="single" w:sz="4" w:space="0" w:color="auto"/>
            </w:tcBorders>
            <w:shd w:val="clear" w:color="auto" w:fill="auto"/>
            <w:noWrap/>
            <w:vAlign w:val="bottom"/>
            <w:hideMark/>
          </w:tcPr>
          <w:p w14:paraId="2A6F003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F68C3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122FC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799809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72B934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Asperula conferta</w:t>
            </w:r>
          </w:p>
        </w:tc>
        <w:tc>
          <w:tcPr>
            <w:tcW w:w="2268" w:type="dxa"/>
            <w:tcBorders>
              <w:top w:val="nil"/>
              <w:left w:val="nil"/>
              <w:bottom w:val="single" w:sz="4" w:space="0" w:color="auto"/>
              <w:right w:val="single" w:sz="4" w:space="0" w:color="auto"/>
            </w:tcBorders>
            <w:shd w:val="clear" w:color="auto" w:fill="auto"/>
            <w:noWrap/>
            <w:vAlign w:val="bottom"/>
            <w:hideMark/>
          </w:tcPr>
          <w:p w14:paraId="4DBD2C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6D624A4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EC85C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549441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E61B6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Asperula gemella</w:t>
            </w:r>
          </w:p>
        </w:tc>
        <w:tc>
          <w:tcPr>
            <w:tcW w:w="2268" w:type="dxa"/>
            <w:tcBorders>
              <w:top w:val="nil"/>
              <w:left w:val="nil"/>
              <w:bottom w:val="single" w:sz="4" w:space="0" w:color="auto"/>
              <w:right w:val="single" w:sz="4" w:space="0" w:color="auto"/>
            </w:tcBorders>
            <w:shd w:val="clear" w:color="auto" w:fill="auto"/>
            <w:noWrap/>
            <w:vAlign w:val="bottom"/>
            <w:hideMark/>
          </w:tcPr>
          <w:p w14:paraId="74B651B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116A2A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0F154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5824ED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6C4F8E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Asteraceae</w:t>
            </w:r>
          </w:p>
        </w:tc>
        <w:tc>
          <w:tcPr>
            <w:tcW w:w="2268" w:type="dxa"/>
            <w:tcBorders>
              <w:top w:val="nil"/>
              <w:left w:val="nil"/>
              <w:bottom w:val="single" w:sz="4" w:space="0" w:color="auto"/>
              <w:right w:val="single" w:sz="4" w:space="0" w:color="auto"/>
            </w:tcBorders>
            <w:shd w:val="clear" w:color="auto" w:fill="auto"/>
            <w:noWrap/>
            <w:vAlign w:val="bottom"/>
            <w:hideMark/>
          </w:tcPr>
          <w:p w14:paraId="5D8D564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2341A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3E3640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3968861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2318762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w:t>
            </w:r>
          </w:p>
        </w:tc>
        <w:tc>
          <w:tcPr>
            <w:tcW w:w="2268" w:type="dxa"/>
            <w:tcBorders>
              <w:top w:val="nil"/>
              <w:left w:val="nil"/>
              <w:bottom w:val="single" w:sz="4" w:space="0" w:color="auto"/>
              <w:right w:val="single" w:sz="4" w:space="0" w:color="auto"/>
            </w:tcBorders>
            <w:shd w:val="clear" w:color="auto" w:fill="auto"/>
            <w:vAlign w:val="bottom"/>
            <w:hideMark/>
          </w:tcPr>
          <w:p w14:paraId="7C78EE4F"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vAlign w:val="bottom"/>
            <w:hideMark/>
          </w:tcPr>
          <w:p w14:paraId="465B457C"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36857865"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379BC5E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9EC300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leptocarpa</w:t>
            </w:r>
          </w:p>
        </w:tc>
        <w:tc>
          <w:tcPr>
            <w:tcW w:w="2268" w:type="dxa"/>
            <w:tcBorders>
              <w:top w:val="nil"/>
              <w:left w:val="nil"/>
              <w:bottom w:val="single" w:sz="4" w:space="0" w:color="auto"/>
              <w:right w:val="single" w:sz="4" w:space="0" w:color="auto"/>
            </w:tcBorders>
            <w:shd w:val="clear" w:color="auto" w:fill="auto"/>
            <w:noWrap/>
            <w:vAlign w:val="bottom"/>
            <w:hideMark/>
          </w:tcPr>
          <w:p w14:paraId="74FBBEC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8D1EB1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835EB9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A50A16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04757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lindleyi</w:t>
            </w:r>
          </w:p>
        </w:tc>
        <w:tc>
          <w:tcPr>
            <w:tcW w:w="2268" w:type="dxa"/>
            <w:tcBorders>
              <w:top w:val="nil"/>
              <w:left w:val="nil"/>
              <w:bottom w:val="single" w:sz="4" w:space="0" w:color="auto"/>
              <w:right w:val="single" w:sz="4" w:space="0" w:color="auto"/>
            </w:tcBorders>
            <w:shd w:val="clear" w:color="auto" w:fill="auto"/>
            <w:noWrap/>
            <w:vAlign w:val="bottom"/>
            <w:hideMark/>
          </w:tcPr>
          <w:p w14:paraId="3C1BB07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D4ED6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48C6D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8FF6E2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24C120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nummularia</w:t>
            </w:r>
          </w:p>
        </w:tc>
        <w:tc>
          <w:tcPr>
            <w:tcW w:w="2268" w:type="dxa"/>
            <w:tcBorders>
              <w:top w:val="nil"/>
              <w:left w:val="nil"/>
              <w:bottom w:val="single" w:sz="4" w:space="0" w:color="auto"/>
              <w:right w:val="single" w:sz="4" w:space="0" w:color="auto"/>
            </w:tcBorders>
            <w:shd w:val="clear" w:color="auto" w:fill="auto"/>
            <w:noWrap/>
            <w:vAlign w:val="bottom"/>
            <w:hideMark/>
          </w:tcPr>
          <w:p w14:paraId="7B5D7AA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C3825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109333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D5319A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A316A1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pseudocampanulata</w:t>
            </w:r>
          </w:p>
        </w:tc>
        <w:tc>
          <w:tcPr>
            <w:tcW w:w="2268" w:type="dxa"/>
            <w:tcBorders>
              <w:top w:val="nil"/>
              <w:left w:val="nil"/>
              <w:bottom w:val="single" w:sz="4" w:space="0" w:color="auto"/>
              <w:right w:val="single" w:sz="4" w:space="0" w:color="auto"/>
            </w:tcBorders>
            <w:shd w:val="clear" w:color="auto" w:fill="auto"/>
            <w:noWrap/>
            <w:vAlign w:val="bottom"/>
            <w:hideMark/>
          </w:tcPr>
          <w:p w14:paraId="54C0D14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42A26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01B95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FEF76B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80B3DB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semibaccata</w:t>
            </w:r>
          </w:p>
        </w:tc>
        <w:tc>
          <w:tcPr>
            <w:tcW w:w="2268" w:type="dxa"/>
            <w:tcBorders>
              <w:top w:val="nil"/>
              <w:left w:val="nil"/>
              <w:bottom w:val="single" w:sz="4" w:space="0" w:color="auto"/>
              <w:right w:val="single" w:sz="4" w:space="0" w:color="auto"/>
            </w:tcBorders>
            <w:shd w:val="clear" w:color="auto" w:fill="auto"/>
            <w:noWrap/>
            <w:vAlign w:val="bottom"/>
            <w:hideMark/>
          </w:tcPr>
          <w:p w14:paraId="024B2B2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8C2A4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E2015C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5F52E9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0A9153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suberecta</w:t>
            </w:r>
          </w:p>
        </w:tc>
        <w:tc>
          <w:tcPr>
            <w:tcW w:w="2268" w:type="dxa"/>
            <w:tcBorders>
              <w:top w:val="nil"/>
              <w:left w:val="nil"/>
              <w:bottom w:val="single" w:sz="4" w:space="0" w:color="auto"/>
              <w:right w:val="single" w:sz="4" w:space="0" w:color="auto"/>
            </w:tcBorders>
            <w:shd w:val="clear" w:color="auto" w:fill="auto"/>
            <w:noWrap/>
            <w:vAlign w:val="bottom"/>
            <w:hideMark/>
          </w:tcPr>
          <w:p w14:paraId="41A043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C4512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0F083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D68F0A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0A396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Atriplex vesicaria</w:t>
            </w:r>
          </w:p>
        </w:tc>
        <w:tc>
          <w:tcPr>
            <w:tcW w:w="2268" w:type="dxa"/>
            <w:tcBorders>
              <w:top w:val="nil"/>
              <w:left w:val="nil"/>
              <w:bottom w:val="single" w:sz="4" w:space="0" w:color="auto"/>
              <w:right w:val="single" w:sz="4" w:space="0" w:color="auto"/>
            </w:tcBorders>
            <w:shd w:val="clear" w:color="auto" w:fill="auto"/>
            <w:noWrap/>
            <w:vAlign w:val="bottom"/>
            <w:hideMark/>
          </w:tcPr>
          <w:p w14:paraId="4549856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09092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54B1B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0FB73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E61E3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Azoll</w:t>
            </w:r>
          </w:p>
        </w:tc>
        <w:tc>
          <w:tcPr>
            <w:tcW w:w="2268" w:type="dxa"/>
            <w:tcBorders>
              <w:top w:val="nil"/>
              <w:left w:val="nil"/>
              <w:bottom w:val="single" w:sz="4" w:space="0" w:color="auto"/>
              <w:right w:val="single" w:sz="4" w:space="0" w:color="auto"/>
            </w:tcBorders>
            <w:shd w:val="clear" w:color="auto" w:fill="auto"/>
            <w:noWrap/>
            <w:vAlign w:val="bottom"/>
            <w:hideMark/>
          </w:tcPr>
          <w:p w14:paraId="60234B5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Azollaceae</w:t>
            </w:r>
          </w:p>
        </w:tc>
        <w:tc>
          <w:tcPr>
            <w:tcW w:w="1701" w:type="dxa"/>
            <w:tcBorders>
              <w:top w:val="nil"/>
              <w:left w:val="nil"/>
              <w:bottom w:val="single" w:sz="4" w:space="0" w:color="auto"/>
              <w:right w:val="single" w:sz="4" w:space="0" w:color="auto"/>
            </w:tcBorders>
            <w:shd w:val="clear" w:color="auto" w:fill="auto"/>
            <w:noWrap/>
            <w:vAlign w:val="bottom"/>
            <w:hideMark/>
          </w:tcPr>
          <w:p w14:paraId="450D93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4D9F81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4C603A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AF4948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Azolla filiculoides</w:t>
            </w:r>
          </w:p>
        </w:tc>
        <w:tc>
          <w:tcPr>
            <w:tcW w:w="2268" w:type="dxa"/>
            <w:tcBorders>
              <w:top w:val="nil"/>
              <w:left w:val="nil"/>
              <w:bottom w:val="single" w:sz="4" w:space="0" w:color="auto"/>
              <w:right w:val="single" w:sz="4" w:space="0" w:color="auto"/>
            </w:tcBorders>
            <w:shd w:val="clear" w:color="auto" w:fill="auto"/>
            <w:noWrap/>
            <w:vAlign w:val="bottom"/>
            <w:hideMark/>
          </w:tcPr>
          <w:p w14:paraId="73F370F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Azollaceae</w:t>
            </w:r>
          </w:p>
        </w:tc>
        <w:tc>
          <w:tcPr>
            <w:tcW w:w="1701" w:type="dxa"/>
            <w:tcBorders>
              <w:top w:val="nil"/>
              <w:left w:val="nil"/>
              <w:bottom w:val="single" w:sz="4" w:space="0" w:color="auto"/>
              <w:right w:val="single" w:sz="4" w:space="0" w:color="auto"/>
            </w:tcBorders>
            <w:shd w:val="clear" w:color="auto" w:fill="auto"/>
            <w:noWrap/>
            <w:vAlign w:val="bottom"/>
            <w:hideMark/>
          </w:tcPr>
          <w:p w14:paraId="5D42613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6995E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5FEF40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861C4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Bergia trimera</w:t>
            </w:r>
          </w:p>
        </w:tc>
        <w:tc>
          <w:tcPr>
            <w:tcW w:w="2268" w:type="dxa"/>
            <w:tcBorders>
              <w:top w:val="nil"/>
              <w:left w:val="nil"/>
              <w:bottom w:val="single" w:sz="4" w:space="0" w:color="auto"/>
              <w:right w:val="single" w:sz="4" w:space="0" w:color="auto"/>
            </w:tcBorders>
            <w:shd w:val="clear" w:color="auto" w:fill="auto"/>
            <w:noWrap/>
            <w:vAlign w:val="bottom"/>
            <w:hideMark/>
          </w:tcPr>
          <w:p w14:paraId="72F7424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Elatinaceae</w:t>
            </w:r>
          </w:p>
        </w:tc>
        <w:tc>
          <w:tcPr>
            <w:tcW w:w="1701" w:type="dxa"/>
            <w:tcBorders>
              <w:top w:val="nil"/>
              <w:left w:val="nil"/>
              <w:bottom w:val="single" w:sz="4" w:space="0" w:color="auto"/>
              <w:right w:val="single" w:sz="4" w:space="0" w:color="auto"/>
            </w:tcBorders>
            <w:shd w:val="clear" w:color="auto" w:fill="auto"/>
            <w:noWrap/>
            <w:vAlign w:val="bottom"/>
            <w:hideMark/>
          </w:tcPr>
          <w:p w14:paraId="12B78F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716EFE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8EA084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0E4420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Bidens pilosa</w:t>
            </w:r>
          </w:p>
        </w:tc>
        <w:tc>
          <w:tcPr>
            <w:tcW w:w="2268" w:type="dxa"/>
            <w:tcBorders>
              <w:top w:val="nil"/>
              <w:left w:val="nil"/>
              <w:bottom w:val="single" w:sz="4" w:space="0" w:color="auto"/>
              <w:right w:val="single" w:sz="4" w:space="0" w:color="auto"/>
            </w:tcBorders>
            <w:shd w:val="clear" w:color="auto" w:fill="auto"/>
            <w:noWrap/>
            <w:vAlign w:val="bottom"/>
            <w:hideMark/>
          </w:tcPr>
          <w:p w14:paraId="1FC4E0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ED9FB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B8FDBA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4D15AA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54B923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Boerhavia</w:t>
            </w:r>
          </w:p>
        </w:tc>
        <w:tc>
          <w:tcPr>
            <w:tcW w:w="2268" w:type="dxa"/>
            <w:tcBorders>
              <w:top w:val="nil"/>
              <w:left w:val="nil"/>
              <w:bottom w:val="single" w:sz="4" w:space="0" w:color="auto"/>
              <w:right w:val="single" w:sz="4" w:space="0" w:color="auto"/>
            </w:tcBorders>
            <w:shd w:val="clear" w:color="auto" w:fill="auto"/>
            <w:noWrap/>
            <w:vAlign w:val="bottom"/>
            <w:hideMark/>
          </w:tcPr>
          <w:p w14:paraId="0F33F6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Nyctaginaceae</w:t>
            </w:r>
          </w:p>
        </w:tc>
        <w:tc>
          <w:tcPr>
            <w:tcW w:w="1701" w:type="dxa"/>
            <w:tcBorders>
              <w:top w:val="nil"/>
              <w:left w:val="nil"/>
              <w:bottom w:val="single" w:sz="4" w:space="0" w:color="auto"/>
              <w:right w:val="single" w:sz="4" w:space="0" w:color="auto"/>
            </w:tcBorders>
            <w:shd w:val="clear" w:color="auto" w:fill="auto"/>
            <w:noWrap/>
            <w:vAlign w:val="bottom"/>
            <w:hideMark/>
          </w:tcPr>
          <w:p w14:paraId="5783AB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15BAB8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7EDD67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8F7A1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Boerhavia dominii</w:t>
            </w:r>
          </w:p>
        </w:tc>
        <w:tc>
          <w:tcPr>
            <w:tcW w:w="2268" w:type="dxa"/>
            <w:tcBorders>
              <w:top w:val="nil"/>
              <w:left w:val="nil"/>
              <w:bottom w:val="single" w:sz="4" w:space="0" w:color="auto"/>
              <w:right w:val="single" w:sz="4" w:space="0" w:color="auto"/>
            </w:tcBorders>
            <w:shd w:val="clear" w:color="auto" w:fill="auto"/>
            <w:noWrap/>
            <w:vAlign w:val="bottom"/>
            <w:hideMark/>
          </w:tcPr>
          <w:p w14:paraId="714B410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Nyctaginaceae</w:t>
            </w:r>
          </w:p>
        </w:tc>
        <w:tc>
          <w:tcPr>
            <w:tcW w:w="1701" w:type="dxa"/>
            <w:tcBorders>
              <w:top w:val="nil"/>
              <w:left w:val="nil"/>
              <w:bottom w:val="single" w:sz="4" w:space="0" w:color="auto"/>
              <w:right w:val="single" w:sz="4" w:space="0" w:color="auto"/>
            </w:tcBorders>
            <w:shd w:val="clear" w:color="auto" w:fill="auto"/>
            <w:noWrap/>
            <w:vAlign w:val="bottom"/>
            <w:hideMark/>
          </w:tcPr>
          <w:p w14:paraId="6F0BB6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68861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1E0AE3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A4A259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Bolboschoenus fluviatilis</w:t>
            </w:r>
          </w:p>
        </w:tc>
        <w:tc>
          <w:tcPr>
            <w:tcW w:w="2268" w:type="dxa"/>
            <w:tcBorders>
              <w:top w:val="nil"/>
              <w:left w:val="nil"/>
              <w:bottom w:val="single" w:sz="4" w:space="0" w:color="auto"/>
              <w:right w:val="single" w:sz="4" w:space="0" w:color="auto"/>
            </w:tcBorders>
            <w:shd w:val="clear" w:color="auto" w:fill="auto"/>
            <w:noWrap/>
            <w:vAlign w:val="bottom"/>
            <w:hideMark/>
          </w:tcPr>
          <w:p w14:paraId="6991FEA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20E442B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FE010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768389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388DD6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w:t>
            </w:r>
          </w:p>
        </w:tc>
        <w:tc>
          <w:tcPr>
            <w:tcW w:w="2268" w:type="dxa"/>
            <w:tcBorders>
              <w:top w:val="nil"/>
              <w:left w:val="nil"/>
              <w:bottom w:val="single" w:sz="4" w:space="0" w:color="auto"/>
              <w:right w:val="single" w:sz="4" w:space="0" w:color="auto"/>
            </w:tcBorders>
            <w:shd w:val="clear" w:color="auto" w:fill="auto"/>
            <w:noWrap/>
            <w:vAlign w:val="bottom"/>
            <w:hideMark/>
          </w:tcPr>
          <w:p w14:paraId="54A1CB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DFC4E4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3538D8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241C2A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644F276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 basaltica</w:t>
            </w:r>
          </w:p>
        </w:tc>
        <w:tc>
          <w:tcPr>
            <w:tcW w:w="2268" w:type="dxa"/>
            <w:tcBorders>
              <w:top w:val="nil"/>
              <w:left w:val="nil"/>
              <w:bottom w:val="single" w:sz="4" w:space="0" w:color="auto"/>
              <w:right w:val="single" w:sz="4" w:space="0" w:color="auto"/>
            </w:tcBorders>
            <w:shd w:val="clear" w:color="auto" w:fill="auto"/>
            <w:vAlign w:val="bottom"/>
            <w:hideMark/>
          </w:tcPr>
          <w:p w14:paraId="4BA7AFF9"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vAlign w:val="bottom"/>
            <w:hideMark/>
          </w:tcPr>
          <w:p w14:paraId="7B16D293"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3599398E"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66F1EAE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7B4601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 goniocarpa</w:t>
            </w:r>
          </w:p>
        </w:tc>
        <w:tc>
          <w:tcPr>
            <w:tcW w:w="2268" w:type="dxa"/>
            <w:tcBorders>
              <w:top w:val="nil"/>
              <w:left w:val="nil"/>
              <w:bottom w:val="single" w:sz="4" w:space="0" w:color="auto"/>
              <w:right w:val="single" w:sz="4" w:space="0" w:color="auto"/>
            </w:tcBorders>
            <w:shd w:val="clear" w:color="auto" w:fill="auto"/>
            <w:noWrap/>
            <w:vAlign w:val="bottom"/>
            <w:hideMark/>
          </w:tcPr>
          <w:p w14:paraId="2DD813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5769C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258E26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3FA957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9CE3C5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Brachyscome papillosa</w:t>
            </w:r>
          </w:p>
        </w:tc>
        <w:tc>
          <w:tcPr>
            <w:tcW w:w="2268" w:type="dxa"/>
            <w:tcBorders>
              <w:top w:val="nil"/>
              <w:left w:val="nil"/>
              <w:bottom w:val="single" w:sz="4" w:space="0" w:color="auto"/>
              <w:right w:val="single" w:sz="4" w:space="0" w:color="auto"/>
            </w:tcBorders>
            <w:shd w:val="clear" w:color="auto" w:fill="auto"/>
            <w:noWrap/>
            <w:vAlign w:val="bottom"/>
            <w:hideMark/>
          </w:tcPr>
          <w:p w14:paraId="27EDE9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D1B963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65FCA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3BB89F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2F43C18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Brassicaceae</w:t>
            </w:r>
          </w:p>
        </w:tc>
        <w:tc>
          <w:tcPr>
            <w:tcW w:w="2268" w:type="dxa"/>
            <w:tcBorders>
              <w:top w:val="nil"/>
              <w:left w:val="nil"/>
              <w:bottom w:val="single" w:sz="4" w:space="0" w:color="auto"/>
              <w:right w:val="single" w:sz="4" w:space="0" w:color="auto"/>
            </w:tcBorders>
            <w:shd w:val="clear" w:color="auto" w:fill="auto"/>
            <w:vAlign w:val="bottom"/>
            <w:hideMark/>
          </w:tcPr>
          <w:p w14:paraId="55634735"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vAlign w:val="bottom"/>
            <w:hideMark/>
          </w:tcPr>
          <w:p w14:paraId="5CAF91D2"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567A0FC3"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unknown</w:t>
            </w:r>
          </w:p>
        </w:tc>
      </w:tr>
      <w:tr w:rsidR="00455FA8" w:rsidRPr="00EC4D3A" w14:paraId="2DB8388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6CA80E8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Bulbine</w:t>
            </w:r>
          </w:p>
        </w:tc>
        <w:tc>
          <w:tcPr>
            <w:tcW w:w="2268" w:type="dxa"/>
            <w:tcBorders>
              <w:top w:val="nil"/>
              <w:left w:val="nil"/>
              <w:bottom w:val="single" w:sz="4" w:space="0" w:color="auto"/>
              <w:right w:val="single" w:sz="4" w:space="0" w:color="auto"/>
            </w:tcBorders>
            <w:shd w:val="clear" w:color="auto" w:fill="auto"/>
            <w:vAlign w:val="bottom"/>
            <w:hideMark/>
          </w:tcPr>
          <w:p w14:paraId="06418C43"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Asphodelaceae</w:t>
            </w:r>
          </w:p>
        </w:tc>
        <w:tc>
          <w:tcPr>
            <w:tcW w:w="1701" w:type="dxa"/>
            <w:tcBorders>
              <w:top w:val="nil"/>
              <w:left w:val="nil"/>
              <w:bottom w:val="single" w:sz="4" w:space="0" w:color="auto"/>
              <w:right w:val="single" w:sz="4" w:space="0" w:color="auto"/>
            </w:tcBorders>
            <w:shd w:val="clear" w:color="auto" w:fill="auto"/>
            <w:vAlign w:val="bottom"/>
            <w:hideMark/>
          </w:tcPr>
          <w:p w14:paraId="1BAEA3B5"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15CB2788"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164F746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F5DDF7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Bulbine bulbosa</w:t>
            </w:r>
          </w:p>
        </w:tc>
        <w:tc>
          <w:tcPr>
            <w:tcW w:w="2268" w:type="dxa"/>
            <w:tcBorders>
              <w:top w:val="nil"/>
              <w:left w:val="nil"/>
              <w:bottom w:val="single" w:sz="4" w:space="0" w:color="auto"/>
              <w:right w:val="single" w:sz="4" w:space="0" w:color="auto"/>
            </w:tcBorders>
            <w:shd w:val="clear" w:color="auto" w:fill="auto"/>
            <w:noWrap/>
            <w:vAlign w:val="bottom"/>
            <w:hideMark/>
          </w:tcPr>
          <w:p w14:paraId="1F5206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Asphodelaceae</w:t>
            </w:r>
          </w:p>
        </w:tc>
        <w:tc>
          <w:tcPr>
            <w:tcW w:w="1701" w:type="dxa"/>
            <w:tcBorders>
              <w:top w:val="nil"/>
              <w:left w:val="nil"/>
              <w:bottom w:val="single" w:sz="4" w:space="0" w:color="auto"/>
              <w:right w:val="single" w:sz="4" w:space="0" w:color="auto"/>
            </w:tcBorders>
            <w:shd w:val="clear" w:color="auto" w:fill="auto"/>
            <w:noWrap/>
            <w:vAlign w:val="bottom"/>
            <w:hideMark/>
          </w:tcPr>
          <w:p w14:paraId="28BE572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921F2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E18BE2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131562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Bulbine semibarbata</w:t>
            </w:r>
          </w:p>
        </w:tc>
        <w:tc>
          <w:tcPr>
            <w:tcW w:w="2268" w:type="dxa"/>
            <w:tcBorders>
              <w:top w:val="nil"/>
              <w:left w:val="nil"/>
              <w:bottom w:val="single" w:sz="4" w:space="0" w:color="auto"/>
              <w:right w:val="single" w:sz="4" w:space="0" w:color="auto"/>
            </w:tcBorders>
            <w:shd w:val="clear" w:color="auto" w:fill="auto"/>
            <w:noWrap/>
            <w:vAlign w:val="bottom"/>
            <w:hideMark/>
          </w:tcPr>
          <w:p w14:paraId="5CC3F6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Asphodelaceae</w:t>
            </w:r>
          </w:p>
        </w:tc>
        <w:tc>
          <w:tcPr>
            <w:tcW w:w="1701" w:type="dxa"/>
            <w:tcBorders>
              <w:top w:val="nil"/>
              <w:left w:val="nil"/>
              <w:bottom w:val="single" w:sz="4" w:space="0" w:color="auto"/>
              <w:right w:val="single" w:sz="4" w:space="0" w:color="auto"/>
            </w:tcBorders>
            <w:shd w:val="clear" w:color="auto" w:fill="auto"/>
            <w:noWrap/>
            <w:vAlign w:val="bottom"/>
            <w:hideMark/>
          </w:tcPr>
          <w:p w14:paraId="64D3A95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7157AE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FB7034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6435D3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Callitriche sonderi</w:t>
            </w:r>
          </w:p>
        </w:tc>
        <w:tc>
          <w:tcPr>
            <w:tcW w:w="2268" w:type="dxa"/>
            <w:tcBorders>
              <w:top w:val="nil"/>
              <w:left w:val="nil"/>
              <w:bottom w:val="single" w:sz="4" w:space="0" w:color="auto"/>
              <w:right w:val="single" w:sz="4" w:space="0" w:color="auto"/>
            </w:tcBorders>
            <w:shd w:val="clear" w:color="auto" w:fill="auto"/>
            <w:noWrap/>
            <w:vAlign w:val="bottom"/>
            <w:hideMark/>
          </w:tcPr>
          <w:p w14:paraId="315B133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Callitrichaceae</w:t>
            </w:r>
          </w:p>
        </w:tc>
        <w:tc>
          <w:tcPr>
            <w:tcW w:w="1701" w:type="dxa"/>
            <w:tcBorders>
              <w:top w:val="nil"/>
              <w:left w:val="nil"/>
              <w:bottom w:val="single" w:sz="4" w:space="0" w:color="auto"/>
              <w:right w:val="single" w:sz="4" w:space="0" w:color="auto"/>
            </w:tcBorders>
            <w:shd w:val="clear" w:color="auto" w:fill="auto"/>
            <w:noWrap/>
            <w:vAlign w:val="bottom"/>
            <w:hideMark/>
          </w:tcPr>
          <w:p w14:paraId="0DFD0CD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FE217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1C7334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06DB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Calocephalus sonderi</w:t>
            </w:r>
          </w:p>
        </w:tc>
        <w:tc>
          <w:tcPr>
            <w:tcW w:w="2268" w:type="dxa"/>
            <w:tcBorders>
              <w:top w:val="nil"/>
              <w:left w:val="nil"/>
              <w:bottom w:val="single" w:sz="4" w:space="0" w:color="auto"/>
              <w:right w:val="single" w:sz="4" w:space="0" w:color="auto"/>
            </w:tcBorders>
            <w:shd w:val="clear" w:color="auto" w:fill="auto"/>
            <w:noWrap/>
            <w:vAlign w:val="bottom"/>
            <w:hideMark/>
          </w:tcPr>
          <w:p w14:paraId="212428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324F4E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BD4E7A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F10D14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020629B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Calotis</w:t>
            </w:r>
          </w:p>
        </w:tc>
        <w:tc>
          <w:tcPr>
            <w:tcW w:w="2268" w:type="dxa"/>
            <w:tcBorders>
              <w:top w:val="nil"/>
              <w:left w:val="nil"/>
              <w:bottom w:val="single" w:sz="4" w:space="0" w:color="auto"/>
              <w:right w:val="single" w:sz="4" w:space="0" w:color="auto"/>
            </w:tcBorders>
            <w:shd w:val="clear" w:color="auto" w:fill="auto"/>
            <w:vAlign w:val="bottom"/>
            <w:hideMark/>
          </w:tcPr>
          <w:p w14:paraId="417A467D"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vAlign w:val="bottom"/>
            <w:hideMark/>
          </w:tcPr>
          <w:p w14:paraId="0AEF056E"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0EAFF32D"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7C3AF79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385E2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Calotis scabiosifolia</w:t>
            </w:r>
          </w:p>
        </w:tc>
        <w:tc>
          <w:tcPr>
            <w:tcW w:w="2268" w:type="dxa"/>
            <w:tcBorders>
              <w:top w:val="nil"/>
              <w:left w:val="nil"/>
              <w:bottom w:val="single" w:sz="4" w:space="0" w:color="auto"/>
              <w:right w:val="single" w:sz="4" w:space="0" w:color="auto"/>
            </w:tcBorders>
            <w:shd w:val="clear" w:color="auto" w:fill="auto"/>
            <w:noWrap/>
            <w:vAlign w:val="bottom"/>
            <w:hideMark/>
          </w:tcPr>
          <w:p w14:paraId="748149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EFCD1D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40A5A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D1C88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5F991B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Calotis scapigera</w:t>
            </w:r>
          </w:p>
        </w:tc>
        <w:tc>
          <w:tcPr>
            <w:tcW w:w="2268" w:type="dxa"/>
            <w:tcBorders>
              <w:top w:val="nil"/>
              <w:left w:val="nil"/>
              <w:bottom w:val="single" w:sz="4" w:space="0" w:color="auto"/>
              <w:right w:val="single" w:sz="4" w:space="0" w:color="auto"/>
            </w:tcBorders>
            <w:shd w:val="clear" w:color="auto" w:fill="auto"/>
            <w:noWrap/>
            <w:vAlign w:val="bottom"/>
            <w:hideMark/>
          </w:tcPr>
          <w:p w14:paraId="625728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44C77FE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4827DB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DA8894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AA6CB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w:t>
            </w:r>
            <w:r>
              <w:rPr>
                <w:rFonts w:eastAsia="Times New Roman" w:cs="Calibri"/>
                <w:i/>
                <w:iCs/>
                <w:color w:val="000000"/>
                <w:sz w:val="18"/>
                <w:szCs w:val="18"/>
                <w:lang w:eastAsia="en-AU"/>
              </w:rPr>
              <w:t>a</w:t>
            </w:r>
            <w:r w:rsidRPr="0027571A">
              <w:rPr>
                <w:rFonts w:eastAsia="Times New Roman" w:cs="Calibri"/>
                <w:i/>
                <w:iCs/>
                <w:color w:val="000000"/>
                <w:sz w:val="18"/>
                <w:szCs w:val="18"/>
                <w:lang w:eastAsia="en-AU"/>
              </w:rPr>
              <w:t>mphibiousobrotus</w:t>
            </w:r>
          </w:p>
        </w:tc>
        <w:tc>
          <w:tcPr>
            <w:tcW w:w="2268" w:type="dxa"/>
            <w:tcBorders>
              <w:top w:val="nil"/>
              <w:left w:val="nil"/>
              <w:bottom w:val="single" w:sz="4" w:space="0" w:color="auto"/>
              <w:right w:val="single" w:sz="4" w:space="0" w:color="auto"/>
            </w:tcBorders>
            <w:shd w:val="clear" w:color="auto" w:fill="auto"/>
            <w:noWrap/>
            <w:vAlign w:val="bottom"/>
            <w:hideMark/>
          </w:tcPr>
          <w:p w14:paraId="0BDE42B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68B249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ACA4AE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53F385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A6A72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Capsella bursa-pastoris</w:t>
            </w:r>
          </w:p>
        </w:tc>
        <w:tc>
          <w:tcPr>
            <w:tcW w:w="2268" w:type="dxa"/>
            <w:tcBorders>
              <w:top w:val="nil"/>
              <w:left w:val="nil"/>
              <w:bottom w:val="single" w:sz="4" w:space="0" w:color="auto"/>
              <w:right w:val="single" w:sz="4" w:space="0" w:color="auto"/>
            </w:tcBorders>
            <w:shd w:val="clear" w:color="auto" w:fill="auto"/>
            <w:noWrap/>
            <w:vAlign w:val="bottom"/>
            <w:hideMark/>
          </w:tcPr>
          <w:p w14:paraId="05677EE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6E7B2C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678040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AA3F24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622D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Carrichtera annua</w:t>
            </w:r>
          </w:p>
        </w:tc>
        <w:tc>
          <w:tcPr>
            <w:tcW w:w="2268" w:type="dxa"/>
            <w:tcBorders>
              <w:top w:val="nil"/>
              <w:left w:val="nil"/>
              <w:bottom w:val="single" w:sz="4" w:space="0" w:color="auto"/>
              <w:right w:val="single" w:sz="4" w:space="0" w:color="auto"/>
            </w:tcBorders>
            <w:shd w:val="clear" w:color="auto" w:fill="auto"/>
            <w:noWrap/>
            <w:vAlign w:val="bottom"/>
            <w:hideMark/>
          </w:tcPr>
          <w:p w14:paraId="428B13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6C7653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26C952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1F0CD2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92959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Centaurea melitensis</w:t>
            </w:r>
          </w:p>
        </w:tc>
        <w:tc>
          <w:tcPr>
            <w:tcW w:w="2268" w:type="dxa"/>
            <w:tcBorders>
              <w:top w:val="nil"/>
              <w:left w:val="nil"/>
              <w:bottom w:val="single" w:sz="4" w:space="0" w:color="auto"/>
              <w:right w:val="single" w:sz="4" w:space="0" w:color="auto"/>
            </w:tcBorders>
            <w:shd w:val="clear" w:color="auto" w:fill="auto"/>
            <w:noWrap/>
            <w:vAlign w:val="bottom"/>
            <w:hideMark/>
          </w:tcPr>
          <w:p w14:paraId="488094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7C4140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841DE1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27691F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FB13A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Centipeda cunninghamii</w:t>
            </w:r>
          </w:p>
        </w:tc>
        <w:tc>
          <w:tcPr>
            <w:tcW w:w="2268" w:type="dxa"/>
            <w:tcBorders>
              <w:top w:val="nil"/>
              <w:left w:val="nil"/>
              <w:bottom w:val="single" w:sz="4" w:space="0" w:color="auto"/>
              <w:right w:val="single" w:sz="4" w:space="0" w:color="auto"/>
            </w:tcBorders>
            <w:shd w:val="clear" w:color="auto" w:fill="auto"/>
            <w:noWrap/>
            <w:vAlign w:val="bottom"/>
            <w:hideMark/>
          </w:tcPr>
          <w:p w14:paraId="542CE5B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976BD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B58A31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22569E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29CB53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w:t>
            </w:r>
          </w:p>
        </w:tc>
        <w:tc>
          <w:tcPr>
            <w:tcW w:w="2268" w:type="dxa"/>
            <w:tcBorders>
              <w:top w:val="nil"/>
              <w:left w:val="nil"/>
              <w:bottom w:val="single" w:sz="4" w:space="0" w:color="auto"/>
              <w:right w:val="single" w:sz="4" w:space="0" w:color="auto"/>
            </w:tcBorders>
            <w:shd w:val="clear" w:color="auto" w:fill="auto"/>
            <w:vAlign w:val="bottom"/>
            <w:hideMark/>
          </w:tcPr>
          <w:p w14:paraId="784D59FC"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vAlign w:val="bottom"/>
            <w:hideMark/>
          </w:tcPr>
          <w:p w14:paraId="4A821860"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7BEDF037"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4BA893D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05CFA4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album</w:t>
            </w:r>
          </w:p>
        </w:tc>
        <w:tc>
          <w:tcPr>
            <w:tcW w:w="2268" w:type="dxa"/>
            <w:tcBorders>
              <w:top w:val="nil"/>
              <w:left w:val="nil"/>
              <w:bottom w:val="single" w:sz="4" w:space="0" w:color="auto"/>
              <w:right w:val="single" w:sz="4" w:space="0" w:color="auto"/>
            </w:tcBorders>
            <w:shd w:val="clear" w:color="auto" w:fill="auto"/>
            <w:noWrap/>
            <w:vAlign w:val="bottom"/>
            <w:hideMark/>
          </w:tcPr>
          <w:p w14:paraId="29F9EED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44BF2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0A7425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888097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D3D6F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melanocarpa</w:t>
            </w:r>
          </w:p>
        </w:tc>
        <w:tc>
          <w:tcPr>
            <w:tcW w:w="2268" w:type="dxa"/>
            <w:tcBorders>
              <w:top w:val="nil"/>
              <w:left w:val="nil"/>
              <w:bottom w:val="single" w:sz="4" w:space="0" w:color="auto"/>
              <w:right w:val="single" w:sz="4" w:space="0" w:color="auto"/>
            </w:tcBorders>
            <w:shd w:val="clear" w:color="auto" w:fill="auto"/>
            <w:noWrap/>
            <w:vAlign w:val="bottom"/>
            <w:hideMark/>
          </w:tcPr>
          <w:p w14:paraId="58DB64C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73B4F7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08FD2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C7A42A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5E1109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murale</w:t>
            </w:r>
          </w:p>
        </w:tc>
        <w:tc>
          <w:tcPr>
            <w:tcW w:w="2268" w:type="dxa"/>
            <w:tcBorders>
              <w:top w:val="nil"/>
              <w:left w:val="nil"/>
              <w:bottom w:val="single" w:sz="4" w:space="0" w:color="auto"/>
              <w:right w:val="single" w:sz="4" w:space="0" w:color="auto"/>
            </w:tcBorders>
            <w:shd w:val="clear" w:color="auto" w:fill="auto"/>
            <w:noWrap/>
            <w:vAlign w:val="bottom"/>
            <w:hideMark/>
          </w:tcPr>
          <w:p w14:paraId="2645A8A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5964480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72B201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C9FE60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95B108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nitrariaceum</w:t>
            </w:r>
          </w:p>
        </w:tc>
        <w:tc>
          <w:tcPr>
            <w:tcW w:w="2268" w:type="dxa"/>
            <w:tcBorders>
              <w:top w:val="nil"/>
              <w:left w:val="nil"/>
              <w:bottom w:val="single" w:sz="4" w:space="0" w:color="auto"/>
              <w:right w:val="single" w:sz="4" w:space="0" w:color="auto"/>
            </w:tcBorders>
            <w:shd w:val="clear" w:color="auto" w:fill="auto"/>
            <w:noWrap/>
            <w:vAlign w:val="bottom"/>
            <w:hideMark/>
          </w:tcPr>
          <w:p w14:paraId="0594DB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AB7EDB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D276D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E09D47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D481B9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Chenopodium pumilio</w:t>
            </w:r>
          </w:p>
        </w:tc>
        <w:tc>
          <w:tcPr>
            <w:tcW w:w="2268" w:type="dxa"/>
            <w:tcBorders>
              <w:top w:val="nil"/>
              <w:left w:val="nil"/>
              <w:bottom w:val="single" w:sz="4" w:space="0" w:color="auto"/>
              <w:right w:val="single" w:sz="4" w:space="0" w:color="auto"/>
            </w:tcBorders>
            <w:shd w:val="clear" w:color="auto" w:fill="auto"/>
            <w:noWrap/>
            <w:vAlign w:val="bottom"/>
            <w:hideMark/>
          </w:tcPr>
          <w:p w14:paraId="22575E8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CD21F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0AD13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C2387E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A27F7C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Cirsium vulgare</w:t>
            </w:r>
          </w:p>
        </w:tc>
        <w:tc>
          <w:tcPr>
            <w:tcW w:w="2268" w:type="dxa"/>
            <w:tcBorders>
              <w:top w:val="nil"/>
              <w:left w:val="nil"/>
              <w:bottom w:val="single" w:sz="4" w:space="0" w:color="auto"/>
              <w:right w:val="single" w:sz="4" w:space="0" w:color="auto"/>
            </w:tcBorders>
            <w:shd w:val="clear" w:color="auto" w:fill="auto"/>
            <w:noWrap/>
            <w:vAlign w:val="bottom"/>
            <w:hideMark/>
          </w:tcPr>
          <w:p w14:paraId="2A584E8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8C9595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F75900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7BE775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A2192A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Convolvulus arvensis</w:t>
            </w:r>
          </w:p>
        </w:tc>
        <w:tc>
          <w:tcPr>
            <w:tcW w:w="2268" w:type="dxa"/>
            <w:tcBorders>
              <w:top w:val="nil"/>
              <w:left w:val="nil"/>
              <w:bottom w:val="single" w:sz="4" w:space="0" w:color="auto"/>
              <w:right w:val="single" w:sz="4" w:space="0" w:color="auto"/>
            </w:tcBorders>
            <w:shd w:val="clear" w:color="auto" w:fill="auto"/>
            <w:noWrap/>
            <w:vAlign w:val="bottom"/>
            <w:hideMark/>
          </w:tcPr>
          <w:p w14:paraId="550382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Convolvulaceae</w:t>
            </w:r>
          </w:p>
        </w:tc>
        <w:tc>
          <w:tcPr>
            <w:tcW w:w="1701" w:type="dxa"/>
            <w:tcBorders>
              <w:top w:val="nil"/>
              <w:left w:val="nil"/>
              <w:bottom w:val="single" w:sz="4" w:space="0" w:color="auto"/>
              <w:right w:val="single" w:sz="4" w:space="0" w:color="auto"/>
            </w:tcBorders>
            <w:shd w:val="clear" w:color="auto" w:fill="auto"/>
            <w:noWrap/>
            <w:vAlign w:val="bottom"/>
            <w:hideMark/>
          </w:tcPr>
          <w:p w14:paraId="02BB22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014C46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E9534A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F3F9C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Convolvulus erubescens</w:t>
            </w:r>
          </w:p>
        </w:tc>
        <w:tc>
          <w:tcPr>
            <w:tcW w:w="2268" w:type="dxa"/>
            <w:tcBorders>
              <w:top w:val="nil"/>
              <w:left w:val="nil"/>
              <w:bottom w:val="single" w:sz="4" w:space="0" w:color="auto"/>
              <w:right w:val="single" w:sz="4" w:space="0" w:color="auto"/>
            </w:tcBorders>
            <w:shd w:val="clear" w:color="auto" w:fill="auto"/>
            <w:noWrap/>
            <w:vAlign w:val="bottom"/>
            <w:hideMark/>
          </w:tcPr>
          <w:p w14:paraId="2AC2063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Convolvulaceae</w:t>
            </w:r>
          </w:p>
        </w:tc>
        <w:tc>
          <w:tcPr>
            <w:tcW w:w="1701" w:type="dxa"/>
            <w:tcBorders>
              <w:top w:val="nil"/>
              <w:left w:val="nil"/>
              <w:bottom w:val="single" w:sz="4" w:space="0" w:color="auto"/>
              <w:right w:val="single" w:sz="4" w:space="0" w:color="auto"/>
            </w:tcBorders>
            <w:shd w:val="clear" w:color="auto" w:fill="auto"/>
            <w:noWrap/>
            <w:vAlign w:val="bottom"/>
            <w:hideMark/>
          </w:tcPr>
          <w:p w14:paraId="7075F5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85637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E673A1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11F23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w:t>
            </w:r>
          </w:p>
        </w:tc>
        <w:tc>
          <w:tcPr>
            <w:tcW w:w="2268" w:type="dxa"/>
            <w:tcBorders>
              <w:top w:val="nil"/>
              <w:left w:val="nil"/>
              <w:bottom w:val="single" w:sz="4" w:space="0" w:color="auto"/>
              <w:right w:val="single" w:sz="4" w:space="0" w:color="auto"/>
            </w:tcBorders>
            <w:shd w:val="clear" w:color="auto" w:fill="auto"/>
            <w:noWrap/>
            <w:vAlign w:val="bottom"/>
            <w:hideMark/>
          </w:tcPr>
          <w:p w14:paraId="1485F20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1A222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08BDD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AB90F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92B861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 bonariensis</w:t>
            </w:r>
          </w:p>
        </w:tc>
        <w:tc>
          <w:tcPr>
            <w:tcW w:w="2268" w:type="dxa"/>
            <w:tcBorders>
              <w:top w:val="nil"/>
              <w:left w:val="nil"/>
              <w:bottom w:val="single" w:sz="4" w:space="0" w:color="auto"/>
              <w:right w:val="single" w:sz="4" w:space="0" w:color="auto"/>
            </w:tcBorders>
            <w:shd w:val="clear" w:color="auto" w:fill="auto"/>
            <w:noWrap/>
            <w:vAlign w:val="bottom"/>
            <w:hideMark/>
          </w:tcPr>
          <w:p w14:paraId="05C46AD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B427F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12099C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2CED82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88E231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Conyza sumatrensis</w:t>
            </w:r>
          </w:p>
        </w:tc>
        <w:tc>
          <w:tcPr>
            <w:tcW w:w="2268" w:type="dxa"/>
            <w:tcBorders>
              <w:top w:val="nil"/>
              <w:left w:val="nil"/>
              <w:bottom w:val="single" w:sz="4" w:space="0" w:color="auto"/>
              <w:right w:val="single" w:sz="4" w:space="0" w:color="auto"/>
            </w:tcBorders>
            <w:shd w:val="clear" w:color="auto" w:fill="auto"/>
            <w:noWrap/>
            <w:vAlign w:val="bottom"/>
            <w:hideMark/>
          </w:tcPr>
          <w:p w14:paraId="6FE61DD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6A12FF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5CE34D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CCC0FC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447304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Craspedia</w:t>
            </w:r>
          </w:p>
        </w:tc>
        <w:tc>
          <w:tcPr>
            <w:tcW w:w="2268" w:type="dxa"/>
            <w:tcBorders>
              <w:top w:val="nil"/>
              <w:left w:val="nil"/>
              <w:bottom w:val="single" w:sz="4" w:space="0" w:color="auto"/>
              <w:right w:val="single" w:sz="4" w:space="0" w:color="auto"/>
            </w:tcBorders>
            <w:shd w:val="clear" w:color="auto" w:fill="auto"/>
            <w:noWrap/>
            <w:vAlign w:val="bottom"/>
            <w:hideMark/>
          </w:tcPr>
          <w:p w14:paraId="4A14D58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C50D84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48566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0E618F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B85733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Cucumis</w:t>
            </w:r>
          </w:p>
        </w:tc>
        <w:tc>
          <w:tcPr>
            <w:tcW w:w="2268" w:type="dxa"/>
            <w:tcBorders>
              <w:top w:val="nil"/>
              <w:left w:val="nil"/>
              <w:bottom w:val="single" w:sz="4" w:space="0" w:color="auto"/>
              <w:right w:val="single" w:sz="4" w:space="0" w:color="auto"/>
            </w:tcBorders>
            <w:shd w:val="clear" w:color="auto" w:fill="auto"/>
            <w:noWrap/>
            <w:vAlign w:val="bottom"/>
            <w:hideMark/>
          </w:tcPr>
          <w:p w14:paraId="79A315C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Cucurbitaceae</w:t>
            </w:r>
          </w:p>
        </w:tc>
        <w:tc>
          <w:tcPr>
            <w:tcW w:w="1701" w:type="dxa"/>
            <w:tcBorders>
              <w:top w:val="nil"/>
              <w:left w:val="nil"/>
              <w:bottom w:val="single" w:sz="4" w:space="0" w:color="auto"/>
              <w:right w:val="single" w:sz="4" w:space="0" w:color="auto"/>
            </w:tcBorders>
            <w:shd w:val="clear" w:color="auto" w:fill="auto"/>
            <w:noWrap/>
            <w:vAlign w:val="bottom"/>
            <w:hideMark/>
          </w:tcPr>
          <w:p w14:paraId="008717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996FFF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415780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657D10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Cucumis myriocarpus</w:t>
            </w:r>
          </w:p>
        </w:tc>
        <w:tc>
          <w:tcPr>
            <w:tcW w:w="2268" w:type="dxa"/>
            <w:tcBorders>
              <w:top w:val="nil"/>
              <w:left w:val="nil"/>
              <w:bottom w:val="single" w:sz="4" w:space="0" w:color="auto"/>
              <w:right w:val="single" w:sz="4" w:space="0" w:color="auto"/>
            </w:tcBorders>
            <w:shd w:val="clear" w:color="auto" w:fill="auto"/>
            <w:noWrap/>
            <w:vAlign w:val="bottom"/>
            <w:hideMark/>
          </w:tcPr>
          <w:p w14:paraId="51FB06E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Cucurbitaceae</w:t>
            </w:r>
          </w:p>
        </w:tc>
        <w:tc>
          <w:tcPr>
            <w:tcW w:w="1701" w:type="dxa"/>
            <w:tcBorders>
              <w:top w:val="nil"/>
              <w:left w:val="nil"/>
              <w:bottom w:val="single" w:sz="4" w:space="0" w:color="auto"/>
              <w:right w:val="single" w:sz="4" w:space="0" w:color="auto"/>
            </w:tcBorders>
            <w:shd w:val="clear" w:color="auto" w:fill="auto"/>
            <w:noWrap/>
            <w:vAlign w:val="bottom"/>
            <w:hideMark/>
          </w:tcPr>
          <w:p w14:paraId="2645CF4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F2E739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3DFF9F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6AA1D9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Cullen cinereum</w:t>
            </w:r>
          </w:p>
        </w:tc>
        <w:tc>
          <w:tcPr>
            <w:tcW w:w="2268" w:type="dxa"/>
            <w:tcBorders>
              <w:top w:val="nil"/>
              <w:left w:val="nil"/>
              <w:bottom w:val="single" w:sz="4" w:space="0" w:color="auto"/>
              <w:right w:val="single" w:sz="4" w:space="0" w:color="auto"/>
            </w:tcBorders>
            <w:shd w:val="clear" w:color="auto" w:fill="auto"/>
            <w:noWrap/>
            <w:vAlign w:val="bottom"/>
            <w:hideMark/>
          </w:tcPr>
          <w:p w14:paraId="173D6E5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2ABFB71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7DF7D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FB42E7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285429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Cynodon dactylon</w:t>
            </w:r>
          </w:p>
        </w:tc>
        <w:tc>
          <w:tcPr>
            <w:tcW w:w="2268" w:type="dxa"/>
            <w:tcBorders>
              <w:top w:val="nil"/>
              <w:left w:val="nil"/>
              <w:bottom w:val="single" w:sz="4" w:space="0" w:color="auto"/>
              <w:right w:val="single" w:sz="4" w:space="0" w:color="auto"/>
            </w:tcBorders>
            <w:shd w:val="clear" w:color="auto" w:fill="auto"/>
            <w:noWrap/>
            <w:vAlign w:val="bottom"/>
            <w:hideMark/>
          </w:tcPr>
          <w:p w14:paraId="7D5938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2D5D0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FB0E0F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24DBD9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E675BE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Cynoglossum suaveolens</w:t>
            </w:r>
          </w:p>
        </w:tc>
        <w:tc>
          <w:tcPr>
            <w:tcW w:w="2268" w:type="dxa"/>
            <w:tcBorders>
              <w:top w:val="nil"/>
              <w:left w:val="nil"/>
              <w:bottom w:val="single" w:sz="4" w:space="0" w:color="auto"/>
              <w:right w:val="single" w:sz="4" w:space="0" w:color="auto"/>
            </w:tcBorders>
            <w:shd w:val="clear" w:color="auto" w:fill="auto"/>
            <w:noWrap/>
            <w:vAlign w:val="bottom"/>
            <w:hideMark/>
          </w:tcPr>
          <w:p w14:paraId="1E3E85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5F839B3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6E676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380D24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6EB37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Cyperacea</w:t>
            </w:r>
            <w:r>
              <w:rPr>
                <w:rFonts w:eastAsia="Times New Roman" w:cs="Calibri"/>
                <w:i/>
                <w:iCs/>
                <w:color w:val="000000"/>
                <w:sz w:val="18"/>
                <w:szCs w:val="18"/>
                <w:lang w:eastAsia="en-AU"/>
              </w:rPr>
              <w:t>e</w:t>
            </w:r>
          </w:p>
        </w:tc>
        <w:tc>
          <w:tcPr>
            <w:tcW w:w="2268" w:type="dxa"/>
            <w:tcBorders>
              <w:top w:val="nil"/>
              <w:left w:val="nil"/>
              <w:bottom w:val="single" w:sz="4" w:space="0" w:color="auto"/>
              <w:right w:val="single" w:sz="4" w:space="0" w:color="auto"/>
            </w:tcBorders>
            <w:shd w:val="clear" w:color="auto" w:fill="auto"/>
            <w:noWrap/>
            <w:vAlign w:val="bottom"/>
            <w:hideMark/>
          </w:tcPr>
          <w:p w14:paraId="40E737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01385D6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A64AE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2B0A9E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00F426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w:t>
            </w:r>
          </w:p>
        </w:tc>
        <w:tc>
          <w:tcPr>
            <w:tcW w:w="2268" w:type="dxa"/>
            <w:tcBorders>
              <w:top w:val="nil"/>
              <w:left w:val="nil"/>
              <w:bottom w:val="single" w:sz="4" w:space="0" w:color="auto"/>
              <w:right w:val="single" w:sz="4" w:space="0" w:color="auto"/>
            </w:tcBorders>
            <w:shd w:val="clear" w:color="auto" w:fill="auto"/>
            <w:noWrap/>
            <w:vAlign w:val="bottom"/>
            <w:hideMark/>
          </w:tcPr>
          <w:p w14:paraId="1473897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2F6D737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4F3A9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73ED98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720E5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 bifax</w:t>
            </w:r>
          </w:p>
        </w:tc>
        <w:tc>
          <w:tcPr>
            <w:tcW w:w="2268" w:type="dxa"/>
            <w:tcBorders>
              <w:top w:val="nil"/>
              <w:left w:val="nil"/>
              <w:bottom w:val="single" w:sz="4" w:space="0" w:color="auto"/>
              <w:right w:val="single" w:sz="4" w:space="0" w:color="auto"/>
            </w:tcBorders>
            <w:shd w:val="clear" w:color="auto" w:fill="auto"/>
            <w:noWrap/>
            <w:vAlign w:val="bottom"/>
            <w:hideMark/>
          </w:tcPr>
          <w:p w14:paraId="689C94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9F78A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885FCC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8B3CDA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2AC55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 difformis</w:t>
            </w:r>
          </w:p>
        </w:tc>
        <w:tc>
          <w:tcPr>
            <w:tcW w:w="2268" w:type="dxa"/>
            <w:tcBorders>
              <w:top w:val="nil"/>
              <w:left w:val="nil"/>
              <w:bottom w:val="single" w:sz="4" w:space="0" w:color="auto"/>
              <w:right w:val="single" w:sz="4" w:space="0" w:color="auto"/>
            </w:tcBorders>
            <w:shd w:val="clear" w:color="auto" w:fill="auto"/>
            <w:noWrap/>
            <w:vAlign w:val="bottom"/>
            <w:hideMark/>
          </w:tcPr>
          <w:p w14:paraId="40E24D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44CA342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1C4045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3B5780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4E5207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Cyperus gymnocaulos</w:t>
            </w:r>
          </w:p>
        </w:tc>
        <w:tc>
          <w:tcPr>
            <w:tcW w:w="2268" w:type="dxa"/>
            <w:tcBorders>
              <w:top w:val="nil"/>
              <w:left w:val="nil"/>
              <w:bottom w:val="single" w:sz="4" w:space="0" w:color="auto"/>
              <w:right w:val="single" w:sz="4" w:space="0" w:color="auto"/>
            </w:tcBorders>
            <w:shd w:val="clear" w:color="auto" w:fill="auto"/>
            <w:noWrap/>
            <w:vAlign w:val="bottom"/>
            <w:hideMark/>
          </w:tcPr>
          <w:p w14:paraId="751C245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3AA07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CE120D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2F3635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3CA668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Damasonium minus</w:t>
            </w:r>
          </w:p>
        </w:tc>
        <w:tc>
          <w:tcPr>
            <w:tcW w:w="2268" w:type="dxa"/>
            <w:tcBorders>
              <w:top w:val="nil"/>
              <w:left w:val="nil"/>
              <w:bottom w:val="single" w:sz="4" w:space="0" w:color="auto"/>
              <w:right w:val="single" w:sz="4" w:space="0" w:color="auto"/>
            </w:tcBorders>
            <w:shd w:val="clear" w:color="auto" w:fill="auto"/>
            <w:noWrap/>
            <w:vAlign w:val="bottom"/>
            <w:hideMark/>
          </w:tcPr>
          <w:p w14:paraId="06CD30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Alismataceae</w:t>
            </w:r>
          </w:p>
        </w:tc>
        <w:tc>
          <w:tcPr>
            <w:tcW w:w="1701" w:type="dxa"/>
            <w:tcBorders>
              <w:top w:val="nil"/>
              <w:left w:val="nil"/>
              <w:bottom w:val="single" w:sz="4" w:space="0" w:color="auto"/>
              <w:right w:val="single" w:sz="4" w:space="0" w:color="auto"/>
            </w:tcBorders>
            <w:shd w:val="clear" w:color="auto" w:fill="auto"/>
            <w:noWrap/>
            <w:vAlign w:val="bottom"/>
            <w:hideMark/>
          </w:tcPr>
          <w:p w14:paraId="08C698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5D8A3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FFF851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37D17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Daucus</w:t>
            </w:r>
          </w:p>
        </w:tc>
        <w:tc>
          <w:tcPr>
            <w:tcW w:w="2268" w:type="dxa"/>
            <w:tcBorders>
              <w:top w:val="nil"/>
              <w:left w:val="nil"/>
              <w:bottom w:val="single" w:sz="4" w:space="0" w:color="auto"/>
              <w:right w:val="single" w:sz="4" w:space="0" w:color="auto"/>
            </w:tcBorders>
            <w:shd w:val="clear" w:color="auto" w:fill="auto"/>
            <w:noWrap/>
            <w:vAlign w:val="bottom"/>
            <w:hideMark/>
          </w:tcPr>
          <w:p w14:paraId="6E6C4E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Apiaceae</w:t>
            </w:r>
          </w:p>
        </w:tc>
        <w:tc>
          <w:tcPr>
            <w:tcW w:w="1701" w:type="dxa"/>
            <w:tcBorders>
              <w:top w:val="nil"/>
              <w:left w:val="nil"/>
              <w:bottom w:val="single" w:sz="4" w:space="0" w:color="auto"/>
              <w:right w:val="single" w:sz="4" w:space="0" w:color="auto"/>
            </w:tcBorders>
            <w:shd w:val="clear" w:color="auto" w:fill="auto"/>
            <w:noWrap/>
            <w:vAlign w:val="bottom"/>
            <w:hideMark/>
          </w:tcPr>
          <w:p w14:paraId="4C13FB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5B65C4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2E986D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8A2512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Dichondra</w:t>
            </w:r>
          </w:p>
        </w:tc>
        <w:tc>
          <w:tcPr>
            <w:tcW w:w="2268" w:type="dxa"/>
            <w:tcBorders>
              <w:top w:val="nil"/>
              <w:left w:val="nil"/>
              <w:bottom w:val="single" w:sz="4" w:space="0" w:color="auto"/>
              <w:right w:val="single" w:sz="4" w:space="0" w:color="auto"/>
            </w:tcBorders>
            <w:shd w:val="clear" w:color="auto" w:fill="auto"/>
            <w:noWrap/>
            <w:vAlign w:val="bottom"/>
            <w:hideMark/>
          </w:tcPr>
          <w:p w14:paraId="0610E23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Convolvulaceae</w:t>
            </w:r>
          </w:p>
        </w:tc>
        <w:tc>
          <w:tcPr>
            <w:tcW w:w="1701" w:type="dxa"/>
            <w:tcBorders>
              <w:top w:val="nil"/>
              <w:left w:val="nil"/>
              <w:bottom w:val="single" w:sz="4" w:space="0" w:color="auto"/>
              <w:right w:val="single" w:sz="4" w:space="0" w:color="auto"/>
            </w:tcBorders>
            <w:shd w:val="clear" w:color="auto" w:fill="auto"/>
            <w:noWrap/>
            <w:vAlign w:val="bottom"/>
            <w:hideMark/>
          </w:tcPr>
          <w:p w14:paraId="50C2708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E62E49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758540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E6F99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Dissoc</w:t>
            </w:r>
            <w:r>
              <w:rPr>
                <w:rFonts w:eastAsia="Times New Roman" w:cs="Calibri"/>
                <w:i/>
                <w:iCs/>
                <w:color w:val="000000"/>
                <w:sz w:val="18"/>
                <w:szCs w:val="18"/>
                <w:lang w:eastAsia="en-AU"/>
              </w:rPr>
              <w:t>a</w:t>
            </w:r>
            <w:r w:rsidRPr="0027571A">
              <w:rPr>
                <w:rFonts w:eastAsia="Times New Roman" w:cs="Calibri"/>
                <w:i/>
                <w:iCs/>
                <w:color w:val="000000"/>
                <w:sz w:val="18"/>
                <w:szCs w:val="18"/>
                <w:lang w:eastAsia="en-AU"/>
              </w:rPr>
              <w:t>mphibiousus paradoxus</w:t>
            </w:r>
          </w:p>
        </w:tc>
        <w:tc>
          <w:tcPr>
            <w:tcW w:w="2268" w:type="dxa"/>
            <w:tcBorders>
              <w:top w:val="nil"/>
              <w:left w:val="nil"/>
              <w:bottom w:val="single" w:sz="4" w:space="0" w:color="auto"/>
              <w:right w:val="single" w:sz="4" w:space="0" w:color="auto"/>
            </w:tcBorders>
            <w:shd w:val="clear" w:color="auto" w:fill="auto"/>
            <w:noWrap/>
            <w:vAlign w:val="bottom"/>
            <w:hideMark/>
          </w:tcPr>
          <w:p w14:paraId="1F00F52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2C901C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56F7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F6C151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29C722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Duma florulenta</w:t>
            </w:r>
          </w:p>
        </w:tc>
        <w:tc>
          <w:tcPr>
            <w:tcW w:w="2268" w:type="dxa"/>
            <w:tcBorders>
              <w:top w:val="nil"/>
              <w:left w:val="nil"/>
              <w:bottom w:val="single" w:sz="4" w:space="0" w:color="auto"/>
              <w:right w:val="single" w:sz="4" w:space="0" w:color="auto"/>
            </w:tcBorders>
            <w:shd w:val="clear" w:color="auto" w:fill="auto"/>
            <w:noWrap/>
            <w:vAlign w:val="bottom"/>
            <w:hideMark/>
          </w:tcPr>
          <w:p w14:paraId="66D4F5D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12E772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41E749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32A9936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6071980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Dysphania pumilio</w:t>
            </w:r>
          </w:p>
        </w:tc>
        <w:tc>
          <w:tcPr>
            <w:tcW w:w="2268" w:type="dxa"/>
            <w:tcBorders>
              <w:top w:val="nil"/>
              <w:left w:val="nil"/>
              <w:bottom w:val="single" w:sz="4" w:space="0" w:color="auto"/>
              <w:right w:val="single" w:sz="4" w:space="0" w:color="auto"/>
            </w:tcBorders>
            <w:shd w:val="clear" w:color="auto" w:fill="auto"/>
            <w:vAlign w:val="bottom"/>
            <w:hideMark/>
          </w:tcPr>
          <w:p w14:paraId="00E11BE2"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vAlign w:val="bottom"/>
            <w:hideMark/>
          </w:tcPr>
          <w:p w14:paraId="56F76572"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6BFBB708"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2BC5617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89E7F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Echium plantagineum</w:t>
            </w:r>
          </w:p>
        </w:tc>
        <w:tc>
          <w:tcPr>
            <w:tcW w:w="2268" w:type="dxa"/>
            <w:tcBorders>
              <w:top w:val="nil"/>
              <w:left w:val="nil"/>
              <w:bottom w:val="single" w:sz="4" w:space="0" w:color="auto"/>
              <w:right w:val="single" w:sz="4" w:space="0" w:color="auto"/>
            </w:tcBorders>
            <w:shd w:val="clear" w:color="auto" w:fill="auto"/>
            <w:noWrap/>
            <w:vAlign w:val="bottom"/>
            <w:hideMark/>
          </w:tcPr>
          <w:p w14:paraId="7B948B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0CBE63D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F09887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4A90EC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E393EC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Eclipta platyglossa</w:t>
            </w:r>
          </w:p>
        </w:tc>
        <w:tc>
          <w:tcPr>
            <w:tcW w:w="2268" w:type="dxa"/>
            <w:tcBorders>
              <w:top w:val="nil"/>
              <w:left w:val="nil"/>
              <w:bottom w:val="single" w:sz="4" w:space="0" w:color="auto"/>
              <w:right w:val="single" w:sz="4" w:space="0" w:color="auto"/>
            </w:tcBorders>
            <w:shd w:val="clear" w:color="auto" w:fill="auto"/>
            <w:noWrap/>
            <w:vAlign w:val="bottom"/>
            <w:hideMark/>
          </w:tcPr>
          <w:p w14:paraId="052AB1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1E5D84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9A7C7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ADCEDB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4A842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Einadia</w:t>
            </w:r>
          </w:p>
        </w:tc>
        <w:tc>
          <w:tcPr>
            <w:tcW w:w="2268" w:type="dxa"/>
            <w:tcBorders>
              <w:top w:val="nil"/>
              <w:left w:val="nil"/>
              <w:bottom w:val="single" w:sz="4" w:space="0" w:color="auto"/>
              <w:right w:val="single" w:sz="4" w:space="0" w:color="auto"/>
            </w:tcBorders>
            <w:shd w:val="clear" w:color="auto" w:fill="auto"/>
            <w:noWrap/>
            <w:vAlign w:val="bottom"/>
            <w:hideMark/>
          </w:tcPr>
          <w:p w14:paraId="560A40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2553DE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B33BCB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2571C8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8974DF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Einadia nutans</w:t>
            </w:r>
          </w:p>
        </w:tc>
        <w:tc>
          <w:tcPr>
            <w:tcW w:w="2268" w:type="dxa"/>
            <w:tcBorders>
              <w:top w:val="nil"/>
              <w:left w:val="nil"/>
              <w:bottom w:val="single" w:sz="4" w:space="0" w:color="auto"/>
              <w:right w:val="single" w:sz="4" w:space="0" w:color="auto"/>
            </w:tcBorders>
            <w:shd w:val="clear" w:color="auto" w:fill="auto"/>
            <w:noWrap/>
            <w:vAlign w:val="bottom"/>
            <w:hideMark/>
          </w:tcPr>
          <w:p w14:paraId="3F97763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09FFD1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4BE44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6720E9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003EC4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w:t>
            </w:r>
          </w:p>
        </w:tc>
        <w:tc>
          <w:tcPr>
            <w:tcW w:w="2268" w:type="dxa"/>
            <w:tcBorders>
              <w:top w:val="nil"/>
              <w:left w:val="nil"/>
              <w:bottom w:val="single" w:sz="4" w:space="0" w:color="auto"/>
              <w:right w:val="single" w:sz="4" w:space="0" w:color="auto"/>
            </w:tcBorders>
            <w:shd w:val="clear" w:color="auto" w:fill="auto"/>
            <w:noWrap/>
            <w:vAlign w:val="bottom"/>
            <w:hideMark/>
          </w:tcPr>
          <w:p w14:paraId="018CFF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193078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37C66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9D1076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0A5C44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 acuta</w:t>
            </w:r>
          </w:p>
        </w:tc>
        <w:tc>
          <w:tcPr>
            <w:tcW w:w="2268" w:type="dxa"/>
            <w:tcBorders>
              <w:top w:val="nil"/>
              <w:left w:val="nil"/>
              <w:bottom w:val="single" w:sz="4" w:space="0" w:color="auto"/>
              <w:right w:val="single" w:sz="4" w:space="0" w:color="auto"/>
            </w:tcBorders>
            <w:shd w:val="clear" w:color="auto" w:fill="auto"/>
            <w:noWrap/>
            <w:vAlign w:val="bottom"/>
            <w:hideMark/>
          </w:tcPr>
          <w:p w14:paraId="52682F2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01E52C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FF875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92A00F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315C00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Eleocharis pusilla</w:t>
            </w:r>
          </w:p>
        </w:tc>
        <w:tc>
          <w:tcPr>
            <w:tcW w:w="2268" w:type="dxa"/>
            <w:tcBorders>
              <w:top w:val="nil"/>
              <w:left w:val="nil"/>
              <w:bottom w:val="single" w:sz="4" w:space="0" w:color="auto"/>
              <w:right w:val="single" w:sz="4" w:space="0" w:color="auto"/>
            </w:tcBorders>
            <w:shd w:val="clear" w:color="auto" w:fill="auto"/>
            <w:noWrap/>
            <w:vAlign w:val="bottom"/>
            <w:hideMark/>
          </w:tcPr>
          <w:p w14:paraId="64749C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68A7403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3575A2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03FA81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735D7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Eleusine indica</w:t>
            </w:r>
          </w:p>
        </w:tc>
        <w:tc>
          <w:tcPr>
            <w:tcW w:w="2268" w:type="dxa"/>
            <w:tcBorders>
              <w:top w:val="nil"/>
              <w:left w:val="nil"/>
              <w:bottom w:val="single" w:sz="4" w:space="0" w:color="auto"/>
              <w:right w:val="single" w:sz="4" w:space="0" w:color="auto"/>
            </w:tcBorders>
            <w:shd w:val="clear" w:color="auto" w:fill="auto"/>
            <w:noWrap/>
            <w:vAlign w:val="bottom"/>
            <w:hideMark/>
          </w:tcPr>
          <w:p w14:paraId="73D498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DFBDD5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02674E9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CB7740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5213A8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Enchylaena</w:t>
            </w:r>
          </w:p>
        </w:tc>
        <w:tc>
          <w:tcPr>
            <w:tcW w:w="2268" w:type="dxa"/>
            <w:tcBorders>
              <w:top w:val="nil"/>
              <w:left w:val="nil"/>
              <w:bottom w:val="single" w:sz="4" w:space="0" w:color="auto"/>
              <w:right w:val="single" w:sz="4" w:space="0" w:color="auto"/>
            </w:tcBorders>
            <w:shd w:val="clear" w:color="auto" w:fill="auto"/>
            <w:noWrap/>
            <w:vAlign w:val="bottom"/>
            <w:hideMark/>
          </w:tcPr>
          <w:p w14:paraId="56CF1D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2A38E5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797FC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342E24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4EC4BF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Enchylaena tomentosa</w:t>
            </w:r>
          </w:p>
        </w:tc>
        <w:tc>
          <w:tcPr>
            <w:tcW w:w="2268" w:type="dxa"/>
            <w:tcBorders>
              <w:top w:val="nil"/>
              <w:left w:val="nil"/>
              <w:bottom w:val="single" w:sz="4" w:space="0" w:color="auto"/>
              <w:right w:val="single" w:sz="4" w:space="0" w:color="auto"/>
            </w:tcBorders>
            <w:shd w:val="clear" w:color="auto" w:fill="auto"/>
            <w:noWrap/>
            <w:vAlign w:val="bottom"/>
            <w:hideMark/>
          </w:tcPr>
          <w:p w14:paraId="782B78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36AF608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117A5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FDBCEC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7F0AE1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Epaltes australis</w:t>
            </w:r>
          </w:p>
        </w:tc>
        <w:tc>
          <w:tcPr>
            <w:tcW w:w="2268" w:type="dxa"/>
            <w:tcBorders>
              <w:top w:val="nil"/>
              <w:left w:val="nil"/>
              <w:bottom w:val="single" w:sz="4" w:space="0" w:color="auto"/>
              <w:right w:val="single" w:sz="4" w:space="0" w:color="auto"/>
            </w:tcBorders>
            <w:shd w:val="clear" w:color="auto" w:fill="auto"/>
            <w:noWrap/>
            <w:vAlign w:val="bottom"/>
            <w:hideMark/>
          </w:tcPr>
          <w:p w14:paraId="27529E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7956BF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A5B69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C19BA3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989B4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Eragrostis</w:t>
            </w:r>
          </w:p>
        </w:tc>
        <w:tc>
          <w:tcPr>
            <w:tcW w:w="2268" w:type="dxa"/>
            <w:tcBorders>
              <w:top w:val="nil"/>
              <w:left w:val="nil"/>
              <w:bottom w:val="single" w:sz="4" w:space="0" w:color="auto"/>
              <w:right w:val="single" w:sz="4" w:space="0" w:color="auto"/>
            </w:tcBorders>
            <w:shd w:val="clear" w:color="auto" w:fill="auto"/>
            <w:noWrap/>
            <w:vAlign w:val="bottom"/>
            <w:hideMark/>
          </w:tcPr>
          <w:p w14:paraId="3F8AF8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16ECEF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3075A2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56BC8D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209D7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Eragrostis australasica</w:t>
            </w:r>
          </w:p>
        </w:tc>
        <w:tc>
          <w:tcPr>
            <w:tcW w:w="2268" w:type="dxa"/>
            <w:tcBorders>
              <w:top w:val="nil"/>
              <w:left w:val="nil"/>
              <w:bottom w:val="single" w:sz="4" w:space="0" w:color="auto"/>
              <w:right w:val="single" w:sz="4" w:space="0" w:color="auto"/>
            </w:tcBorders>
            <w:shd w:val="clear" w:color="auto" w:fill="auto"/>
            <w:noWrap/>
            <w:vAlign w:val="bottom"/>
            <w:hideMark/>
          </w:tcPr>
          <w:p w14:paraId="3E9B40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4FAD4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5AA683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65EADF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3058E7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Eragrostis setifolia</w:t>
            </w:r>
          </w:p>
        </w:tc>
        <w:tc>
          <w:tcPr>
            <w:tcW w:w="2268" w:type="dxa"/>
            <w:tcBorders>
              <w:top w:val="nil"/>
              <w:left w:val="nil"/>
              <w:bottom w:val="single" w:sz="4" w:space="0" w:color="auto"/>
              <w:right w:val="single" w:sz="4" w:space="0" w:color="auto"/>
            </w:tcBorders>
            <w:shd w:val="clear" w:color="auto" w:fill="auto"/>
            <w:noWrap/>
            <w:vAlign w:val="bottom"/>
            <w:hideMark/>
          </w:tcPr>
          <w:p w14:paraId="47365BE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0B7027A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8AED6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20CE9E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943DC1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Erodium botrys</w:t>
            </w:r>
          </w:p>
        </w:tc>
        <w:tc>
          <w:tcPr>
            <w:tcW w:w="2268" w:type="dxa"/>
            <w:tcBorders>
              <w:top w:val="nil"/>
              <w:left w:val="nil"/>
              <w:bottom w:val="single" w:sz="4" w:space="0" w:color="auto"/>
              <w:right w:val="single" w:sz="4" w:space="0" w:color="auto"/>
            </w:tcBorders>
            <w:shd w:val="clear" w:color="auto" w:fill="auto"/>
            <w:noWrap/>
            <w:vAlign w:val="bottom"/>
            <w:hideMark/>
          </w:tcPr>
          <w:p w14:paraId="4B5EC9D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0E7186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43B4D3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5330FA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47616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Erodium malacoides</w:t>
            </w:r>
          </w:p>
        </w:tc>
        <w:tc>
          <w:tcPr>
            <w:tcW w:w="2268" w:type="dxa"/>
            <w:tcBorders>
              <w:top w:val="nil"/>
              <w:left w:val="nil"/>
              <w:bottom w:val="single" w:sz="4" w:space="0" w:color="auto"/>
              <w:right w:val="single" w:sz="4" w:space="0" w:color="auto"/>
            </w:tcBorders>
            <w:shd w:val="clear" w:color="auto" w:fill="auto"/>
            <w:noWrap/>
            <w:vAlign w:val="bottom"/>
            <w:hideMark/>
          </w:tcPr>
          <w:p w14:paraId="615CBA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3D5C819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0E53BC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3970EC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2ECECC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Eucalyptus camaldulensis</w:t>
            </w:r>
          </w:p>
        </w:tc>
        <w:tc>
          <w:tcPr>
            <w:tcW w:w="2268" w:type="dxa"/>
            <w:tcBorders>
              <w:top w:val="nil"/>
              <w:left w:val="nil"/>
              <w:bottom w:val="single" w:sz="4" w:space="0" w:color="auto"/>
              <w:right w:val="single" w:sz="4" w:space="0" w:color="auto"/>
            </w:tcBorders>
            <w:shd w:val="clear" w:color="auto" w:fill="auto"/>
            <w:noWrap/>
            <w:vAlign w:val="bottom"/>
            <w:hideMark/>
          </w:tcPr>
          <w:p w14:paraId="3645AB4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Myrtaceae</w:t>
            </w:r>
          </w:p>
        </w:tc>
        <w:tc>
          <w:tcPr>
            <w:tcW w:w="1701" w:type="dxa"/>
            <w:tcBorders>
              <w:top w:val="nil"/>
              <w:left w:val="nil"/>
              <w:bottom w:val="single" w:sz="4" w:space="0" w:color="auto"/>
              <w:right w:val="single" w:sz="4" w:space="0" w:color="auto"/>
            </w:tcBorders>
            <w:shd w:val="clear" w:color="auto" w:fill="auto"/>
            <w:noWrap/>
            <w:vAlign w:val="bottom"/>
            <w:hideMark/>
          </w:tcPr>
          <w:p w14:paraId="29C9643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E176C0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DDA96D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51F76E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Eucalyptus largiflorens</w:t>
            </w:r>
          </w:p>
        </w:tc>
        <w:tc>
          <w:tcPr>
            <w:tcW w:w="2268" w:type="dxa"/>
            <w:tcBorders>
              <w:top w:val="nil"/>
              <w:left w:val="nil"/>
              <w:bottom w:val="single" w:sz="4" w:space="0" w:color="auto"/>
              <w:right w:val="single" w:sz="4" w:space="0" w:color="auto"/>
            </w:tcBorders>
            <w:shd w:val="clear" w:color="auto" w:fill="auto"/>
            <w:noWrap/>
            <w:vAlign w:val="bottom"/>
            <w:hideMark/>
          </w:tcPr>
          <w:p w14:paraId="03228B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Myrtaceae</w:t>
            </w:r>
          </w:p>
        </w:tc>
        <w:tc>
          <w:tcPr>
            <w:tcW w:w="1701" w:type="dxa"/>
            <w:tcBorders>
              <w:top w:val="nil"/>
              <w:left w:val="nil"/>
              <w:bottom w:val="single" w:sz="4" w:space="0" w:color="auto"/>
              <w:right w:val="single" w:sz="4" w:space="0" w:color="auto"/>
            </w:tcBorders>
            <w:shd w:val="clear" w:color="auto" w:fill="auto"/>
            <w:noWrap/>
            <w:vAlign w:val="bottom"/>
            <w:hideMark/>
          </w:tcPr>
          <w:p w14:paraId="5F602DB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7C78F8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5C5E2B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5D9C40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Euchiton sphaericus</w:t>
            </w:r>
          </w:p>
        </w:tc>
        <w:tc>
          <w:tcPr>
            <w:tcW w:w="2268" w:type="dxa"/>
            <w:tcBorders>
              <w:top w:val="nil"/>
              <w:left w:val="nil"/>
              <w:bottom w:val="single" w:sz="4" w:space="0" w:color="auto"/>
              <w:right w:val="single" w:sz="4" w:space="0" w:color="auto"/>
            </w:tcBorders>
            <w:shd w:val="clear" w:color="auto" w:fill="auto"/>
            <w:noWrap/>
            <w:vAlign w:val="bottom"/>
            <w:hideMark/>
          </w:tcPr>
          <w:p w14:paraId="5E41CE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DA3B5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C85D8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76F6C4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397940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Euphorbia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5916623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Euphorbiaceae</w:t>
            </w:r>
          </w:p>
        </w:tc>
        <w:tc>
          <w:tcPr>
            <w:tcW w:w="1701" w:type="dxa"/>
            <w:tcBorders>
              <w:top w:val="nil"/>
              <w:left w:val="nil"/>
              <w:bottom w:val="single" w:sz="4" w:space="0" w:color="auto"/>
              <w:right w:val="single" w:sz="4" w:space="0" w:color="auto"/>
            </w:tcBorders>
            <w:shd w:val="clear" w:color="auto" w:fill="auto"/>
            <w:noWrap/>
            <w:vAlign w:val="bottom"/>
            <w:hideMark/>
          </w:tcPr>
          <w:p w14:paraId="4AC31FD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3AA8591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9AC2CC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898AE5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Euphorbia drummondii</w:t>
            </w:r>
          </w:p>
        </w:tc>
        <w:tc>
          <w:tcPr>
            <w:tcW w:w="2268" w:type="dxa"/>
            <w:tcBorders>
              <w:top w:val="nil"/>
              <w:left w:val="nil"/>
              <w:bottom w:val="single" w:sz="4" w:space="0" w:color="auto"/>
              <w:right w:val="single" w:sz="4" w:space="0" w:color="auto"/>
            </w:tcBorders>
            <w:shd w:val="clear" w:color="auto" w:fill="auto"/>
            <w:noWrap/>
            <w:vAlign w:val="bottom"/>
            <w:hideMark/>
          </w:tcPr>
          <w:p w14:paraId="5465FAD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Euphorbiaceae</w:t>
            </w:r>
          </w:p>
        </w:tc>
        <w:tc>
          <w:tcPr>
            <w:tcW w:w="1701" w:type="dxa"/>
            <w:tcBorders>
              <w:top w:val="nil"/>
              <w:left w:val="nil"/>
              <w:bottom w:val="single" w:sz="4" w:space="0" w:color="auto"/>
              <w:right w:val="single" w:sz="4" w:space="0" w:color="auto"/>
            </w:tcBorders>
            <w:shd w:val="clear" w:color="auto" w:fill="auto"/>
            <w:noWrap/>
            <w:vAlign w:val="bottom"/>
            <w:hideMark/>
          </w:tcPr>
          <w:p w14:paraId="6754771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E68E87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94614F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3D88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Euphorbia stevenii</w:t>
            </w:r>
          </w:p>
        </w:tc>
        <w:tc>
          <w:tcPr>
            <w:tcW w:w="2268" w:type="dxa"/>
            <w:tcBorders>
              <w:top w:val="nil"/>
              <w:left w:val="nil"/>
              <w:bottom w:val="single" w:sz="4" w:space="0" w:color="auto"/>
              <w:right w:val="single" w:sz="4" w:space="0" w:color="auto"/>
            </w:tcBorders>
            <w:shd w:val="clear" w:color="auto" w:fill="auto"/>
            <w:noWrap/>
            <w:vAlign w:val="bottom"/>
            <w:hideMark/>
          </w:tcPr>
          <w:p w14:paraId="2CB2621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Euphorbiaceae</w:t>
            </w:r>
          </w:p>
        </w:tc>
        <w:tc>
          <w:tcPr>
            <w:tcW w:w="1701" w:type="dxa"/>
            <w:tcBorders>
              <w:top w:val="nil"/>
              <w:left w:val="nil"/>
              <w:bottom w:val="single" w:sz="4" w:space="0" w:color="auto"/>
              <w:right w:val="single" w:sz="4" w:space="0" w:color="auto"/>
            </w:tcBorders>
            <w:shd w:val="clear" w:color="auto" w:fill="auto"/>
            <w:noWrap/>
            <w:vAlign w:val="bottom"/>
            <w:hideMark/>
          </w:tcPr>
          <w:p w14:paraId="526AF4F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C454A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139584F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50A0077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Fabaceae</w:t>
            </w:r>
          </w:p>
        </w:tc>
        <w:tc>
          <w:tcPr>
            <w:tcW w:w="2268" w:type="dxa"/>
            <w:tcBorders>
              <w:top w:val="nil"/>
              <w:left w:val="nil"/>
              <w:bottom w:val="single" w:sz="4" w:space="0" w:color="auto"/>
              <w:right w:val="single" w:sz="4" w:space="0" w:color="auto"/>
            </w:tcBorders>
            <w:shd w:val="clear" w:color="auto" w:fill="auto"/>
            <w:vAlign w:val="bottom"/>
            <w:hideMark/>
          </w:tcPr>
          <w:p w14:paraId="264AA2F1"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Fabaceae</w:t>
            </w:r>
          </w:p>
        </w:tc>
        <w:tc>
          <w:tcPr>
            <w:tcW w:w="1701" w:type="dxa"/>
            <w:tcBorders>
              <w:top w:val="nil"/>
              <w:left w:val="nil"/>
              <w:bottom w:val="single" w:sz="4" w:space="0" w:color="auto"/>
              <w:right w:val="single" w:sz="4" w:space="0" w:color="auto"/>
            </w:tcBorders>
            <w:shd w:val="clear" w:color="auto" w:fill="auto"/>
            <w:vAlign w:val="bottom"/>
            <w:hideMark/>
          </w:tcPr>
          <w:p w14:paraId="1859BB10"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vAlign w:val="bottom"/>
            <w:hideMark/>
          </w:tcPr>
          <w:p w14:paraId="456A218A"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unknown</w:t>
            </w:r>
          </w:p>
        </w:tc>
      </w:tr>
      <w:tr w:rsidR="00455FA8" w:rsidRPr="0027571A" w14:paraId="66ACEB8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A1B162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Fumaria</w:t>
            </w:r>
          </w:p>
        </w:tc>
        <w:tc>
          <w:tcPr>
            <w:tcW w:w="2268" w:type="dxa"/>
            <w:tcBorders>
              <w:top w:val="nil"/>
              <w:left w:val="nil"/>
              <w:bottom w:val="single" w:sz="4" w:space="0" w:color="auto"/>
              <w:right w:val="single" w:sz="4" w:space="0" w:color="auto"/>
            </w:tcBorders>
            <w:shd w:val="clear" w:color="auto" w:fill="auto"/>
            <w:noWrap/>
            <w:vAlign w:val="bottom"/>
            <w:hideMark/>
          </w:tcPr>
          <w:p w14:paraId="2C2CC9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Fumariaceae</w:t>
            </w:r>
          </w:p>
        </w:tc>
        <w:tc>
          <w:tcPr>
            <w:tcW w:w="1701" w:type="dxa"/>
            <w:tcBorders>
              <w:top w:val="nil"/>
              <w:left w:val="nil"/>
              <w:bottom w:val="single" w:sz="4" w:space="0" w:color="auto"/>
              <w:right w:val="single" w:sz="4" w:space="0" w:color="auto"/>
            </w:tcBorders>
            <w:shd w:val="clear" w:color="auto" w:fill="auto"/>
            <w:noWrap/>
            <w:vAlign w:val="bottom"/>
            <w:hideMark/>
          </w:tcPr>
          <w:p w14:paraId="4D365C7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9860CF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50A0FD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2D4549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Fumaria capreolata</w:t>
            </w:r>
          </w:p>
        </w:tc>
        <w:tc>
          <w:tcPr>
            <w:tcW w:w="2268" w:type="dxa"/>
            <w:tcBorders>
              <w:top w:val="nil"/>
              <w:left w:val="nil"/>
              <w:bottom w:val="single" w:sz="4" w:space="0" w:color="auto"/>
              <w:right w:val="single" w:sz="4" w:space="0" w:color="auto"/>
            </w:tcBorders>
            <w:shd w:val="clear" w:color="auto" w:fill="auto"/>
            <w:noWrap/>
            <w:vAlign w:val="bottom"/>
            <w:hideMark/>
          </w:tcPr>
          <w:p w14:paraId="76BCECD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Fumariaceae</w:t>
            </w:r>
          </w:p>
        </w:tc>
        <w:tc>
          <w:tcPr>
            <w:tcW w:w="1701" w:type="dxa"/>
            <w:tcBorders>
              <w:top w:val="nil"/>
              <w:left w:val="nil"/>
              <w:bottom w:val="single" w:sz="4" w:space="0" w:color="auto"/>
              <w:right w:val="single" w:sz="4" w:space="0" w:color="auto"/>
            </w:tcBorders>
            <w:shd w:val="clear" w:color="auto" w:fill="auto"/>
            <w:noWrap/>
            <w:vAlign w:val="bottom"/>
            <w:hideMark/>
          </w:tcPr>
          <w:p w14:paraId="48D67D0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7871A5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912DB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0E603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w:t>
            </w:r>
          </w:p>
        </w:tc>
        <w:tc>
          <w:tcPr>
            <w:tcW w:w="2268" w:type="dxa"/>
            <w:tcBorders>
              <w:top w:val="nil"/>
              <w:left w:val="nil"/>
              <w:bottom w:val="single" w:sz="4" w:space="0" w:color="auto"/>
              <w:right w:val="single" w:sz="4" w:space="0" w:color="auto"/>
            </w:tcBorders>
            <w:shd w:val="clear" w:color="auto" w:fill="auto"/>
            <w:noWrap/>
            <w:vAlign w:val="bottom"/>
            <w:hideMark/>
          </w:tcPr>
          <w:p w14:paraId="788E88F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0F28EA7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B761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06A4E0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3751AC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 aparine</w:t>
            </w:r>
          </w:p>
        </w:tc>
        <w:tc>
          <w:tcPr>
            <w:tcW w:w="2268" w:type="dxa"/>
            <w:tcBorders>
              <w:top w:val="nil"/>
              <w:left w:val="nil"/>
              <w:bottom w:val="single" w:sz="4" w:space="0" w:color="auto"/>
              <w:right w:val="single" w:sz="4" w:space="0" w:color="auto"/>
            </w:tcBorders>
            <w:shd w:val="clear" w:color="auto" w:fill="auto"/>
            <w:noWrap/>
            <w:vAlign w:val="bottom"/>
            <w:hideMark/>
          </w:tcPr>
          <w:p w14:paraId="4E9128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31C79E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210FA9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A44621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40D80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 gaudichaudii</w:t>
            </w:r>
          </w:p>
        </w:tc>
        <w:tc>
          <w:tcPr>
            <w:tcW w:w="2268" w:type="dxa"/>
            <w:tcBorders>
              <w:top w:val="nil"/>
              <w:left w:val="nil"/>
              <w:bottom w:val="single" w:sz="4" w:space="0" w:color="auto"/>
              <w:right w:val="single" w:sz="4" w:space="0" w:color="auto"/>
            </w:tcBorders>
            <w:shd w:val="clear" w:color="auto" w:fill="auto"/>
            <w:noWrap/>
            <w:vAlign w:val="bottom"/>
            <w:hideMark/>
          </w:tcPr>
          <w:p w14:paraId="07ABA0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5E3F6E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287AE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8560EF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74A86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Galium murale</w:t>
            </w:r>
          </w:p>
        </w:tc>
        <w:tc>
          <w:tcPr>
            <w:tcW w:w="2268" w:type="dxa"/>
            <w:tcBorders>
              <w:top w:val="nil"/>
              <w:left w:val="nil"/>
              <w:bottom w:val="single" w:sz="4" w:space="0" w:color="auto"/>
              <w:right w:val="single" w:sz="4" w:space="0" w:color="auto"/>
            </w:tcBorders>
            <w:shd w:val="clear" w:color="auto" w:fill="auto"/>
            <w:noWrap/>
            <w:vAlign w:val="bottom"/>
            <w:hideMark/>
          </w:tcPr>
          <w:p w14:paraId="026D8E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Rubiaceae</w:t>
            </w:r>
          </w:p>
        </w:tc>
        <w:tc>
          <w:tcPr>
            <w:tcW w:w="1701" w:type="dxa"/>
            <w:tcBorders>
              <w:top w:val="nil"/>
              <w:left w:val="nil"/>
              <w:bottom w:val="single" w:sz="4" w:space="0" w:color="auto"/>
              <w:right w:val="single" w:sz="4" w:space="0" w:color="auto"/>
            </w:tcBorders>
            <w:shd w:val="clear" w:color="auto" w:fill="auto"/>
            <w:noWrap/>
            <w:vAlign w:val="bottom"/>
            <w:hideMark/>
          </w:tcPr>
          <w:p w14:paraId="400558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829D82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321F7A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888AF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Geococcus pusillus</w:t>
            </w:r>
          </w:p>
        </w:tc>
        <w:tc>
          <w:tcPr>
            <w:tcW w:w="2268" w:type="dxa"/>
            <w:tcBorders>
              <w:top w:val="nil"/>
              <w:left w:val="nil"/>
              <w:bottom w:val="single" w:sz="4" w:space="0" w:color="auto"/>
              <w:right w:val="single" w:sz="4" w:space="0" w:color="auto"/>
            </w:tcBorders>
            <w:shd w:val="clear" w:color="auto" w:fill="auto"/>
            <w:noWrap/>
            <w:vAlign w:val="bottom"/>
            <w:hideMark/>
          </w:tcPr>
          <w:p w14:paraId="3EB1AF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1B6847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203B42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9A7A82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25CAA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Geranium solanderi</w:t>
            </w:r>
          </w:p>
        </w:tc>
        <w:tc>
          <w:tcPr>
            <w:tcW w:w="2268" w:type="dxa"/>
            <w:tcBorders>
              <w:top w:val="nil"/>
              <w:left w:val="nil"/>
              <w:bottom w:val="single" w:sz="4" w:space="0" w:color="auto"/>
              <w:right w:val="single" w:sz="4" w:space="0" w:color="auto"/>
            </w:tcBorders>
            <w:shd w:val="clear" w:color="auto" w:fill="auto"/>
            <w:noWrap/>
            <w:vAlign w:val="bottom"/>
            <w:hideMark/>
          </w:tcPr>
          <w:p w14:paraId="79DD645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Geraniaceae</w:t>
            </w:r>
          </w:p>
        </w:tc>
        <w:tc>
          <w:tcPr>
            <w:tcW w:w="1701" w:type="dxa"/>
            <w:tcBorders>
              <w:top w:val="nil"/>
              <w:left w:val="nil"/>
              <w:bottom w:val="single" w:sz="4" w:space="0" w:color="auto"/>
              <w:right w:val="single" w:sz="4" w:space="0" w:color="auto"/>
            </w:tcBorders>
            <w:shd w:val="clear" w:color="auto" w:fill="auto"/>
            <w:noWrap/>
            <w:vAlign w:val="bottom"/>
            <w:hideMark/>
          </w:tcPr>
          <w:p w14:paraId="3D5ED2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9C4B0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278650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FEBD40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Glinus lotoides</w:t>
            </w:r>
          </w:p>
        </w:tc>
        <w:tc>
          <w:tcPr>
            <w:tcW w:w="2268" w:type="dxa"/>
            <w:tcBorders>
              <w:top w:val="nil"/>
              <w:left w:val="nil"/>
              <w:bottom w:val="single" w:sz="4" w:space="0" w:color="auto"/>
              <w:right w:val="single" w:sz="4" w:space="0" w:color="auto"/>
            </w:tcBorders>
            <w:shd w:val="clear" w:color="auto" w:fill="auto"/>
            <w:noWrap/>
            <w:vAlign w:val="bottom"/>
            <w:hideMark/>
          </w:tcPr>
          <w:p w14:paraId="153249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453EFF0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 xml:space="preserve">Terrestrial-dry </w:t>
            </w:r>
          </w:p>
        </w:tc>
        <w:tc>
          <w:tcPr>
            <w:tcW w:w="1559" w:type="dxa"/>
            <w:tcBorders>
              <w:top w:val="nil"/>
              <w:left w:val="nil"/>
              <w:bottom w:val="single" w:sz="4" w:space="0" w:color="auto"/>
              <w:right w:val="single" w:sz="4" w:space="0" w:color="auto"/>
            </w:tcBorders>
            <w:shd w:val="clear" w:color="auto" w:fill="auto"/>
            <w:noWrap/>
            <w:vAlign w:val="bottom"/>
            <w:hideMark/>
          </w:tcPr>
          <w:p w14:paraId="1CCB689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59C1EF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FC7FD1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Glycyrrhiza acanthocarpa</w:t>
            </w:r>
          </w:p>
        </w:tc>
        <w:tc>
          <w:tcPr>
            <w:tcW w:w="2268" w:type="dxa"/>
            <w:tcBorders>
              <w:top w:val="nil"/>
              <w:left w:val="nil"/>
              <w:bottom w:val="single" w:sz="4" w:space="0" w:color="auto"/>
              <w:right w:val="single" w:sz="4" w:space="0" w:color="auto"/>
            </w:tcBorders>
            <w:shd w:val="clear" w:color="auto" w:fill="auto"/>
            <w:noWrap/>
            <w:vAlign w:val="bottom"/>
            <w:hideMark/>
          </w:tcPr>
          <w:p w14:paraId="5645C68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4DDF15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259AF0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55706E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15BF26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Gnaphalium</w:t>
            </w:r>
          </w:p>
        </w:tc>
        <w:tc>
          <w:tcPr>
            <w:tcW w:w="2268" w:type="dxa"/>
            <w:tcBorders>
              <w:top w:val="nil"/>
              <w:left w:val="nil"/>
              <w:bottom w:val="single" w:sz="4" w:space="0" w:color="auto"/>
              <w:right w:val="single" w:sz="4" w:space="0" w:color="auto"/>
            </w:tcBorders>
            <w:shd w:val="clear" w:color="auto" w:fill="auto"/>
            <w:noWrap/>
            <w:vAlign w:val="bottom"/>
            <w:hideMark/>
          </w:tcPr>
          <w:p w14:paraId="0F6E09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B7A7E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54363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2C9B64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6B0CED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cycloptera</w:t>
            </w:r>
          </w:p>
        </w:tc>
        <w:tc>
          <w:tcPr>
            <w:tcW w:w="2268" w:type="dxa"/>
            <w:tcBorders>
              <w:top w:val="nil"/>
              <w:left w:val="nil"/>
              <w:bottom w:val="single" w:sz="4" w:space="0" w:color="auto"/>
              <w:right w:val="single" w:sz="4" w:space="0" w:color="auto"/>
            </w:tcBorders>
            <w:shd w:val="clear" w:color="auto" w:fill="auto"/>
            <w:noWrap/>
            <w:vAlign w:val="bottom"/>
            <w:hideMark/>
          </w:tcPr>
          <w:p w14:paraId="27FB0E4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655F984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F61B78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893255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F631A5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fascicularis</w:t>
            </w:r>
          </w:p>
        </w:tc>
        <w:tc>
          <w:tcPr>
            <w:tcW w:w="2268" w:type="dxa"/>
            <w:tcBorders>
              <w:top w:val="nil"/>
              <w:left w:val="nil"/>
              <w:bottom w:val="single" w:sz="4" w:space="0" w:color="auto"/>
              <w:right w:val="single" w:sz="4" w:space="0" w:color="auto"/>
            </w:tcBorders>
            <w:shd w:val="clear" w:color="auto" w:fill="auto"/>
            <w:noWrap/>
            <w:vAlign w:val="bottom"/>
            <w:hideMark/>
          </w:tcPr>
          <w:p w14:paraId="67F62C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6A22E52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7BF14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9CE8A2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00D230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glauca</w:t>
            </w:r>
          </w:p>
        </w:tc>
        <w:tc>
          <w:tcPr>
            <w:tcW w:w="2268" w:type="dxa"/>
            <w:tcBorders>
              <w:top w:val="nil"/>
              <w:left w:val="nil"/>
              <w:bottom w:val="single" w:sz="4" w:space="0" w:color="auto"/>
              <w:right w:val="single" w:sz="4" w:space="0" w:color="auto"/>
            </w:tcBorders>
            <w:shd w:val="clear" w:color="auto" w:fill="auto"/>
            <w:noWrap/>
            <w:vAlign w:val="bottom"/>
            <w:hideMark/>
          </w:tcPr>
          <w:p w14:paraId="3305668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713B68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F35B0D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53A5DB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397477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Goodenia heteromera</w:t>
            </w:r>
          </w:p>
        </w:tc>
        <w:tc>
          <w:tcPr>
            <w:tcW w:w="2268" w:type="dxa"/>
            <w:tcBorders>
              <w:top w:val="nil"/>
              <w:left w:val="nil"/>
              <w:bottom w:val="single" w:sz="4" w:space="0" w:color="auto"/>
              <w:right w:val="single" w:sz="4" w:space="0" w:color="auto"/>
            </w:tcBorders>
            <w:shd w:val="clear" w:color="auto" w:fill="auto"/>
            <w:noWrap/>
            <w:vAlign w:val="bottom"/>
            <w:hideMark/>
          </w:tcPr>
          <w:p w14:paraId="7D9DBB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Goodeniaceae</w:t>
            </w:r>
          </w:p>
        </w:tc>
        <w:tc>
          <w:tcPr>
            <w:tcW w:w="1701" w:type="dxa"/>
            <w:tcBorders>
              <w:top w:val="nil"/>
              <w:left w:val="nil"/>
              <w:bottom w:val="single" w:sz="4" w:space="0" w:color="auto"/>
              <w:right w:val="single" w:sz="4" w:space="0" w:color="auto"/>
            </w:tcBorders>
            <w:shd w:val="clear" w:color="auto" w:fill="auto"/>
            <w:noWrap/>
            <w:vAlign w:val="bottom"/>
            <w:hideMark/>
          </w:tcPr>
          <w:p w14:paraId="271FE5F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DC5B8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FC6B2C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B29457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w:t>
            </w:r>
          </w:p>
        </w:tc>
        <w:tc>
          <w:tcPr>
            <w:tcW w:w="2268" w:type="dxa"/>
            <w:tcBorders>
              <w:top w:val="nil"/>
              <w:left w:val="nil"/>
              <w:bottom w:val="single" w:sz="4" w:space="0" w:color="auto"/>
              <w:right w:val="single" w:sz="4" w:space="0" w:color="auto"/>
            </w:tcBorders>
            <w:shd w:val="clear" w:color="auto" w:fill="auto"/>
            <w:noWrap/>
            <w:vAlign w:val="bottom"/>
            <w:hideMark/>
          </w:tcPr>
          <w:p w14:paraId="595AAA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065CA8A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BBFFF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365ECF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4C51D5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 aspera</w:t>
            </w:r>
          </w:p>
        </w:tc>
        <w:tc>
          <w:tcPr>
            <w:tcW w:w="2268" w:type="dxa"/>
            <w:tcBorders>
              <w:top w:val="nil"/>
              <w:left w:val="nil"/>
              <w:bottom w:val="single" w:sz="4" w:space="0" w:color="auto"/>
              <w:right w:val="single" w:sz="4" w:space="0" w:color="auto"/>
            </w:tcBorders>
            <w:shd w:val="clear" w:color="auto" w:fill="auto"/>
            <w:noWrap/>
            <w:vAlign w:val="bottom"/>
            <w:hideMark/>
          </w:tcPr>
          <w:p w14:paraId="19034A2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2E3F9E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9A96A7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82108B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084066C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 glauca</w:t>
            </w:r>
          </w:p>
        </w:tc>
        <w:tc>
          <w:tcPr>
            <w:tcW w:w="2268" w:type="dxa"/>
            <w:tcBorders>
              <w:top w:val="nil"/>
              <w:left w:val="nil"/>
              <w:bottom w:val="single" w:sz="4" w:space="0" w:color="auto"/>
              <w:right w:val="single" w:sz="4" w:space="0" w:color="auto"/>
            </w:tcBorders>
            <w:shd w:val="clear" w:color="auto" w:fill="auto"/>
            <w:vAlign w:val="bottom"/>
            <w:hideMark/>
          </w:tcPr>
          <w:p w14:paraId="29B35F65"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vAlign w:val="bottom"/>
            <w:hideMark/>
          </w:tcPr>
          <w:p w14:paraId="615F78A3"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26A3E1FA"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52473D9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9A238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Haloragis heterophylla</w:t>
            </w:r>
          </w:p>
        </w:tc>
        <w:tc>
          <w:tcPr>
            <w:tcW w:w="2268" w:type="dxa"/>
            <w:tcBorders>
              <w:top w:val="nil"/>
              <w:left w:val="nil"/>
              <w:bottom w:val="single" w:sz="4" w:space="0" w:color="auto"/>
              <w:right w:val="single" w:sz="4" w:space="0" w:color="auto"/>
            </w:tcBorders>
            <w:shd w:val="clear" w:color="auto" w:fill="auto"/>
            <w:noWrap/>
            <w:vAlign w:val="bottom"/>
            <w:hideMark/>
          </w:tcPr>
          <w:p w14:paraId="7352DE5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4D28B50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DB6A0E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C65832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213BAB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w:t>
            </w:r>
          </w:p>
        </w:tc>
        <w:tc>
          <w:tcPr>
            <w:tcW w:w="2268" w:type="dxa"/>
            <w:tcBorders>
              <w:top w:val="nil"/>
              <w:left w:val="nil"/>
              <w:bottom w:val="single" w:sz="4" w:space="0" w:color="auto"/>
              <w:right w:val="single" w:sz="4" w:space="0" w:color="auto"/>
            </w:tcBorders>
            <w:shd w:val="clear" w:color="auto" w:fill="auto"/>
            <w:noWrap/>
            <w:vAlign w:val="bottom"/>
            <w:hideMark/>
          </w:tcPr>
          <w:p w14:paraId="19EF53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0D6BDE7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E42312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720182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6580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curassavicum</w:t>
            </w:r>
          </w:p>
        </w:tc>
        <w:tc>
          <w:tcPr>
            <w:tcW w:w="2268" w:type="dxa"/>
            <w:tcBorders>
              <w:top w:val="nil"/>
              <w:left w:val="nil"/>
              <w:bottom w:val="single" w:sz="4" w:space="0" w:color="auto"/>
              <w:right w:val="single" w:sz="4" w:space="0" w:color="auto"/>
            </w:tcBorders>
            <w:shd w:val="clear" w:color="auto" w:fill="auto"/>
            <w:noWrap/>
            <w:vAlign w:val="bottom"/>
            <w:hideMark/>
          </w:tcPr>
          <w:p w14:paraId="69FDC3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474970A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774CE6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E4309B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54C0B0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europaeum</w:t>
            </w:r>
          </w:p>
        </w:tc>
        <w:tc>
          <w:tcPr>
            <w:tcW w:w="2268" w:type="dxa"/>
            <w:tcBorders>
              <w:top w:val="nil"/>
              <w:left w:val="nil"/>
              <w:bottom w:val="single" w:sz="4" w:space="0" w:color="auto"/>
              <w:right w:val="single" w:sz="4" w:space="0" w:color="auto"/>
            </w:tcBorders>
            <w:shd w:val="clear" w:color="auto" w:fill="auto"/>
            <w:noWrap/>
            <w:vAlign w:val="bottom"/>
            <w:hideMark/>
          </w:tcPr>
          <w:p w14:paraId="014FEA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71E329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2BE014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927ADE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D933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Heliotropium supinum</w:t>
            </w:r>
          </w:p>
        </w:tc>
        <w:tc>
          <w:tcPr>
            <w:tcW w:w="2268" w:type="dxa"/>
            <w:tcBorders>
              <w:top w:val="nil"/>
              <w:left w:val="nil"/>
              <w:bottom w:val="single" w:sz="4" w:space="0" w:color="auto"/>
              <w:right w:val="single" w:sz="4" w:space="0" w:color="auto"/>
            </w:tcBorders>
            <w:shd w:val="clear" w:color="auto" w:fill="auto"/>
            <w:noWrap/>
            <w:vAlign w:val="bottom"/>
            <w:hideMark/>
          </w:tcPr>
          <w:p w14:paraId="238998E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Boraginaceae</w:t>
            </w:r>
          </w:p>
        </w:tc>
        <w:tc>
          <w:tcPr>
            <w:tcW w:w="1701" w:type="dxa"/>
            <w:tcBorders>
              <w:top w:val="nil"/>
              <w:left w:val="nil"/>
              <w:bottom w:val="single" w:sz="4" w:space="0" w:color="auto"/>
              <w:right w:val="single" w:sz="4" w:space="0" w:color="auto"/>
            </w:tcBorders>
            <w:shd w:val="clear" w:color="auto" w:fill="auto"/>
            <w:noWrap/>
            <w:vAlign w:val="bottom"/>
            <w:hideMark/>
          </w:tcPr>
          <w:p w14:paraId="70BB9B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8477A3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A60AB1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247335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Helminthotheca echioides</w:t>
            </w:r>
          </w:p>
        </w:tc>
        <w:tc>
          <w:tcPr>
            <w:tcW w:w="2268" w:type="dxa"/>
            <w:tcBorders>
              <w:top w:val="nil"/>
              <w:left w:val="nil"/>
              <w:bottom w:val="single" w:sz="4" w:space="0" w:color="auto"/>
              <w:right w:val="single" w:sz="4" w:space="0" w:color="auto"/>
            </w:tcBorders>
            <w:shd w:val="clear" w:color="auto" w:fill="auto"/>
            <w:noWrap/>
            <w:vAlign w:val="bottom"/>
            <w:hideMark/>
          </w:tcPr>
          <w:p w14:paraId="208846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717A02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0683FB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24D0C9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98F7A5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Hibiscus sturtii</w:t>
            </w:r>
          </w:p>
        </w:tc>
        <w:tc>
          <w:tcPr>
            <w:tcW w:w="2268" w:type="dxa"/>
            <w:tcBorders>
              <w:top w:val="nil"/>
              <w:left w:val="nil"/>
              <w:bottom w:val="single" w:sz="4" w:space="0" w:color="auto"/>
              <w:right w:val="single" w:sz="4" w:space="0" w:color="auto"/>
            </w:tcBorders>
            <w:shd w:val="clear" w:color="auto" w:fill="auto"/>
            <w:noWrap/>
            <w:vAlign w:val="bottom"/>
            <w:hideMark/>
          </w:tcPr>
          <w:p w14:paraId="10568E7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63A534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3DD77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A6D3C1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0E7ECF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Hordeum leporinum</w:t>
            </w:r>
          </w:p>
        </w:tc>
        <w:tc>
          <w:tcPr>
            <w:tcW w:w="2268" w:type="dxa"/>
            <w:tcBorders>
              <w:top w:val="nil"/>
              <w:left w:val="nil"/>
              <w:bottom w:val="single" w:sz="4" w:space="0" w:color="auto"/>
              <w:right w:val="single" w:sz="4" w:space="0" w:color="auto"/>
            </w:tcBorders>
            <w:shd w:val="clear" w:color="auto" w:fill="auto"/>
            <w:noWrap/>
            <w:vAlign w:val="bottom"/>
            <w:hideMark/>
          </w:tcPr>
          <w:p w14:paraId="2C7BAF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201067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06554A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D7E9AC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A8469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Hydrocotyle trachycarpa</w:t>
            </w:r>
          </w:p>
        </w:tc>
        <w:tc>
          <w:tcPr>
            <w:tcW w:w="2268" w:type="dxa"/>
            <w:tcBorders>
              <w:top w:val="nil"/>
              <w:left w:val="nil"/>
              <w:bottom w:val="single" w:sz="4" w:space="0" w:color="auto"/>
              <w:right w:val="single" w:sz="4" w:space="0" w:color="auto"/>
            </w:tcBorders>
            <w:shd w:val="clear" w:color="auto" w:fill="auto"/>
            <w:noWrap/>
            <w:vAlign w:val="bottom"/>
            <w:hideMark/>
          </w:tcPr>
          <w:p w14:paraId="51A97DE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Apiaceae</w:t>
            </w:r>
          </w:p>
        </w:tc>
        <w:tc>
          <w:tcPr>
            <w:tcW w:w="1701" w:type="dxa"/>
            <w:tcBorders>
              <w:top w:val="nil"/>
              <w:left w:val="nil"/>
              <w:bottom w:val="single" w:sz="4" w:space="0" w:color="auto"/>
              <w:right w:val="single" w:sz="4" w:space="0" w:color="auto"/>
            </w:tcBorders>
            <w:shd w:val="clear" w:color="auto" w:fill="auto"/>
            <w:noWrap/>
            <w:vAlign w:val="bottom"/>
            <w:hideMark/>
          </w:tcPr>
          <w:p w14:paraId="6E4EE4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63AE36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A45CD9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04E5B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Isolepis</w:t>
            </w:r>
          </w:p>
        </w:tc>
        <w:tc>
          <w:tcPr>
            <w:tcW w:w="2268" w:type="dxa"/>
            <w:tcBorders>
              <w:top w:val="nil"/>
              <w:left w:val="nil"/>
              <w:bottom w:val="single" w:sz="4" w:space="0" w:color="auto"/>
              <w:right w:val="single" w:sz="4" w:space="0" w:color="auto"/>
            </w:tcBorders>
            <w:shd w:val="clear" w:color="auto" w:fill="auto"/>
            <w:noWrap/>
            <w:vAlign w:val="bottom"/>
            <w:hideMark/>
          </w:tcPr>
          <w:p w14:paraId="6FEC74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5D3ED53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E86F3D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52096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2EDA43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Isolepis australiensis</w:t>
            </w:r>
          </w:p>
        </w:tc>
        <w:tc>
          <w:tcPr>
            <w:tcW w:w="2268" w:type="dxa"/>
            <w:tcBorders>
              <w:top w:val="nil"/>
              <w:left w:val="nil"/>
              <w:bottom w:val="single" w:sz="4" w:space="0" w:color="auto"/>
              <w:right w:val="single" w:sz="4" w:space="0" w:color="auto"/>
            </w:tcBorders>
            <w:shd w:val="clear" w:color="auto" w:fill="auto"/>
            <w:noWrap/>
            <w:vAlign w:val="bottom"/>
            <w:hideMark/>
          </w:tcPr>
          <w:p w14:paraId="01C214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Cyperaceae</w:t>
            </w:r>
          </w:p>
        </w:tc>
        <w:tc>
          <w:tcPr>
            <w:tcW w:w="1701" w:type="dxa"/>
            <w:tcBorders>
              <w:top w:val="nil"/>
              <w:left w:val="nil"/>
              <w:bottom w:val="single" w:sz="4" w:space="0" w:color="auto"/>
              <w:right w:val="single" w:sz="4" w:space="0" w:color="auto"/>
            </w:tcBorders>
            <w:shd w:val="clear" w:color="auto" w:fill="auto"/>
            <w:noWrap/>
            <w:vAlign w:val="bottom"/>
            <w:hideMark/>
          </w:tcPr>
          <w:p w14:paraId="0D9ED4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1392B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2210EF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3E80A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Juncaceae</w:t>
            </w:r>
          </w:p>
        </w:tc>
        <w:tc>
          <w:tcPr>
            <w:tcW w:w="2268" w:type="dxa"/>
            <w:tcBorders>
              <w:top w:val="nil"/>
              <w:left w:val="nil"/>
              <w:bottom w:val="single" w:sz="4" w:space="0" w:color="auto"/>
              <w:right w:val="single" w:sz="4" w:space="0" w:color="auto"/>
            </w:tcBorders>
            <w:shd w:val="clear" w:color="auto" w:fill="auto"/>
            <w:noWrap/>
            <w:vAlign w:val="bottom"/>
            <w:hideMark/>
          </w:tcPr>
          <w:p w14:paraId="37DADCF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625BB61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36559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A5E6D" w14:paraId="3460FBB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1946C6C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w:t>
            </w:r>
          </w:p>
        </w:tc>
        <w:tc>
          <w:tcPr>
            <w:tcW w:w="2268" w:type="dxa"/>
            <w:tcBorders>
              <w:top w:val="nil"/>
              <w:left w:val="nil"/>
              <w:bottom w:val="single" w:sz="4" w:space="0" w:color="auto"/>
              <w:right w:val="single" w:sz="4" w:space="0" w:color="auto"/>
            </w:tcBorders>
            <w:shd w:val="clear" w:color="auto" w:fill="auto"/>
            <w:vAlign w:val="bottom"/>
            <w:hideMark/>
          </w:tcPr>
          <w:p w14:paraId="4B45C0D3"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4E033F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vAlign w:val="bottom"/>
            <w:hideMark/>
          </w:tcPr>
          <w:p w14:paraId="6DA37F8B"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native</w:t>
            </w:r>
          </w:p>
        </w:tc>
      </w:tr>
      <w:tr w:rsidR="00455FA8" w:rsidRPr="0027571A" w14:paraId="2BE5AE0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7A698C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 aridicola</w:t>
            </w:r>
          </w:p>
        </w:tc>
        <w:tc>
          <w:tcPr>
            <w:tcW w:w="2268" w:type="dxa"/>
            <w:tcBorders>
              <w:top w:val="nil"/>
              <w:left w:val="nil"/>
              <w:bottom w:val="single" w:sz="4" w:space="0" w:color="auto"/>
              <w:right w:val="single" w:sz="4" w:space="0" w:color="auto"/>
            </w:tcBorders>
            <w:shd w:val="clear" w:color="auto" w:fill="auto"/>
            <w:noWrap/>
            <w:vAlign w:val="bottom"/>
            <w:hideMark/>
          </w:tcPr>
          <w:p w14:paraId="1D4065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4A7E3E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8414AF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3805F1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5273F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 flavidus</w:t>
            </w:r>
          </w:p>
        </w:tc>
        <w:tc>
          <w:tcPr>
            <w:tcW w:w="2268" w:type="dxa"/>
            <w:tcBorders>
              <w:top w:val="nil"/>
              <w:left w:val="nil"/>
              <w:bottom w:val="single" w:sz="4" w:space="0" w:color="auto"/>
              <w:right w:val="single" w:sz="4" w:space="0" w:color="auto"/>
            </w:tcBorders>
            <w:shd w:val="clear" w:color="auto" w:fill="auto"/>
            <w:noWrap/>
            <w:vAlign w:val="bottom"/>
            <w:hideMark/>
          </w:tcPr>
          <w:p w14:paraId="6737F61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68E8BA0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334968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703EC1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CBB95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Juncus usitatus</w:t>
            </w:r>
          </w:p>
        </w:tc>
        <w:tc>
          <w:tcPr>
            <w:tcW w:w="2268" w:type="dxa"/>
            <w:tcBorders>
              <w:top w:val="nil"/>
              <w:left w:val="nil"/>
              <w:bottom w:val="single" w:sz="4" w:space="0" w:color="auto"/>
              <w:right w:val="single" w:sz="4" w:space="0" w:color="auto"/>
            </w:tcBorders>
            <w:shd w:val="clear" w:color="auto" w:fill="auto"/>
            <w:noWrap/>
            <w:vAlign w:val="bottom"/>
            <w:hideMark/>
          </w:tcPr>
          <w:p w14:paraId="6892E2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Juncaceae</w:t>
            </w:r>
          </w:p>
        </w:tc>
        <w:tc>
          <w:tcPr>
            <w:tcW w:w="1701" w:type="dxa"/>
            <w:tcBorders>
              <w:top w:val="nil"/>
              <w:left w:val="nil"/>
              <w:bottom w:val="single" w:sz="4" w:space="0" w:color="auto"/>
              <w:right w:val="single" w:sz="4" w:space="0" w:color="auto"/>
            </w:tcBorders>
            <w:shd w:val="clear" w:color="auto" w:fill="auto"/>
            <w:noWrap/>
            <w:vAlign w:val="bottom"/>
            <w:hideMark/>
          </w:tcPr>
          <w:p w14:paraId="660362B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AEE677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444D71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C8405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Lachnagrostis filiformis</w:t>
            </w:r>
          </w:p>
        </w:tc>
        <w:tc>
          <w:tcPr>
            <w:tcW w:w="2268" w:type="dxa"/>
            <w:tcBorders>
              <w:top w:val="nil"/>
              <w:left w:val="nil"/>
              <w:bottom w:val="single" w:sz="4" w:space="0" w:color="auto"/>
              <w:right w:val="single" w:sz="4" w:space="0" w:color="auto"/>
            </w:tcBorders>
            <w:shd w:val="clear" w:color="auto" w:fill="auto"/>
            <w:noWrap/>
            <w:vAlign w:val="bottom"/>
            <w:hideMark/>
          </w:tcPr>
          <w:p w14:paraId="3FD8562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96D71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6A648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2266C3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FD552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Lactuca</w:t>
            </w:r>
          </w:p>
        </w:tc>
        <w:tc>
          <w:tcPr>
            <w:tcW w:w="2268" w:type="dxa"/>
            <w:tcBorders>
              <w:top w:val="nil"/>
              <w:left w:val="nil"/>
              <w:bottom w:val="single" w:sz="4" w:space="0" w:color="auto"/>
              <w:right w:val="single" w:sz="4" w:space="0" w:color="auto"/>
            </w:tcBorders>
            <w:shd w:val="clear" w:color="auto" w:fill="auto"/>
            <w:noWrap/>
            <w:vAlign w:val="bottom"/>
            <w:hideMark/>
          </w:tcPr>
          <w:p w14:paraId="64B9201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D11320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7B9134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38EF1B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712E58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Lactuca saligna</w:t>
            </w:r>
          </w:p>
        </w:tc>
        <w:tc>
          <w:tcPr>
            <w:tcW w:w="2268" w:type="dxa"/>
            <w:tcBorders>
              <w:top w:val="nil"/>
              <w:left w:val="nil"/>
              <w:bottom w:val="single" w:sz="4" w:space="0" w:color="auto"/>
              <w:right w:val="single" w:sz="4" w:space="0" w:color="auto"/>
            </w:tcBorders>
            <w:shd w:val="clear" w:color="auto" w:fill="auto"/>
            <w:noWrap/>
            <w:vAlign w:val="bottom"/>
            <w:hideMark/>
          </w:tcPr>
          <w:p w14:paraId="2AFD556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3C2EC2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7EB28F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000FF2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DC6BB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Lactuca serriola</w:t>
            </w:r>
          </w:p>
        </w:tc>
        <w:tc>
          <w:tcPr>
            <w:tcW w:w="2268" w:type="dxa"/>
            <w:tcBorders>
              <w:top w:val="nil"/>
              <w:left w:val="nil"/>
              <w:bottom w:val="single" w:sz="4" w:space="0" w:color="auto"/>
              <w:right w:val="single" w:sz="4" w:space="0" w:color="auto"/>
            </w:tcBorders>
            <w:shd w:val="clear" w:color="auto" w:fill="auto"/>
            <w:noWrap/>
            <w:vAlign w:val="bottom"/>
            <w:hideMark/>
          </w:tcPr>
          <w:p w14:paraId="3C1D7B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21457D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17BA8A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AF2AA1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14A67B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Lemna</w:t>
            </w:r>
          </w:p>
        </w:tc>
        <w:tc>
          <w:tcPr>
            <w:tcW w:w="2268" w:type="dxa"/>
            <w:tcBorders>
              <w:top w:val="nil"/>
              <w:left w:val="nil"/>
              <w:bottom w:val="single" w:sz="4" w:space="0" w:color="auto"/>
              <w:right w:val="single" w:sz="4" w:space="0" w:color="auto"/>
            </w:tcBorders>
            <w:shd w:val="clear" w:color="auto" w:fill="auto"/>
            <w:noWrap/>
            <w:vAlign w:val="bottom"/>
            <w:hideMark/>
          </w:tcPr>
          <w:p w14:paraId="0E78E54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Lemnaceae</w:t>
            </w:r>
          </w:p>
        </w:tc>
        <w:tc>
          <w:tcPr>
            <w:tcW w:w="1701" w:type="dxa"/>
            <w:tcBorders>
              <w:top w:val="nil"/>
              <w:left w:val="nil"/>
              <w:bottom w:val="single" w:sz="4" w:space="0" w:color="auto"/>
              <w:right w:val="single" w:sz="4" w:space="0" w:color="auto"/>
            </w:tcBorders>
            <w:shd w:val="clear" w:color="auto" w:fill="auto"/>
            <w:noWrap/>
            <w:vAlign w:val="bottom"/>
            <w:hideMark/>
          </w:tcPr>
          <w:p w14:paraId="4F01289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A7FFB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C3304E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A733EF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Lemna minor</w:t>
            </w:r>
          </w:p>
        </w:tc>
        <w:tc>
          <w:tcPr>
            <w:tcW w:w="2268" w:type="dxa"/>
            <w:tcBorders>
              <w:top w:val="nil"/>
              <w:left w:val="nil"/>
              <w:bottom w:val="single" w:sz="4" w:space="0" w:color="auto"/>
              <w:right w:val="single" w:sz="4" w:space="0" w:color="auto"/>
            </w:tcBorders>
            <w:shd w:val="clear" w:color="auto" w:fill="auto"/>
            <w:noWrap/>
            <w:vAlign w:val="bottom"/>
            <w:hideMark/>
          </w:tcPr>
          <w:p w14:paraId="62428B8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Lemnaceae</w:t>
            </w:r>
          </w:p>
        </w:tc>
        <w:tc>
          <w:tcPr>
            <w:tcW w:w="1701" w:type="dxa"/>
            <w:tcBorders>
              <w:top w:val="nil"/>
              <w:left w:val="nil"/>
              <w:bottom w:val="single" w:sz="4" w:space="0" w:color="auto"/>
              <w:right w:val="single" w:sz="4" w:space="0" w:color="auto"/>
            </w:tcBorders>
            <w:shd w:val="clear" w:color="auto" w:fill="auto"/>
            <w:noWrap/>
            <w:vAlign w:val="bottom"/>
            <w:hideMark/>
          </w:tcPr>
          <w:p w14:paraId="2DF07E8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E3401B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AA27FA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C4EEA2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Lepidium</w:t>
            </w:r>
          </w:p>
        </w:tc>
        <w:tc>
          <w:tcPr>
            <w:tcW w:w="2268" w:type="dxa"/>
            <w:tcBorders>
              <w:top w:val="nil"/>
              <w:left w:val="nil"/>
              <w:bottom w:val="single" w:sz="4" w:space="0" w:color="auto"/>
              <w:right w:val="single" w:sz="4" w:space="0" w:color="auto"/>
            </w:tcBorders>
            <w:shd w:val="clear" w:color="auto" w:fill="auto"/>
            <w:noWrap/>
            <w:vAlign w:val="bottom"/>
            <w:hideMark/>
          </w:tcPr>
          <w:p w14:paraId="3A79BFC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6BBECE1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1F54D4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8EE1DC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06E70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Lepidium hyssopifolium</w:t>
            </w:r>
          </w:p>
        </w:tc>
        <w:tc>
          <w:tcPr>
            <w:tcW w:w="2268" w:type="dxa"/>
            <w:tcBorders>
              <w:top w:val="nil"/>
              <w:left w:val="nil"/>
              <w:bottom w:val="single" w:sz="4" w:space="0" w:color="auto"/>
              <w:right w:val="single" w:sz="4" w:space="0" w:color="auto"/>
            </w:tcBorders>
            <w:shd w:val="clear" w:color="auto" w:fill="auto"/>
            <w:noWrap/>
            <w:vAlign w:val="bottom"/>
            <w:hideMark/>
          </w:tcPr>
          <w:p w14:paraId="7ED8EEF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6353B51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D574B3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E23722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1F8509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Lepidium pseudohyssopifolium</w:t>
            </w:r>
          </w:p>
        </w:tc>
        <w:tc>
          <w:tcPr>
            <w:tcW w:w="2268" w:type="dxa"/>
            <w:tcBorders>
              <w:top w:val="nil"/>
              <w:left w:val="nil"/>
              <w:bottom w:val="single" w:sz="4" w:space="0" w:color="auto"/>
              <w:right w:val="single" w:sz="4" w:space="0" w:color="auto"/>
            </w:tcBorders>
            <w:shd w:val="clear" w:color="auto" w:fill="auto"/>
            <w:noWrap/>
            <w:vAlign w:val="bottom"/>
            <w:hideMark/>
          </w:tcPr>
          <w:p w14:paraId="4E38F57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7A2DC80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9604AD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A23164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DFBC9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Limosella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225255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4B9D702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1E3C5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6A3C83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F1A5DA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Lolium rigidum</w:t>
            </w:r>
          </w:p>
        </w:tc>
        <w:tc>
          <w:tcPr>
            <w:tcW w:w="2268" w:type="dxa"/>
            <w:tcBorders>
              <w:top w:val="nil"/>
              <w:left w:val="nil"/>
              <w:bottom w:val="single" w:sz="4" w:space="0" w:color="auto"/>
              <w:right w:val="single" w:sz="4" w:space="0" w:color="auto"/>
            </w:tcBorders>
            <w:shd w:val="clear" w:color="auto" w:fill="auto"/>
            <w:noWrap/>
            <w:vAlign w:val="bottom"/>
            <w:hideMark/>
          </w:tcPr>
          <w:p w14:paraId="7187FB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08BEC4C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990E4B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69024C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445414C" w14:textId="276AAF10"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Ludwigia peploides</w:t>
            </w:r>
          </w:p>
        </w:tc>
        <w:tc>
          <w:tcPr>
            <w:tcW w:w="2268" w:type="dxa"/>
            <w:tcBorders>
              <w:top w:val="nil"/>
              <w:left w:val="nil"/>
              <w:bottom w:val="single" w:sz="4" w:space="0" w:color="auto"/>
              <w:right w:val="single" w:sz="4" w:space="0" w:color="auto"/>
            </w:tcBorders>
            <w:shd w:val="clear" w:color="auto" w:fill="auto"/>
            <w:noWrap/>
            <w:vAlign w:val="bottom"/>
            <w:hideMark/>
          </w:tcPr>
          <w:p w14:paraId="5FE6CD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Onagraceae</w:t>
            </w:r>
          </w:p>
        </w:tc>
        <w:tc>
          <w:tcPr>
            <w:tcW w:w="1701" w:type="dxa"/>
            <w:tcBorders>
              <w:top w:val="nil"/>
              <w:left w:val="nil"/>
              <w:bottom w:val="single" w:sz="4" w:space="0" w:color="auto"/>
              <w:right w:val="single" w:sz="4" w:space="0" w:color="auto"/>
            </w:tcBorders>
            <w:shd w:val="clear" w:color="auto" w:fill="auto"/>
            <w:noWrap/>
            <w:vAlign w:val="bottom"/>
            <w:hideMark/>
          </w:tcPr>
          <w:p w14:paraId="3465F5D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694691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EBEE3B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2DF60C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Lycium ferocissimum</w:t>
            </w:r>
          </w:p>
        </w:tc>
        <w:tc>
          <w:tcPr>
            <w:tcW w:w="2268" w:type="dxa"/>
            <w:tcBorders>
              <w:top w:val="nil"/>
              <w:left w:val="nil"/>
              <w:bottom w:val="single" w:sz="4" w:space="0" w:color="auto"/>
              <w:right w:val="single" w:sz="4" w:space="0" w:color="auto"/>
            </w:tcBorders>
            <w:shd w:val="clear" w:color="auto" w:fill="auto"/>
            <w:noWrap/>
            <w:vAlign w:val="bottom"/>
            <w:hideMark/>
          </w:tcPr>
          <w:p w14:paraId="6E8F6EA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0F94F2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031BA2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FB9DC4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C33189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Lythrum hyssopifolia</w:t>
            </w:r>
          </w:p>
        </w:tc>
        <w:tc>
          <w:tcPr>
            <w:tcW w:w="2268" w:type="dxa"/>
            <w:tcBorders>
              <w:top w:val="nil"/>
              <w:left w:val="nil"/>
              <w:bottom w:val="single" w:sz="4" w:space="0" w:color="auto"/>
              <w:right w:val="single" w:sz="4" w:space="0" w:color="auto"/>
            </w:tcBorders>
            <w:shd w:val="clear" w:color="auto" w:fill="auto"/>
            <w:noWrap/>
            <w:vAlign w:val="bottom"/>
            <w:hideMark/>
          </w:tcPr>
          <w:p w14:paraId="3F42E70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Lythraceae</w:t>
            </w:r>
          </w:p>
        </w:tc>
        <w:tc>
          <w:tcPr>
            <w:tcW w:w="1701" w:type="dxa"/>
            <w:tcBorders>
              <w:top w:val="nil"/>
              <w:left w:val="nil"/>
              <w:bottom w:val="single" w:sz="4" w:space="0" w:color="auto"/>
              <w:right w:val="single" w:sz="4" w:space="0" w:color="auto"/>
            </w:tcBorders>
            <w:shd w:val="clear" w:color="auto" w:fill="auto"/>
            <w:noWrap/>
            <w:vAlign w:val="bottom"/>
            <w:hideMark/>
          </w:tcPr>
          <w:p w14:paraId="04A56AF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904FF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973368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449D5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Lythrum salicaria</w:t>
            </w:r>
          </w:p>
        </w:tc>
        <w:tc>
          <w:tcPr>
            <w:tcW w:w="2268" w:type="dxa"/>
            <w:tcBorders>
              <w:top w:val="nil"/>
              <w:left w:val="nil"/>
              <w:bottom w:val="single" w:sz="4" w:space="0" w:color="auto"/>
              <w:right w:val="single" w:sz="4" w:space="0" w:color="auto"/>
            </w:tcBorders>
            <w:shd w:val="clear" w:color="auto" w:fill="auto"/>
            <w:noWrap/>
            <w:vAlign w:val="bottom"/>
            <w:hideMark/>
          </w:tcPr>
          <w:p w14:paraId="4B54A4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Lythraceae</w:t>
            </w:r>
          </w:p>
        </w:tc>
        <w:tc>
          <w:tcPr>
            <w:tcW w:w="1701" w:type="dxa"/>
            <w:tcBorders>
              <w:top w:val="nil"/>
              <w:left w:val="nil"/>
              <w:bottom w:val="single" w:sz="4" w:space="0" w:color="auto"/>
              <w:right w:val="single" w:sz="4" w:space="0" w:color="auto"/>
            </w:tcBorders>
            <w:shd w:val="clear" w:color="auto" w:fill="auto"/>
            <w:noWrap/>
            <w:vAlign w:val="bottom"/>
            <w:hideMark/>
          </w:tcPr>
          <w:p w14:paraId="092F7F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E4007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5C0E606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54010D8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w:t>
            </w:r>
          </w:p>
        </w:tc>
        <w:tc>
          <w:tcPr>
            <w:tcW w:w="2268" w:type="dxa"/>
            <w:tcBorders>
              <w:top w:val="nil"/>
              <w:left w:val="nil"/>
              <w:bottom w:val="single" w:sz="4" w:space="0" w:color="auto"/>
              <w:right w:val="single" w:sz="4" w:space="0" w:color="auto"/>
            </w:tcBorders>
            <w:shd w:val="clear" w:color="auto" w:fill="auto"/>
            <w:vAlign w:val="bottom"/>
            <w:hideMark/>
          </w:tcPr>
          <w:p w14:paraId="476FC396"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vAlign w:val="bottom"/>
            <w:hideMark/>
          </w:tcPr>
          <w:p w14:paraId="25AF3466"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4D79FDE7"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4196B21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E9464C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appressa</w:t>
            </w:r>
          </w:p>
        </w:tc>
        <w:tc>
          <w:tcPr>
            <w:tcW w:w="2268" w:type="dxa"/>
            <w:tcBorders>
              <w:top w:val="nil"/>
              <w:left w:val="nil"/>
              <w:bottom w:val="single" w:sz="4" w:space="0" w:color="auto"/>
              <w:right w:val="single" w:sz="4" w:space="0" w:color="auto"/>
            </w:tcBorders>
            <w:shd w:val="clear" w:color="auto" w:fill="auto"/>
            <w:noWrap/>
            <w:vAlign w:val="bottom"/>
            <w:hideMark/>
          </w:tcPr>
          <w:p w14:paraId="0DEBADB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25751E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91B263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190636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D3A5A6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brevifolia</w:t>
            </w:r>
          </w:p>
        </w:tc>
        <w:tc>
          <w:tcPr>
            <w:tcW w:w="2268" w:type="dxa"/>
            <w:tcBorders>
              <w:top w:val="nil"/>
              <w:left w:val="nil"/>
              <w:bottom w:val="single" w:sz="4" w:space="0" w:color="auto"/>
              <w:right w:val="single" w:sz="4" w:space="0" w:color="auto"/>
            </w:tcBorders>
            <w:shd w:val="clear" w:color="auto" w:fill="auto"/>
            <w:noWrap/>
            <w:vAlign w:val="bottom"/>
            <w:hideMark/>
          </w:tcPr>
          <w:p w14:paraId="52AB9A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C5AD1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321C50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BBAAAB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B413EC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decalvans</w:t>
            </w:r>
          </w:p>
        </w:tc>
        <w:tc>
          <w:tcPr>
            <w:tcW w:w="2268" w:type="dxa"/>
            <w:tcBorders>
              <w:top w:val="nil"/>
              <w:left w:val="nil"/>
              <w:bottom w:val="single" w:sz="4" w:space="0" w:color="auto"/>
              <w:right w:val="single" w:sz="4" w:space="0" w:color="auto"/>
            </w:tcBorders>
            <w:shd w:val="clear" w:color="auto" w:fill="auto"/>
            <w:noWrap/>
            <w:vAlign w:val="bottom"/>
            <w:hideMark/>
          </w:tcPr>
          <w:p w14:paraId="5113320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8727A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ACD943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FD8736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33E79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pyramidata</w:t>
            </w:r>
          </w:p>
        </w:tc>
        <w:tc>
          <w:tcPr>
            <w:tcW w:w="2268" w:type="dxa"/>
            <w:tcBorders>
              <w:top w:val="nil"/>
              <w:left w:val="nil"/>
              <w:bottom w:val="single" w:sz="4" w:space="0" w:color="auto"/>
              <w:right w:val="single" w:sz="4" w:space="0" w:color="auto"/>
            </w:tcBorders>
            <w:shd w:val="clear" w:color="auto" w:fill="auto"/>
            <w:noWrap/>
            <w:vAlign w:val="bottom"/>
            <w:hideMark/>
          </w:tcPr>
          <w:p w14:paraId="4947DB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4CEDD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F028C9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58AB7B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DCFAAF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Maireana trichoptera</w:t>
            </w:r>
          </w:p>
        </w:tc>
        <w:tc>
          <w:tcPr>
            <w:tcW w:w="2268" w:type="dxa"/>
            <w:tcBorders>
              <w:top w:val="nil"/>
              <w:left w:val="nil"/>
              <w:bottom w:val="single" w:sz="4" w:space="0" w:color="auto"/>
              <w:right w:val="single" w:sz="4" w:space="0" w:color="auto"/>
            </w:tcBorders>
            <w:shd w:val="clear" w:color="auto" w:fill="auto"/>
            <w:noWrap/>
            <w:vAlign w:val="bottom"/>
            <w:hideMark/>
          </w:tcPr>
          <w:p w14:paraId="62DE347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190CE8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B4F8AC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A5E6D" w14:paraId="4C77EA3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55B62C1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w:t>
            </w:r>
          </w:p>
        </w:tc>
        <w:tc>
          <w:tcPr>
            <w:tcW w:w="2268" w:type="dxa"/>
            <w:tcBorders>
              <w:top w:val="nil"/>
              <w:left w:val="nil"/>
              <w:bottom w:val="single" w:sz="4" w:space="0" w:color="auto"/>
              <w:right w:val="single" w:sz="4" w:space="0" w:color="auto"/>
            </w:tcBorders>
            <w:shd w:val="clear" w:color="auto" w:fill="auto"/>
            <w:vAlign w:val="bottom"/>
            <w:hideMark/>
          </w:tcPr>
          <w:p w14:paraId="48C6AA03"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vAlign w:val="bottom"/>
            <w:hideMark/>
          </w:tcPr>
          <w:p w14:paraId="08751F0B"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10349655" w14:textId="77777777" w:rsidR="00455FA8" w:rsidRPr="00EA5E6D"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A50136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F61D1D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 parviflora</w:t>
            </w:r>
          </w:p>
        </w:tc>
        <w:tc>
          <w:tcPr>
            <w:tcW w:w="2268" w:type="dxa"/>
            <w:tcBorders>
              <w:top w:val="nil"/>
              <w:left w:val="nil"/>
              <w:bottom w:val="single" w:sz="4" w:space="0" w:color="auto"/>
              <w:right w:val="single" w:sz="4" w:space="0" w:color="auto"/>
            </w:tcBorders>
            <w:shd w:val="clear" w:color="auto" w:fill="auto"/>
            <w:noWrap/>
            <w:vAlign w:val="bottom"/>
            <w:hideMark/>
          </w:tcPr>
          <w:p w14:paraId="56BC21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0A57C03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3763EB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65AB9B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D04F6A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 preissiana</w:t>
            </w:r>
          </w:p>
        </w:tc>
        <w:tc>
          <w:tcPr>
            <w:tcW w:w="2268" w:type="dxa"/>
            <w:tcBorders>
              <w:top w:val="nil"/>
              <w:left w:val="nil"/>
              <w:bottom w:val="single" w:sz="4" w:space="0" w:color="auto"/>
              <w:right w:val="single" w:sz="4" w:space="0" w:color="auto"/>
            </w:tcBorders>
            <w:shd w:val="clear" w:color="auto" w:fill="auto"/>
            <w:noWrap/>
            <w:vAlign w:val="bottom"/>
            <w:hideMark/>
          </w:tcPr>
          <w:p w14:paraId="4276A9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5D4214D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B26B0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A5E6D" w14:paraId="5A2BC46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01936F4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Malvaceae</w:t>
            </w:r>
          </w:p>
        </w:tc>
        <w:tc>
          <w:tcPr>
            <w:tcW w:w="2268" w:type="dxa"/>
            <w:tcBorders>
              <w:top w:val="nil"/>
              <w:left w:val="nil"/>
              <w:bottom w:val="single" w:sz="4" w:space="0" w:color="auto"/>
              <w:right w:val="single" w:sz="4" w:space="0" w:color="auto"/>
            </w:tcBorders>
            <w:shd w:val="clear" w:color="auto" w:fill="auto"/>
            <w:vAlign w:val="bottom"/>
            <w:hideMark/>
          </w:tcPr>
          <w:p w14:paraId="101FFF49"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vAlign w:val="bottom"/>
            <w:hideMark/>
          </w:tcPr>
          <w:p w14:paraId="369151DD"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w:t>
            </w:r>
            <w:r w:rsidRPr="00983AF8">
              <w:rPr>
                <w:rFonts w:eastAsia="Times New Roman" w:cs="Calibri"/>
                <w:color w:val="000000"/>
                <w:sz w:val="18"/>
                <w:szCs w:val="18"/>
                <w:lang w:eastAsia="en-AU"/>
              </w:rPr>
              <w:t>y</w:t>
            </w:r>
          </w:p>
        </w:tc>
        <w:tc>
          <w:tcPr>
            <w:tcW w:w="1559" w:type="dxa"/>
            <w:tcBorders>
              <w:top w:val="nil"/>
              <w:left w:val="nil"/>
              <w:bottom w:val="single" w:sz="4" w:space="0" w:color="auto"/>
              <w:right w:val="single" w:sz="4" w:space="0" w:color="auto"/>
            </w:tcBorders>
            <w:shd w:val="clear" w:color="auto" w:fill="auto"/>
            <w:vAlign w:val="bottom"/>
            <w:hideMark/>
          </w:tcPr>
          <w:p w14:paraId="7FFE4F0E" w14:textId="77777777" w:rsidR="00455FA8" w:rsidRPr="00EA5E6D"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18AAB1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1B324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Marrubium vulgare</w:t>
            </w:r>
          </w:p>
        </w:tc>
        <w:tc>
          <w:tcPr>
            <w:tcW w:w="2268" w:type="dxa"/>
            <w:tcBorders>
              <w:top w:val="nil"/>
              <w:left w:val="nil"/>
              <w:bottom w:val="single" w:sz="4" w:space="0" w:color="auto"/>
              <w:right w:val="single" w:sz="4" w:space="0" w:color="auto"/>
            </w:tcBorders>
            <w:shd w:val="clear" w:color="auto" w:fill="auto"/>
            <w:noWrap/>
            <w:vAlign w:val="bottom"/>
            <w:hideMark/>
          </w:tcPr>
          <w:p w14:paraId="1A64E63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Lamiaceae</w:t>
            </w:r>
          </w:p>
        </w:tc>
        <w:tc>
          <w:tcPr>
            <w:tcW w:w="1701" w:type="dxa"/>
            <w:tcBorders>
              <w:top w:val="nil"/>
              <w:left w:val="nil"/>
              <w:bottom w:val="single" w:sz="4" w:space="0" w:color="auto"/>
              <w:right w:val="single" w:sz="4" w:space="0" w:color="auto"/>
            </w:tcBorders>
            <w:shd w:val="clear" w:color="auto" w:fill="auto"/>
            <w:noWrap/>
            <w:vAlign w:val="bottom"/>
            <w:hideMark/>
          </w:tcPr>
          <w:p w14:paraId="2BDFF7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A2827C6"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93493A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FD1D11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Marsilea drummondii</w:t>
            </w:r>
          </w:p>
        </w:tc>
        <w:tc>
          <w:tcPr>
            <w:tcW w:w="2268" w:type="dxa"/>
            <w:tcBorders>
              <w:top w:val="nil"/>
              <w:left w:val="nil"/>
              <w:bottom w:val="single" w:sz="4" w:space="0" w:color="auto"/>
              <w:right w:val="single" w:sz="4" w:space="0" w:color="auto"/>
            </w:tcBorders>
            <w:shd w:val="clear" w:color="auto" w:fill="auto"/>
            <w:noWrap/>
            <w:vAlign w:val="bottom"/>
            <w:hideMark/>
          </w:tcPr>
          <w:p w14:paraId="6F4E58D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Marsileaceae</w:t>
            </w:r>
          </w:p>
        </w:tc>
        <w:tc>
          <w:tcPr>
            <w:tcW w:w="1701" w:type="dxa"/>
            <w:tcBorders>
              <w:top w:val="nil"/>
              <w:left w:val="nil"/>
              <w:bottom w:val="single" w:sz="4" w:space="0" w:color="auto"/>
              <w:right w:val="single" w:sz="4" w:space="0" w:color="auto"/>
            </w:tcBorders>
            <w:shd w:val="clear" w:color="auto" w:fill="auto"/>
            <w:noWrap/>
            <w:vAlign w:val="bottom"/>
            <w:hideMark/>
          </w:tcPr>
          <w:p w14:paraId="2BB3D38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CC5BE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07D779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110A8A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w:t>
            </w:r>
          </w:p>
        </w:tc>
        <w:tc>
          <w:tcPr>
            <w:tcW w:w="2268" w:type="dxa"/>
            <w:tcBorders>
              <w:top w:val="nil"/>
              <w:left w:val="nil"/>
              <w:bottom w:val="single" w:sz="4" w:space="0" w:color="auto"/>
              <w:right w:val="single" w:sz="4" w:space="0" w:color="auto"/>
            </w:tcBorders>
            <w:shd w:val="clear" w:color="auto" w:fill="auto"/>
            <w:noWrap/>
            <w:vAlign w:val="bottom"/>
            <w:hideMark/>
          </w:tcPr>
          <w:p w14:paraId="67232A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4B11C3B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38F034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7E41F4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608E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 arabica</w:t>
            </w:r>
          </w:p>
        </w:tc>
        <w:tc>
          <w:tcPr>
            <w:tcW w:w="2268" w:type="dxa"/>
            <w:tcBorders>
              <w:top w:val="nil"/>
              <w:left w:val="nil"/>
              <w:bottom w:val="single" w:sz="4" w:space="0" w:color="auto"/>
              <w:right w:val="single" w:sz="4" w:space="0" w:color="auto"/>
            </w:tcBorders>
            <w:shd w:val="clear" w:color="auto" w:fill="auto"/>
            <w:noWrap/>
            <w:vAlign w:val="bottom"/>
            <w:hideMark/>
          </w:tcPr>
          <w:p w14:paraId="7B4F5C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2E9C241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72169C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89820E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90F02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 polymorpha</w:t>
            </w:r>
          </w:p>
        </w:tc>
        <w:tc>
          <w:tcPr>
            <w:tcW w:w="2268" w:type="dxa"/>
            <w:tcBorders>
              <w:top w:val="nil"/>
              <w:left w:val="nil"/>
              <w:bottom w:val="single" w:sz="4" w:space="0" w:color="auto"/>
              <w:right w:val="single" w:sz="4" w:space="0" w:color="auto"/>
            </w:tcBorders>
            <w:shd w:val="clear" w:color="auto" w:fill="auto"/>
            <w:noWrap/>
            <w:vAlign w:val="bottom"/>
            <w:hideMark/>
          </w:tcPr>
          <w:p w14:paraId="445946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2FF3A4C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1042F5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900B8E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F32F5A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Medicago praecox</w:t>
            </w:r>
          </w:p>
        </w:tc>
        <w:tc>
          <w:tcPr>
            <w:tcW w:w="2268" w:type="dxa"/>
            <w:tcBorders>
              <w:top w:val="nil"/>
              <w:left w:val="nil"/>
              <w:bottom w:val="single" w:sz="4" w:space="0" w:color="auto"/>
              <w:right w:val="single" w:sz="4" w:space="0" w:color="auto"/>
            </w:tcBorders>
            <w:shd w:val="clear" w:color="auto" w:fill="auto"/>
            <w:noWrap/>
            <w:vAlign w:val="bottom"/>
            <w:hideMark/>
          </w:tcPr>
          <w:p w14:paraId="710759F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421439F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CFFB64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383326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C354F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Melilotus indicus</w:t>
            </w:r>
          </w:p>
        </w:tc>
        <w:tc>
          <w:tcPr>
            <w:tcW w:w="2268" w:type="dxa"/>
            <w:tcBorders>
              <w:top w:val="nil"/>
              <w:left w:val="nil"/>
              <w:bottom w:val="single" w:sz="4" w:space="0" w:color="auto"/>
              <w:right w:val="single" w:sz="4" w:space="0" w:color="auto"/>
            </w:tcBorders>
            <w:shd w:val="clear" w:color="auto" w:fill="auto"/>
            <w:noWrap/>
            <w:vAlign w:val="bottom"/>
            <w:hideMark/>
          </w:tcPr>
          <w:p w14:paraId="1F9F14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Fabaceae (Faboideae)</w:t>
            </w:r>
          </w:p>
        </w:tc>
        <w:tc>
          <w:tcPr>
            <w:tcW w:w="1701" w:type="dxa"/>
            <w:tcBorders>
              <w:top w:val="nil"/>
              <w:left w:val="nil"/>
              <w:bottom w:val="single" w:sz="4" w:space="0" w:color="auto"/>
              <w:right w:val="single" w:sz="4" w:space="0" w:color="auto"/>
            </w:tcBorders>
            <w:shd w:val="clear" w:color="auto" w:fill="auto"/>
            <w:noWrap/>
            <w:vAlign w:val="bottom"/>
            <w:hideMark/>
          </w:tcPr>
          <w:p w14:paraId="34DB55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D5A7D3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740976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B31577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Mentha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7EF50C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Lamiaceae</w:t>
            </w:r>
          </w:p>
        </w:tc>
        <w:tc>
          <w:tcPr>
            <w:tcW w:w="1701" w:type="dxa"/>
            <w:tcBorders>
              <w:top w:val="nil"/>
              <w:left w:val="nil"/>
              <w:bottom w:val="single" w:sz="4" w:space="0" w:color="auto"/>
              <w:right w:val="single" w:sz="4" w:space="0" w:color="auto"/>
            </w:tcBorders>
            <w:shd w:val="clear" w:color="auto" w:fill="auto"/>
            <w:noWrap/>
            <w:vAlign w:val="bottom"/>
            <w:hideMark/>
          </w:tcPr>
          <w:p w14:paraId="19F250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FFDD0C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4EAA69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FDFEC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Mimulus gracilis</w:t>
            </w:r>
          </w:p>
        </w:tc>
        <w:tc>
          <w:tcPr>
            <w:tcW w:w="2268" w:type="dxa"/>
            <w:tcBorders>
              <w:top w:val="nil"/>
              <w:left w:val="nil"/>
              <w:bottom w:val="single" w:sz="4" w:space="0" w:color="auto"/>
              <w:right w:val="single" w:sz="4" w:space="0" w:color="auto"/>
            </w:tcBorders>
            <w:shd w:val="clear" w:color="auto" w:fill="auto"/>
            <w:noWrap/>
            <w:vAlign w:val="bottom"/>
            <w:hideMark/>
          </w:tcPr>
          <w:p w14:paraId="1222D08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5CA6E7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A1A102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43B533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905194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Minuria denticulata</w:t>
            </w:r>
          </w:p>
        </w:tc>
        <w:tc>
          <w:tcPr>
            <w:tcW w:w="2268" w:type="dxa"/>
            <w:tcBorders>
              <w:top w:val="nil"/>
              <w:left w:val="nil"/>
              <w:bottom w:val="single" w:sz="4" w:space="0" w:color="auto"/>
              <w:right w:val="single" w:sz="4" w:space="0" w:color="auto"/>
            </w:tcBorders>
            <w:shd w:val="clear" w:color="auto" w:fill="auto"/>
            <w:noWrap/>
            <w:vAlign w:val="bottom"/>
            <w:hideMark/>
          </w:tcPr>
          <w:p w14:paraId="33A7F51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4D72389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1F1CC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34C2EA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2F3A5D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Modiola caroliniana</w:t>
            </w:r>
          </w:p>
        </w:tc>
        <w:tc>
          <w:tcPr>
            <w:tcW w:w="2268" w:type="dxa"/>
            <w:tcBorders>
              <w:top w:val="nil"/>
              <w:left w:val="nil"/>
              <w:bottom w:val="single" w:sz="4" w:space="0" w:color="auto"/>
              <w:right w:val="single" w:sz="4" w:space="0" w:color="auto"/>
            </w:tcBorders>
            <w:shd w:val="clear" w:color="auto" w:fill="auto"/>
            <w:noWrap/>
            <w:vAlign w:val="bottom"/>
            <w:hideMark/>
          </w:tcPr>
          <w:p w14:paraId="282D18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650045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664C7A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FF6AE6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CA6A67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Myoporum montanum</w:t>
            </w:r>
          </w:p>
        </w:tc>
        <w:tc>
          <w:tcPr>
            <w:tcW w:w="2268" w:type="dxa"/>
            <w:tcBorders>
              <w:top w:val="nil"/>
              <w:left w:val="nil"/>
              <w:bottom w:val="single" w:sz="4" w:space="0" w:color="auto"/>
              <w:right w:val="single" w:sz="4" w:space="0" w:color="auto"/>
            </w:tcBorders>
            <w:shd w:val="clear" w:color="auto" w:fill="auto"/>
            <w:noWrap/>
            <w:vAlign w:val="bottom"/>
            <w:hideMark/>
          </w:tcPr>
          <w:p w14:paraId="304D0F5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Myoporaceae</w:t>
            </w:r>
          </w:p>
        </w:tc>
        <w:tc>
          <w:tcPr>
            <w:tcW w:w="1701" w:type="dxa"/>
            <w:tcBorders>
              <w:top w:val="nil"/>
              <w:left w:val="nil"/>
              <w:bottom w:val="single" w:sz="4" w:space="0" w:color="auto"/>
              <w:right w:val="single" w:sz="4" w:space="0" w:color="auto"/>
            </w:tcBorders>
            <w:shd w:val="clear" w:color="auto" w:fill="auto"/>
            <w:noWrap/>
            <w:vAlign w:val="bottom"/>
            <w:hideMark/>
          </w:tcPr>
          <w:p w14:paraId="1752CD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EA8775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16739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58E6E6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Myosurus australis</w:t>
            </w:r>
          </w:p>
        </w:tc>
        <w:tc>
          <w:tcPr>
            <w:tcW w:w="2268" w:type="dxa"/>
            <w:tcBorders>
              <w:top w:val="nil"/>
              <w:left w:val="nil"/>
              <w:bottom w:val="single" w:sz="4" w:space="0" w:color="auto"/>
              <w:right w:val="single" w:sz="4" w:space="0" w:color="auto"/>
            </w:tcBorders>
            <w:shd w:val="clear" w:color="auto" w:fill="auto"/>
            <w:noWrap/>
            <w:vAlign w:val="bottom"/>
            <w:hideMark/>
          </w:tcPr>
          <w:p w14:paraId="342F3B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131A649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690B90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8151B3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D5E51D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Myriophyllum</w:t>
            </w:r>
          </w:p>
        </w:tc>
        <w:tc>
          <w:tcPr>
            <w:tcW w:w="2268" w:type="dxa"/>
            <w:tcBorders>
              <w:top w:val="nil"/>
              <w:left w:val="nil"/>
              <w:bottom w:val="single" w:sz="4" w:space="0" w:color="auto"/>
              <w:right w:val="single" w:sz="4" w:space="0" w:color="auto"/>
            </w:tcBorders>
            <w:shd w:val="clear" w:color="auto" w:fill="auto"/>
            <w:noWrap/>
            <w:vAlign w:val="bottom"/>
            <w:hideMark/>
          </w:tcPr>
          <w:p w14:paraId="067645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0259DE8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CBA748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F165D9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CC1D1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Myriophyllum propinquum</w:t>
            </w:r>
          </w:p>
        </w:tc>
        <w:tc>
          <w:tcPr>
            <w:tcW w:w="2268" w:type="dxa"/>
            <w:tcBorders>
              <w:top w:val="nil"/>
              <w:left w:val="nil"/>
              <w:bottom w:val="single" w:sz="4" w:space="0" w:color="auto"/>
              <w:right w:val="single" w:sz="4" w:space="0" w:color="auto"/>
            </w:tcBorders>
            <w:shd w:val="clear" w:color="auto" w:fill="auto"/>
            <w:noWrap/>
            <w:vAlign w:val="bottom"/>
            <w:hideMark/>
          </w:tcPr>
          <w:p w14:paraId="42A1BB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51B2D42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481B5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3AEAD0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10356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Myriophyllum verrucosum</w:t>
            </w:r>
          </w:p>
        </w:tc>
        <w:tc>
          <w:tcPr>
            <w:tcW w:w="2268" w:type="dxa"/>
            <w:tcBorders>
              <w:top w:val="nil"/>
              <w:left w:val="nil"/>
              <w:bottom w:val="single" w:sz="4" w:space="0" w:color="auto"/>
              <w:right w:val="single" w:sz="4" w:space="0" w:color="auto"/>
            </w:tcBorders>
            <w:shd w:val="clear" w:color="auto" w:fill="auto"/>
            <w:noWrap/>
            <w:vAlign w:val="bottom"/>
            <w:hideMark/>
          </w:tcPr>
          <w:p w14:paraId="50DE87D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Haloragaceae</w:t>
            </w:r>
          </w:p>
        </w:tc>
        <w:tc>
          <w:tcPr>
            <w:tcW w:w="1701" w:type="dxa"/>
            <w:tcBorders>
              <w:top w:val="nil"/>
              <w:left w:val="nil"/>
              <w:bottom w:val="single" w:sz="4" w:space="0" w:color="auto"/>
              <w:right w:val="single" w:sz="4" w:space="0" w:color="auto"/>
            </w:tcBorders>
            <w:shd w:val="clear" w:color="auto" w:fill="auto"/>
            <w:noWrap/>
            <w:vAlign w:val="bottom"/>
            <w:hideMark/>
          </w:tcPr>
          <w:p w14:paraId="040D220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6DE92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2D82DFB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7F31A54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Nicotiana velutina</w:t>
            </w:r>
          </w:p>
        </w:tc>
        <w:tc>
          <w:tcPr>
            <w:tcW w:w="2268" w:type="dxa"/>
            <w:tcBorders>
              <w:top w:val="nil"/>
              <w:left w:val="nil"/>
              <w:bottom w:val="single" w:sz="4" w:space="0" w:color="auto"/>
              <w:right w:val="single" w:sz="4" w:space="0" w:color="auto"/>
            </w:tcBorders>
            <w:shd w:val="clear" w:color="auto" w:fill="auto"/>
            <w:vAlign w:val="bottom"/>
            <w:hideMark/>
          </w:tcPr>
          <w:p w14:paraId="2E9DD781"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vAlign w:val="bottom"/>
            <w:hideMark/>
          </w:tcPr>
          <w:p w14:paraId="78613385"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44027658"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345659B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0CD4FD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Nitraria billardierei</w:t>
            </w:r>
          </w:p>
        </w:tc>
        <w:tc>
          <w:tcPr>
            <w:tcW w:w="2268" w:type="dxa"/>
            <w:tcBorders>
              <w:top w:val="nil"/>
              <w:left w:val="nil"/>
              <w:bottom w:val="single" w:sz="4" w:space="0" w:color="auto"/>
              <w:right w:val="single" w:sz="4" w:space="0" w:color="auto"/>
            </w:tcBorders>
            <w:shd w:val="clear" w:color="auto" w:fill="auto"/>
            <w:noWrap/>
            <w:vAlign w:val="bottom"/>
            <w:hideMark/>
          </w:tcPr>
          <w:p w14:paraId="2F7CB53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Nitrariaceae</w:t>
            </w:r>
          </w:p>
        </w:tc>
        <w:tc>
          <w:tcPr>
            <w:tcW w:w="1701" w:type="dxa"/>
            <w:tcBorders>
              <w:top w:val="nil"/>
              <w:left w:val="nil"/>
              <w:bottom w:val="single" w:sz="4" w:space="0" w:color="auto"/>
              <w:right w:val="single" w:sz="4" w:space="0" w:color="auto"/>
            </w:tcBorders>
            <w:shd w:val="clear" w:color="auto" w:fill="auto"/>
            <w:noWrap/>
            <w:vAlign w:val="bottom"/>
            <w:hideMark/>
          </w:tcPr>
          <w:p w14:paraId="5E40A4B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0FCFBD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56AD19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BDCAE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Onopordum acanthium</w:t>
            </w:r>
          </w:p>
        </w:tc>
        <w:tc>
          <w:tcPr>
            <w:tcW w:w="2268" w:type="dxa"/>
            <w:tcBorders>
              <w:top w:val="nil"/>
              <w:left w:val="nil"/>
              <w:bottom w:val="single" w:sz="4" w:space="0" w:color="auto"/>
              <w:right w:val="single" w:sz="4" w:space="0" w:color="auto"/>
            </w:tcBorders>
            <w:shd w:val="clear" w:color="auto" w:fill="auto"/>
            <w:noWrap/>
            <w:vAlign w:val="bottom"/>
            <w:hideMark/>
          </w:tcPr>
          <w:p w14:paraId="5F1EDE6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3E4817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EB5898D"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535834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F7994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Oxalis chnoodes</w:t>
            </w:r>
          </w:p>
        </w:tc>
        <w:tc>
          <w:tcPr>
            <w:tcW w:w="2268" w:type="dxa"/>
            <w:tcBorders>
              <w:top w:val="nil"/>
              <w:left w:val="nil"/>
              <w:bottom w:val="single" w:sz="4" w:space="0" w:color="auto"/>
              <w:right w:val="single" w:sz="4" w:space="0" w:color="auto"/>
            </w:tcBorders>
            <w:shd w:val="clear" w:color="auto" w:fill="auto"/>
            <w:noWrap/>
            <w:vAlign w:val="bottom"/>
            <w:hideMark/>
          </w:tcPr>
          <w:p w14:paraId="0EC0D3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Oxalidaceae</w:t>
            </w:r>
          </w:p>
        </w:tc>
        <w:tc>
          <w:tcPr>
            <w:tcW w:w="1701" w:type="dxa"/>
            <w:tcBorders>
              <w:top w:val="nil"/>
              <w:left w:val="nil"/>
              <w:bottom w:val="single" w:sz="4" w:space="0" w:color="auto"/>
              <w:right w:val="single" w:sz="4" w:space="0" w:color="auto"/>
            </w:tcBorders>
            <w:shd w:val="clear" w:color="auto" w:fill="auto"/>
            <w:noWrap/>
            <w:vAlign w:val="bottom"/>
            <w:hideMark/>
          </w:tcPr>
          <w:p w14:paraId="168735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C12B8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DBFA59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FAB0D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Oxalis corniculata</w:t>
            </w:r>
          </w:p>
        </w:tc>
        <w:tc>
          <w:tcPr>
            <w:tcW w:w="2268" w:type="dxa"/>
            <w:tcBorders>
              <w:top w:val="nil"/>
              <w:left w:val="nil"/>
              <w:bottom w:val="single" w:sz="4" w:space="0" w:color="auto"/>
              <w:right w:val="single" w:sz="4" w:space="0" w:color="auto"/>
            </w:tcBorders>
            <w:shd w:val="clear" w:color="auto" w:fill="auto"/>
            <w:noWrap/>
            <w:vAlign w:val="bottom"/>
            <w:hideMark/>
          </w:tcPr>
          <w:p w14:paraId="2C5FAEE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Oxalidaceae</w:t>
            </w:r>
          </w:p>
        </w:tc>
        <w:tc>
          <w:tcPr>
            <w:tcW w:w="1701" w:type="dxa"/>
            <w:tcBorders>
              <w:top w:val="nil"/>
              <w:left w:val="nil"/>
              <w:bottom w:val="single" w:sz="4" w:space="0" w:color="auto"/>
              <w:right w:val="single" w:sz="4" w:space="0" w:color="auto"/>
            </w:tcBorders>
            <w:shd w:val="clear" w:color="auto" w:fill="auto"/>
            <w:noWrap/>
            <w:vAlign w:val="bottom"/>
            <w:hideMark/>
          </w:tcPr>
          <w:p w14:paraId="6DC4C8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13D750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9A38F2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C3FC0E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Panicum decompositum</w:t>
            </w:r>
          </w:p>
        </w:tc>
        <w:tc>
          <w:tcPr>
            <w:tcW w:w="2268" w:type="dxa"/>
            <w:tcBorders>
              <w:top w:val="nil"/>
              <w:left w:val="nil"/>
              <w:bottom w:val="single" w:sz="4" w:space="0" w:color="auto"/>
              <w:right w:val="single" w:sz="4" w:space="0" w:color="auto"/>
            </w:tcBorders>
            <w:shd w:val="clear" w:color="auto" w:fill="auto"/>
            <w:noWrap/>
            <w:vAlign w:val="bottom"/>
            <w:hideMark/>
          </w:tcPr>
          <w:p w14:paraId="14D964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2E0D8C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6EA67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E9DF81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2B7A0E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Panicum effusum</w:t>
            </w:r>
          </w:p>
        </w:tc>
        <w:tc>
          <w:tcPr>
            <w:tcW w:w="2268" w:type="dxa"/>
            <w:tcBorders>
              <w:top w:val="nil"/>
              <w:left w:val="nil"/>
              <w:bottom w:val="single" w:sz="4" w:space="0" w:color="auto"/>
              <w:right w:val="single" w:sz="4" w:space="0" w:color="auto"/>
            </w:tcBorders>
            <w:shd w:val="clear" w:color="auto" w:fill="auto"/>
            <w:noWrap/>
            <w:vAlign w:val="bottom"/>
            <w:hideMark/>
          </w:tcPr>
          <w:p w14:paraId="09A3F6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234D5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FF0A95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7E982D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D42E00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Paspalidium</w:t>
            </w:r>
          </w:p>
        </w:tc>
        <w:tc>
          <w:tcPr>
            <w:tcW w:w="2268" w:type="dxa"/>
            <w:tcBorders>
              <w:top w:val="nil"/>
              <w:left w:val="nil"/>
              <w:bottom w:val="single" w:sz="4" w:space="0" w:color="auto"/>
              <w:right w:val="single" w:sz="4" w:space="0" w:color="auto"/>
            </w:tcBorders>
            <w:shd w:val="clear" w:color="auto" w:fill="auto"/>
            <w:noWrap/>
            <w:vAlign w:val="bottom"/>
            <w:hideMark/>
          </w:tcPr>
          <w:p w14:paraId="599908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ED65A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06904C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2F9E04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44C3FB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Paspalidium jubiflorum</w:t>
            </w:r>
          </w:p>
        </w:tc>
        <w:tc>
          <w:tcPr>
            <w:tcW w:w="2268" w:type="dxa"/>
            <w:tcBorders>
              <w:top w:val="nil"/>
              <w:left w:val="nil"/>
              <w:bottom w:val="single" w:sz="4" w:space="0" w:color="auto"/>
              <w:right w:val="single" w:sz="4" w:space="0" w:color="auto"/>
            </w:tcBorders>
            <w:shd w:val="clear" w:color="auto" w:fill="auto"/>
            <w:noWrap/>
            <w:vAlign w:val="bottom"/>
            <w:hideMark/>
          </w:tcPr>
          <w:p w14:paraId="4C34A3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A7407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049316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8BB7B3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71D571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Paspalum distichum</w:t>
            </w:r>
          </w:p>
        </w:tc>
        <w:tc>
          <w:tcPr>
            <w:tcW w:w="2268" w:type="dxa"/>
            <w:tcBorders>
              <w:top w:val="nil"/>
              <w:left w:val="nil"/>
              <w:bottom w:val="single" w:sz="4" w:space="0" w:color="auto"/>
              <w:right w:val="single" w:sz="4" w:space="0" w:color="auto"/>
            </w:tcBorders>
            <w:shd w:val="clear" w:color="auto" w:fill="auto"/>
            <w:noWrap/>
            <w:vAlign w:val="bottom"/>
            <w:hideMark/>
          </w:tcPr>
          <w:p w14:paraId="0BA1C9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8C7477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00C73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5C0E5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B73B81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w:t>
            </w:r>
          </w:p>
        </w:tc>
        <w:tc>
          <w:tcPr>
            <w:tcW w:w="2268" w:type="dxa"/>
            <w:tcBorders>
              <w:top w:val="nil"/>
              <w:left w:val="nil"/>
              <w:bottom w:val="single" w:sz="4" w:space="0" w:color="auto"/>
              <w:right w:val="single" w:sz="4" w:space="0" w:color="auto"/>
            </w:tcBorders>
            <w:shd w:val="clear" w:color="auto" w:fill="auto"/>
            <w:noWrap/>
            <w:vAlign w:val="bottom"/>
            <w:hideMark/>
          </w:tcPr>
          <w:p w14:paraId="616A17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3E1599B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DB5FA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E64040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B9DCC2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 orientalis</w:t>
            </w:r>
          </w:p>
        </w:tc>
        <w:tc>
          <w:tcPr>
            <w:tcW w:w="2268" w:type="dxa"/>
            <w:tcBorders>
              <w:top w:val="nil"/>
              <w:left w:val="nil"/>
              <w:bottom w:val="single" w:sz="4" w:space="0" w:color="auto"/>
              <w:right w:val="single" w:sz="4" w:space="0" w:color="auto"/>
            </w:tcBorders>
            <w:shd w:val="clear" w:color="auto" w:fill="auto"/>
            <w:noWrap/>
            <w:vAlign w:val="bottom"/>
            <w:hideMark/>
          </w:tcPr>
          <w:p w14:paraId="7FAE04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51E0570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26776B8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2DFFD9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FBB4B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Persicaria prostrata</w:t>
            </w:r>
          </w:p>
        </w:tc>
        <w:tc>
          <w:tcPr>
            <w:tcW w:w="2268" w:type="dxa"/>
            <w:tcBorders>
              <w:top w:val="nil"/>
              <w:left w:val="nil"/>
              <w:bottom w:val="single" w:sz="4" w:space="0" w:color="auto"/>
              <w:right w:val="single" w:sz="4" w:space="0" w:color="auto"/>
            </w:tcBorders>
            <w:shd w:val="clear" w:color="auto" w:fill="auto"/>
            <w:noWrap/>
            <w:vAlign w:val="bottom"/>
            <w:hideMark/>
          </w:tcPr>
          <w:p w14:paraId="6C51D74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1ABDB5F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AFA641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651AAF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61034F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Phalaris</w:t>
            </w:r>
          </w:p>
        </w:tc>
        <w:tc>
          <w:tcPr>
            <w:tcW w:w="2268" w:type="dxa"/>
            <w:tcBorders>
              <w:top w:val="nil"/>
              <w:left w:val="nil"/>
              <w:bottom w:val="single" w:sz="4" w:space="0" w:color="auto"/>
              <w:right w:val="single" w:sz="4" w:space="0" w:color="auto"/>
            </w:tcBorders>
            <w:shd w:val="clear" w:color="auto" w:fill="auto"/>
            <w:noWrap/>
            <w:vAlign w:val="bottom"/>
            <w:hideMark/>
          </w:tcPr>
          <w:p w14:paraId="06CBC61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27C01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A5B297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0112FB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618BA8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Phalaris aquatica</w:t>
            </w:r>
          </w:p>
        </w:tc>
        <w:tc>
          <w:tcPr>
            <w:tcW w:w="2268" w:type="dxa"/>
            <w:tcBorders>
              <w:top w:val="nil"/>
              <w:left w:val="nil"/>
              <w:bottom w:val="single" w:sz="4" w:space="0" w:color="auto"/>
              <w:right w:val="single" w:sz="4" w:space="0" w:color="auto"/>
            </w:tcBorders>
            <w:shd w:val="clear" w:color="auto" w:fill="auto"/>
            <w:noWrap/>
            <w:vAlign w:val="bottom"/>
            <w:hideMark/>
          </w:tcPr>
          <w:p w14:paraId="0DB947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7EB892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1F9327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D06E40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60FD7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Phalaris minor</w:t>
            </w:r>
          </w:p>
        </w:tc>
        <w:tc>
          <w:tcPr>
            <w:tcW w:w="2268" w:type="dxa"/>
            <w:tcBorders>
              <w:top w:val="nil"/>
              <w:left w:val="nil"/>
              <w:bottom w:val="single" w:sz="4" w:space="0" w:color="auto"/>
              <w:right w:val="single" w:sz="4" w:space="0" w:color="auto"/>
            </w:tcBorders>
            <w:shd w:val="clear" w:color="auto" w:fill="auto"/>
            <w:noWrap/>
            <w:vAlign w:val="bottom"/>
            <w:hideMark/>
          </w:tcPr>
          <w:p w14:paraId="69E975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C3E7EC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492565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F73545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C65CE2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Phalaris paradoxa</w:t>
            </w:r>
          </w:p>
        </w:tc>
        <w:tc>
          <w:tcPr>
            <w:tcW w:w="2268" w:type="dxa"/>
            <w:tcBorders>
              <w:top w:val="nil"/>
              <w:left w:val="nil"/>
              <w:bottom w:val="single" w:sz="4" w:space="0" w:color="auto"/>
              <w:right w:val="single" w:sz="4" w:space="0" w:color="auto"/>
            </w:tcBorders>
            <w:shd w:val="clear" w:color="auto" w:fill="auto"/>
            <w:noWrap/>
            <w:vAlign w:val="bottom"/>
            <w:hideMark/>
          </w:tcPr>
          <w:p w14:paraId="78A1CB0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71F70C8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DA9A03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AEC627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6774D9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Phyla nodiflora</w:t>
            </w:r>
          </w:p>
        </w:tc>
        <w:tc>
          <w:tcPr>
            <w:tcW w:w="2268" w:type="dxa"/>
            <w:tcBorders>
              <w:top w:val="nil"/>
              <w:left w:val="nil"/>
              <w:bottom w:val="single" w:sz="4" w:space="0" w:color="auto"/>
              <w:right w:val="single" w:sz="4" w:space="0" w:color="auto"/>
            </w:tcBorders>
            <w:shd w:val="clear" w:color="auto" w:fill="auto"/>
            <w:noWrap/>
            <w:vAlign w:val="bottom"/>
            <w:hideMark/>
          </w:tcPr>
          <w:p w14:paraId="09E89E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3C1D3B1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8713AD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206F77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98A46D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Phyllanthus lacunarius</w:t>
            </w:r>
          </w:p>
        </w:tc>
        <w:tc>
          <w:tcPr>
            <w:tcW w:w="2268" w:type="dxa"/>
            <w:tcBorders>
              <w:top w:val="nil"/>
              <w:left w:val="nil"/>
              <w:bottom w:val="single" w:sz="4" w:space="0" w:color="auto"/>
              <w:right w:val="single" w:sz="4" w:space="0" w:color="auto"/>
            </w:tcBorders>
            <w:shd w:val="clear" w:color="auto" w:fill="auto"/>
            <w:noWrap/>
            <w:vAlign w:val="bottom"/>
            <w:hideMark/>
          </w:tcPr>
          <w:p w14:paraId="68CBCD1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Phyllanthaceae</w:t>
            </w:r>
          </w:p>
        </w:tc>
        <w:tc>
          <w:tcPr>
            <w:tcW w:w="1701" w:type="dxa"/>
            <w:tcBorders>
              <w:top w:val="nil"/>
              <w:left w:val="nil"/>
              <w:bottom w:val="single" w:sz="4" w:space="0" w:color="auto"/>
              <w:right w:val="single" w:sz="4" w:space="0" w:color="auto"/>
            </w:tcBorders>
            <w:shd w:val="clear" w:color="auto" w:fill="auto"/>
            <w:noWrap/>
            <w:vAlign w:val="bottom"/>
            <w:hideMark/>
          </w:tcPr>
          <w:p w14:paraId="6D87CD4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DDB52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257420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050BB3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Physalis</w:t>
            </w:r>
          </w:p>
        </w:tc>
        <w:tc>
          <w:tcPr>
            <w:tcW w:w="2268" w:type="dxa"/>
            <w:tcBorders>
              <w:top w:val="nil"/>
              <w:left w:val="nil"/>
              <w:bottom w:val="single" w:sz="4" w:space="0" w:color="auto"/>
              <w:right w:val="single" w:sz="4" w:space="0" w:color="auto"/>
            </w:tcBorders>
            <w:shd w:val="clear" w:color="auto" w:fill="auto"/>
            <w:noWrap/>
            <w:vAlign w:val="bottom"/>
            <w:hideMark/>
          </w:tcPr>
          <w:p w14:paraId="442B1A2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4497169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34AA98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2C164F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88C6B7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Physalis minima</w:t>
            </w:r>
          </w:p>
        </w:tc>
        <w:tc>
          <w:tcPr>
            <w:tcW w:w="2268" w:type="dxa"/>
            <w:tcBorders>
              <w:top w:val="nil"/>
              <w:left w:val="nil"/>
              <w:bottom w:val="single" w:sz="4" w:space="0" w:color="auto"/>
              <w:right w:val="single" w:sz="4" w:space="0" w:color="auto"/>
            </w:tcBorders>
            <w:shd w:val="clear" w:color="auto" w:fill="auto"/>
            <w:noWrap/>
            <w:vAlign w:val="bottom"/>
            <w:hideMark/>
          </w:tcPr>
          <w:p w14:paraId="7E04AB0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1421CE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FF7714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5F7CB8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04A5B93" w14:textId="795C49B5"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Picris angustifolia</w:t>
            </w:r>
          </w:p>
        </w:tc>
        <w:tc>
          <w:tcPr>
            <w:tcW w:w="2268" w:type="dxa"/>
            <w:tcBorders>
              <w:top w:val="nil"/>
              <w:left w:val="nil"/>
              <w:bottom w:val="single" w:sz="4" w:space="0" w:color="auto"/>
              <w:right w:val="single" w:sz="4" w:space="0" w:color="auto"/>
            </w:tcBorders>
            <w:shd w:val="clear" w:color="auto" w:fill="auto"/>
            <w:noWrap/>
            <w:vAlign w:val="bottom"/>
            <w:hideMark/>
          </w:tcPr>
          <w:p w14:paraId="4FA7F1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8D801C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1C8F8A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764F74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48B27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Plantago</w:t>
            </w:r>
          </w:p>
        </w:tc>
        <w:tc>
          <w:tcPr>
            <w:tcW w:w="2268" w:type="dxa"/>
            <w:tcBorders>
              <w:top w:val="nil"/>
              <w:left w:val="nil"/>
              <w:bottom w:val="single" w:sz="4" w:space="0" w:color="auto"/>
              <w:right w:val="single" w:sz="4" w:space="0" w:color="auto"/>
            </w:tcBorders>
            <w:shd w:val="clear" w:color="auto" w:fill="auto"/>
            <w:noWrap/>
            <w:vAlign w:val="bottom"/>
            <w:hideMark/>
          </w:tcPr>
          <w:p w14:paraId="75F476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Plantaginaceae</w:t>
            </w:r>
          </w:p>
        </w:tc>
        <w:tc>
          <w:tcPr>
            <w:tcW w:w="1701" w:type="dxa"/>
            <w:tcBorders>
              <w:top w:val="nil"/>
              <w:left w:val="nil"/>
              <w:bottom w:val="single" w:sz="4" w:space="0" w:color="auto"/>
              <w:right w:val="single" w:sz="4" w:space="0" w:color="auto"/>
            </w:tcBorders>
            <w:shd w:val="clear" w:color="auto" w:fill="auto"/>
            <w:noWrap/>
            <w:vAlign w:val="bottom"/>
            <w:hideMark/>
          </w:tcPr>
          <w:p w14:paraId="3E74AC8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D0C996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13A4F6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76E4A5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Plantago cunninghamii</w:t>
            </w:r>
          </w:p>
        </w:tc>
        <w:tc>
          <w:tcPr>
            <w:tcW w:w="2268" w:type="dxa"/>
            <w:tcBorders>
              <w:top w:val="nil"/>
              <w:left w:val="nil"/>
              <w:bottom w:val="single" w:sz="4" w:space="0" w:color="auto"/>
              <w:right w:val="single" w:sz="4" w:space="0" w:color="auto"/>
            </w:tcBorders>
            <w:shd w:val="clear" w:color="auto" w:fill="auto"/>
            <w:noWrap/>
            <w:vAlign w:val="bottom"/>
            <w:hideMark/>
          </w:tcPr>
          <w:p w14:paraId="6D278B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Plantaginaceae</w:t>
            </w:r>
          </w:p>
        </w:tc>
        <w:tc>
          <w:tcPr>
            <w:tcW w:w="1701" w:type="dxa"/>
            <w:tcBorders>
              <w:top w:val="nil"/>
              <w:left w:val="nil"/>
              <w:bottom w:val="single" w:sz="4" w:space="0" w:color="auto"/>
              <w:right w:val="single" w:sz="4" w:space="0" w:color="auto"/>
            </w:tcBorders>
            <w:shd w:val="clear" w:color="auto" w:fill="auto"/>
            <w:noWrap/>
            <w:vAlign w:val="bottom"/>
            <w:hideMark/>
          </w:tcPr>
          <w:p w14:paraId="212A41C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D29A2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394446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505AA6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Poa</w:t>
            </w:r>
          </w:p>
        </w:tc>
        <w:tc>
          <w:tcPr>
            <w:tcW w:w="2268" w:type="dxa"/>
            <w:tcBorders>
              <w:top w:val="nil"/>
              <w:left w:val="nil"/>
              <w:bottom w:val="single" w:sz="4" w:space="0" w:color="auto"/>
              <w:right w:val="single" w:sz="4" w:space="0" w:color="auto"/>
            </w:tcBorders>
            <w:shd w:val="clear" w:color="auto" w:fill="auto"/>
            <w:noWrap/>
            <w:vAlign w:val="bottom"/>
            <w:hideMark/>
          </w:tcPr>
          <w:p w14:paraId="2566952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6B75807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5CE3A0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9CA1A7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A110FE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Poa fordeana</w:t>
            </w:r>
          </w:p>
        </w:tc>
        <w:tc>
          <w:tcPr>
            <w:tcW w:w="2268" w:type="dxa"/>
            <w:tcBorders>
              <w:top w:val="nil"/>
              <w:left w:val="nil"/>
              <w:bottom w:val="single" w:sz="4" w:space="0" w:color="auto"/>
              <w:right w:val="single" w:sz="4" w:space="0" w:color="auto"/>
            </w:tcBorders>
            <w:shd w:val="clear" w:color="auto" w:fill="auto"/>
            <w:noWrap/>
            <w:vAlign w:val="bottom"/>
            <w:hideMark/>
          </w:tcPr>
          <w:p w14:paraId="4B9C5E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48E01E7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8FDC0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7175E40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7965F6C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Poaceae</w:t>
            </w:r>
          </w:p>
        </w:tc>
        <w:tc>
          <w:tcPr>
            <w:tcW w:w="2268" w:type="dxa"/>
            <w:tcBorders>
              <w:top w:val="nil"/>
              <w:left w:val="nil"/>
              <w:bottom w:val="single" w:sz="4" w:space="0" w:color="auto"/>
              <w:right w:val="single" w:sz="4" w:space="0" w:color="auto"/>
            </w:tcBorders>
            <w:shd w:val="clear" w:color="auto" w:fill="auto"/>
            <w:vAlign w:val="bottom"/>
            <w:hideMark/>
          </w:tcPr>
          <w:p w14:paraId="57BA4A26"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vAlign w:val="bottom"/>
            <w:hideMark/>
          </w:tcPr>
          <w:p w14:paraId="20BB83D3"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54BCFE55"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unknown</w:t>
            </w:r>
          </w:p>
        </w:tc>
      </w:tr>
      <w:tr w:rsidR="00455FA8" w:rsidRPr="0027571A" w14:paraId="69CBC7F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2BB03D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 aviculare</w:t>
            </w:r>
          </w:p>
        </w:tc>
        <w:tc>
          <w:tcPr>
            <w:tcW w:w="2268" w:type="dxa"/>
            <w:tcBorders>
              <w:top w:val="nil"/>
              <w:left w:val="nil"/>
              <w:bottom w:val="single" w:sz="4" w:space="0" w:color="auto"/>
              <w:right w:val="single" w:sz="4" w:space="0" w:color="auto"/>
            </w:tcBorders>
            <w:shd w:val="clear" w:color="auto" w:fill="auto"/>
            <w:noWrap/>
            <w:vAlign w:val="bottom"/>
            <w:hideMark/>
          </w:tcPr>
          <w:p w14:paraId="6B8F3A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70C8FF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9EDFB3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BF5502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9C4590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Polygonum plebeium</w:t>
            </w:r>
          </w:p>
        </w:tc>
        <w:tc>
          <w:tcPr>
            <w:tcW w:w="2268" w:type="dxa"/>
            <w:tcBorders>
              <w:top w:val="nil"/>
              <w:left w:val="nil"/>
              <w:bottom w:val="single" w:sz="4" w:space="0" w:color="auto"/>
              <w:right w:val="single" w:sz="4" w:space="0" w:color="auto"/>
            </w:tcBorders>
            <w:shd w:val="clear" w:color="auto" w:fill="auto"/>
            <w:noWrap/>
            <w:vAlign w:val="bottom"/>
            <w:hideMark/>
          </w:tcPr>
          <w:p w14:paraId="0C974D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237BCB4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F31FE4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DB8138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D0F9D0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Polypogon monspeliensis</w:t>
            </w:r>
          </w:p>
        </w:tc>
        <w:tc>
          <w:tcPr>
            <w:tcW w:w="2268" w:type="dxa"/>
            <w:tcBorders>
              <w:top w:val="nil"/>
              <w:left w:val="nil"/>
              <w:bottom w:val="single" w:sz="4" w:space="0" w:color="auto"/>
              <w:right w:val="single" w:sz="4" w:space="0" w:color="auto"/>
            </w:tcBorders>
            <w:shd w:val="clear" w:color="auto" w:fill="auto"/>
            <w:noWrap/>
            <w:vAlign w:val="bottom"/>
            <w:hideMark/>
          </w:tcPr>
          <w:p w14:paraId="4B08521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94109F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F279CD2"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3A00C2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9D324B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Portulaca oleracea</w:t>
            </w:r>
          </w:p>
        </w:tc>
        <w:tc>
          <w:tcPr>
            <w:tcW w:w="2268" w:type="dxa"/>
            <w:tcBorders>
              <w:top w:val="nil"/>
              <w:left w:val="nil"/>
              <w:bottom w:val="single" w:sz="4" w:space="0" w:color="auto"/>
              <w:right w:val="single" w:sz="4" w:space="0" w:color="auto"/>
            </w:tcBorders>
            <w:shd w:val="clear" w:color="auto" w:fill="auto"/>
            <w:noWrap/>
            <w:vAlign w:val="bottom"/>
            <w:hideMark/>
          </w:tcPr>
          <w:p w14:paraId="34359E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Portulacaceae</w:t>
            </w:r>
          </w:p>
        </w:tc>
        <w:tc>
          <w:tcPr>
            <w:tcW w:w="1701" w:type="dxa"/>
            <w:tcBorders>
              <w:top w:val="nil"/>
              <w:left w:val="nil"/>
              <w:bottom w:val="single" w:sz="4" w:space="0" w:color="auto"/>
              <w:right w:val="single" w:sz="4" w:space="0" w:color="auto"/>
            </w:tcBorders>
            <w:shd w:val="clear" w:color="auto" w:fill="auto"/>
            <w:noWrap/>
            <w:vAlign w:val="bottom"/>
            <w:hideMark/>
          </w:tcPr>
          <w:p w14:paraId="0809FE2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266FA6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E3623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FF988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Potamogeton tricarinatus</w:t>
            </w:r>
          </w:p>
        </w:tc>
        <w:tc>
          <w:tcPr>
            <w:tcW w:w="2268" w:type="dxa"/>
            <w:tcBorders>
              <w:top w:val="nil"/>
              <w:left w:val="nil"/>
              <w:bottom w:val="single" w:sz="4" w:space="0" w:color="auto"/>
              <w:right w:val="single" w:sz="4" w:space="0" w:color="auto"/>
            </w:tcBorders>
            <w:shd w:val="clear" w:color="auto" w:fill="auto"/>
            <w:noWrap/>
            <w:vAlign w:val="bottom"/>
            <w:hideMark/>
          </w:tcPr>
          <w:p w14:paraId="018C3C4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Potamogetonaceae</w:t>
            </w:r>
          </w:p>
        </w:tc>
        <w:tc>
          <w:tcPr>
            <w:tcW w:w="1701" w:type="dxa"/>
            <w:tcBorders>
              <w:top w:val="nil"/>
              <w:left w:val="nil"/>
              <w:bottom w:val="single" w:sz="4" w:space="0" w:color="auto"/>
              <w:right w:val="single" w:sz="4" w:space="0" w:color="auto"/>
            </w:tcBorders>
            <w:shd w:val="clear" w:color="auto" w:fill="auto"/>
            <w:noWrap/>
            <w:vAlign w:val="bottom"/>
            <w:hideMark/>
          </w:tcPr>
          <w:p w14:paraId="7BF14EB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736614B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E500F3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F035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Pratia</w:t>
            </w:r>
          </w:p>
        </w:tc>
        <w:tc>
          <w:tcPr>
            <w:tcW w:w="2268" w:type="dxa"/>
            <w:tcBorders>
              <w:top w:val="nil"/>
              <w:left w:val="nil"/>
              <w:bottom w:val="single" w:sz="4" w:space="0" w:color="auto"/>
              <w:right w:val="single" w:sz="4" w:space="0" w:color="auto"/>
            </w:tcBorders>
            <w:shd w:val="clear" w:color="auto" w:fill="auto"/>
            <w:noWrap/>
            <w:vAlign w:val="bottom"/>
            <w:hideMark/>
          </w:tcPr>
          <w:p w14:paraId="3349621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Lobeliaceae</w:t>
            </w:r>
          </w:p>
        </w:tc>
        <w:tc>
          <w:tcPr>
            <w:tcW w:w="1701" w:type="dxa"/>
            <w:tcBorders>
              <w:top w:val="nil"/>
              <w:left w:val="nil"/>
              <w:bottom w:val="single" w:sz="4" w:space="0" w:color="auto"/>
              <w:right w:val="single" w:sz="4" w:space="0" w:color="auto"/>
            </w:tcBorders>
            <w:shd w:val="clear" w:color="auto" w:fill="auto"/>
            <w:noWrap/>
            <w:vAlign w:val="bottom"/>
            <w:hideMark/>
          </w:tcPr>
          <w:p w14:paraId="214486E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5CF782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27571A" w14:paraId="7EE52E7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06448A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Pratia concolor</w:t>
            </w:r>
          </w:p>
        </w:tc>
        <w:tc>
          <w:tcPr>
            <w:tcW w:w="2268" w:type="dxa"/>
            <w:tcBorders>
              <w:top w:val="nil"/>
              <w:left w:val="nil"/>
              <w:bottom w:val="single" w:sz="4" w:space="0" w:color="auto"/>
              <w:right w:val="single" w:sz="4" w:space="0" w:color="auto"/>
            </w:tcBorders>
            <w:shd w:val="clear" w:color="auto" w:fill="auto"/>
            <w:noWrap/>
            <w:vAlign w:val="bottom"/>
            <w:hideMark/>
          </w:tcPr>
          <w:p w14:paraId="22443E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Lobeliaceae</w:t>
            </w:r>
          </w:p>
        </w:tc>
        <w:tc>
          <w:tcPr>
            <w:tcW w:w="1701" w:type="dxa"/>
            <w:tcBorders>
              <w:top w:val="nil"/>
              <w:left w:val="nil"/>
              <w:bottom w:val="single" w:sz="4" w:space="0" w:color="auto"/>
              <w:right w:val="single" w:sz="4" w:space="0" w:color="auto"/>
            </w:tcBorders>
            <w:shd w:val="clear" w:color="auto" w:fill="auto"/>
            <w:noWrap/>
            <w:vAlign w:val="bottom"/>
            <w:hideMark/>
          </w:tcPr>
          <w:p w14:paraId="2F11584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7756D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BE2F34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35560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Pseudognaphalium luteoalbum</w:t>
            </w:r>
          </w:p>
        </w:tc>
        <w:tc>
          <w:tcPr>
            <w:tcW w:w="2268" w:type="dxa"/>
            <w:tcBorders>
              <w:top w:val="nil"/>
              <w:left w:val="nil"/>
              <w:bottom w:val="single" w:sz="4" w:space="0" w:color="auto"/>
              <w:right w:val="single" w:sz="4" w:space="0" w:color="auto"/>
            </w:tcBorders>
            <w:shd w:val="clear" w:color="auto" w:fill="auto"/>
            <w:noWrap/>
            <w:vAlign w:val="bottom"/>
            <w:hideMark/>
          </w:tcPr>
          <w:p w14:paraId="4E32956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59952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5F53A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191FD2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C9C192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Pseudoraphis spinescens</w:t>
            </w:r>
          </w:p>
        </w:tc>
        <w:tc>
          <w:tcPr>
            <w:tcW w:w="2268" w:type="dxa"/>
            <w:tcBorders>
              <w:top w:val="nil"/>
              <w:left w:val="nil"/>
              <w:bottom w:val="single" w:sz="4" w:space="0" w:color="auto"/>
              <w:right w:val="single" w:sz="4" w:space="0" w:color="auto"/>
            </w:tcBorders>
            <w:shd w:val="clear" w:color="auto" w:fill="auto"/>
            <w:noWrap/>
            <w:vAlign w:val="bottom"/>
            <w:hideMark/>
          </w:tcPr>
          <w:p w14:paraId="2B7DBA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16E1EB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489E077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879207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AAC57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Psilocaulon tenue</w:t>
            </w:r>
          </w:p>
        </w:tc>
        <w:tc>
          <w:tcPr>
            <w:tcW w:w="2268" w:type="dxa"/>
            <w:tcBorders>
              <w:top w:val="nil"/>
              <w:left w:val="nil"/>
              <w:bottom w:val="single" w:sz="4" w:space="0" w:color="auto"/>
              <w:right w:val="single" w:sz="4" w:space="0" w:color="auto"/>
            </w:tcBorders>
            <w:shd w:val="clear" w:color="auto" w:fill="auto"/>
            <w:noWrap/>
            <w:vAlign w:val="bottom"/>
            <w:hideMark/>
          </w:tcPr>
          <w:p w14:paraId="1A658A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447CFD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 xml:space="preserve">Terrestrial-dry </w:t>
            </w:r>
          </w:p>
        </w:tc>
        <w:tc>
          <w:tcPr>
            <w:tcW w:w="1559" w:type="dxa"/>
            <w:tcBorders>
              <w:top w:val="nil"/>
              <w:left w:val="nil"/>
              <w:bottom w:val="single" w:sz="4" w:space="0" w:color="auto"/>
              <w:right w:val="single" w:sz="4" w:space="0" w:color="auto"/>
            </w:tcBorders>
            <w:shd w:val="clear" w:color="auto" w:fill="auto"/>
            <w:noWrap/>
            <w:vAlign w:val="bottom"/>
            <w:hideMark/>
          </w:tcPr>
          <w:p w14:paraId="0A1D7E0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30D39A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9DE94F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Radyera farragei</w:t>
            </w:r>
          </w:p>
        </w:tc>
        <w:tc>
          <w:tcPr>
            <w:tcW w:w="2268" w:type="dxa"/>
            <w:tcBorders>
              <w:top w:val="nil"/>
              <w:left w:val="nil"/>
              <w:bottom w:val="single" w:sz="4" w:space="0" w:color="auto"/>
              <w:right w:val="single" w:sz="4" w:space="0" w:color="auto"/>
            </w:tcBorders>
            <w:shd w:val="clear" w:color="auto" w:fill="auto"/>
            <w:noWrap/>
            <w:vAlign w:val="bottom"/>
            <w:hideMark/>
          </w:tcPr>
          <w:p w14:paraId="7B04F87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08BC739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0AB9F5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349076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D6A96F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Ranunculus pumilio</w:t>
            </w:r>
          </w:p>
        </w:tc>
        <w:tc>
          <w:tcPr>
            <w:tcW w:w="2268" w:type="dxa"/>
            <w:tcBorders>
              <w:top w:val="nil"/>
              <w:left w:val="nil"/>
              <w:bottom w:val="single" w:sz="4" w:space="0" w:color="auto"/>
              <w:right w:val="single" w:sz="4" w:space="0" w:color="auto"/>
            </w:tcBorders>
            <w:shd w:val="clear" w:color="auto" w:fill="auto"/>
            <w:noWrap/>
            <w:vAlign w:val="bottom"/>
            <w:hideMark/>
          </w:tcPr>
          <w:p w14:paraId="7D2E318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702F2A6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C7AEFA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5DCB3B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3AEC30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Ranunculus undosus</w:t>
            </w:r>
          </w:p>
        </w:tc>
        <w:tc>
          <w:tcPr>
            <w:tcW w:w="2268" w:type="dxa"/>
            <w:tcBorders>
              <w:top w:val="nil"/>
              <w:left w:val="nil"/>
              <w:bottom w:val="single" w:sz="4" w:space="0" w:color="auto"/>
              <w:right w:val="single" w:sz="4" w:space="0" w:color="auto"/>
            </w:tcBorders>
            <w:shd w:val="clear" w:color="auto" w:fill="auto"/>
            <w:noWrap/>
            <w:vAlign w:val="bottom"/>
            <w:hideMark/>
          </w:tcPr>
          <w:p w14:paraId="727DBD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noWrap/>
            <w:vAlign w:val="bottom"/>
            <w:hideMark/>
          </w:tcPr>
          <w:p w14:paraId="5CE0EF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3C633B0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A5E6D" w14:paraId="529203F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3EE75F7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Raphanus raphanistrum</w:t>
            </w:r>
          </w:p>
        </w:tc>
        <w:tc>
          <w:tcPr>
            <w:tcW w:w="2268" w:type="dxa"/>
            <w:tcBorders>
              <w:top w:val="nil"/>
              <w:left w:val="nil"/>
              <w:bottom w:val="single" w:sz="4" w:space="0" w:color="auto"/>
              <w:right w:val="single" w:sz="4" w:space="0" w:color="auto"/>
            </w:tcBorders>
            <w:shd w:val="clear" w:color="auto" w:fill="auto"/>
            <w:vAlign w:val="bottom"/>
            <w:hideMark/>
          </w:tcPr>
          <w:p w14:paraId="4D45B52A"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Ranunculaceae</w:t>
            </w:r>
          </w:p>
        </w:tc>
        <w:tc>
          <w:tcPr>
            <w:tcW w:w="1701" w:type="dxa"/>
            <w:tcBorders>
              <w:top w:val="nil"/>
              <w:left w:val="nil"/>
              <w:bottom w:val="single" w:sz="4" w:space="0" w:color="auto"/>
              <w:right w:val="single" w:sz="4" w:space="0" w:color="auto"/>
            </w:tcBorders>
            <w:shd w:val="clear" w:color="auto" w:fill="auto"/>
            <w:vAlign w:val="bottom"/>
            <w:hideMark/>
          </w:tcPr>
          <w:p w14:paraId="0643E5CD"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75D39F45" w14:textId="77777777" w:rsidR="00455FA8" w:rsidRPr="00EA5E6D"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965E82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6AE015A"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Rapistrum rugosum</w:t>
            </w:r>
          </w:p>
        </w:tc>
        <w:tc>
          <w:tcPr>
            <w:tcW w:w="2268" w:type="dxa"/>
            <w:tcBorders>
              <w:top w:val="nil"/>
              <w:left w:val="nil"/>
              <w:bottom w:val="single" w:sz="4" w:space="0" w:color="auto"/>
              <w:right w:val="single" w:sz="4" w:space="0" w:color="auto"/>
            </w:tcBorders>
            <w:shd w:val="clear" w:color="auto" w:fill="auto"/>
            <w:noWrap/>
            <w:vAlign w:val="bottom"/>
            <w:hideMark/>
          </w:tcPr>
          <w:p w14:paraId="1C76BA8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11DDB46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15F2047"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029BE2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5873DD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Rhagodia spinescens</w:t>
            </w:r>
          </w:p>
        </w:tc>
        <w:tc>
          <w:tcPr>
            <w:tcW w:w="2268" w:type="dxa"/>
            <w:tcBorders>
              <w:top w:val="nil"/>
              <w:left w:val="nil"/>
              <w:bottom w:val="single" w:sz="4" w:space="0" w:color="auto"/>
              <w:right w:val="single" w:sz="4" w:space="0" w:color="auto"/>
            </w:tcBorders>
            <w:shd w:val="clear" w:color="auto" w:fill="auto"/>
            <w:noWrap/>
            <w:vAlign w:val="bottom"/>
            <w:hideMark/>
          </w:tcPr>
          <w:p w14:paraId="005D209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FB87B3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35B49C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266241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C71857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Rhodanthe corymbiflora</w:t>
            </w:r>
          </w:p>
        </w:tc>
        <w:tc>
          <w:tcPr>
            <w:tcW w:w="2268" w:type="dxa"/>
            <w:tcBorders>
              <w:top w:val="nil"/>
              <w:left w:val="nil"/>
              <w:bottom w:val="single" w:sz="4" w:space="0" w:color="auto"/>
              <w:right w:val="single" w:sz="4" w:space="0" w:color="auto"/>
            </w:tcBorders>
            <w:shd w:val="clear" w:color="auto" w:fill="auto"/>
            <w:noWrap/>
            <w:vAlign w:val="bottom"/>
            <w:hideMark/>
          </w:tcPr>
          <w:p w14:paraId="5A19D3C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BDEB0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92B6FA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E3F7D3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84685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w:t>
            </w:r>
          </w:p>
        </w:tc>
        <w:tc>
          <w:tcPr>
            <w:tcW w:w="2268" w:type="dxa"/>
            <w:tcBorders>
              <w:top w:val="nil"/>
              <w:left w:val="nil"/>
              <w:bottom w:val="single" w:sz="4" w:space="0" w:color="auto"/>
              <w:right w:val="single" w:sz="4" w:space="0" w:color="auto"/>
            </w:tcBorders>
            <w:shd w:val="clear" w:color="auto" w:fill="auto"/>
            <w:noWrap/>
            <w:vAlign w:val="bottom"/>
            <w:hideMark/>
          </w:tcPr>
          <w:p w14:paraId="59A2C7F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54DE0EB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5E7875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64DAD51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4B4007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 eustylis</w:t>
            </w:r>
          </w:p>
        </w:tc>
        <w:tc>
          <w:tcPr>
            <w:tcW w:w="2268" w:type="dxa"/>
            <w:tcBorders>
              <w:top w:val="nil"/>
              <w:left w:val="nil"/>
              <w:bottom w:val="single" w:sz="4" w:space="0" w:color="auto"/>
              <w:right w:val="single" w:sz="4" w:space="0" w:color="auto"/>
            </w:tcBorders>
            <w:shd w:val="clear" w:color="auto" w:fill="auto"/>
            <w:noWrap/>
            <w:vAlign w:val="bottom"/>
            <w:hideMark/>
          </w:tcPr>
          <w:p w14:paraId="6883EDA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284171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1A513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E2CDB1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A2E9F5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 laciniata</w:t>
            </w:r>
          </w:p>
        </w:tc>
        <w:tc>
          <w:tcPr>
            <w:tcW w:w="2268" w:type="dxa"/>
            <w:tcBorders>
              <w:top w:val="nil"/>
              <w:left w:val="nil"/>
              <w:bottom w:val="single" w:sz="4" w:space="0" w:color="auto"/>
              <w:right w:val="single" w:sz="4" w:space="0" w:color="auto"/>
            </w:tcBorders>
            <w:shd w:val="clear" w:color="auto" w:fill="auto"/>
            <w:noWrap/>
            <w:vAlign w:val="bottom"/>
            <w:hideMark/>
          </w:tcPr>
          <w:p w14:paraId="29A486D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27D651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40B3C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4DD16B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DEB5E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Rorippa palustris</w:t>
            </w:r>
          </w:p>
        </w:tc>
        <w:tc>
          <w:tcPr>
            <w:tcW w:w="2268" w:type="dxa"/>
            <w:tcBorders>
              <w:top w:val="nil"/>
              <w:left w:val="nil"/>
              <w:bottom w:val="single" w:sz="4" w:space="0" w:color="auto"/>
              <w:right w:val="single" w:sz="4" w:space="0" w:color="auto"/>
            </w:tcBorders>
            <w:shd w:val="clear" w:color="auto" w:fill="auto"/>
            <w:noWrap/>
            <w:vAlign w:val="bottom"/>
            <w:hideMark/>
          </w:tcPr>
          <w:p w14:paraId="2FF5855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7908F7F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81E1373"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EC4D3A" w14:paraId="43DCCEB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10BC5E1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w:t>
            </w:r>
          </w:p>
        </w:tc>
        <w:tc>
          <w:tcPr>
            <w:tcW w:w="2268" w:type="dxa"/>
            <w:tcBorders>
              <w:top w:val="nil"/>
              <w:left w:val="nil"/>
              <w:bottom w:val="single" w:sz="4" w:space="0" w:color="auto"/>
              <w:right w:val="single" w:sz="4" w:space="0" w:color="auto"/>
            </w:tcBorders>
            <w:shd w:val="clear" w:color="auto" w:fill="auto"/>
            <w:vAlign w:val="bottom"/>
            <w:hideMark/>
          </w:tcPr>
          <w:p w14:paraId="25717CE2"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vAlign w:val="bottom"/>
            <w:hideMark/>
          </w:tcPr>
          <w:p w14:paraId="0DD0A141"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vAlign w:val="bottom"/>
            <w:hideMark/>
          </w:tcPr>
          <w:p w14:paraId="17C6E21A"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38B0BFA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8F3496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 brownii</w:t>
            </w:r>
          </w:p>
        </w:tc>
        <w:tc>
          <w:tcPr>
            <w:tcW w:w="2268" w:type="dxa"/>
            <w:tcBorders>
              <w:top w:val="nil"/>
              <w:left w:val="nil"/>
              <w:bottom w:val="single" w:sz="4" w:space="0" w:color="auto"/>
              <w:right w:val="single" w:sz="4" w:space="0" w:color="auto"/>
            </w:tcBorders>
            <w:shd w:val="clear" w:color="auto" w:fill="auto"/>
            <w:noWrap/>
            <w:vAlign w:val="bottom"/>
            <w:hideMark/>
          </w:tcPr>
          <w:p w14:paraId="7854B99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6561556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6217735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A9D6F3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B5247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 crystallinus</w:t>
            </w:r>
          </w:p>
        </w:tc>
        <w:tc>
          <w:tcPr>
            <w:tcW w:w="2268" w:type="dxa"/>
            <w:tcBorders>
              <w:top w:val="nil"/>
              <w:left w:val="nil"/>
              <w:bottom w:val="single" w:sz="4" w:space="0" w:color="auto"/>
              <w:right w:val="single" w:sz="4" w:space="0" w:color="auto"/>
            </w:tcBorders>
            <w:shd w:val="clear" w:color="auto" w:fill="auto"/>
            <w:noWrap/>
            <w:vAlign w:val="bottom"/>
            <w:hideMark/>
          </w:tcPr>
          <w:p w14:paraId="1345997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701C493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831693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723542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4C078D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Rumex tenax</w:t>
            </w:r>
          </w:p>
        </w:tc>
        <w:tc>
          <w:tcPr>
            <w:tcW w:w="2268" w:type="dxa"/>
            <w:tcBorders>
              <w:top w:val="nil"/>
              <w:left w:val="nil"/>
              <w:bottom w:val="single" w:sz="4" w:space="0" w:color="auto"/>
              <w:right w:val="single" w:sz="4" w:space="0" w:color="auto"/>
            </w:tcBorders>
            <w:shd w:val="clear" w:color="auto" w:fill="auto"/>
            <w:noWrap/>
            <w:vAlign w:val="bottom"/>
            <w:hideMark/>
          </w:tcPr>
          <w:p w14:paraId="56E853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Polygonaceae</w:t>
            </w:r>
          </w:p>
        </w:tc>
        <w:tc>
          <w:tcPr>
            <w:tcW w:w="1701" w:type="dxa"/>
            <w:tcBorders>
              <w:top w:val="nil"/>
              <w:left w:val="nil"/>
              <w:bottom w:val="single" w:sz="4" w:space="0" w:color="auto"/>
              <w:right w:val="single" w:sz="4" w:space="0" w:color="auto"/>
            </w:tcBorders>
            <w:shd w:val="clear" w:color="auto" w:fill="auto"/>
            <w:noWrap/>
            <w:vAlign w:val="bottom"/>
            <w:hideMark/>
          </w:tcPr>
          <w:p w14:paraId="29E2CF5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D37F79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4D538D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515FF11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Salsola kali</w:t>
            </w:r>
          </w:p>
        </w:tc>
        <w:tc>
          <w:tcPr>
            <w:tcW w:w="2268" w:type="dxa"/>
            <w:tcBorders>
              <w:top w:val="nil"/>
              <w:left w:val="nil"/>
              <w:bottom w:val="single" w:sz="4" w:space="0" w:color="auto"/>
              <w:right w:val="single" w:sz="4" w:space="0" w:color="auto"/>
            </w:tcBorders>
            <w:shd w:val="clear" w:color="auto" w:fill="auto"/>
            <w:vAlign w:val="bottom"/>
            <w:hideMark/>
          </w:tcPr>
          <w:p w14:paraId="68B03360"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vAlign w:val="bottom"/>
            <w:hideMark/>
          </w:tcPr>
          <w:p w14:paraId="4AAFE309"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58A59F18"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5FF4AA5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F057A0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Schenkia australis</w:t>
            </w:r>
          </w:p>
        </w:tc>
        <w:tc>
          <w:tcPr>
            <w:tcW w:w="2268" w:type="dxa"/>
            <w:tcBorders>
              <w:top w:val="nil"/>
              <w:left w:val="nil"/>
              <w:bottom w:val="single" w:sz="4" w:space="0" w:color="auto"/>
              <w:right w:val="single" w:sz="4" w:space="0" w:color="auto"/>
            </w:tcBorders>
            <w:shd w:val="clear" w:color="auto" w:fill="auto"/>
            <w:noWrap/>
            <w:vAlign w:val="bottom"/>
            <w:hideMark/>
          </w:tcPr>
          <w:p w14:paraId="00266BD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Gentianaceae</w:t>
            </w:r>
          </w:p>
        </w:tc>
        <w:tc>
          <w:tcPr>
            <w:tcW w:w="1701" w:type="dxa"/>
            <w:tcBorders>
              <w:top w:val="nil"/>
              <w:left w:val="nil"/>
              <w:bottom w:val="single" w:sz="4" w:space="0" w:color="auto"/>
              <w:right w:val="single" w:sz="4" w:space="0" w:color="auto"/>
            </w:tcBorders>
            <w:shd w:val="clear" w:color="auto" w:fill="auto"/>
            <w:noWrap/>
            <w:vAlign w:val="bottom"/>
            <w:hideMark/>
          </w:tcPr>
          <w:p w14:paraId="5D037A5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6978F24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461840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837F68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Schismus barbatus</w:t>
            </w:r>
          </w:p>
        </w:tc>
        <w:tc>
          <w:tcPr>
            <w:tcW w:w="2268" w:type="dxa"/>
            <w:tcBorders>
              <w:top w:val="nil"/>
              <w:left w:val="nil"/>
              <w:bottom w:val="single" w:sz="4" w:space="0" w:color="auto"/>
              <w:right w:val="single" w:sz="4" w:space="0" w:color="auto"/>
            </w:tcBorders>
            <w:shd w:val="clear" w:color="auto" w:fill="auto"/>
            <w:noWrap/>
            <w:vAlign w:val="bottom"/>
            <w:hideMark/>
          </w:tcPr>
          <w:p w14:paraId="25F90C2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5E542B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E058238"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C33518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C12A04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Scleroblitum atriplicinum</w:t>
            </w:r>
          </w:p>
        </w:tc>
        <w:tc>
          <w:tcPr>
            <w:tcW w:w="2268" w:type="dxa"/>
            <w:tcBorders>
              <w:top w:val="nil"/>
              <w:left w:val="nil"/>
              <w:bottom w:val="single" w:sz="4" w:space="0" w:color="auto"/>
              <w:right w:val="single" w:sz="4" w:space="0" w:color="auto"/>
            </w:tcBorders>
            <w:shd w:val="clear" w:color="auto" w:fill="auto"/>
            <w:noWrap/>
            <w:vAlign w:val="bottom"/>
            <w:hideMark/>
          </w:tcPr>
          <w:p w14:paraId="719CF78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2DCFCC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7EA22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A6F8F2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7CA475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w:t>
            </w:r>
          </w:p>
        </w:tc>
        <w:tc>
          <w:tcPr>
            <w:tcW w:w="2268" w:type="dxa"/>
            <w:tcBorders>
              <w:top w:val="nil"/>
              <w:left w:val="nil"/>
              <w:bottom w:val="single" w:sz="4" w:space="0" w:color="auto"/>
              <w:right w:val="single" w:sz="4" w:space="0" w:color="auto"/>
            </w:tcBorders>
            <w:shd w:val="clear" w:color="auto" w:fill="auto"/>
            <w:noWrap/>
            <w:vAlign w:val="bottom"/>
            <w:hideMark/>
          </w:tcPr>
          <w:p w14:paraId="161F6BB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4E72F0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A7A21C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B75DC4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4D401F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birchii</w:t>
            </w:r>
          </w:p>
        </w:tc>
        <w:tc>
          <w:tcPr>
            <w:tcW w:w="2268" w:type="dxa"/>
            <w:tcBorders>
              <w:top w:val="nil"/>
              <w:left w:val="nil"/>
              <w:bottom w:val="single" w:sz="4" w:space="0" w:color="auto"/>
              <w:right w:val="single" w:sz="4" w:space="0" w:color="auto"/>
            </w:tcBorders>
            <w:shd w:val="clear" w:color="auto" w:fill="auto"/>
            <w:noWrap/>
            <w:vAlign w:val="bottom"/>
            <w:hideMark/>
          </w:tcPr>
          <w:p w14:paraId="245D4E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2AA8E7C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CCFD04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28750A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38F86C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brachyptera</w:t>
            </w:r>
          </w:p>
        </w:tc>
        <w:tc>
          <w:tcPr>
            <w:tcW w:w="2268" w:type="dxa"/>
            <w:tcBorders>
              <w:top w:val="nil"/>
              <w:left w:val="nil"/>
              <w:bottom w:val="single" w:sz="4" w:space="0" w:color="auto"/>
              <w:right w:val="single" w:sz="4" w:space="0" w:color="auto"/>
            </w:tcBorders>
            <w:shd w:val="clear" w:color="auto" w:fill="auto"/>
            <w:noWrap/>
            <w:vAlign w:val="bottom"/>
            <w:hideMark/>
          </w:tcPr>
          <w:p w14:paraId="2431452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1359A2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06735C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C01893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C2D574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constricta</w:t>
            </w:r>
          </w:p>
        </w:tc>
        <w:tc>
          <w:tcPr>
            <w:tcW w:w="2268" w:type="dxa"/>
            <w:tcBorders>
              <w:top w:val="nil"/>
              <w:left w:val="nil"/>
              <w:bottom w:val="single" w:sz="4" w:space="0" w:color="auto"/>
              <w:right w:val="single" w:sz="4" w:space="0" w:color="auto"/>
            </w:tcBorders>
            <w:shd w:val="clear" w:color="auto" w:fill="auto"/>
            <w:noWrap/>
            <w:vAlign w:val="bottom"/>
            <w:hideMark/>
          </w:tcPr>
          <w:p w14:paraId="327A255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2F87A8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181CF7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D9F8C1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1FA9DA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convexula</w:t>
            </w:r>
          </w:p>
        </w:tc>
        <w:tc>
          <w:tcPr>
            <w:tcW w:w="2268" w:type="dxa"/>
            <w:tcBorders>
              <w:top w:val="nil"/>
              <w:left w:val="nil"/>
              <w:bottom w:val="single" w:sz="4" w:space="0" w:color="auto"/>
              <w:right w:val="single" w:sz="4" w:space="0" w:color="auto"/>
            </w:tcBorders>
            <w:shd w:val="clear" w:color="auto" w:fill="auto"/>
            <w:noWrap/>
            <w:vAlign w:val="bottom"/>
            <w:hideMark/>
          </w:tcPr>
          <w:p w14:paraId="3680291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6DB4AA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6F7059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904CB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CCE145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divaricata</w:t>
            </w:r>
          </w:p>
        </w:tc>
        <w:tc>
          <w:tcPr>
            <w:tcW w:w="2268" w:type="dxa"/>
            <w:tcBorders>
              <w:top w:val="nil"/>
              <w:left w:val="nil"/>
              <w:bottom w:val="single" w:sz="4" w:space="0" w:color="auto"/>
              <w:right w:val="single" w:sz="4" w:space="0" w:color="auto"/>
            </w:tcBorders>
            <w:shd w:val="clear" w:color="auto" w:fill="auto"/>
            <w:noWrap/>
            <w:vAlign w:val="bottom"/>
            <w:hideMark/>
          </w:tcPr>
          <w:p w14:paraId="48EF1A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17C9691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4D20E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9C7DAF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FDCA11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intricata</w:t>
            </w:r>
          </w:p>
        </w:tc>
        <w:tc>
          <w:tcPr>
            <w:tcW w:w="2268" w:type="dxa"/>
            <w:tcBorders>
              <w:top w:val="nil"/>
              <w:left w:val="nil"/>
              <w:bottom w:val="single" w:sz="4" w:space="0" w:color="auto"/>
              <w:right w:val="single" w:sz="4" w:space="0" w:color="auto"/>
            </w:tcBorders>
            <w:shd w:val="clear" w:color="auto" w:fill="auto"/>
            <w:noWrap/>
            <w:vAlign w:val="bottom"/>
            <w:hideMark/>
          </w:tcPr>
          <w:p w14:paraId="6E1CAC3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5D06E6E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CD45B8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8C03BA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32884C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muricata</w:t>
            </w:r>
          </w:p>
        </w:tc>
        <w:tc>
          <w:tcPr>
            <w:tcW w:w="2268" w:type="dxa"/>
            <w:tcBorders>
              <w:top w:val="nil"/>
              <w:left w:val="nil"/>
              <w:bottom w:val="single" w:sz="4" w:space="0" w:color="auto"/>
              <w:right w:val="single" w:sz="4" w:space="0" w:color="auto"/>
            </w:tcBorders>
            <w:shd w:val="clear" w:color="auto" w:fill="auto"/>
            <w:noWrap/>
            <w:vAlign w:val="bottom"/>
            <w:hideMark/>
          </w:tcPr>
          <w:p w14:paraId="7479DB7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01E47DA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5B5566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4934CE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E7AC54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parviflora</w:t>
            </w:r>
          </w:p>
        </w:tc>
        <w:tc>
          <w:tcPr>
            <w:tcW w:w="2268" w:type="dxa"/>
            <w:tcBorders>
              <w:top w:val="nil"/>
              <w:left w:val="nil"/>
              <w:bottom w:val="single" w:sz="4" w:space="0" w:color="auto"/>
              <w:right w:val="single" w:sz="4" w:space="0" w:color="auto"/>
            </w:tcBorders>
            <w:shd w:val="clear" w:color="auto" w:fill="auto"/>
            <w:noWrap/>
            <w:vAlign w:val="bottom"/>
            <w:hideMark/>
          </w:tcPr>
          <w:p w14:paraId="26EE5A5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210D25A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06B6F2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9F5EAB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1FA4D2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stelligera</w:t>
            </w:r>
          </w:p>
        </w:tc>
        <w:tc>
          <w:tcPr>
            <w:tcW w:w="2268" w:type="dxa"/>
            <w:tcBorders>
              <w:top w:val="nil"/>
              <w:left w:val="nil"/>
              <w:bottom w:val="single" w:sz="4" w:space="0" w:color="auto"/>
              <w:right w:val="single" w:sz="4" w:space="0" w:color="auto"/>
            </w:tcBorders>
            <w:shd w:val="clear" w:color="auto" w:fill="auto"/>
            <w:noWrap/>
            <w:vAlign w:val="bottom"/>
            <w:hideMark/>
          </w:tcPr>
          <w:p w14:paraId="1A6EA81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2233227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EBD29B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978FE9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A3AE9F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Sclerolaena tricuspis</w:t>
            </w:r>
          </w:p>
        </w:tc>
        <w:tc>
          <w:tcPr>
            <w:tcW w:w="2268" w:type="dxa"/>
            <w:tcBorders>
              <w:top w:val="nil"/>
              <w:left w:val="nil"/>
              <w:bottom w:val="single" w:sz="4" w:space="0" w:color="auto"/>
              <w:right w:val="single" w:sz="4" w:space="0" w:color="auto"/>
            </w:tcBorders>
            <w:shd w:val="clear" w:color="auto" w:fill="auto"/>
            <w:noWrap/>
            <w:vAlign w:val="bottom"/>
            <w:hideMark/>
          </w:tcPr>
          <w:p w14:paraId="512D8C8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Chenopodiaceae</w:t>
            </w:r>
          </w:p>
        </w:tc>
        <w:tc>
          <w:tcPr>
            <w:tcW w:w="1701" w:type="dxa"/>
            <w:tcBorders>
              <w:top w:val="nil"/>
              <w:left w:val="nil"/>
              <w:bottom w:val="single" w:sz="4" w:space="0" w:color="auto"/>
              <w:right w:val="single" w:sz="4" w:space="0" w:color="auto"/>
            </w:tcBorders>
            <w:shd w:val="clear" w:color="auto" w:fill="auto"/>
            <w:noWrap/>
            <w:vAlign w:val="bottom"/>
            <w:hideMark/>
          </w:tcPr>
          <w:p w14:paraId="5B7415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F667A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4584322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61CADE1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w:t>
            </w:r>
          </w:p>
        </w:tc>
        <w:tc>
          <w:tcPr>
            <w:tcW w:w="2268" w:type="dxa"/>
            <w:tcBorders>
              <w:top w:val="nil"/>
              <w:left w:val="nil"/>
              <w:bottom w:val="single" w:sz="4" w:space="0" w:color="auto"/>
              <w:right w:val="single" w:sz="4" w:space="0" w:color="auto"/>
            </w:tcBorders>
            <w:shd w:val="clear" w:color="auto" w:fill="auto"/>
            <w:vAlign w:val="bottom"/>
            <w:hideMark/>
          </w:tcPr>
          <w:p w14:paraId="3EB7C56B"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vAlign w:val="bottom"/>
            <w:hideMark/>
          </w:tcPr>
          <w:p w14:paraId="2B1D6D45"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22F5A9EA"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EC4D3A" w14:paraId="321227D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7B85BCB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cunninghamii</w:t>
            </w:r>
          </w:p>
        </w:tc>
        <w:tc>
          <w:tcPr>
            <w:tcW w:w="2268" w:type="dxa"/>
            <w:tcBorders>
              <w:top w:val="nil"/>
              <w:left w:val="nil"/>
              <w:bottom w:val="single" w:sz="4" w:space="0" w:color="auto"/>
              <w:right w:val="single" w:sz="4" w:space="0" w:color="auto"/>
            </w:tcBorders>
            <w:shd w:val="clear" w:color="auto" w:fill="auto"/>
            <w:vAlign w:val="bottom"/>
            <w:hideMark/>
          </w:tcPr>
          <w:p w14:paraId="54A5A68D" w14:textId="77777777" w:rsidR="00455FA8" w:rsidRPr="00080207"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vAlign w:val="bottom"/>
            <w:hideMark/>
          </w:tcPr>
          <w:p w14:paraId="71F3429D"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1C4F879C"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0248920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6A19ED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glossanthus</w:t>
            </w:r>
          </w:p>
        </w:tc>
        <w:tc>
          <w:tcPr>
            <w:tcW w:w="2268" w:type="dxa"/>
            <w:tcBorders>
              <w:top w:val="nil"/>
              <w:left w:val="nil"/>
              <w:bottom w:val="single" w:sz="4" w:space="0" w:color="auto"/>
              <w:right w:val="single" w:sz="4" w:space="0" w:color="auto"/>
            </w:tcBorders>
            <w:shd w:val="clear" w:color="auto" w:fill="auto"/>
            <w:noWrap/>
            <w:vAlign w:val="bottom"/>
            <w:hideMark/>
          </w:tcPr>
          <w:p w14:paraId="3157621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0059F66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64F7BA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F55A68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5165018" w14:textId="505CF54E"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pinnatifolius</w:t>
            </w:r>
          </w:p>
        </w:tc>
        <w:tc>
          <w:tcPr>
            <w:tcW w:w="2268" w:type="dxa"/>
            <w:tcBorders>
              <w:top w:val="nil"/>
              <w:left w:val="nil"/>
              <w:bottom w:val="single" w:sz="4" w:space="0" w:color="auto"/>
              <w:right w:val="single" w:sz="4" w:space="0" w:color="auto"/>
            </w:tcBorders>
            <w:shd w:val="clear" w:color="auto" w:fill="auto"/>
            <w:noWrap/>
            <w:vAlign w:val="bottom"/>
            <w:hideMark/>
          </w:tcPr>
          <w:p w14:paraId="340B6DF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35855C3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82F08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F1DA71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3E1886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quadridentatus</w:t>
            </w:r>
          </w:p>
        </w:tc>
        <w:tc>
          <w:tcPr>
            <w:tcW w:w="2268" w:type="dxa"/>
            <w:tcBorders>
              <w:top w:val="nil"/>
              <w:left w:val="nil"/>
              <w:bottom w:val="single" w:sz="4" w:space="0" w:color="auto"/>
              <w:right w:val="single" w:sz="4" w:space="0" w:color="auto"/>
            </w:tcBorders>
            <w:shd w:val="clear" w:color="auto" w:fill="auto"/>
            <w:noWrap/>
            <w:vAlign w:val="bottom"/>
            <w:hideMark/>
          </w:tcPr>
          <w:p w14:paraId="6E3A42E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4C24E12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DDE2AD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D9146A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F9FC6F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Senecio runcinifolius</w:t>
            </w:r>
          </w:p>
        </w:tc>
        <w:tc>
          <w:tcPr>
            <w:tcW w:w="2268" w:type="dxa"/>
            <w:tcBorders>
              <w:top w:val="nil"/>
              <w:left w:val="nil"/>
              <w:bottom w:val="single" w:sz="4" w:space="0" w:color="auto"/>
              <w:right w:val="single" w:sz="4" w:space="0" w:color="auto"/>
            </w:tcBorders>
            <w:shd w:val="clear" w:color="auto" w:fill="auto"/>
            <w:noWrap/>
            <w:vAlign w:val="bottom"/>
            <w:hideMark/>
          </w:tcPr>
          <w:p w14:paraId="2F9FDE2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3192B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7AE1CB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01D6AFC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1950D6F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w:t>
            </w:r>
          </w:p>
        </w:tc>
        <w:tc>
          <w:tcPr>
            <w:tcW w:w="2268" w:type="dxa"/>
            <w:tcBorders>
              <w:top w:val="nil"/>
              <w:left w:val="nil"/>
              <w:bottom w:val="single" w:sz="4" w:space="0" w:color="auto"/>
              <w:right w:val="single" w:sz="4" w:space="0" w:color="auto"/>
            </w:tcBorders>
            <w:shd w:val="clear" w:color="auto" w:fill="auto"/>
            <w:vAlign w:val="bottom"/>
            <w:hideMark/>
          </w:tcPr>
          <w:p w14:paraId="4D531765"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vAlign w:val="bottom"/>
            <w:hideMark/>
          </w:tcPr>
          <w:p w14:paraId="07B565D8"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5510D560"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3CF6544F"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42207F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corrugata</w:t>
            </w:r>
          </w:p>
        </w:tc>
        <w:tc>
          <w:tcPr>
            <w:tcW w:w="2268" w:type="dxa"/>
            <w:tcBorders>
              <w:top w:val="nil"/>
              <w:left w:val="nil"/>
              <w:bottom w:val="single" w:sz="4" w:space="0" w:color="auto"/>
              <w:right w:val="single" w:sz="4" w:space="0" w:color="auto"/>
            </w:tcBorders>
            <w:shd w:val="clear" w:color="auto" w:fill="auto"/>
            <w:noWrap/>
            <w:vAlign w:val="bottom"/>
            <w:hideMark/>
          </w:tcPr>
          <w:p w14:paraId="48992C3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3741E00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53CEA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36B9F8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10D32B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fibulifera</w:t>
            </w:r>
          </w:p>
        </w:tc>
        <w:tc>
          <w:tcPr>
            <w:tcW w:w="2268" w:type="dxa"/>
            <w:tcBorders>
              <w:top w:val="nil"/>
              <w:left w:val="nil"/>
              <w:bottom w:val="single" w:sz="4" w:space="0" w:color="auto"/>
              <w:right w:val="single" w:sz="4" w:space="0" w:color="auto"/>
            </w:tcBorders>
            <w:shd w:val="clear" w:color="auto" w:fill="auto"/>
            <w:noWrap/>
            <w:vAlign w:val="bottom"/>
            <w:hideMark/>
          </w:tcPr>
          <w:p w14:paraId="026066E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4758C1D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3118D6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237FCE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2D3234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intricata</w:t>
            </w:r>
          </w:p>
        </w:tc>
        <w:tc>
          <w:tcPr>
            <w:tcW w:w="2268" w:type="dxa"/>
            <w:tcBorders>
              <w:top w:val="nil"/>
              <w:left w:val="nil"/>
              <w:bottom w:val="single" w:sz="4" w:space="0" w:color="auto"/>
              <w:right w:val="single" w:sz="4" w:space="0" w:color="auto"/>
            </w:tcBorders>
            <w:shd w:val="clear" w:color="auto" w:fill="auto"/>
            <w:noWrap/>
            <w:vAlign w:val="bottom"/>
            <w:hideMark/>
          </w:tcPr>
          <w:p w14:paraId="48FE427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5D480AD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FD3FA59"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6BFFC4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8EEEC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Sida rhombifolia</w:t>
            </w:r>
          </w:p>
        </w:tc>
        <w:tc>
          <w:tcPr>
            <w:tcW w:w="2268" w:type="dxa"/>
            <w:tcBorders>
              <w:top w:val="nil"/>
              <w:left w:val="nil"/>
              <w:bottom w:val="single" w:sz="4" w:space="0" w:color="auto"/>
              <w:right w:val="single" w:sz="4" w:space="0" w:color="auto"/>
            </w:tcBorders>
            <w:shd w:val="clear" w:color="auto" w:fill="auto"/>
            <w:noWrap/>
            <w:vAlign w:val="bottom"/>
            <w:hideMark/>
          </w:tcPr>
          <w:p w14:paraId="30FBC91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Malvaceae</w:t>
            </w:r>
          </w:p>
        </w:tc>
        <w:tc>
          <w:tcPr>
            <w:tcW w:w="1701" w:type="dxa"/>
            <w:tcBorders>
              <w:top w:val="nil"/>
              <w:left w:val="nil"/>
              <w:bottom w:val="single" w:sz="4" w:space="0" w:color="auto"/>
              <w:right w:val="single" w:sz="4" w:space="0" w:color="auto"/>
            </w:tcBorders>
            <w:shd w:val="clear" w:color="auto" w:fill="auto"/>
            <w:noWrap/>
            <w:vAlign w:val="bottom"/>
            <w:hideMark/>
          </w:tcPr>
          <w:p w14:paraId="465DB84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472E4C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5C19C7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E3E73B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w:t>
            </w:r>
          </w:p>
        </w:tc>
        <w:tc>
          <w:tcPr>
            <w:tcW w:w="2268" w:type="dxa"/>
            <w:tcBorders>
              <w:top w:val="nil"/>
              <w:left w:val="nil"/>
              <w:bottom w:val="single" w:sz="4" w:space="0" w:color="auto"/>
              <w:right w:val="single" w:sz="4" w:space="0" w:color="auto"/>
            </w:tcBorders>
            <w:shd w:val="clear" w:color="auto" w:fill="auto"/>
            <w:noWrap/>
            <w:vAlign w:val="bottom"/>
            <w:hideMark/>
          </w:tcPr>
          <w:p w14:paraId="1CEAA6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70FE6C3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B8B9AE1"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1BFB115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F9BEB9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 erysimoides</w:t>
            </w:r>
          </w:p>
        </w:tc>
        <w:tc>
          <w:tcPr>
            <w:tcW w:w="2268" w:type="dxa"/>
            <w:tcBorders>
              <w:top w:val="nil"/>
              <w:left w:val="nil"/>
              <w:bottom w:val="single" w:sz="4" w:space="0" w:color="auto"/>
              <w:right w:val="single" w:sz="4" w:space="0" w:color="auto"/>
            </w:tcBorders>
            <w:shd w:val="clear" w:color="auto" w:fill="auto"/>
            <w:noWrap/>
            <w:vAlign w:val="bottom"/>
            <w:hideMark/>
          </w:tcPr>
          <w:p w14:paraId="2BA953A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19FADA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7A4E53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F3AF90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9D497E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Sisymbrium irio</w:t>
            </w:r>
          </w:p>
        </w:tc>
        <w:tc>
          <w:tcPr>
            <w:tcW w:w="2268" w:type="dxa"/>
            <w:tcBorders>
              <w:top w:val="nil"/>
              <w:left w:val="nil"/>
              <w:bottom w:val="single" w:sz="4" w:space="0" w:color="auto"/>
              <w:right w:val="single" w:sz="4" w:space="0" w:color="auto"/>
            </w:tcBorders>
            <w:shd w:val="clear" w:color="auto" w:fill="auto"/>
            <w:noWrap/>
            <w:vAlign w:val="bottom"/>
            <w:hideMark/>
          </w:tcPr>
          <w:p w14:paraId="3BD3A72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Brassicaceae</w:t>
            </w:r>
          </w:p>
        </w:tc>
        <w:tc>
          <w:tcPr>
            <w:tcW w:w="1701" w:type="dxa"/>
            <w:tcBorders>
              <w:top w:val="nil"/>
              <w:left w:val="nil"/>
              <w:bottom w:val="single" w:sz="4" w:space="0" w:color="auto"/>
              <w:right w:val="single" w:sz="4" w:space="0" w:color="auto"/>
            </w:tcBorders>
            <w:shd w:val="clear" w:color="auto" w:fill="auto"/>
            <w:noWrap/>
            <w:vAlign w:val="bottom"/>
            <w:hideMark/>
          </w:tcPr>
          <w:p w14:paraId="41C1164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7818794"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08D8E36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471621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Solanaceae</w:t>
            </w:r>
          </w:p>
        </w:tc>
        <w:tc>
          <w:tcPr>
            <w:tcW w:w="2268" w:type="dxa"/>
            <w:tcBorders>
              <w:top w:val="nil"/>
              <w:left w:val="nil"/>
              <w:bottom w:val="single" w:sz="4" w:space="0" w:color="auto"/>
              <w:right w:val="single" w:sz="4" w:space="0" w:color="auto"/>
            </w:tcBorders>
            <w:shd w:val="clear" w:color="auto" w:fill="auto"/>
            <w:noWrap/>
            <w:vAlign w:val="bottom"/>
            <w:hideMark/>
          </w:tcPr>
          <w:p w14:paraId="0CCC8AD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1DF7DB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8ABFB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r>
      <w:tr w:rsidR="00455FA8" w:rsidRPr="00EC4D3A" w14:paraId="70297E5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0398D4B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w:t>
            </w:r>
          </w:p>
        </w:tc>
        <w:tc>
          <w:tcPr>
            <w:tcW w:w="2268" w:type="dxa"/>
            <w:tcBorders>
              <w:top w:val="nil"/>
              <w:left w:val="nil"/>
              <w:bottom w:val="single" w:sz="4" w:space="0" w:color="auto"/>
              <w:right w:val="single" w:sz="4" w:space="0" w:color="auto"/>
            </w:tcBorders>
            <w:shd w:val="clear" w:color="auto" w:fill="auto"/>
            <w:vAlign w:val="bottom"/>
            <w:hideMark/>
          </w:tcPr>
          <w:p w14:paraId="19253258"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vAlign w:val="bottom"/>
            <w:hideMark/>
          </w:tcPr>
          <w:p w14:paraId="430926D8"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5124143E"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0C553B3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2DFC39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 esuriale</w:t>
            </w:r>
          </w:p>
        </w:tc>
        <w:tc>
          <w:tcPr>
            <w:tcW w:w="2268" w:type="dxa"/>
            <w:tcBorders>
              <w:top w:val="nil"/>
              <w:left w:val="nil"/>
              <w:bottom w:val="single" w:sz="4" w:space="0" w:color="auto"/>
              <w:right w:val="single" w:sz="4" w:space="0" w:color="auto"/>
            </w:tcBorders>
            <w:shd w:val="clear" w:color="auto" w:fill="auto"/>
            <w:noWrap/>
            <w:vAlign w:val="bottom"/>
            <w:hideMark/>
          </w:tcPr>
          <w:p w14:paraId="5D5E58E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078698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519CED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DEB940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CCC8A63"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 nigrum</w:t>
            </w:r>
          </w:p>
        </w:tc>
        <w:tc>
          <w:tcPr>
            <w:tcW w:w="2268" w:type="dxa"/>
            <w:tcBorders>
              <w:top w:val="nil"/>
              <w:left w:val="nil"/>
              <w:bottom w:val="single" w:sz="4" w:space="0" w:color="auto"/>
              <w:right w:val="single" w:sz="4" w:space="0" w:color="auto"/>
            </w:tcBorders>
            <w:shd w:val="clear" w:color="auto" w:fill="auto"/>
            <w:noWrap/>
            <w:vAlign w:val="bottom"/>
            <w:hideMark/>
          </w:tcPr>
          <w:p w14:paraId="0DE5CBA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43C2E81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274F729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975EBB5"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997D9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Solanum simile</w:t>
            </w:r>
          </w:p>
        </w:tc>
        <w:tc>
          <w:tcPr>
            <w:tcW w:w="2268" w:type="dxa"/>
            <w:tcBorders>
              <w:top w:val="nil"/>
              <w:left w:val="nil"/>
              <w:bottom w:val="single" w:sz="4" w:space="0" w:color="auto"/>
              <w:right w:val="single" w:sz="4" w:space="0" w:color="auto"/>
            </w:tcBorders>
            <w:shd w:val="clear" w:color="auto" w:fill="auto"/>
            <w:noWrap/>
            <w:vAlign w:val="bottom"/>
            <w:hideMark/>
          </w:tcPr>
          <w:p w14:paraId="38750A6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Solanaceae</w:t>
            </w:r>
          </w:p>
        </w:tc>
        <w:tc>
          <w:tcPr>
            <w:tcW w:w="1701" w:type="dxa"/>
            <w:tcBorders>
              <w:top w:val="nil"/>
              <w:left w:val="nil"/>
              <w:bottom w:val="single" w:sz="4" w:space="0" w:color="auto"/>
              <w:right w:val="single" w:sz="4" w:space="0" w:color="auto"/>
            </w:tcBorders>
            <w:shd w:val="clear" w:color="auto" w:fill="auto"/>
            <w:noWrap/>
            <w:vAlign w:val="bottom"/>
            <w:hideMark/>
          </w:tcPr>
          <w:p w14:paraId="7D1C58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438391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9F0201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BE0570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Sonchus oleraceus</w:t>
            </w:r>
          </w:p>
        </w:tc>
        <w:tc>
          <w:tcPr>
            <w:tcW w:w="2268" w:type="dxa"/>
            <w:tcBorders>
              <w:top w:val="nil"/>
              <w:left w:val="nil"/>
              <w:bottom w:val="single" w:sz="4" w:space="0" w:color="auto"/>
              <w:right w:val="single" w:sz="4" w:space="0" w:color="auto"/>
            </w:tcBorders>
            <w:shd w:val="clear" w:color="auto" w:fill="auto"/>
            <w:noWrap/>
            <w:vAlign w:val="bottom"/>
            <w:hideMark/>
          </w:tcPr>
          <w:p w14:paraId="5877339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7003A48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6CB224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F2A53D1"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C0CFC90"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Spergularia marina</w:t>
            </w:r>
          </w:p>
        </w:tc>
        <w:tc>
          <w:tcPr>
            <w:tcW w:w="2268" w:type="dxa"/>
            <w:tcBorders>
              <w:top w:val="nil"/>
              <w:left w:val="nil"/>
              <w:bottom w:val="single" w:sz="4" w:space="0" w:color="auto"/>
              <w:right w:val="single" w:sz="4" w:space="0" w:color="auto"/>
            </w:tcBorders>
            <w:shd w:val="clear" w:color="auto" w:fill="auto"/>
            <w:noWrap/>
            <w:vAlign w:val="bottom"/>
            <w:hideMark/>
          </w:tcPr>
          <w:p w14:paraId="3941D5B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Caryophyllaceae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2DB17AB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0CBCB9A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BCCBD36"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5DE5C3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Sporobolus caroli</w:t>
            </w:r>
          </w:p>
        </w:tc>
        <w:tc>
          <w:tcPr>
            <w:tcW w:w="2268" w:type="dxa"/>
            <w:tcBorders>
              <w:top w:val="nil"/>
              <w:left w:val="nil"/>
              <w:bottom w:val="single" w:sz="4" w:space="0" w:color="auto"/>
              <w:right w:val="single" w:sz="4" w:space="0" w:color="auto"/>
            </w:tcBorders>
            <w:shd w:val="clear" w:color="auto" w:fill="auto"/>
            <w:noWrap/>
            <w:vAlign w:val="bottom"/>
            <w:hideMark/>
          </w:tcPr>
          <w:p w14:paraId="4E842A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F625AF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B4972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871820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88372AB"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Sporobolus mitchellii</w:t>
            </w:r>
          </w:p>
        </w:tc>
        <w:tc>
          <w:tcPr>
            <w:tcW w:w="2268" w:type="dxa"/>
            <w:tcBorders>
              <w:top w:val="nil"/>
              <w:left w:val="nil"/>
              <w:bottom w:val="single" w:sz="4" w:space="0" w:color="auto"/>
              <w:right w:val="single" w:sz="4" w:space="0" w:color="auto"/>
            </w:tcBorders>
            <w:shd w:val="clear" w:color="auto" w:fill="auto"/>
            <w:noWrap/>
            <w:vAlign w:val="bottom"/>
            <w:hideMark/>
          </w:tcPr>
          <w:p w14:paraId="75D2F0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386E8FC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48F4C5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71D97A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595EBC9"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Stellaria angustifolia</w:t>
            </w:r>
          </w:p>
        </w:tc>
        <w:tc>
          <w:tcPr>
            <w:tcW w:w="2268" w:type="dxa"/>
            <w:tcBorders>
              <w:top w:val="nil"/>
              <w:left w:val="nil"/>
              <w:bottom w:val="single" w:sz="4" w:space="0" w:color="auto"/>
              <w:right w:val="single" w:sz="4" w:space="0" w:color="auto"/>
            </w:tcBorders>
            <w:shd w:val="clear" w:color="auto" w:fill="auto"/>
            <w:noWrap/>
            <w:vAlign w:val="bottom"/>
            <w:hideMark/>
          </w:tcPr>
          <w:p w14:paraId="63833C0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Caryophyllaceae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3CA3F4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78EA7F2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D42762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506F7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Stellaria media</w:t>
            </w:r>
          </w:p>
        </w:tc>
        <w:tc>
          <w:tcPr>
            <w:tcW w:w="2268" w:type="dxa"/>
            <w:tcBorders>
              <w:top w:val="nil"/>
              <w:left w:val="nil"/>
              <w:bottom w:val="single" w:sz="4" w:space="0" w:color="auto"/>
              <w:right w:val="single" w:sz="4" w:space="0" w:color="auto"/>
            </w:tcBorders>
            <w:shd w:val="clear" w:color="auto" w:fill="auto"/>
            <w:noWrap/>
            <w:vAlign w:val="bottom"/>
            <w:hideMark/>
          </w:tcPr>
          <w:p w14:paraId="19D1C54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Caryophyllaceae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1F894D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167FC2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A705854"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9BBC9B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Stemodia florulenta</w:t>
            </w:r>
          </w:p>
        </w:tc>
        <w:tc>
          <w:tcPr>
            <w:tcW w:w="2268" w:type="dxa"/>
            <w:tcBorders>
              <w:top w:val="nil"/>
              <w:left w:val="nil"/>
              <w:bottom w:val="single" w:sz="4" w:space="0" w:color="auto"/>
              <w:right w:val="single" w:sz="4" w:space="0" w:color="auto"/>
            </w:tcBorders>
            <w:shd w:val="clear" w:color="auto" w:fill="auto"/>
            <w:noWrap/>
            <w:vAlign w:val="bottom"/>
            <w:hideMark/>
          </w:tcPr>
          <w:p w14:paraId="7435CAD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4EB2984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487D7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5FC9BE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2F966B5"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Taraxacum officinale</w:t>
            </w:r>
          </w:p>
        </w:tc>
        <w:tc>
          <w:tcPr>
            <w:tcW w:w="2268" w:type="dxa"/>
            <w:tcBorders>
              <w:top w:val="nil"/>
              <w:left w:val="nil"/>
              <w:bottom w:val="single" w:sz="4" w:space="0" w:color="auto"/>
              <w:right w:val="single" w:sz="4" w:space="0" w:color="auto"/>
            </w:tcBorders>
            <w:shd w:val="clear" w:color="auto" w:fill="auto"/>
            <w:noWrap/>
            <w:vAlign w:val="bottom"/>
            <w:hideMark/>
          </w:tcPr>
          <w:p w14:paraId="54E5FF93"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168A91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D0578E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621BEB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6F4A54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Tetragonia</w:t>
            </w:r>
          </w:p>
        </w:tc>
        <w:tc>
          <w:tcPr>
            <w:tcW w:w="2268" w:type="dxa"/>
            <w:tcBorders>
              <w:top w:val="nil"/>
              <w:left w:val="nil"/>
              <w:bottom w:val="single" w:sz="4" w:space="0" w:color="auto"/>
              <w:right w:val="single" w:sz="4" w:space="0" w:color="auto"/>
            </w:tcBorders>
            <w:shd w:val="clear" w:color="auto" w:fill="auto"/>
            <w:noWrap/>
            <w:vAlign w:val="bottom"/>
            <w:hideMark/>
          </w:tcPr>
          <w:p w14:paraId="6276A5B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7CC0F58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1996E1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6EA553C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79EB2E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Tetragonia eremaea</w:t>
            </w:r>
          </w:p>
        </w:tc>
        <w:tc>
          <w:tcPr>
            <w:tcW w:w="2268" w:type="dxa"/>
            <w:tcBorders>
              <w:top w:val="nil"/>
              <w:left w:val="nil"/>
              <w:bottom w:val="single" w:sz="4" w:space="0" w:color="auto"/>
              <w:right w:val="single" w:sz="4" w:space="0" w:color="auto"/>
            </w:tcBorders>
            <w:shd w:val="clear" w:color="auto" w:fill="auto"/>
            <w:noWrap/>
            <w:vAlign w:val="bottom"/>
            <w:hideMark/>
          </w:tcPr>
          <w:p w14:paraId="3E41E66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Aizoaceae</w:t>
            </w:r>
          </w:p>
        </w:tc>
        <w:tc>
          <w:tcPr>
            <w:tcW w:w="1701" w:type="dxa"/>
            <w:tcBorders>
              <w:top w:val="nil"/>
              <w:left w:val="nil"/>
              <w:bottom w:val="single" w:sz="4" w:space="0" w:color="auto"/>
              <w:right w:val="single" w:sz="4" w:space="0" w:color="auto"/>
            </w:tcBorders>
            <w:shd w:val="clear" w:color="auto" w:fill="auto"/>
            <w:noWrap/>
            <w:vAlign w:val="bottom"/>
            <w:hideMark/>
          </w:tcPr>
          <w:p w14:paraId="013147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5A93AEC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3349770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78CAB4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Teucrium racemosum</w:t>
            </w:r>
          </w:p>
        </w:tc>
        <w:tc>
          <w:tcPr>
            <w:tcW w:w="2268" w:type="dxa"/>
            <w:tcBorders>
              <w:top w:val="nil"/>
              <w:left w:val="nil"/>
              <w:bottom w:val="single" w:sz="4" w:space="0" w:color="auto"/>
              <w:right w:val="single" w:sz="4" w:space="0" w:color="auto"/>
            </w:tcBorders>
            <w:shd w:val="clear" w:color="auto" w:fill="auto"/>
            <w:noWrap/>
            <w:vAlign w:val="bottom"/>
            <w:hideMark/>
          </w:tcPr>
          <w:p w14:paraId="4A947BE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Lamiaceae</w:t>
            </w:r>
          </w:p>
        </w:tc>
        <w:tc>
          <w:tcPr>
            <w:tcW w:w="1701" w:type="dxa"/>
            <w:tcBorders>
              <w:top w:val="nil"/>
              <w:left w:val="nil"/>
              <w:bottom w:val="single" w:sz="4" w:space="0" w:color="auto"/>
              <w:right w:val="single" w:sz="4" w:space="0" w:color="auto"/>
            </w:tcBorders>
            <w:shd w:val="clear" w:color="auto" w:fill="auto"/>
            <w:noWrap/>
            <w:vAlign w:val="bottom"/>
            <w:hideMark/>
          </w:tcPr>
          <w:p w14:paraId="3D62C32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0E4C44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CBDF3D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467649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Themeda triandra</w:t>
            </w:r>
          </w:p>
        </w:tc>
        <w:tc>
          <w:tcPr>
            <w:tcW w:w="2268" w:type="dxa"/>
            <w:tcBorders>
              <w:top w:val="nil"/>
              <w:left w:val="nil"/>
              <w:bottom w:val="single" w:sz="4" w:space="0" w:color="auto"/>
              <w:right w:val="single" w:sz="4" w:space="0" w:color="auto"/>
            </w:tcBorders>
            <w:shd w:val="clear" w:color="auto" w:fill="auto"/>
            <w:noWrap/>
            <w:vAlign w:val="bottom"/>
            <w:hideMark/>
          </w:tcPr>
          <w:p w14:paraId="2D89C42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Poaceae</w:t>
            </w:r>
          </w:p>
        </w:tc>
        <w:tc>
          <w:tcPr>
            <w:tcW w:w="1701" w:type="dxa"/>
            <w:tcBorders>
              <w:top w:val="nil"/>
              <w:left w:val="nil"/>
              <w:bottom w:val="single" w:sz="4" w:space="0" w:color="auto"/>
              <w:right w:val="single" w:sz="4" w:space="0" w:color="auto"/>
            </w:tcBorders>
            <w:shd w:val="clear" w:color="auto" w:fill="auto"/>
            <w:noWrap/>
            <w:vAlign w:val="bottom"/>
            <w:hideMark/>
          </w:tcPr>
          <w:p w14:paraId="1937C05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ADAF38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06206D63"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E40387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Triglochin</w:t>
            </w:r>
          </w:p>
        </w:tc>
        <w:tc>
          <w:tcPr>
            <w:tcW w:w="2268" w:type="dxa"/>
            <w:tcBorders>
              <w:top w:val="nil"/>
              <w:left w:val="nil"/>
              <w:bottom w:val="single" w:sz="4" w:space="0" w:color="auto"/>
              <w:right w:val="single" w:sz="4" w:space="0" w:color="auto"/>
            </w:tcBorders>
            <w:shd w:val="clear" w:color="auto" w:fill="auto"/>
            <w:noWrap/>
            <w:vAlign w:val="bottom"/>
            <w:hideMark/>
          </w:tcPr>
          <w:p w14:paraId="30C4659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Juncaginaceae</w:t>
            </w:r>
          </w:p>
        </w:tc>
        <w:tc>
          <w:tcPr>
            <w:tcW w:w="1701" w:type="dxa"/>
            <w:tcBorders>
              <w:top w:val="nil"/>
              <w:left w:val="nil"/>
              <w:bottom w:val="single" w:sz="4" w:space="0" w:color="auto"/>
              <w:right w:val="single" w:sz="4" w:space="0" w:color="auto"/>
            </w:tcBorders>
            <w:shd w:val="clear" w:color="auto" w:fill="auto"/>
            <w:noWrap/>
            <w:vAlign w:val="bottom"/>
            <w:hideMark/>
          </w:tcPr>
          <w:p w14:paraId="7979F24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5651406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68A45E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112AC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Triglochin dubia</w:t>
            </w:r>
          </w:p>
        </w:tc>
        <w:tc>
          <w:tcPr>
            <w:tcW w:w="2268" w:type="dxa"/>
            <w:tcBorders>
              <w:top w:val="nil"/>
              <w:left w:val="nil"/>
              <w:bottom w:val="single" w:sz="4" w:space="0" w:color="auto"/>
              <w:right w:val="single" w:sz="4" w:space="0" w:color="auto"/>
            </w:tcBorders>
            <w:shd w:val="clear" w:color="auto" w:fill="auto"/>
            <w:noWrap/>
            <w:vAlign w:val="bottom"/>
            <w:hideMark/>
          </w:tcPr>
          <w:p w14:paraId="1EA22C5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Juncaginaceae</w:t>
            </w:r>
          </w:p>
        </w:tc>
        <w:tc>
          <w:tcPr>
            <w:tcW w:w="1701" w:type="dxa"/>
            <w:tcBorders>
              <w:top w:val="nil"/>
              <w:left w:val="nil"/>
              <w:bottom w:val="single" w:sz="4" w:space="0" w:color="auto"/>
              <w:right w:val="single" w:sz="4" w:space="0" w:color="auto"/>
            </w:tcBorders>
            <w:shd w:val="clear" w:color="auto" w:fill="auto"/>
            <w:noWrap/>
            <w:vAlign w:val="bottom"/>
            <w:hideMark/>
          </w:tcPr>
          <w:p w14:paraId="4E8CEE7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0FA4F65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78D7E69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A8D63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Typha</w:t>
            </w:r>
          </w:p>
        </w:tc>
        <w:tc>
          <w:tcPr>
            <w:tcW w:w="2268" w:type="dxa"/>
            <w:tcBorders>
              <w:top w:val="nil"/>
              <w:left w:val="nil"/>
              <w:bottom w:val="single" w:sz="4" w:space="0" w:color="auto"/>
              <w:right w:val="single" w:sz="4" w:space="0" w:color="auto"/>
            </w:tcBorders>
            <w:shd w:val="clear" w:color="auto" w:fill="auto"/>
            <w:noWrap/>
            <w:vAlign w:val="bottom"/>
            <w:hideMark/>
          </w:tcPr>
          <w:p w14:paraId="052F866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Typhaceae</w:t>
            </w:r>
          </w:p>
        </w:tc>
        <w:tc>
          <w:tcPr>
            <w:tcW w:w="1701" w:type="dxa"/>
            <w:tcBorders>
              <w:top w:val="nil"/>
              <w:left w:val="nil"/>
              <w:bottom w:val="single" w:sz="4" w:space="0" w:color="auto"/>
              <w:right w:val="single" w:sz="4" w:space="0" w:color="auto"/>
            </w:tcBorders>
            <w:shd w:val="clear" w:color="auto" w:fill="auto"/>
            <w:noWrap/>
            <w:vAlign w:val="bottom"/>
            <w:hideMark/>
          </w:tcPr>
          <w:p w14:paraId="0B44DA2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Amphibious</w:t>
            </w:r>
          </w:p>
        </w:tc>
        <w:tc>
          <w:tcPr>
            <w:tcW w:w="1559" w:type="dxa"/>
            <w:tcBorders>
              <w:top w:val="nil"/>
              <w:left w:val="nil"/>
              <w:bottom w:val="single" w:sz="4" w:space="0" w:color="auto"/>
              <w:right w:val="single" w:sz="4" w:space="0" w:color="auto"/>
            </w:tcBorders>
            <w:shd w:val="clear" w:color="auto" w:fill="auto"/>
            <w:noWrap/>
            <w:vAlign w:val="bottom"/>
            <w:hideMark/>
          </w:tcPr>
          <w:p w14:paraId="6B7169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5227568C"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DB745F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Urtica incisa</w:t>
            </w:r>
          </w:p>
        </w:tc>
        <w:tc>
          <w:tcPr>
            <w:tcW w:w="2268" w:type="dxa"/>
            <w:tcBorders>
              <w:top w:val="nil"/>
              <w:left w:val="nil"/>
              <w:bottom w:val="single" w:sz="4" w:space="0" w:color="auto"/>
              <w:right w:val="single" w:sz="4" w:space="0" w:color="auto"/>
            </w:tcBorders>
            <w:shd w:val="clear" w:color="auto" w:fill="auto"/>
            <w:noWrap/>
            <w:vAlign w:val="bottom"/>
            <w:hideMark/>
          </w:tcPr>
          <w:p w14:paraId="4B0302D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Urticaceae</w:t>
            </w:r>
          </w:p>
        </w:tc>
        <w:tc>
          <w:tcPr>
            <w:tcW w:w="1701" w:type="dxa"/>
            <w:tcBorders>
              <w:top w:val="nil"/>
              <w:left w:val="nil"/>
              <w:bottom w:val="single" w:sz="4" w:space="0" w:color="auto"/>
              <w:right w:val="single" w:sz="4" w:space="0" w:color="auto"/>
            </w:tcBorders>
            <w:shd w:val="clear" w:color="auto" w:fill="auto"/>
            <w:noWrap/>
            <w:vAlign w:val="bottom"/>
            <w:hideMark/>
          </w:tcPr>
          <w:p w14:paraId="4D90FF9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4EA95B7B"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25F0FE6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A302308"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Urtica urens</w:t>
            </w:r>
          </w:p>
        </w:tc>
        <w:tc>
          <w:tcPr>
            <w:tcW w:w="2268" w:type="dxa"/>
            <w:tcBorders>
              <w:top w:val="nil"/>
              <w:left w:val="nil"/>
              <w:bottom w:val="single" w:sz="4" w:space="0" w:color="auto"/>
              <w:right w:val="single" w:sz="4" w:space="0" w:color="auto"/>
            </w:tcBorders>
            <w:shd w:val="clear" w:color="auto" w:fill="auto"/>
            <w:noWrap/>
            <w:vAlign w:val="bottom"/>
            <w:hideMark/>
          </w:tcPr>
          <w:p w14:paraId="33BCD28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Urticaceae</w:t>
            </w:r>
          </w:p>
        </w:tc>
        <w:tc>
          <w:tcPr>
            <w:tcW w:w="1701" w:type="dxa"/>
            <w:tcBorders>
              <w:top w:val="nil"/>
              <w:left w:val="nil"/>
              <w:bottom w:val="single" w:sz="4" w:space="0" w:color="auto"/>
              <w:right w:val="single" w:sz="4" w:space="0" w:color="auto"/>
            </w:tcBorders>
            <w:shd w:val="clear" w:color="auto" w:fill="auto"/>
            <w:noWrap/>
            <w:vAlign w:val="bottom"/>
            <w:hideMark/>
          </w:tcPr>
          <w:p w14:paraId="6DE48E9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743EBD4C"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23C466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95D7224"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Verbascum thapsus</w:t>
            </w:r>
          </w:p>
        </w:tc>
        <w:tc>
          <w:tcPr>
            <w:tcW w:w="2268" w:type="dxa"/>
            <w:tcBorders>
              <w:top w:val="nil"/>
              <w:left w:val="nil"/>
              <w:bottom w:val="single" w:sz="4" w:space="0" w:color="auto"/>
              <w:right w:val="single" w:sz="4" w:space="0" w:color="auto"/>
            </w:tcBorders>
            <w:shd w:val="clear" w:color="auto" w:fill="auto"/>
            <w:noWrap/>
            <w:vAlign w:val="bottom"/>
            <w:hideMark/>
          </w:tcPr>
          <w:p w14:paraId="00F0A10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Scrophulariaceae</w:t>
            </w:r>
          </w:p>
        </w:tc>
        <w:tc>
          <w:tcPr>
            <w:tcW w:w="1701" w:type="dxa"/>
            <w:tcBorders>
              <w:top w:val="nil"/>
              <w:left w:val="nil"/>
              <w:bottom w:val="single" w:sz="4" w:space="0" w:color="auto"/>
              <w:right w:val="single" w:sz="4" w:space="0" w:color="auto"/>
            </w:tcBorders>
            <w:shd w:val="clear" w:color="auto" w:fill="auto"/>
            <w:noWrap/>
            <w:vAlign w:val="bottom"/>
            <w:hideMark/>
          </w:tcPr>
          <w:p w14:paraId="2A5F3EA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unknown</w:t>
            </w:r>
          </w:p>
        </w:tc>
        <w:tc>
          <w:tcPr>
            <w:tcW w:w="1559" w:type="dxa"/>
            <w:tcBorders>
              <w:top w:val="nil"/>
              <w:left w:val="nil"/>
              <w:bottom w:val="single" w:sz="4" w:space="0" w:color="auto"/>
              <w:right w:val="single" w:sz="4" w:space="0" w:color="auto"/>
            </w:tcBorders>
            <w:shd w:val="clear" w:color="auto" w:fill="auto"/>
            <w:noWrap/>
            <w:vAlign w:val="bottom"/>
            <w:hideMark/>
          </w:tcPr>
          <w:p w14:paraId="22F23DD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EC4D3A" w14:paraId="6C2EFD7B"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vAlign w:val="bottom"/>
            <w:hideMark/>
          </w:tcPr>
          <w:p w14:paraId="1D65A9F6"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w:t>
            </w:r>
          </w:p>
        </w:tc>
        <w:tc>
          <w:tcPr>
            <w:tcW w:w="2268" w:type="dxa"/>
            <w:tcBorders>
              <w:top w:val="nil"/>
              <w:left w:val="nil"/>
              <w:bottom w:val="single" w:sz="4" w:space="0" w:color="auto"/>
              <w:right w:val="single" w:sz="4" w:space="0" w:color="auto"/>
            </w:tcBorders>
            <w:shd w:val="clear" w:color="auto" w:fill="auto"/>
            <w:vAlign w:val="bottom"/>
            <w:hideMark/>
          </w:tcPr>
          <w:p w14:paraId="6035F791" w14:textId="77777777" w:rsidR="00455FA8" w:rsidRPr="00EA5E6D" w:rsidRDefault="00455FA8" w:rsidP="00455FA8">
            <w:pPr>
              <w:spacing w:before="0" w:after="0"/>
              <w:rPr>
                <w:rFonts w:eastAsia="Times New Roman" w:cs="Calibri"/>
                <w:color w:val="000000"/>
                <w:sz w:val="18"/>
                <w:szCs w:val="18"/>
                <w:lang w:eastAsia="en-AU"/>
              </w:rPr>
            </w:pPr>
            <w:r w:rsidRPr="00EA5E6D">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vAlign w:val="bottom"/>
            <w:hideMark/>
          </w:tcPr>
          <w:p w14:paraId="11674E2B" w14:textId="77777777" w:rsidR="00455FA8" w:rsidRPr="00983AF8" w:rsidRDefault="00455FA8" w:rsidP="00455FA8">
            <w:pPr>
              <w:spacing w:before="0" w:after="0"/>
              <w:rPr>
                <w:rFonts w:eastAsia="Times New Roman" w:cs="Calibri"/>
                <w:color w:val="000000"/>
                <w:sz w:val="18"/>
                <w:szCs w:val="18"/>
                <w:lang w:eastAsia="en-AU"/>
              </w:rPr>
            </w:pPr>
            <w:r w:rsidRPr="00080207">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vAlign w:val="bottom"/>
            <w:hideMark/>
          </w:tcPr>
          <w:p w14:paraId="432E8EF4" w14:textId="77777777" w:rsidR="00455FA8" w:rsidRPr="00EC4D3A" w:rsidRDefault="00455FA8" w:rsidP="00455FA8">
            <w:pPr>
              <w:spacing w:before="0" w:after="0"/>
              <w:rPr>
                <w:rFonts w:eastAsia="Times New Roman" w:cs="Calibri"/>
                <w:color w:val="000000"/>
                <w:sz w:val="18"/>
                <w:szCs w:val="18"/>
                <w:lang w:eastAsia="en-AU"/>
              </w:rPr>
            </w:pPr>
            <w:r w:rsidRPr="00EC4D3A">
              <w:rPr>
                <w:rFonts w:eastAsia="Times New Roman" w:cs="Calibri"/>
                <w:color w:val="000000"/>
                <w:sz w:val="18"/>
                <w:szCs w:val="18"/>
                <w:lang w:eastAsia="en-AU"/>
              </w:rPr>
              <w:t>native</w:t>
            </w:r>
          </w:p>
        </w:tc>
      </w:tr>
      <w:tr w:rsidR="00455FA8" w:rsidRPr="0027571A" w14:paraId="4E71FE07"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1BF4587"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 officinalis</w:t>
            </w:r>
          </w:p>
        </w:tc>
        <w:tc>
          <w:tcPr>
            <w:tcW w:w="2268" w:type="dxa"/>
            <w:tcBorders>
              <w:top w:val="nil"/>
              <w:left w:val="nil"/>
              <w:bottom w:val="single" w:sz="4" w:space="0" w:color="auto"/>
              <w:right w:val="single" w:sz="4" w:space="0" w:color="auto"/>
            </w:tcBorders>
            <w:shd w:val="clear" w:color="auto" w:fill="auto"/>
            <w:noWrap/>
            <w:vAlign w:val="bottom"/>
            <w:hideMark/>
          </w:tcPr>
          <w:p w14:paraId="01DB30F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50F28DA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04305D25"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72BD5DE9"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62B251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Verbena supina</w:t>
            </w:r>
          </w:p>
        </w:tc>
        <w:tc>
          <w:tcPr>
            <w:tcW w:w="2268" w:type="dxa"/>
            <w:tcBorders>
              <w:top w:val="nil"/>
              <w:left w:val="nil"/>
              <w:bottom w:val="single" w:sz="4" w:space="0" w:color="auto"/>
              <w:right w:val="single" w:sz="4" w:space="0" w:color="auto"/>
            </w:tcBorders>
            <w:shd w:val="clear" w:color="auto" w:fill="auto"/>
            <w:noWrap/>
            <w:vAlign w:val="bottom"/>
            <w:hideMark/>
          </w:tcPr>
          <w:p w14:paraId="403BA9D1"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Verbenaceae</w:t>
            </w:r>
          </w:p>
        </w:tc>
        <w:tc>
          <w:tcPr>
            <w:tcW w:w="1701" w:type="dxa"/>
            <w:tcBorders>
              <w:top w:val="nil"/>
              <w:left w:val="nil"/>
              <w:bottom w:val="single" w:sz="4" w:space="0" w:color="auto"/>
              <w:right w:val="single" w:sz="4" w:space="0" w:color="auto"/>
            </w:tcBorders>
            <w:shd w:val="clear" w:color="auto" w:fill="auto"/>
            <w:noWrap/>
            <w:vAlign w:val="bottom"/>
            <w:hideMark/>
          </w:tcPr>
          <w:p w14:paraId="4BEEA06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C8D45D9"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447069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5C8A9CE"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Veronica c</w:t>
            </w:r>
            <w:r>
              <w:rPr>
                <w:rFonts w:eastAsia="Times New Roman" w:cs="Calibri"/>
                <w:i/>
                <w:iCs/>
                <w:color w:val="000000"/>
                <w:sz w:val="18"/>
                <w:szCs w:val="18"/>
                <w:lang w:eastAsia="en-AU"/>
              </w:rPr>
              <w:t>a</w:t>
            </w:r>
            <w:r w:rsidRPr="0027571A">
              <w:rPr>
                <w:rFonts w:eastAsia="Times New Roman" w:cs="Calibri"/>
                <w:i/>
                <w:iCs/>
                <w:color w:val="000000"/>
                <w:sz w:val="18"/>
                <w:szCs w:val="18"/>
                <w:lang w:eastAsia="en-AU"/>
              </w:rPr>
              <w:t>mphibiousnata</w:t>
            </w:r>
          </w:p>
        </w:tc>
        <w:tc>
          <w:tcPr>
            <w:tcW w:w="2268" w:type="dxa"/>
            <w:tcBorders>
              <w:top w:val="nil"/>
              <w:left w:val="nil"/>
              <w:bottom w:val="single" w:sz="4" w:space="0" w:color="auto"/>
              <w:right w:val="single" w:sz="4" w:space="0" w:color="auto"/>
            </w:tcBorders>
            <w:shd w:val="clear" w:color="auto" w:fill="auto"/>
            <w:noWrap/>
            <w:vAlign w:val="bottom"/>
            <w:hideMark/>
          </w:tcPr>
          <w:p w14:paraId="5E272EE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Plantaginaceae</w:t>
            </w:r>
          </w:p>
        </w:tc>
        <w:tc>
          <w:tcPr>
            <w:tcW w:w="1701" w:type="dxa"/>
            <w:tcBorders>
              <w:top w:val="nil"/>
              <w:left w:val="nil"/>
              <w:bottom w:val="single" w:sz="4" w:space="0" w:color="auto"/>
              <w:right w:val="single" w:sz="4" w:space="0" w:color="auto"/>
            </w:tcBorders>
            <w:shd w:val="clear" w:color="auto" w:fill="auto"/>
            <w:noWrap/>
            <w:vAlign w:val="bottom"/>
            <w:hideMark/>
          </w:tcPr>
          <w:p w14:paraId="203F69C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3BC9B58F"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4D49DBBA"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3D5A2C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Veronica peregrina</w:t>
            </w:r>
          </w:p>
        </w:tc>
        <w:tc>
          <w:tcPr>
            <w:tcW w:w="2268" w:type="dxa"/>
            <w:tcBorders>
              <w:top w:val="nil"/>
              <w:left w:val="nil"/>
              <w:bottom w:val="single" w:sz="4" w:space="0" w:color="auto"/>
              <w:right w:val="single" w:sz="4" w:space="0" w:color="auto"/>
            </w:tcBorders>
            <w:shd w:val="clear" w:color="auto" w:fill="auto"/>
            <w:noWrap/>
            <w:vAlign w:val="bottom"/>
            <w:hideMark/>
          </w:tcPr>
          <w:p w14:paraId="65D396A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Plantaginaceae</w:t>
            </w:r>
          </w:p>
        </w:tc>
        <w:tc>
          <w:tcPr>
            <w:tcW w:w="1701" w:type="dxa"/>
            <w:tcBorders>
              <w:top w:val="nil"/>
              <w:left w:val="nil"/>
              <w:bottom w:val="single" w:sz="4" w:space="0" w:color="auto"/>
              <w:right w:val="single" w:sz="4" w:space="0" w:color="auto"/>
            </w:tcBorders>
            <w:shd w:val="clear" w:color="auto" w:fill="auto"/>
            <w:noWrap/>
            <w:vAlign w:val="bottom"/>
            <w:hideMark/>
          </w:tcPr>
          <w:p w14:paraId="014721A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20E35BEA"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007898D"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7F4AFF"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Vittadinia cuneata</w:t>
            </w:r>
          </w:p>
        </w:tc>
        <w:tc>
          <w:tcPr>
            <w:tcW w:w="2268" w:type="dxa"/>
            <w:tcBorders>
              <w:top w:val="nil"/>
              <w:left w:val="nil"/>
              <w:bottom w:val="single" w:sz="4" w:space="0" w:color="auto"/>
              <w:right w:val="single" w:sz="4" w:space="0" w:color="auto"/>
            </w:tcBorders>
            <w:shd w:val="clear" w:color="auto" w:fill="auto"/>
            <w:noWrap/>
            <w:vAlign w:val="bottom"/>
            <w:hideMark/>
          </w:tcPr>
          <w:p w14:paraId="1F6CE15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F0CC19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76C47B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27A13C7E"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1369416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Wahlenbergia</w:t>
            </w:r>
          </w:p>
        </w:tc>
        <w:tc>
          <w:tcPr>
            <w:tcW w:w="2268" w:type="dxa"/>
            <w:tcBorders>
              <w:top w:val="nil"/>
              <w:left w:val="nil"/>
              <w:bottom w:val="single" w:sz="4" w:space="0" w:color="auto"/>
              <w:right w:val="single" w:sz="4" w:space="0" w:color="auto"/>
            </w:tcBorders>
            <w:shd w:val="clear" w:color="auto" w:fill="auto"/>
            <w:noWrap/>
            <w:vAlign w:val="bottom"/>
            <w:hideMark/>
          </w:tcPr>
          <w:p w14:paraId="47FDEE78"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Campanulaceae</w:t>
            </w:r>
          </w:p>
        </w:tc>
        <w:tc>
          <w:tcPr>
            <w:tcW w:w="1701" w:type="dxa"/>
            <w:tcBorders>
              <w:top w:val="nil"/>
              <w:left w:val="nil"/>
              <w:bottom w:val="single" w:sz="4" w:space="0" w:color="auto"/>
              <w:right w:val="single" w:sz="4" w:space="0" w:color="auto"/>
            </w:tcBorders>
            <w:shd w:val="clear" w:color="auto" w:fill="auto"/>
            <w:noWrap/>
            <w:vAlign w:val="bottom"/>
            <w:hideMark/>
          </w:tcPr>
          <w:p w14:paraId="73B24F5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1A9A2C46"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999AE38"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F9A770D"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Wahlenbergia fluminalis</w:t>
            </w:r>
          </w:p>
        </w:tc>
        <w:tc>
          <w:tcPr>
            <w:tcW w:w="2268" w:type="dxa"/>
            <w:tcBorders>
              <w:top w:val="nil"/>
              <w:left w:val="nil"/>
              <w:bottom w:val="single" w:sz="4" w:space="0" w:color="auto"/>
              <w:right w:val="single" w:sz="4" w:space="0" w:color="auto"/>
            </w:tcBorders>
            <w:shd w:val="clear" w:color="auto" w:fill="auto"/>
            <w:noWrap/>
            <w:vAlign w:val="bottom"/>
            <w:hideMark/>
          </w:tcPr>
          <w:p w14:paraId="13D6204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Campanulaceae</w:t>
            </w:r>
          </w:p>
        </w:tc>
        <w:tc>
          <w:tcPr>
            <w:tcW w:w="1701" w:type="dxa"/>
            <w:tcBorders>
              <w:top w:val="nil"/>
              <w:left w:val="nil"/>
              <w:bottom w:val="single" w:sz="4" w:space="0" w:color="auto"/>
              <w:right w:val="single" w:sz="4" w:space="0" w:color="auto"/>
            </w:tcBorders>
            <w:shd w:val="clear" w:color="auto" w:fill="auto"/>
            <w:noWrap/>
            <w:vAlign w:val="bottom"/>
            <w:hideMark/>
          </w:tcPr>
          <w:p w14:paraId="18A18662"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Terrestrial-damp</w:t>
            </w:r>
          </w:p>
        </w:tc>
        <w:tc>
          <w:tcPr>
            <w:tcW w:w="1559" w:type="dxa"/>
            <w:tcBorders>
              <w:top w:val="nil"/>
              <w:left w:val="nil"/>
              <w:bottom w:val="single" w:sz="4" w:space="0" w:color="auto"/>
              <w:right w:val="single" w:sz="4" w:space="0" w:color="auto"/>
            </w:tcBorders>
            <w:shd w:val="clear" w:color="auto" w:fill="auto"/>
            <w:noWrap/>
            <w:vAlign w:val="bottom"/>
            <w:hideMark/>
          </w:tcPr>
          <w:p w14:paraId="07AD2CBB"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41E6EC32"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7BD5B3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Xanthium occidentale</w:t>
            </w:r>
          </w:p>
        </w:tc>
        <w:tc>
          <w:tcPr>
            <w:tcW w:w="2268" w:type="dxa"/>
            <w:tcBorders>
              <w:top w:val="nil"/>
              <w:left w:val="nil"/>
              <w:bottom w:val="single" w:sz="4" w:space="0" w:color="auto"/>
              <w:right w:val="single" w:sz="4" w:space="0" w:color="auto"/>
            </w:tcBorders>
            <w:shd w:val="clear" w:color="auto" w:fill="auto"/>
            <w:noWrap/>
            <w:vAlign w:val="bottom"/>
            <w:hideMark/>
          </w:tcPr>
          <w:p w14:paraId="7661CBCF"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20D4BB30"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1C1DE500"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55F7FD5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530000AC"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Xanthium spinosum</w:t>
            </w:r>
          </w:p>
        </w:tc>
        <w:tc>
          <w:tcPr>
            <w:tcW w:w="2268" w:type="dxa"/>
            <w:tcBorders>
              <w:top w:val="nil"/>
              <w:left w:val="nil"/>
              <w:bottom w:val="single" w:sz="4" w:space="0" w:color="auto"/>
              <w:right w:val="single" w:sz="4" w:space="0" w:color="auto"/>
            </w:tcBorders>
            <w:shd w:val="clear" w:color="auto" w:fill="auto"/>
            <w:noWrap/>
            <w:vAlign w:val="bottom"/>
            <w:hideMark/>
          </w:tcPr>
          <w:p w14:paraId="42269D67"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Asteraceae</w:t>
            </w:r>
          </w:p>
        </w:tc>
        <w:tc>
          <w:tcPr>
            <w:tcW w:w="1701" w:type="dxa"/>
            <w:tcBorders>
              <w:top w:val="nil"/>
              <w:left w:val="nil"/>
              <w:bottom w:val="single" w:sz="4" w:space="0" w:color="auto"/>
              <w:right w:val="single" w:sz="4" w:space="0" w:color="auto"/>
            </w:tcBorders>
            <w:shd w:val="clear" w:color="auto" w:fill="auto"/>
            <w:noWrap/>
            <w:vAlign w:val="bottom"/>
            <w:hideMark/>
          </w:tcPr>
          <w:p w14:paraId="5E7146DE"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AB8934E" w14:textId="77777777" w:rsidR="00455FA8" w:rsidRPr="0027571A" w:rsidRDefault="00455FA8" w:rsidP="00455FA8">
            <w:pPr>
              <w:spacing w:before="0" w:after="0"/>
              <w:rPr>
                <w:rFonts w:eastAsia="Times New Roman" w:cs="Calibri"/>
                <w:color w:val="000000"/>
                <w:sz w:val="18"/>
                <w:szCs w:val="18"/>
                <w:lang w:eastAsia="en-AU"/>
              </w:rPr>
            </w:pPr>
            <w:r>
              <w:rPr>
                <w:rFonts w:eastAsia="Times New Roman" w:cs="Calibri"/>
                <w:color w:val="000000"/>
                <w:sz w:val="18"/>
                <w:szCs w:val="18"/>
                <w:lang w:eastAsia="en-AU"/>
              </w:rPr>
              <w:t>non-native</w:t>
            </w:r>
          </w:p>
        </w:tc>
      </w:tr>
      <w:tr w:rsidR="00455FA8" w:rsidRPr="0027571A" w14:paraId="33555E4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25BDC812"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Zygophyllum</w:t>
            </w:r>
          </w:p>
        </w:tc>
        <w:tc>
          <w:tcPr>
            <w:tcW w:w="2268" w:type="dxa"/>
            <w:tcBorders>
              <w:top w:val="nil"/>
              <w:left w:val="nil"/>
              <w:bottom w:val="single" w:sz="4" w:space="0" w:color="auto"/>
              <w:right w:val="single" w:sz="4" w:space="0" w:color="auto"/>
            </w:tcBorders>
            <w:shd w:val="clear" w:color="auto" w:fill="auto"/>
            <w:noWrap/>
            <w:vAlign w:val="bottom"/>
            <w:hideMark/>
          </w:tcPr>
          <w:p w14:paraId="7CB1247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Zygophyllaceae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32D1DA54"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37B1995D"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r w:rsidR="00455FA8" w:rsidRPr="0027571A" w14:paraId="1BA2C0C0" w14:textId="77777777" w:rsidTr="00455FA8">
        <w:trPr>
          <w:trHeight w:val="300"/>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D0D9271" w14:textId="77777777" w:rsidR="00455FA8" w:rsidRPr="0027571A" w:rsidRDefault="00455FA8" w:rsidP="00455FA8">
            <w:pPr>
              <w:spacing w:before="0" w:after="0"/>
              <w:rPr>
                <w:rFonts w:eastAsia="Times New Roman" w:cs="Calibri"/>
                <w:i/>
                <w:iCs/>
                <w:color w:val="000000"/>
                <w:sz w:val="18"/>
                <w:szCs w:val="18"/>
                <w:lang w:eastAsia="en-AU"/>
              </w:rPr>
            </w:pPr>
            <w:r w:rsidRPr="0027571A">
              <w:rPr>
                <w:rFonts w:eastAsia="Times New Roman" w:cs="Calibri"/>
                <w:i/>
                <w:iCs/>
                <w:color w:val="000000"/>
                <w:sz w:val="18"/>
                <w:szCs w:val="18"/>
                <w:lang w:eastAsia="en-AU"/>
              </w:rPr>
              <w:t>Zygophyllum apiculatum</w:t>
            </w:r>
          </w:p>
        </w:tc>
        <w:tc>
          <w:tcPr>
            <w:tcW w:w="2268" w:type="dxa"/>
            <w:tcBorders>
              <w:top w:val="nil"/>
              <w:left w:val="nil"/>
              <w:bottom w:val="single" w:sz="4" w:space="0" w:color="auto"/>
              <w:right w:val="single" w:sz="4" w:space="0" w:color="auto"/>
            </w:tcBorders>
            <w:shd w:val="clear" w:color="auto" w:fill="auto"/>
            <w:noWrap/>
            <w:vAlign w:val="bottom"/>
            <w:hideMark/>
          </w:tcPr>
          <w:p w14:paraId="3CB7E70C"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Zygophyllaceae</w:t>
            </w:r>
          </w:p>
        </w:tc>
        <w:tc>
          <w:tcPr>
            <w:tcW w:w="1701" w:type="dxa"/>
            <w:tcBorders>
              <w:top w:val="nil"/>
              <w:left w:val="nil"/>
              <w:bottom w:val="single" w:sz="4" w:space="0" w:color="auto"/>
              <w:right w:val="single" w:sz="4" w:space="0" w:color="auto"/>
            </w:tcBorders>
            <w:shd w:val="clear" w:color="auto" w:fill="auto"/>
            <w:noWrap/>
            <w:vAlign w:val="bottom"/>
            <w:hideMark/>
          </w:tcPr>
          <w:p w14:paraId="762783B5"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Terrestrial-dry</w:t>
            </w:r>
          </w:p>
        </w:tc>
        <w:tc>
          <w:tcPr>
            <w:tcW w:w="1559" w:type="dxa"/>
            <w:tcBorders>
              <w:top w:val="nil"/>
              <w:left w:val="nil"/>
              <w:bottom w:val="single" w:sz="4" w:space="0" w:color="auto"/>
              <w:right w:val="single" w:sz="4" w:space="0" w:color="auto"/>
            </w:tcBorders>
            <w:shd w:val="clear" w:color="auto" w:fill="auto"/>
            <w:noWrap/>
            <w:vAlign w:val="bottom"/>
            <w:hideMark/>
          </w:tcPr>
          <w:p w14:paraId="64F4BA7A" w14:textId="77777777" w:rsidR="00455FA8" w:rsidRPr="0027571A" w:rsidRDefault="00455FA8" w:rsidP="00455FA8">
            <w:pPr>
              <w:spacing w:before="0" w:after="0"/>
              <w:rPr>
                <w:rFonts w:eastAsia="Times New Roman" w:cs="Calibri"/>
                <w:color w:val="000000"/>
                <w:sz w:val="18"/>
                <w:szCs w:val="18"/>
                <w:lang w:eastAsia="en-AU"/>
              </w:rPr>
            </w:pPr>
            <w:r w:rsidRPr="0027571A">
              <w:rPr>
                <w:rFonts w:eastAsia="Times New Roman" w:cs="Calibri"/>
                <w:color w:val="000000"/>
                <w:sz w:val="18"/>
                <w:szCs w:val="18"/>
                <w:lang w:eastAsia="en-AU"/>
              </w:rPr>
              <w:t>native</w:t>
            </w:r>
          </w:p>
        </w:tc>
      </w:tr>
    </w:tbl>
    <w:p w14:paraId="1B90B7F2" w14:textId="4E8653AD" w:rsidR="006C1676" w:rsidRDefault="006C1676" w:rsidP="006C1676">
      <w:bookmarkStart w:id="685" w:name="_Ref18500346"/>
    </w:p>
    <w:p w14:paraId="1244F050" w14:textId="77777777" w:rsidR="006C1676" w:rsidRDefault="006C1676">
      <w:pPr>
        <w:spacing w:before="0" w:after="0"/>
      </w:pPr>
      <w:r>
        <w:br w:type="page"/>
      </w:r>
    </w:p>
    <w:p w14:paraId="6AD54734" w14:textId="193B8602" w:rsidR="00B7606F" w:rsidRDefault="00B7606F" w:rsidP="00B7606F">
      <w:pPr>
        <w:pStyle w:val="Heading1"/>
        <w:rPr>
          <w:lang w:val="en-US"/>
        </w:rPr>
      </w:pPr>
      <w:bookmarkStart w:id="686" w:name="_Toc31985544"/>
      <w:r>
        <w:rPr>
          <w:lang w:val="en-US"/>
        </w:rPr>
        <w:t>Communication and Engagement</w:t>
      </w:r>
      <w:bookmarkEnd w:id="686"/>
    </w:p>
    <w:p w14:paraId="3CB209E4" w14:textId="33AF24BB" w:rsidR="005903A0" w:rsidRPr="005903A0" w:rsidRDefault="005903A0" w:rsidP="005903A0">
      <w:pPr>
        <w:pStyle w:val="Heading2"/>
      </w:pPr>
      <w:bookmarkStart w:id="687" w:name="_Toc31985545"/>
      <w:r>
        <w:t>Introduction</w:t>
      </w:r>
      <w:bookmarkEnd w:id="687"/>
    </w:p>
    <w:p w14:paraId="5452CE7D" w14:textId="0F38E8A0" w:rsidR="00B7606F" w:rsidRDefault="00B7606F" w:rsidP="00B7606F">
      <w:r>
        <w:t xml:space="preserve">Under the LTIM Project, the Lower Lachlan Selected Area has had resources dedicated to Communication and Engagement (C&amp;E) that have supported two components </w:t>
      </w:r>
      <w:r w:rsidR="00880453">
        <w:t>of</w:t>
      </w:r>
      <w:r>
        <w:t xml:space="preserve"> communication and engagement activities. The first has been internal project communication and has been associated with the delivery of the monitoring and evaluation activities. This involved the project team, the CEWO, key water delivery stakeholders and other operational stakeholders. The second has been external communication and engagement and involved stakeholder groups outside of the core operation of the LTIM Project including landholders, affected communities and the general public. Both are critical to the success of ongoing environmental watering programs.</w:t>
      </w:r>
    </w:p>
    <w:p w14:paraId="24F0189B" w14:textId="53878575" w:rsidR="005903A0" w:rsidRDefault="005903A0" w:rsidP="00B7606F">
      <w:r>
        <w:t>This chapter of the technical report provides an overview of the C&amp;E activities delivered in 2018-19 and summarises the learning over the past five years that informs the development of ongoing C&amp;E activities.</w:t>
      </w:r>
    </w:p>
    <w:p w14:paraId="6EAD3853" w14:textId="2CBD02B4" w:rsidR="005903A0" w:rsidRDefault="005903A0" w:rsidP="005903A0">
      <w:pPr>
        <w:pStyle w:val="Heading3"/>
      </w:pPr>
      <w:bookmarkStart w:id="688" w:name="_Toc31985546"/>
      <w:r>
        <w:t>Internal project communication</w:t>
      </w:r>
      <w:bookmarkEnd w:id="688"/>
    </w:p>
    <w:p w14:paraId="6A1D80A4" w14:textId="3B0A126D" w:rsidR="005903A0" w:rsidRDefault="005903A0" w:rsidP="005903A0">
      <w:r>
        <w:t>Internal project communication has been associated with the delivery of the monitoring and evaluation activities. This involved the project team, the CEWO, key water delivery stakeholders and other operational stakeholders.</w:t>
      </w:r>
      <w:r w:rsidR="007E16DA">
        <w:t xml:space="preserve"> The activities that have been undertaken in relation to internal project communication include communication with:</w:t>
      </w:r>
    </w:p>
    <w:p w14:paraId="2A5F9B3E" w14:textId="292821B0" w:rsidR="007E16DA" w:rsidRDefault="007E16DA" w:rsidP="00A370F4">
      <w:pPr>
        <w:pStyle w:val="ListParagraph"/>
        <w:numPr>
          <w:ilvl w:val="0"/>
          <w:numId w:val="48"/>
        </w:numPr>
      </w:pPr>
      <w:r>
        <w:t>Operational stakeholders, these include the CEWO Lachlan Delivery Team, the NSW OEH Lachlan environmental water manager, members of the Lachlan Environmental Watering Advisory Group (EWAG) and key members of other state agencies including the NSW OEH Science Team, DoI Water and Water NSW.</w:t>
      </w:r>
    </w:p>
    <w:p w14:paraId="30E7BADB" w14:textId="3B270B52" w:rsidR="007E16DA" w:rsidRDefault="007E16DA" w:rsidP="00A370F4">
      <w:pPr>
        <w:pStyle w:val="ListParagraph"/>
        <w:numPr>
          <w:ilvl w:val="0"/>
          <w:numId w:val="48"/>
        </w:numPr>
      </w:pPr>
      <w:r>
        <w:t>Landholders who provide access to monitoring sites.</w:t>
      </w:r>
    </w:p>
    <w:p w14:paraId="56F7353E" w14:textId="0CB07E3A" w:rsidR="007E16DA" w:rsidRDefault="002D22E1" w:rsidP="002D22E1">
      <w:pPr>
        <w:pStyle w:val="Heading4"/>
      </w:pPr>
      <w:r>
        <w:t>Internal communication:  operational stakeholders</w:t>
      </w:r>
    </w:p>
    <w:p w14:paraId="69E727B2" w14:textId="5923B923" w:rsidR="002D22E1" w:rsidRDefault="00F35589" w:rsidP="005903A0">
      <w:pPr>
        <w:rPr>
          <w:lang w:val="en-US" w:eastAsia="x-none"/>
        </w:rPr>
      </w:pPr>
      <w:r>
        <w:rPr>
          <w:lang w:val="en-US" w:eastAsia="x-none"/>
        </w:rPr>
        <w:t>Internal communication activities in 2018-19 included:</w:t>
      </w:r>
    </w:p>
    <w:p w14:paraId="4A824982" w14:textId="1EC457F5" w:rsidR="00F35589" w:rsidRDefault="00F35589" w:rsidP="00A370F4">
      <w:pPr>
        <w:pStyle w:val="ListParagraph"/>
        <w:numPr>
          <w:ilvl w:val="0"/>
          <w:numId w:val="49"/>
        </w:numPr>
      </w:pPr>
      <w:r>
        <w:t>Nine monthly face to face meetings with the CEWO Delivery team</w:t>
      </w:r>
    </w:p>
    <w:p w14:paraId="6D6F1F54" w14:textId="05368685" w:rsidR="00F35589" w:rsidRDefault="00F35589" w:rsidP="00A370F4">
      <w:pPr>
        <w:pStyle w:val="ListParagraph"/>
        <w:numPr>
          <w:ilvl w:val="0"/>
          <w:numId w:val="49"/>
        </w:numPr>
      </w:pPr>
      <w:r>
        <w:t>Two EWAGs in Forbes</w:t>
      </w:r>
    </w:p>
    <w:p w14:paraId="17D348E7" w14:textId="33950E71" w:rsidR="00F35589" w:rsidRDefault="00F35589" w:rsidP="00A370F4">
      <w:pPr>
        <w:pStyle w:val="ListParagraph"/>
        <w:numPr>
          <w:ilvl w:val="0"/>
          <w:numId w:val="49"/>
        </w:numPr>
      </w:pPr>
      <w:r>
        <w:t>Seven Technical Advisory Group (TAG) teleconferences</w:t>
      </w:r>
    </w:p>
    <w:p w14:paraId="2DC1BBB0" w14:textId="7516BDCB" w:rsidR="00F35589" w:rsidRDefault="00F35589" w:rsidP="00A370F4">
      <w:pPr>
        <w:pStyle w:val="ListParagraph"/>
        <w:numPr>
          <w:ilvl w:val="0"/>
          <w:numId w:val="49"/>
        </w:numPr>
      </w:pPr>
      <w:r>
        <w:t>Four quarterly project management reports</w:t>
      </w:r>
    </w:p>
    <w:p w14:paraId="703F8DC9" w14:textId="77F4E005" w:rsidR="00F35589" w:rsidRDefault="00F35589" w:rsidP="00A370F4">
      <w:pPr>
        <w:pStyle w:val="ListParagraph"/>
        <w:numPr>
          <w:ilvl w:val="0"/>
          <w:numId w:val="49"/>
        </w:numPr>
      </w:pPr>
      <w:r>
        <w:t xml:space="preserve">Four quarterly observations reports which are now published at: </w:t>
      </w:r>
      <w:hyperlink r:id="rId190" w:history="1">
        <w:r>
          <w:rPr>
            <w:rStyle w:val="Hyperlink"/>
          </w:rPr>
          <w:t>https://www.environment.gov.au/water/cewo/catchment/lachlan/monitoring</w:t>
        </w:r>
      </w:hyperlink>
    </w:p>
    <w:p w14:paraId="0843251E" w14:textId="1BFE2955" w:rsidR="008233B2" w:rsidRDefault="008233B2" w:rsidP="00A370F4">
      <w:pPr>
        <w:pStyle w:val="ListParagraph"/>
        <w:numPr>
          <w:ilvl w:val="0"/>
          <w:numId w:val="49"/>
        </w:numPr>
      </w:pPr>
      <w:r>
        <w:t>One annual technical report (this document)</w:t>
      </w:r>
    </w:p>
    <w:p w14:paraId="65408E27" w14:textId="59114B1A" w:rsidR="008233B2" w:rsidRDefault="008233B2" w:rsidP="00A370F4">
      <w:pPr>
        <w:pStyle w:val="ListParagraph"/>
        <w:numPr>
          <w:ilvl w:val="0"/>
          <w:numId w:val="49"/>
        </w:numPr>
      </w:pPr>
      <w:r>
        <w:t xml:space="preserve">One annual synthesis report </w:t>
      </w:r>
    </w:p>
    <w:p w14:paraId="077AF6DF" w14:textId="0906851B" w:rsidR="008233B2" w:rsidRDefault="008233B2" w:rsidP="008233B2">
      <w:r>
        <w:t>In addition to these activities, there have been numerous phone calls among the project team and operational stakeholders to communicat</w:t>
      </w:r>
      <w:r w:rsidR="00880453">
        <w:t>e</w:t>
      </w:r>
      <w:r>
        <w:t xml:space="preserve"> findings, observations and operational matters.</w:t>
      </w:r>
    </w:p>
    <w:p w14:paraId="3CBEBE8B" w14:textId="154E140A" w:rsidR="00F35589" w:rsidRDefault="00F35589" w:rsidP="00F35589">
      <w:pPr>
        <w:pStyle w:val="Heading4"/>
      </w:pPr>
      <w:r>
        <w:t>Internal communication:  landholders</w:t>
      </w:r>
    </w:p>
    <w:p w14:paraId="5D3CCBF0" w14:textId="3D587FE5" w:rsidR="00F35589" w:rsidRDefault="008233B2" w:rsidP="00F35589">
      <w:r>
        <w:t>The project is reliant on landholders along the river enabling access to monitoring sites.  These include private landholders as well as NSW National Parks. This requires phone calls to arrange site access and the provision of data (</w:t>
      </w:r>
      <w:r w:rsidR="00880453">
        <w:t xml:space="preserve">e.g. </w:t>
      </w:r>
      <w:r>
        <w:t>species lists), photos and observations where the landholders are interested in receiving such information. In 2018-19 we have liaised with 1</w:t>
      </w:r>
      <w:r w:rsidR="00DF4D8A">
        <w:t>9</w:t>
      </w:r>
      <w:r>
        <w:t xml:space="preserve"> landholders to access sites in the lower Lachlan river system and a further </w:t>
      </w:r>
      <w:r w:rsidR="00DF4D8A">
        <w:t xml:space="preserve">7 </w:t>
      </w:r>
      <w:r>
        <w:t xml:space="preserve">within the mid </w:t>
      </w:r>
      <w:r w:rsidR="00DF4D8A">
        <w:t>Lachlan river system.</w:t>
      </w:r>
      <w:r>
        <w:t xml:space="preserve"> </w:t>
      </w:r>
    </w:p>
    <w:p w14:paraId="42732681" w14:textId="6CD8C1A9" w:rsidR="005903A0" w:rsidRDefault="005903A0" w:rsidP="005903A0">
      <w:pPr>
        <w:pStyle w:val="Heading3"/>
      </w:pPr>
      <w:bookmarkStart w:id="689" w:name="_Toc31985547"/>
      <w:r>
        <w:t>External project communication</w:t>
      </w:r>
      <w:bookmarkEnd w:id="689"/>
    </w:p>
    <w:p w14:paraId="07C861BD" w14:textId="7F74E668" w:rsidR="00B7606F" w:rsidRDefault="00B7606F" w:rsidP="00B7606F">
      <w:pPr>
        <w:jc w:val="both"/>
        <w:rPr>
          <w:lang w:eastAsia="x-none"/>
        </w:rPr>
      </w:pPr>
      <w:r>
        <w:rPr>
          <w:lang w:eastAsia="x-none"/>
        </w:rPr>
        <w:t xml:space="preserve">External communication products in the Lachlan Selected Area LTIM C&amp;E Theme </w:t>
      </w:r>
      <w:r w:rsidR="00DF4D8A">
        <w:rPr>
          <w:lang w:eastAsia="x-none"/>
        </w:rPr>
        <w:t>focus</w:t>
      </w:r>
      <w:r>
        <w:rPr>
          <w:lang w:eastAsia="x-none"/>
        </w:rPr>
        <w:t xml:space="preserve"> on informing key stakeholders of watering events and monitoring activities, and then reporting back on </w:t>
      </w:r>
      <w:r w:rsidR="00E05711">
        <w:rPr>
          <w:lang w:eastAsia="x-none"/>
        </w:rPr>
        <w:t>LTIM Project</w:t>
      </w:r>
      <w:r>
        <w:rPr>
          <w:lang w:eastAsia="x-none"/>
        </w:rPr>
        <w:t xml:space="preserve"> observations and outcomes.</w:t>
      </w:r>
      <w:r w:rsidR="00880453">
        <w:rPr>
          <w:lang w:eastAsia="x-none"/>
        </w:rPr>
        <w:t xml:space="preserve"> In addition, there are science based communication activities which convey findings to the broader scientific community.</w:t>
      </w:r>
      <w:r>
        <w:rPr>
          <w:lang w:eastAsia="x-none"/>
        </w:rPr>
        <w:t xml:space="preserve"> External engagement activities </w:t>
      </w:r>
      <w:r w:rsidR="00880453">
        <w:rPr>
          <w:lang w:eastAsia="x-none"/>
        </w:rPr>
        <w:t>have been</w:t>
      </w:r>
      <w:r>
        <w:rPr>
          <w:lang w:eastAsia="x-none"/>
        </w:rPr>
        <w:t xml:space="preserve"> more opportunistic in nature, based on the C&amp;E Theme Leaders existing communication and relationship networks across the Lachlan Catchment, and involved participation in, and support of, community events.</w:t>
      </w:r>
    </w:p>
    <w:p w14:paraId="2D5A3859" w14:textId="696D8FED" w:rsidR="00B7606F" w:rsidRDefault="00B7606F" w:rsidP="00B7606F">
      <w:r>
        <w:t xml:space="preserve">The objectives of the external LTIM C&amp;E activities </w:t>
      </w:r>
      <w:r w:rsidR="00DF4D8A">
        <w:t>are</w:t>
      </w:r>
      <w:r>
        <w:t xml:space="preserve"> to:</w:t>
      </w:r>
    </w:p>
    <w:p w14:paraId="79307A02" w14:textId="77777777" w:rsidR="00B7606F" w:rsidRDefault="00B7606F" w:rsidP="00B7606F">
      <w:pPr>
        <w:pStyle w:val="ListParagraph"/>
        <w:numPr>
          <w:ilvl w:val="0"/>
          <w:numId w:val="45"/>
        </w:numPr>
        <w:jc w:val="both"/>
        <w:rPr>
          <w:lang w:eastAsia="x-none"/>
        </w:rPr>
      </w:pPr>
      <w:r>
        <w:rPr>
          <w:lang w:eastAsia="x-none"/>
        </w:rPr>
        <w:t>Inform and provide opportunity for feedback (involve) from stakeholders to inform environmental water events at all phases (planning, implementation, MER). The underlying message is your local knowledge and history with the landscape is valued.</w:t>
      </w:r>
    </w:p>
    <w:p w14:paraId="53C58A19" w14:textId="77777777" w:rsidR="00B7606F" w:rsidRDefault="00B7606F" w:rsidP="00B7606F">
      <w:pPr>
        <w:pStyle w:val="ListParagraph"/>
        <w:numPr>
          <w:ilvl w:val="0"/>
          <w:numId w:val="45"/>
        </w:numPr>
        <w:jc w:val="both"/>
        <w:rPr>
          <w:lang w:eastAsia="x-none"/>
        </w:rPr>
      </w:pPr>
      <w:r>
        <w:rPr>
          <w:lang w:eastAsia="x-none"/>
        </w:rPr>
        <w:t>Maintain ongoing access to long term monitoring sites through respectful landholder interactions and land access protocols, and by sharing results and information.</w:t>
      </w:r>
    </w:p>
    <w:p w14:paraId="5C4FC629" w14:textId="77777777" w:rsidR="00B7606F" w:rsidRDefault="00B7606F" w:rsidP="00B7606F">
      <w:pPr>
        <w:pStyle w:val="ListParagraph"/>
        <w:numPr>
          <w:ilvl w:val="0"/>
          <w:numId w:val="45"/>
        </w:numPr>
        <w:jc w:val="both"/>
        <w:rPr>
          <w:lang w:eastAsia="x-none"/>
        </w:rPr>
      </w:pPr>
      <w:r>
        <w:rPr>
          <w:lang w:eastAsia="x-none"/>
        </w:rPr>
        <w:t>Develop and consolidate a network of diverse stakeholder groups and local influencers with trust-based relationships; which allows for a productive exchange of local knowledge and discussion of how informs Basin-scale objectives.</w:t>
      </w:r>
    </w:p>
    <w:p w14:paraId="7B71EE01" w14:textId="77777777" w:rsidR="00B7606F" w:rsidRDefault="00B7606F" w:rsidP="00B7606F">
      <w:pPr>
        <w:pStyle w:val="ListParagraph"/>
        <w:numPr>
          <w:ilvl w:val="0"/>
          <w:numId w:val="45"/>
        </w:numPr>
        <w:jc w:val="both"/>
        <w:rPr>
          <w:lang w:eastAsia="x-none"/>
        </w:rPr>
      </w:pPr>
      <w:r>
        <w:rPr>
          <w:lang w:eastAsia="x-none"/>
        </w:rPr>
        <w:t>Highlight the value of LTIM for informing decision making when planning watering events (e.g. raise awareness around the processes for environmental water planning such as Technical Advisory Groups (TAGs) and use of expert opinion and observational data).</w:t>
      </w:r>
    </w:p>
    <w:p w14:paraId="5CC497C5" w14:textId="77777777" w:rsidR="00B7606F" w:rsidRDefault="00B7606F" w:rsidP="00B7606F">
      <w:pPr>
        <w:pStyle w:val="ListParagraph"/>
        <w:numPr>
          <w:ilvl w:val="0"/>
          <w:numId w:val="45"/>
        </w:numPr>
        <w:jc w:val="both"/>
        <w:rPr>
          <w:lang w:eastAsia="x-none"/>
        </w:rPr>
      </w:pPr>
      <w:r>
        <w:rPr>
          <w:lang w:eastAsia="x-none"/>
        </w:rPr>
        <w:t>Establish a reputation as a program which also supports local community events and priorities (i.e. invests in communities as well as their local environment where possible).</w:t>
      </w:r>
    </w:p>
    <w:p w14:paraId="2047CDE6" w14:textId="77777777" w:rsidR="00DF4D8A" w:rsidRDefault="00B7606F" w:rsidP="00B7606F">
      <w:pPr>
        <w:jc w:val="both"/>
        <w:rPr>
          <w:lang w:eastAsia="x-none"/>
        </w:rPr>
      </w:pPr>
      <w:r>
        <w:rPr>
          <w:lang w:eastAsia="x-none"/>
        </w:rPr>
        <w:t xml:space="preserve">The ultimate goal of the external C&amp;E activities under the LTIM Project </w:t>
      </w:r>
      <w:r w:rsidR="00DF4D8A">
        <w:rPr>
          <w:lang w:eastAsia="x-none"/>
        </w:rPr>
        <w:t>has been</w:t>
      </w:r>
      <w:r>
        <w:rPr>
          <w:lang w:eastAsia="x-none"/>
        </w:rPr>
        <w:t xml:space="preserve"> to influence attitudes towards use of environmental water in the Lachlan, leading to more collaborative environmental management or delivery, as well as opportunities to improve environmental water outcomes via compl</w:t>
      </w:r>
      <w:r w:rsidR="00DF4D8A">
        <w:rPr>
          <w:lang w:eastAsia="x-none"/>
        </w:rPr>
        <w:t>e</w:t>
      </w:r>
      <w:r>
        <w:rPr>
          <w:lang w:eastAsia="x-none"/>
        </w:rPr>
        <w:t>mentary land management</w:t>
      </w:r>
      <w:r w:rsidR="00DF4D8A">
        <w:rPr>
          <w:lang w:eastAsia="x-none"/>
        </w:rPr>
        <w:t xml:space="preserve"> activities</w:t>
      </w:r>
      <w:r>
        <w:rPr>
          <w:lang w:eastAsia="x-none"/>
        </w:rPr>
        <w:t>.</w:t>
      </w:r>
    </w:p>
    <w:p w14:paraId="7CFF40B2" w14:textId="2A8F247A" w:rsidR="00B7606F" w:rsidRDefault="00DF4D8A" w:rsidP="00B7606F">
      <w:pPr>
        <w:jc w:val="both"/>
        <w:rPr>
          <w:lang w:eastAsia="x-none"/>
        </w:rPr>
      </w:pPr>
      <w:r>
        <w:rPr>
          <w:lang w:eastAsia="x-none"/>
        </w:rPr>
        <w:t xml:space="preserve">The 2018-19 external C&amp;E activities can be grouped into </w:t>
      </w:r>
      <w:r w:rsidR="00880453">
        <w:rPr>
          <w:lang w:eastAsia="x-none"/>
        </w:rPr>
        <w:t>6</w:t>
      </w:r>
      <w:r>
        <w:rPr>
          <w:lang w:eastAsia="x-none"/>
        </w:rPr>
        <w:t xml:space="preserve"> types:</w:t>
      </w:r>
    </w:p>
    <w:p w14:paraId="50C6F31F" w14:textId="77777777" w:rsidR="00DF4D8A" w:rsidRDefault="00DF4D8A" w:rsidP="00A370F4">
      <w:pPr>
        <w:pStyle w:val="ListParagraph"/>
        <w:numPr>
          <w:ilvl w:val="0"/>
          <w:numId w:val="50"/>
        </w:numPr>
      </w:pPr>
      <w:r>
        <w:t xml:space="preserve">Local media products </w:t>
      </w:r>
    </w:p>
    <w:p w14:paraId="7F57E5E8" w14:textId="77777777" w:rsidR="00DF4D8A" w:rsidRDefault="00DF4D8A" w:rsidP="00A370F4">
      <w:pPr>
        <w:pStyle w:val="ListParagraph"/>
        <w:numPr>
          <w:ilvl w:val="0"/>
          <w:numId w:val="50"/>
        </w:numPr>
      </w:pPr>
      <w:r>
        <w:t>Community updates</w:t>
      </w:r>
    </w:p>
    <w:p w14:paraId="77209794" w14:textId="77777777" w:rsidR="00DF4D8A" w:rsidRDefault="00DF4D8A" w:rsidP="00A370F4">
      <w:pPr>
        <w:pStyle w:val="ListParagraph"/>
        <w:numPr>
          <w:ilvl w:val="0"/>
          <w:numId w:val="50"/>
        </w:numPr>
      </w:pPr>
      <w:r>
        <w:t>Social media</w:t>
      </w:r>
    </w:p>
    <w:p w14:paraId="3B6B3BA3" w14:textId="42525F07" w:rsidR="00DF4D8A" w:rsidRDefault="00815B96" w:rsidP="00A370F4">
      <w:pPr>
        <w:pStyle w:val="ListParagraph"/>
        <w:numPr>
          <w:ilvl w:val="0"/>
          <w:numId w:val="50"/>
        </w:numPr>
      </w:pPr>
      <w:r>
        <w:t>Reporting and s</w:t>
      </w:r>
      <w:r w:rsidR="00DF4D8A">
        <w:t>cientific outputs</w:t>
      </w:r>
    </w:p>
    <w:p w14:paraId="363C03E6" w14:textId="77777777" w:rsidR="00DF4D8A" w:rsidRDefault="00DF4D8A" w:rsidP="00A370F4">
      <w:pPr>
        <w:pStyle w:val="ListParagraph"/>
        <w:numPr>
          <w:ilvl w:val="0"/>
          <w:numId w:val="50"/>
        </w:numPr>
      </w:pPr>
      <w:r>
        <w:t>Community events and demonstration</w:t>
      </w:r>
    </w:p>
    <w:p w14:paraId="59B42A01" w14:textId="1C77AD31" w:rsidR="00DF4D8A" w:rsidRDefault="00DF4D8A" w:rsidP="00A370F4">
      <w:pPr>
        <w:pStyle w:val="ListParagraph"/>
        <w:numPr>
          <w:ilvl w:val="0"/>
          <w:numId w:val="50"/>
        </w:numPr>
      </w:pPr>
      <w:r>
        <w:t>Relationship management</w:t>
      </w:r>
    </w:p>
    <w:p w14:paraId="149F5306" w14:textId="46630A8D" w:rsidR="00DF4D8A" w:rsidRDefault="00DF4D8A" w:rsidP="00DF4D8A">
      <w:pPr>
        <w:pStyle w:val="Heading4"/>
      </w:pPr>
      <w:r>
        <w:t>Local media products</w:t>
      </w:r>
    </w:p>
    <w:p w14:paraId="60989677" w14:textId="5F004A03" w:rsidR="00FA4F4A" w:rsidRDefault="00FA4F4A" w:rsidP="00FA4F4A">
      <w:pPr>
        <w:rPr>
          <w:lang w:val="en-US" w:eastAsia="x-none"/>
        </w:rPr>
      </w:pPr>
      <w:r>
        <w:rPr>
          <w:lang w:val="en-US" w:eastAsia="x-none"/>
        </w:rPr>
        <w:t xml:space="preserve">The </w:t>
      </w:r>
      <w:r w:rsidR="00E05711">
        <w:rPr>
          <w:lang w:val="en-US" w:eastAsia="x-none"/>
        </w:rPr>
        <w:t>LTIM Project</w:t>
      </w:r>
      <w:r>
        <w:rPr>
          <w:lang w:val="en-US" w:eastAsia="x-none"/>
        </w:rPr>
        <w:t xml:space="preserve"> have supported two community activities in 2018-19 that have resulted in mention in the Lake News (</w:t>
      </w:r>
      <w:r>
        <w:rPr>
          <w:lang w:val="en-US" w:eastAsia="x-none"/>
        </w:rPr>
        <w:fldChar w:fldCharType="begin"/>
      </w:r>
      <w:r>
        <w:rPr>
          <w:lang w:val="en-US" w:eastAsia="x-none"/>
        </w:rPr>
        <w:instrText xml:space="preserve"> REF _Ref4502316 \h </w:instrText>
      </w:r>
      <w:r>
        <w:rPr>
          <w:lang w:val="en-US" w:eastAsia="x-none"/>
        </w:rPr>
      </w:r>
      <w:r>
        <w:rPr>
          <w:lang w:val="en-US" w:eastAsia="x-none"/>
        </w:rPr>
        <w:fldChar w:fldCharType="separate"/>
      </w:r>
      <w:r w:rsidR="007F7607">
        <w:t xml:space="preserve">Figure </w:t>
      </w:r>
      <w:r w:rsidR="007F7607">
        <w:rPr>
          <w:noProof/>
        </w:rPr>
        <w:t>93</w:t>
      </w:r>
      <w:r>
        <w:rPr>
          <w:lang w:val="en-US" w:eastAsia="x-none"/>
        </w:rPr>
        <w:fldChar w:fldCharType="end"/>
      </w:r>
      <w:r>
        <w:rPr>
          <w:lang w:val="en-US" w:eastAsia="x-none"/>
        </w:rPr>
        <w:t xml:space="preserve"> and </w:t>
      </w:r>
      <w:r>
        <w:rPr>
          <w:lang w:val="en-US" w:eastAsia="x-none"/>
        </w:rPr>
        <w:fldChar w:fldCharType="begin"/>
      </w:r>
      <w:r>
        <w:rPr>
          <w:lang w:val="en-US" w:eastAsia="x-none"/>
        </w:rPr>
        <w:instrText xml:space="preserve"> REF _Ref24384053 \h </w:instrText>
      </w:r>
      <w:r>
        <w:rPr>
          <w:lang w:val="en-US" w:eastAsia="x-none"/>
        </w:rPr>
      </w:r>
      <w:r>
        <w:rPr>
          <w:lang w:val="en-US" w:eastAsia="x-none"/>
        </w:rPr>
        <w:fldChar w:fldCharType="separate"/>
      </w:r>
      <w:r w:rsidR="007F7607" w:rsidRPr="000C418B">
        <w:t xml:space="preserve">Figure </w:t>
      </w:r>
      <w:r w:rsidR="007F7607">
        <w:rPr>
          <w:noProof/>
        </w:rPr>
        <w:t>94</w:t>
      </w:r>
      <w:r>
        <w:rPr>
          <w:lang w:val="en-US" w:eastAsia="x-none"/>
        </w:rPr>
        <w:fldChar w:fldCharType="end"/>
      </w:r>
      <w:r>
        <w:rPr>
          <w:lang w:val="en-US" w:eastAsia="x-none"/>
        </w:rPr>
        <w:t>)</w:t>
      </w:r>
      <w:r w:rsidR="00880453">
        <w:rPr>
          <w:lang w:val="en-US" w:eastAsia="x-none"/>
        </w:rPr>
        <w:t>.</w:t>
      </w:r>
    </w:p>
    <w:p w14:paraId="498A9A60" w14:textId="77777777" w:rsidR="00FA4F4A" w:rsidRDefault="00FA4F4A" w:rsidP="00FA4F4A">
      <w:pPr>
        <w:jc w:val="center"/>
      </w:pPr>
      <w:r>
        <w:rPr>
          <w:noProof/>
          <w:lang w:eastAsia="en-AU"/>
        </w:rPr>
        <w:drawing>
          <wp:inline distT="0" distB="0" distL="0" distR="0" wp14:anchorId="7831C05D" wp14:editId="27AD9ED5">
            <wp:extent cx="5753100" cy="4286250"/>
            <wp:effectExtent l="0" t="0" r="0" b="0"/>
            <wp:docPr id="110" name="Picture 110" descr="H:\IAE\b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AE\boo.jpg"/>
                    <pic:cNvPicPr>
                      <a:picLocks noChangeAspect="1" noChangeArrowheads="1"/>
                    </pic:cNvPicPr>
                  </pic:nvPicPr>
                  <pic:blipFill rotWithShape="1">
                    <a:blip r:embed="rId191" cstate="hqprint">
                      <a:extLst>
                        <a:ext uri="{28A0092B-C50C-407E-A947-70E740481C1C}">
                          <a14:useLocalDpi xmlns:a14="http://schemas.microsoft.com/office/drawing/2010/main"/>
                        </a:ext>
                      </a:extLst>
                    </a:blip>
                    <a:srcRect/>
                    <a:stretch/>
                  </pic:blipFill>
                  <pic:spPr bwMode="auto">
                    <a:xfrm>
                      <a:off x="0" y="0"/>
                      <a:ext cx="5753100" cy="4286250"/>
                    </a:xfrm>
                    <a:prstGeom prst="rect">
                      <a:avLst/>
                    </a:prstGeom>
                    <a:noFill/>
                    <a:ln>
                      <a:noFill/>
                    </a:ln>
                    <a:extLst>
                      <a:ext uri="{53640926-AAD7-44D8-BBD7-CCE9431645EC}">
                        <a14:shadowObscured xmlns:a14="http://schemas.microsoft.com/office/drawing/2010/main"/>
                      </a:ext>
                    </a:extLst>
                  </pic:spPr>
                </pic:pic>
              </a:graphicData>
            </a:graphic>
          </wp:inline>
        </w:drawing>
      </w:r>
    </w:p>
    <w:p w14:paraId="65513A2D" w14:textId="43D2C064" w:rsidR="00FA4F4A" w:rsidRDefault="00FA4F4A" w:rsidP="00FA4F4A">
      <w:pPr>
        <w:pStyle w:val="Caption"/>
      </w:pPr>
      <w:bookmarkStart w:id="690" w:name="_Ref4502316"/>
      <w:bookmarkStart w:id="691" w:name="_Toc31985657"/>
      <w:r>
        <w:t xml:space="preserve">Figure </w:t>
      </w:r>
      <w:r>
        <w:rPr>
          <w:noProof/>
        </w:rPr>
        <w:fldChar w:fldCharType="begin"/>
      </w:r>
      <w:r>
        <w:rPr>
          <w:noProof/>
        </w:rPr>
        <w:instrText xml:space="preserve"> SEQ Figure \* ARABIC </w:instrText>
      </w:r>
      <w:r>
        <w:rPr>
          <w:noProof/>
        </w:rPr>
        <w:fldChar w:fldCharType="separate"/>
      </w:r>
      <w:r w:rsidR="007F7607">
        <w:rPr>
          <w:noProof/>
        </w:rPr>
        <w:t>93</w:t>
      </w:r>
      <w:r>
        <w:rPr>
          <w:noProof/>
        </w:rPr>
        <w:fldChar w:fldCharType="end"/>
      </w:r>
      <w:bookmarkEnd w:id="690"/>
      <w:r w:rsidR="00CD6EDA">
        <w:rPr>
          <w:noProof/>
        </w:rPr>
        <w:t>.</w:t>
      </w:r>
      <w:r>
        <w:t xml:space="preserve"> Lake News newspaper article from the 29</w:t>
      </w:r>
      <w:r w:rsidRPr="00567766">
        <w:rPr>
          <w:vertAlign w:val="superscript"/>
        </w:rPr>
        <w:t>th</w:t>
      </w:r>
      <w:r>
        <w:t xml:space="preserve"> of March 2019</w:t>
      </w:r>
      <w:bookmarkEnd w:id="691"/>
    </w:p>
    <w:p w14:paraId="2DE51CB2" w14:textId="77777777" w:rsidR="00FA4F4A" w:rsidRPr="00FA4F4A" w:rsidRDefault="00FA4F4A" w:rsidP="00FA4F4A">
      <w:pPr>
        <w:rPr>
          <w:lang w:val="en-US" w:eastAsia="x-none"/>
        </w:rPr>
      </w:pPr>
    </w:p>
    <w:p w14:paraId="705DC36E" w14:textId="77777777" w:rsidR="00FA4F4A" w:rsidRDefault="00FA4F4A" w:rsidP="00FA4F4A">
      <w:pPr>
        <w:jc w:val="center"/>
        <w:rPr>
          <w:rStyle w:val="CaptionChar"/>
          <w:rFonts w:eastAsia="MS Mincho"/>
        </w:rPr>
      </w:pPr>
      <w:r>
        <w:rPr>
          <w:noProof/>
          <w:lang w:eastAsia="en-AU"/>
        </w:rPr>
        <w:drawing>
          <wp:inline distT="0" distB="0" distL="0" distR="0" wp14:anchorId="431CD725" wp14:editId="447682E7">
            <wp:extent cx="5029200" cy="5828665"/>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5034828" cy="5835188"/>
                    </a:xfrm>
                    <a:prstGeom prst="rect">
                      <a:avLst/>
                    </a:prstGeom>
                    <a:ln>
                      <a:noFill/>
                    </a:ln>
                    <a:extLst>
                      <a:ext uri="{53640926-AAD7-44D8-BBD7-CCE9431645EC}">
                        <a14:shadowObscured xmlns:a14="http://schemas.microsoft.com/office/drawing/2010/main"/>
                      </a:ext>
                    </a:extLst>
                  </pic:spPr>
                </pic:pic>
              </a:graphicData>
            </a:graphic>
          </wp:inline>
        </w:drawing>
      </w:r>
    </w:p>
    <w:p w14:paraId="581F4813" w14:textId="61BBC686" w:rsidR="00FA4F4A" w:rsidRPr="000C418B" w:rsidRDefault="00FA4F4A" w:rsidP="000C418B">
      <w:pPr>
        <w:pStyle w:val="Caption"/>
      </w:pPr>
      <w:bookmarkStart w:id="692" w:name="_Ref24384053"/>
      <w:bookmarkStart w:id="693" w:name="_Toc31985658"/>
      <w:r w:rsidRPr="000C418B">
        <w:rPr>
          <w:rFonts w:eastAsia="MS Mincho"/>
        </w:rPr>
        <w:t xml:space="preserve">Figure </w:t>
      </w:r>
      <w:r w:rsidRPr="000C418B">
        <w:rPr>
          <w:rFonts w:eastAsia="MS Mincho"/>
        </w:rPr>
        <w:fldChar w:fldCharType="begin"/>
      </w:r>
      <w:r w:rsidRPr="000C418B">
        <w:rPr>
          <w:rFonts w:eastAsia="MS Mincho"/>
        </w:rPr>
        <w:instrText xml:space="preserve"> SEQ Figure \* ARABIC </w:instrText>
      </w:r>
      <w:r w:rsidRPr="000C418B">
        <w:rPr>
          <w:rFonts w:eastAsia="MS Mincho"/>
        </w:rPr>
        <w:fldChar w:fldCharType="separate"/>
      </w:r>
      <w:r w:rsidR="007F7607">
        <w:rPr>
          <w:rFonts w:eastAsia="MS Mincho"/>
          <w:noProof/>
        </w:rPr>
        <w:t>94</w:t>
      </w:r>
      <w:r w:rsidRPr="000C418B">
        <w:rPr>
          <w:rFonts w:eastAsia="MS Mincho"/>
        </w:rPr>
        <w:fldChar w:fldCharType="end"/>
      </w:r>
      <w:bookmarkEnd w:id="692"/>
      <w:r w:rsidR="006529C2">
        <w:rPr>
          <w:rFonts w:eastAsia="MS Mincho"/>
        </w:rPr>
        <w:t>.</w:t>
      </w:r>
      <w:r w:rsidRPr="000C418B">
        <w:rPr>
          <w:rFonts w:eastAsia="MS Mincho"/>
        </w:rPr>
        <w:t xml:space="preserve"> Lake News newspaper article from the 12th of June 2019.</w:t>
      </w:r>
      <w:bookmarkEnd w:id="693"/>
    </w:p>
    <w:p w14:paraId="6A4684DA" w14:textId="1188B74E" w:rsidR="00DF4D8A" w:rsidRDefault="00DF4D8A" w:rsidP="00DF4D8A">
      <w:pPr>
        <w:pStyle w:val="Heading4"/>
      </w:pPr>
      <w:r>
        <w:t>Community updates</w:t>
      </w:r>
    </w:p>
    <w:p w14:paraId="44ECE794" w14:textId="06F06875" w:rsidR="00FA4F4A" w:rsidRPr="00714160" w:rsidRDefault="00714160" w:rsidP="00FA4F4A">
      <w:pPr>
        <w:rPr>
          <w:lang w:val="en-US" w:eastAsia="x-none"/>
        </w:rPr>
      </w:pPr>
      <w:r>
        <w:rPr>
          <w:lang w:val="en-US" w:eastAsia="x-none"/>
        </w:rPr>
        <w:t>The NSW Lachlan environmental water manager has provided two detailed operational updates to</w:t>
      </w:r>
      <w:r w:rsidR="00880453">
        <w:rPr>
          <w:lang w:val="en-US" w:eastAsia="x-none"/>
        </w:rPr>
        <w:t xml:space="preserve"> a</w:t>
      </w:r>
      <w:r>
        <w:rPr>
          <w:lang w:val="en-US" w:eastAsia="x-none"/>
        </w:rPr>
        <w:t xml:space="preserve"> local distribution list. These updates provide information about environmental water events to interested parties in the region and include information about Commonwealth environmental water delivery as well as NSW environmental water delivery.</w:t>
      </w:r>
    </w:p>
    <w:p w14:paraId="1C9C9817" w14:textId="4060CF45" w:rsidR="00DF4D8A" w:rsidRDefault="00DF4D8A" w:rsidP="00DF4D8A">
      <w:pPr>
        <w:pStyle w:val="Heading4"/>
      </w:pPr>
      <w:r>
        <w:t>Social media</w:t>
      </w:r>
    </w:p>
    <w:p w14:paraId="5CFC6361" w14:textId="08DA2FEE" w:rsidR="00714160" w:rsidRPr="00714160" w:rsidRDefault="00714160" w:rsidP="00714160">
      <w:pPr>
        <w:rPr>
          <w:lang w:val="en-US" w:eastAsia="x-none"/>
        </w:rPr>
      </w:pPr>
      <w:r>
        <w:rPr>
          <w:lang w:val="en-US" w:eastAsia="x-none"/>
        </w:rPr>
        <w:t xml:space="preserve">The social media activities associated with the </w:t>
      </w:r>
      <w:r w:rsidR="00E05711">
        <w:rPr>
          <w:lang w:val="en-US" w:eastAsia="x-none"/>
        </w:rPr>
        <w:t>LTIM Project</w:t>
      </w:r>
      <w:r>
        <w:rPr>
          <w:lang w:val="en-US" w:eastAsia="x-none"/>
        </w:rPr>
        <w:t xml:space="preserve"> have been confined to Twitter in 2018-19. They have included direct tweets by members of the monitoring team (see </w:t>
      </w:r>
      <w:r>
        <w:rPr>
          <w:lang w:val="en-US" w:eastAsia="x-none"/>
        </w:rPr>
        <w:fldChar w:fldCharType="begin"/>
      </w:r>
      <w:r>
        <w:rPr>
          <w:lang w:val="en-US" w:eastAsia="x-none"/>
        </w:rPr>
        <w:instrText xml:space="preserve"> REF _Ref532889576 \h </w:instrText>
      </w:r>
      <w:r>
        <w:rPr>
          <w:lang w:val="en-US" w:eastAsia="x-none"/>
        </w:rPr>
      </w:r>
      <w:r>
        <w:rPr>
          <w:lang w:val="en-US" w:eastAsia="x-none"/>
        </w:rPr>
        <w:fldChar w:fldCharType="separate"/>
      </w:r>
      <w:r w:rsidR="007F7607">
        <w:t xml:space="preserve">Figure </w:t>
      </w:r>
      <w:r w:rsidR="007F7607">
        <w:rPr>
          <w:noProof/>
        </w:rPr>
        <w:t>95</w:t>
      </w:r>
      <w:r>
        <w:rPr>
          <w:lang w:val="en-US" w:eastAsia="x-none"/>
        </w:rPr>
        <w:fldChar w:fldCharType="end"/>
      </w:r>
      <w:r>
        <w:rPr>
          <w:lang w:val="en-US" w:eastAsia="x-none"/>
        </w:rPr>
        <w:t xml:space="preserve"> for examples) or the provision of imagery that have enabled the CEWH to tweet (see </w:t>
      </w:r>
      <w:r>
        <w:rPr>
          <w:lang w:val="en-US" w:eastAsia="x-none"/>
        </w:rPr>
        <w:fldChar w:fldCharType="begin"/>
      </w:r>
      <w:r>
        <w:rPr>
          <w:lang w:val="en-US" w:eastAsia="x-none"/>
        </w:rPr>
        <w:instrText xml:space="preserve"> REF _Ref24384393 \h </w:instrText>
      </w:r>
      <w:r>
        <w:rPr>
          <w:lang w:val="en-US" w:eastAsia="x-none"/>
        </w:rPr>
      </w:r>
      <w:r>
        <w:rPr>
          <w:lang w:val="en-US" w:eastAsia="x-none"/>
        </w:rPr>
        <w:fldChar w:fldCharType="separate"/>
      </w:r>
      <w:r w:rsidR="007F7607">
        <w:t xml:space="preserve">Figure </w:t>
      </w:r>
      <w:r w:rsidR="007F7607">
        <w:rPr>
          <w:noProof/>
        </w:rPr>
        <w:t>96</w:t>
      </w:r>
      <w:r>
        <w:rPr>
          <w:lang w:val="en-US" w:eastAsia="x-none"/>
        </w:rPr>
        <w:fldChar w:fldCharType="end"/>
      </w:r>
      <w:r>
        <w:rPr>
          <w:lang w:val="en-US" w:eastAsia="x-none"/>
        </w:rPr>
        <w:t xml:space="preserve"> for an example).  </w:t>
      </w:r>
    </w:p>
    <w:p w14:paraId="40403537" w14:textId="77777777" w:rsidR="00815B96" w:rsidRDefault="00815B96" w:rsidP="00815B96">
      <w:pPr>
        <w:keepNext/>
        <w:jc w:val="both"/>
      </w:pPr>
      <w:r>
        <w:rPr>
          <w:rFonts w:cstheme="minorHAnsi"/>
          <w:noProof/>
          <w:sz w:val="20"/>
          <w:szCs w:val="20"/>
          <w:lang w:eastAsia="en-AU"/>
        </w:rPr>
        <w:drawing>
          <wp:inline distT="0" distB="0" distL="0" distR="0" wp14:anchorId="780F3EDB" wp14:editId="7BEB4147">
            <wp:extent cx="6210935" cy="3493770"/>
            <wp:effectExtent l="0" t="0" r="0" b="0"/>
            <wp:docPr id="288" name="Picture 288" descr="A screenshot of a social media po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yerTweets.png"/>
                    <pic:cNvPicPr/>
                  </pic:nvPicPr>
                  <pic:blipFill>
                    <a:blip r:embed="rId193" cstate="email">
                      <a:extLst>
                        <a:ext uri="{28A0092B-C50C-407E-A947-70E740481C1C}">
                          <a14:useLocalDpi xmlns:a14="http://schemas.microsoft.com/office/drawing/2010/main"/>
                        </a:ext>
                      </a:extLst>
                    </a:blip>
                    <a:stretch>
                      <a:fillRect/>
                    </a:stretch>
                  </pic:blipFill>
                  <pic:spPr>
                    <a:xfrm>
                      <a:off x="0" y="0"/>
                      <a:ext cx="6210935" cy="3493770"/>
                    </a:xfrm>
                    <a:prstGeom prst="rect">
                      <a:avLst/>
                    </a:prstGeom>
                  </pic:spPr>
                </pic:pic>
              </a:graphicData>
            </a:graphic>
          </wp:inline>
        </w:drawing>
      </w:r>
    </w:p>
    <w:p w14:paraId="7A465A9D" w14:textId="1E2FF378" w:rsidR="00815B96" w:rsidRPr="00F54E29" w:rsidRDefault="00815B96" w:rsidP="00815B96">
      <w:pPr>
        <w:pStyle w:val="Caption"/>
      </w:pPr>
      <w:bookmarkStart w:id="694" w:name="_Ref532889576"/>
      <w:bookmarkStart w:id="695" w:name="_Toc31985659"/>
      <w:r>
        <w:t xml:space="preserve">Figure </w:t>
      </w:r>
      <w:r>
        <w:rPr>
          <w:noProof/>
        </w:rPr>
        <w:fldChar w:fldCharType="begin"/>
      </w:r>
      <w:r>
        <w:rPr>
          <w:noProof/>
        </w:rPr>
        <w:instrText xml:space="preserve"> SEQ Figure \* ARABIC </w:instrText>
      </w:r>
      <w:r>
        <w:rPr>
          <w:noProof/>
        </w:rPr>
        <w:fldChar w:fldCharType="separate"/>
      </w:r>
      <w:r w:rsidR="007F7607">
        <w:rPr>
          <w:noProof/>
        </w:rPr>
        <w:t>95</w:t>
      </w:r>
      <w:r>
        <w:rPr>
          <w:noProof/>
        </w:rPr>
        <w:fldChar w:fldCharType="end"/>
      </w:r>
      <w:bookmarkEnd w:id="694"/>
      <w:r w:rsidR="006529C2">
        <w:rPr>
          <w:noProof/>
        </w:rPr>
        <w:t>.</w:t>
      </w:r>
      <w:r>
        <w:t xml:space="preserve"> Dr Fiona Dyer's LTIM Vegetation Tweets during November 2018 promoting the Lachlan LTIM Project.</w:t>
      </w:r>
      <w:bookmarkEnd w:id="695"/>
    </w:p>
    <w:p w14:paraId="43C229D6" w14:textId="77777777" w:rsidR="00714160" w:rsidRDefault="00714160" w:rsidP="00714160">
      <w:pPr>
        <w:keepNext/>
        <w:ind w:left="45"/>
        <w:jc w:val="center"/>
      </w:pPr>
      <w:r>
        <w:rPr>
          <w:noProof/>
          <w:lang w:eastAsia="en-AU"/>
        </w:rPr>
        <w:drawing>
          <wp:inline distT="0" distB="0" distL="0" distR="0" wp14:anchorId="66307764" wp14:editId="6C6126E5">
            <wp:extent cx="2933991" cy="3562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2944776" cy="3575445"/>
                    </a:xfrm>
                    <a:prstGeom prst="rect">
                      <a:avLst/>
                    </a:prstGeom>
                  </pic:spPr>
                </pic:pic>
              </a:graphicData>
            </a:graphic>
          </wp:inline>
        </w:drawing>
      </w:r>
    </w:p>
    <w:p w14:paraId="4A186EEB" w14:textId="46E976ED" w:rsidR="00714160" w:rsidRDefault="00714160" w:rsidP="00714160">
      <w:pPr>
        <w:pStyle w:val="Caption"/>
        <w:rPr>
          <w:rFonts w:cstheme="minorHAnsi"/>
          <w:sz w:val="20"/>
          <w:szCs w:val="20"/>
        </w:rPr>
      </w:pPr>
      <w:bookmarkStart w:id="696" w:name="_Ref24384393"/>
      <w:bookmarkStart w:id="697" w:name="_Toc31985660"/>
      <w:r>
        <w:t xml:space="preserve">Figure </w:t>
      </w:r>
      <w:r>
        <w:fldChar w:fldCharType="begin"/>
      </w:r>
      <w:r>
        <w:instrText>SEQ Figure \* ARABIC</w:instrText>
      </w:r>
      <w:r>
        <w:fldChar w:fldCharType="separate"/>
      </w:r>
      <w:r w:rsidR="007F7607">
        <w:rPr>
          <w:noProof/>
        </w:rPr>
        <w:t>96</w:t>
      </w:r>
      <w:r>
        <w:fldChar w:fldCharType="end"/>
      </w:r>
      <w:bookmarkEnd w:id="696"/>
      <w:r w:rsidR="0018699C">
        <w:rPr>
          <w:noProof/>
        </w:rPr>
        <w:t>.</w:t>
      </w:r>
      <w:r w:rsidRPr="00714160">
        <w:rPr>
          <w:noProof/>
        </w:rPr>
        <w:t xml:space="preserve"> </w:t>
      </w:r>
      <w:r>
        <w:rPr>
          <w:noProof/>
        </w:rPr>
        <w:t>Tweet from @theCEWH</w:t>
      </w:r>
      <w:r>
        <w:t xml:space="preserve"> noting </w:t>
      </w:r>
      <w:r>
        <w:rPr>
          <w:noProof/>
        </w:rPr>
        <w:t xml:space="preserve">the </w:t>
      </w:r>
      <w:r w:rsidRPr="00FB79FE">
        <w:rPr>
          <w:noProof/>
        </w:rPr>
        <w:t>capture of the threatened silver perch at one of the LTIM sites</w:t>
      </w:r>
      <w:bookmarkEnd w:id="697"/>
    </w:p>
    <w:p w14:paraId="24327F09" w14:textId="77777777" w:rsidR="00815B96" w:rsidRPr="00815B96" w:rsidRDefault="00815B96" w:rsidP="00815B96">
      <w:pPr>
        <w:rPr>
          <w:lang w:val="x-none" w:eastAsia="x-none"/>
        </w:rPr>
      </w:pPr>
    </w:p>
    <w:p w14:paraId="71821AC9" w14:textId="6D146017" w:rsidR="00DF4D8A" w:rsidRDefault="00DF4D8A" w:rsidP="00DF4D8A">
      <w:pPr>
        <w:pStyle w:val="Heading4"/>
      </w:pPr>
      <w:r>
        <w:t>Reporting and scientific outputs</w:t>
      </w:r>
    </w:p>
    <w:p w14:paraId="06EC8B7D" w14:textId="77777777" w:rsidR="007F7607" w:rsidRDefault="00714160">
      <w:pPr>
        <w:spacing w:before="0" w:after="0"/>
        <w:rPr>
          <w:lang w:val="en-US" w:eastAsia="x-none"/>
        </w:rPr>
      </w:pPr>
      <w:r>
        <w:rPr>
          <w:rFonts w:cstheme="minorHAnsi"/>
        </w:rPr>
        <w:t xml:space="preserve">Five presentations on </w:t>
      </w:r>
      <w:r w:rsidR="000F2B1A">
        <w:rPr>
          <w:rFonts w:cstheme="minorHAnsi"/>
        </w:rPr>
        <w:t xml:space="preserve">work </w:t>
      </w:r>
      <w:r w:rsidR="00815B96" w:rsidRPr="002223DD">
        <w:rPr>
          <w:rFonts w:cstheme="minorHAnsi"/>
        </w:rPr>
        <w:t xml:space="preserve">associated with LTIM activities </w:t>
      </w:r>
      <w:r>
        <w:rPr>
          <w:rFonts w:cstheme="minorHAnsi"/>
        </w:rPr>
        <w:t xml:space="preserve">were </w:t>
      </w:r>
      <w:r w:rsidR="00815B96" w:rsidRPr="002223DD">
        <w:rPr>
          <w:rFonts w:cstheme="minorHAnsi"/>
        </w:rPr>
        <w:t xml:space="preserve">presented at two conferences on behalf of the LTIM team </w:t>
      </w:r>
      <w:r>
        <w:rPr>
          <w:rFonts w:cstheme="minorHAnsi"/>
        </w:rPr>
        <w:t>in 2018-19</w:t>
      </w:r>
      <w:r w:rsidR="00180A59">
        <w:rPr>
          <w:rFonts w:cstheme="minorHAnsi"/>
        </w:rPr>
        <w:t xml:space="preserve"> (</w:t>
      </w:r>
      <w:r w:rsidR="00180A59">
        <w:rPr>
          <w:rFonts w:cstheme="minorHAnsi"/>
        </w:rPr>
        <w:fldChar w:fldCharType="begin"/>
      </w:r>
      <w:r w:rsidR="00180A59">
        <w:rPr>
          <w:rFonts w:cstheme="minorHAnsi"/>
        </w:rPr>
        <w:instrText xml:space="preserve"> REF _Ref24384764 \h </w:instrText>
      </w:r>
      <w:r w:rsidR="00180A59">
        <w:rPr>
          <w:rFonts w:cstheme="minorHAnsi"/>
        </w:rPr>
      </w:r>
      <w:r w:rsidR="00180A59">
        <w:rPr>
          <w:rFonts w:cstheme="minorHAnsi"/>
        </w:rPr>
        <w:fldChar w:fldCharType="separate"/>
      </w:r>
      <w:r w:rsidR="007F7607">
        <w:t xml:space="preserve">Table </w:t>
      </w:r>
      <w:r w:rsidR="007F7607">
        <w:rPr>
          <w:noProof/>
        </w:rPr>
        <w:t>33</w:t>
      </w:r>
      <w:r w:rsidR="00180A59">
        <w:rPr>
          <w:rFonts w:cstheme="minorHAnsi"/>
        </w:rPr>
        <w:fldChar w:fldCharType="end"/>
      </w:r>
      <w:r w:rsidR="00180A59">
        <w:rPr>
          <w:rFonts w:cstheme="minorHAnsi"/>
        </w:rPr>
        <w:t>)</w:t>
      </w:r>
      <w:r w:rsidR="00F358FA">
        <w:rPr>
          <w:rStyle w:val="FootnoteReference"/>
          <w:rFonts w:cstheme="minorHAnsi"/>
        </w:rPr>
        <w:footnoteReference w:id="5"/>
      </w:r>
      <w:r>
        <w:rPr>
          <w:rFonts w:cstheme="minorHAnsi"/>
        </w:rPr>
        <w:t xml:space="preserve">. A further 3 scientific papers were published that were related to </w:t>
      </w:r>
      <w:r w:rsidR="000F2B1A">
        <w:rPr>
          <w:rFonts w:cstheme="minorHAnsi"/>
        </w:rPr>
        <w:t xml:space="preserve">research which has been undertaken in association with </w:t>
      </w:r>
      <w:r w:rsidR="00FA1B10">
        <w:rPr>
          <w:rFonts w:cstheme="minorHAnsi"/>
        </w:rPr>
        <w:t xml:space="preserve">monitoring that was undertaken in the Lachlan Selected Area </w:t>
      </w:r>
      <w:r w:rsidR="00180A59">
        <w:rPr>
          <w:rFonts w:cstheme="minorHAnsi"/>
        </w:rPr>
        <w:t>(</w:t>
      </w:r>
      <w:r w:rsidR="000F2B1A">
        <w:rPr>
          <w:rFonts w:cstheme="minorHAnsi"/>
        </w:rPr>
        <w:fldChar w:fldCharType="begin"/>
      </w:r>
      <w:r w:rsidR="000F2B1A">
        <w:rPr>
          <w:rFonts w:cstheme="minorHAnsi"/>
        </w:rPr>
        <w:instrText xml:space="preserve"> REF _Ref24385422 \h </w:instrText>
      </w:r>
      <w:r w:rsidR="000F2B1A">
        <w:rPr>
          <w:rFonts w:cstheme="minorHAnsi"/>
        </w:rPr>
      </w:r>
      <w:r w:rsidR="000F2B1A">
        <w:rPr>
          <w:rFonts w:cstheme="minorHAnsi"/>
        </w:rPr>
        <w:fldChar w:fldCharType="separate"/>
      </w:r>
      <w:r w:rsidR="007F7607">
        <w:rPr>
          <w:bCs/>
          <w:i/>
          <w:lang w:val="en-US" w:eastAsia="x-none"/>
        </w:rPr>
        <w:br w:type="page"/>
      </w:r>
    </w:p>
    <w:p w14:paraId="3FADC8EF" w14:textId="69C9D22A" w:rsidR="00714160" w:rsidRDefault="007F7607" w:rsidP="00714160">
      <w:pPr>
        <w:autoSpaceDE w:val="0"/>
        <w:autoSpaceDN w:val="0"/>
        <w:adjustRightInd w:val="0"/>
        <w:rPr>
          <w:rFonts w:cstheme="minorHAnsi"/>
        </w:rPr>
      </w:pPr>
      <w:r>
        <w:t xml:space="preserve">Table </w:t>
      </w:r>
      <w:r>
        <w:rPr>
          <w:noProof/>
        </w:rPr>
        <w:t>34</w:t>
      </w:r>
      <w:r w:rsidR="000F2B1A">
        <w:rPr>
          <w:rFonts w:cstheme="minorHAnsi"/>
        </w:rPr>
        <w:fldChar w:fldCharType="end"/>
      </w:r>
      <w:r w:rsidR="000F2B1A">
        <w:rPr>
          <w:rFonts w:cstheme="minorHAnsi"/>
        </w:rPr>
        <w:t xml:space="preserve">). </w:t>
      </w:r>
    </w:p>
    <w:p w14:paraId="41B7364F" w14:textId="27829E24" w:rsidR="00815B96" w:rsidRDefault="00815B96" w:rsidP="00815B96">
      <w:pPr>
        <w:rPr>
          <w:rFonts w:cstheme="minorHAnsi"/>
        </w:rPr>
      </w:pPr>
    </w:p>
    <w:p w14:paraId="65293EE0" w14:textId="702CEF7D" w:rsidR="00714160" w:rsidRDefault="00714160" w:rsidP="00714160">
      <w:pPr>
        <w:pStyle w:val="Caption"/>
      </w:pPr>
      <w:bookmarkStart w:id="698" w:name="_Ref24384764"/>
      <w:bookmarkStart w:id="699" w:name="_Ref24384751"/>
      <w:bookmarkStart w:id="700" w:name="_Toc31985700"/>
      <w:r>
        <w:t xml:space="preserve">Table </w:t>
      </w:r>
      <w:r>
        <w:fldChar w:fldCharType="begin"/>
      </w:r>
      <w:r>
        <w:instrText>SEQ Table \* ARABIC</w:instrText>
      </w:r>
      <w:r>
        <w:fldChar w:fldCharType="separate"/>
      </w:r>
      <w:r w:rsidR="007F7607">
        <w:rPr>
          <w:noProof/>
        </w:rPr>
        <w:t>33</w:t>
      </w:r>
      <w:r>
        <w:fldChar w:fldCharType="end"/>
      </w:r>
      <w:bookmarkEnd w:id="698"/>
      <w:r>
        <w:t xml:space="preserve">. Scientific </w:t>
      </w:r>
      <w:r w:rsidR="00180A59">
        <w:t>presentations</w:t>
      </w:r>
      <w:r>
        <w:t xml:space="preserve"> from 2018-19 for the </w:t>
      </w:r>
      <w:r w:rsidR="00E05711">
        <w:t>LTIM Project</w:t>
      </w:r>
      <w:r>
        <w:t xml:space="preserve"> and associated research.</w:t>
      </w:r>
      <w:bookmarkEnd w:id="699"/>
      <w:bookmarkEnd w:id="700"/>
    </w:p>
    <w:tbl>
      <w:tblPr>
        <w:tblStyle w:val="GridTable4-Accent3"/>
        <w:tblW w:w="0" w:type="auto"/>
        <w:tblLook w:val="04A0" w:firstRow="1" w:lastRow="0" w:firstColumn="1" w:lastColumn="0" w:noHBand="0" w:noVBand="1"/>
      </w:tblPr>
      <w:tblGrid>
        <w:gridCol w:w="2689"/>
        <w:gridCol w:w="2693"/>
        <w:gridCol w:w="3634"/>
      </w:tblGrid>
      <w:tr w:rsidR="00180A59" w:rsidRPr="006529C2" w14:paraId="272D2EBC" w14:textId="77777777" w:rsidTr="00410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9CBB4D9" w14:textId="40DF43EC" w:rsidR="00714160" w:rsidRPr="006529C2" w:rsidRDefault="00714160" w:rsidP="00815B96">
            <w:pPr>
              <w:rPr>
                <w:sz w:val="20"/>
                <w:szCs w:val="20"/>
                <w:lang w:val="en-US" w:eastAsia="x-none"/>
              </w:rPr>
            </w:pPr>
            <w:r w:rsidRPr="006529C2">
              <w:rPr>
                <w:sz w:val="20"/>
                <w:szCs w:val="20"/>
                <w:lang w:val="en-US" w:eastAsia="x-none"/>
              </w:rPr>
              <w:t>Presenter</w:t>
            </w:r>
          </w:p>
        </w:tc>
        <w:tc>
          <w:tcPr>
            <w:tcW w:w="2693" w:type="dxa"/>
          </w:tcPr>
          <w:p w14:paraId="26E5BF60" w14:textId="503D8728" w:rsidR="00714160" w:rsidRPr="006529C2" w:rsidRDefault="00714160" w:rsidP="00815B96">
            <w:pPr>
              <w:cnfStyle w:val="100000000000" w:firstRow="1" w:lastRow="0" w:firstColumn="0" w:lastColumn="0" w:oddVBand="0" w:evenVBand="0" w:oddHBand="0" w:evenHBand="0" w:firstRowFirstColumn="0" w:firstRowLastColumn="0" w:lastRowFirstColumn="0" w:lastRowLastColumn="0"/>
              <w:rPr>
                <w:sz w:val="20"/>
                <w:szCs w:val="20"/>
                <w:lang w:val="en-US" w:eastAsia="x-none"/>
              </w:rPr>
            </w:pPr>
            <w:r w:rsidRPr="006529C2">
              <w:rPr>
                <w:sz w:val="20"/>
                <w:szCs w:val="20"/>
                <w:lang w:val="en-US" w:eastAsia="x-none"/>
              </w:rPr>
              <w:t>Conference</w:t>
            </w:r>
          </w:p>
        </w:tc>
        <w:tc>
          <w:tcPr>
            <w:tcW w:w="3634" w:type="dxa"/>
          </w:tcPr>
          <w:p w14:paraId="56EB97D8" w14:textId="46838E66" w:rsidR="00714160" w:rsidRPr="006529C2" w:rsidRDefault="00714160" w:rsidP="00815B96">
            <w:pPr>
              <w:cnfStyle w:val="100000000000" w:firstRow="1" w:lastRow="0" w:firstColumn="0" w:lastColumn="0" w:oddVBand="0" w:evenVBand="0" w:oddHBand="0" w:evenHBand="0" w:firstRowFirstColumn="0" w:firstRowLastColumn="0" w:lastRowFirstColumn="0" w:lastRowLastColumn="0"/>
              <w:rPr>
                <w:sz w:val="20"/>
                <w:szCs w:val="20"/>
                <w:lang w:val="en-US" w:eastAsia="x-none"/>
              </w:rPr>
            </w:pPr>
            <w:r w:rsidRPr="006529C2">
              <w:rPr>
                <w:sz w:val="20"/>
                <w:szCs w:val="20"/>
                <w:lang w:val="en-US" w:eastAsia="x-none"/>
              </w:rPr>
              <w:t>Title</w:t>
            </w:r>
          </w:p>
        </w:tc>
      </w:tr>
      <w:tr w:rsidR="00180A59" w:rsidRPr="006529C2" w14:paraId="042D7CB3" w14:textId="77777777" w:rsidTr="00410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247906D" w14:textId="77777777" w:rsidR="00714160" w:rsidRPr="006529C2" w:rsidRDefault="00180A59" w:rsidP="00815B96">
            <w:pPr>
              <w:rPr>
                <w:sz w:val="20"/>
                <w:szCs w:val="20"/>
                <w:lang w:val="en-US" w:eastAsia="x-none"/>
              </w:rPr>
            </w:pPr>
            <w:r w:rsidRPr="006529C2">
              <w:rPr>
                <w:sz w:val="20"/>
                <w:szCs w:val="20"/>
                <w:lang w:val="en-US" w:eastAsia="x-none"/>
              </w:rPr>
              <w:t>Fiona Dyer</w:t>
            </w:r>
          </w:p>
          <w:p w14:paraId="53140BA0" w14:textId="66F78E64" w:rsidR="00180A59" w:rsidRPr="006529C2" w:rsidRDefault="00180A59" w:rsidP="00815B96">
            <w:pPr>
              <w:rPr>
                <w:sz w:val="20"/>
                <w:szCs w:val="20"/>
                <w:lang w:val="en-US" w:eastAsia="x-none"/>
              </w:rPr>
            </w:pPr>
            <w:r w:rsidRPr="006529C2">
              <w:rPr>
                <w:sz w:val="20"/>
                <w:szCs w:val="20"/>
                <w:lang w:val="en-US" w:eastAsia="x-none"/>
              </w:rPr>
              <w:t>(Alica Tschierschke, Will Higgisson, Sharon Bowen, Patrick Driver, Jane Roberts)</w:t>
            </w:r>
          </w:p>
        </w:tc>
        <w:tc>
          <w:tcPr>
            <w:tcW w:w="2693" w:type="dxa"/>
          </w:tcPr>
          <w:p w14:paraId="430ECE3E" w14:textId="6CF57C86" w:rsidR="00714160" w:rsidRPr="006529C2" w:rsidRDefault="00180A59" w:rsidP="00815B96">
            <w:pPr>
              <w:cnfStyle w:val="000000100000" w:firstRow="0" w:lastRow="0" w:firstColumn="0" w:lastColumn="0" w:oddVBand="0" w:evenVBand="0" w:oddHBand="1" w:evenHBand="0" w:firstRowFirstColumn="0" w:firstRowLastColumn="0" w:lastRowFirstColumn="0" w:lastRowLastColumn="0"/>
              <w:rPr>
                <w:sz w:val="20"/>
                <w:szCs w:val="20"/>
                <w:lang w:val="x-none" w:eastAsia="x-none"/>
              </w:rPr>
            </w:pPr>
            <w:r w:rsidRPr="006529C2">
              <w:rPr>
                <w:bCs/>
                <w:sz w:val="20"/>
                <w:szCs w:val="20"/>
              </w:rPr>
              <w:t>The International Society for Ecohydraulics Conference, Tokyo, Japan August 2018</w:t>
            </w:r>
          </w:p>
        </w:tc>
        <w:tc>
          <w:tcPr>
            <w:tcW w:w="3634" w:type="dxa"/>
          </w:tcPr>
          <w:p w14:paraId="2A0B078D" w14:textId="7AAAA0F7" w:rsidR="00714160" w:rsidRPr="006529C2" w:rsidRDefault="00714160" w:rsidP="00815B96">
            <w:pPr>
              <w:cnfStyle w:val="000000100000" w:firstRow="0" w:lastRow="0" w:firstColumn="0" w:lastColumn="0" w:oddVBand="0" w:evenVBand="0" w:oddHBand="1" w:evenHBand="0" w:firstRowFirstColumn="0" w:firstRowLastColumn="0" w:lastRowFirstColumn="0" w:lastRowLastColumn="0"/>
              <w:rPr>
                <w:iCs/>
                <w:sz w:val="20"/>
                <w:szCs w:val="20"/>
                <w:lang w:val="x-none" w:eastAsia="x-none"/>
              </w:rPr>
            </w:pPr>
            <w:r w:rsidRPr="006529C2">
              <w:rPr>
                <w:rFonts w:cstheme="minorHAnsi"/>
                <w:iCs/>
                <w:sz w:val="20"/>
                <w:szCs w:val="20"/>
              </w:rPr>
              <w:t>Wetland vegetation responses to environmental water and flooding: the lower Lachlan river system, Australia</w:t>
            </w:r>
          </w:p>
        </w:tc>
      </w:tr>
      <w:tr w:rsidR="00180A59" w:rsidRPr="006529C2" w14:paraId="67E608A2" w14:textId="77777777" w:rsidTr="00410ACD">
        <w:tc>
          <w:tcPr>
            <w:cnfStyle w:val="001000000000" w:firstRow="0" w:lastRow="0" w:firstColumn="1" w:lastColumn="0" w:oddVBand="0" w:evenVBand="0" w:oddHBand="0" w:evenHBand="0" w:firstRowFirstColumn="0" w:firstRowLastColumn="0" w:lastRowFirstColumn="0" w:lastRowLastColumn="0"/>
            <w:tcW w:w="2689" w:type="dxa"/>
          </w:tcPr>
          <w:p w14:paraId="255091F9" w14:textId="77777777" w:rsidR="00714160" w:rsidRPr="006529C2" w:rsidRDefault="00180A59" w:rsidP="00815B96">
            <w:pPr>
              <w:rPr>
                <w:sz w:val="20"/>
                <w:szCs w:val="20"/>
                <w:lang w:val="en-US" w:eastAsia="x-none"/>
              </w:rPr>
            </w:pPr>
            <w:r w:rsidRPr="006529C2">
              <w:rPr>
                <w:sz w:val="20"/>
                <w:szCs w:val="20"/>
                <w:lang w:val="en-US" w:eastAsia="x-none"/>
              </w:rPr>
              <w:t>Will Higgisson</w:t>
            </w:r>
          </w:p>
          <w:p w14:paraId="601595A6" w14:textId="413DE226" w:rsidR="00180A59" w:rsidRPr="006529C2" w:rsidRDefault="00180A59" w:rsidP="00815B96">
            <w:pPr>
              <w:rPr>
                <w:sz w:val="20"/>
                <w:szCs w:val="20"/>
                <w:lang w:val="en-US" w:eastAsia="x-none"/>
              </w:rPr>
            </w:pPr>
            <w:r w:rsidRPr="006529C2">
              <w:rPr>
                <w:sz w:val="20"/>
                <w:szCs w:val="20"/>
                <w:lang w:val="en-US" w:eastAsia="x-none"/>
              </w:rPr>
              <w:t>(Brian Higgisson, Fiona Dyer)</w:t>
            </w:r>
          </w:p>
        </w:tc>
        <w:tc>
          <w:tcPr>
            <w:tcW w:w="2693" w:type="dxa"/>
          </w:tcPr>
          <w:p w14:paraId="371AEB1B" w14:textId="28002344" w:rsidR="00714160" w:rsidRPr="006529C2" w:rsidRDefault="00180A59" w:rsidP="00815B96">
            <w:pPr>
              <w:cnfStyle w:val="000000000000" w:firstRow="0" w:lastRow="0" w:firstColumn="0" w:lastColumn="0" w:oddVBand="0" w:evenVBand="0" w:oddHBand="0" w:evenHBand="0" w:firstRowFirstColumn="0" w:firstRowLastColumn="0" w:lastRowFirstColumn="0" w:lastRowLastColumn="0"/>
              <w:rPr>
                <w:sz w:val="20"/>
                <w:szCs w:val="20"/>
                <w:lang w:val="x-none" w:eastAsia="x-none"/>
              </w:rPr>
            </w:pPr>
            <w:r w:rsidRPr="006529C2">
              <w:rPr>
                <w:bCs/>
                <w:sz w:val="20"/>
                <w:szCs w:val="20"/>
              </w:rPr>
              <w:t>The International Society for Ecohydraulics Conference, Tokyo, Japan August 2018</w:t>
            </w:r>
          </w:p>
        </w:tc>
        <w:tc>
          <w:tcPr>
            <w:tcW w:w="3634" w:type="dxa"/>
          </w:tcPr>
          <w:p w14:paraId="1EBA3092" w14:textId="7EF5F5E7" w:rsidR="00714160" w:rsidRPr="006529C2" w:rsidRDefault="00714160" w:rsidP="00815B96">
            <w:pPr>
              <w:cnfStyle w:val="000000000000" w:firstRow="0" w:lastRow="0" w:firstColumn="0" w:lastColumn="0" w:oddVBand="0" w:evenVBand="0" w:oddHBand="0" w:evenHBand="0" w:firstRowFirstColumn="0" w:firstRowLastColumn="0" w:lastRowFirstColumn="0" w:lastRowLastColumn="0"/>
              <w:rPr>
                <w:iCs/>
                <w:sz w:val="20"/>
                <w:szCs w:val="20"/>
                <w:lang w:val="x-none" w:eastAsia="x-none"/>
              </w:rPr>
            </w:pPr>
            <w:r w:rsidRPr="006529C2">
              <w:rPr>
                <w:rFonts w:eastAsiaTheme="minorHAnsi"/>
                <w:bCs/>
                <w:iCs/>
                <w:sz w:val="20"/>
                <w:szCs w:val="20"/>
              </w:rPr>
              <w:t>Hydrological impacts of water resource development on floodplain vegetation communities of a boom and bust system.</w:t>
            </w:r>
          </w:p>
        </w:tc>
      </w:tr>
      <w:tr w:rsidR="00180A59" w:rsidRPr="006529C2" w14:paraId="1DFD5FC3" w14:textId="77777777" w:rsidTr="00410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EE62682" w14:textId="2855C178" w:rsidR="00180A59" w:rsidRPr="006529C2" w:rsidRDefault="00180A59" w:rsidP="00180A59">
            <w:pPr>
              <w:rPr>
                <w:sz w:val="20"/>
                <w:szCs w:val="20"/>
                <w:lang w:val="en-US" w:eastAsia="x-none"/>
              </w:rPr>
            </w:pPr>
            <w:r w:rsidRPr="006529C2">
              <w:rPr>
                <w:sz w:val="20"/>
                <w:szCs w:val="20"/>
                <w:lang w:val="en-US" w:eastAsia="x-none"/>
              </w:rPr>
              <w:t>Fiona Dyer</w:t>
            </w:r>
          </w:p>
        </w:tc>
        <w:tc>
          <w:tcPr>
            <w:tcW w:w="2693" w:type="dxa"/>
          </w:tcPr>
          <w:p w14:paraId="5E604C80" w14:textId="16E66668" w:rsidR="00714160" w:rsidRPr="006529C2" w:rsidRDefault="00180A59" w:rsidP="00815B96">
            <w:pPr>
              <w:cnfStyle w:val="000000100000" w:firstRow="0" w:lastRow="0" w:firstColumn="0" w:lastColumn="0" w:oddVBand="0" w:evenVBand="0" w:oddHBand="1" w:evenHBand="0" w:firstRowFirstColumn="0" w:firstRowLastColumn="0" w:lastRowFirstColumn="0" w:lastRowLastColumn="0"/>
              <w:rPr>
                <w:sz w:val="20"/>
                <w:szCs w:val="20"/>
                <w:lang w:val="en-US" w:eastAsia="x-none"/>
              </w:rPr>
            </w:pPr>
            <w:r w:rsidRPr="006529C2">
              <w:rPr>
                <w:sz w:val="20"/>
                <w:szCs w:val="20"/>
                <w:lang w:val="en-US" w:eastAsia="x-none"/>
              </w:rPr>
              <w:t>The Australian Freshwater Sciences Society Conference, Adelaide, December 2019</w:t>
            </w:r>
          </w:p>
        </w:tc>
        <w:tc>
          <w:tcPr>
            <w:tcW w:w="3634" w:type="dxa"/>
          </w:tcPr>
          <w:p w14:paraId="2F63AD55" w14:textId="2C71DEF1" w:rsidR="00714160" w:rsidRPr="006529C2" w:rsidRDefault="00714160" w:rsidP="00815B96">
            <w:pPr>
              <w:cnfStyle w:val="000000100000" w:firstRow="0" w:lastRow="0" w:firstColumn="0" w:lastColumn="0" w:oddVBand="0" w:evenVBand="0" w:oddHBand="1" w:evenHBand="0" w:firstRowFirstColumn="0" w:firstRowLastColumn="0" w:lastRowFirstColumn="0" w:lastRowLastColumn="0"/>
              <w:rPr>
                <w:iCs/>
                <w:sz w:val="20"/>
                <w:szCs w:val="20"/>
                <w:lang w:val="x-none" w:eastAsia="x-none"/>
              </w:rPr>
            </w:pPr>
            <w:r w:rsidRPr="006529C2">
              <w:rPr>
                <w:rFonts w:cstheme="minorHAnsi"/>
                <w:iCs/>
                <w:sz w:val="20"/>
                <w:szCs w:val="20"/>
              </w:rPr>
              <w:t>Learning from Commonwealth environmental flows in the lower Lachlan:  when no two years are the same</w:t>
            </w:r>
          </w:p>
        </w:tc>
      </w:tr>
      <w:tr w:rsidR="00180A59" w:rsidRPr="006529C2" w14:paraId="235C5A53" w14:textId="77777777" w:rsidTr="00410ACD">
        <w:tc>
          <w:tcPr>
            <w:cnfStyle w:val="001000000000" w:firstRow="0" w:lastRow="0" w:firstColumn="1" w:lastColumn="0" w:oddVBand="0" w:evenVBand="0" w:oddHBand="0" w:evenHBand="0" w:firstRowFirstColumn="0" w:firstRowLastColumn="0" w:lastRowFirstColumn="0" w:lastRowLastColumn="0"/>
            <w:tcW w:w="2689" w:type="dxa"/>
          </w:tcPr>
          <w:p w14:paraId="1C4F7311" w14:textId="6C0585E0" w:rsidR="00714160" w:rsidRPr="006529C2" w:rsidRDefault="00180A59" w:rsidP="00815B96">
            <w:pPr>
              <w:rPr>
                <w:sz w:val="20"/>
                <w:szCs w:val="20"/>
                <w:lang w:val="en-US" w:eastAsia="x-none"/>
              </w:rPr>
            </w:pPr>
            <w:r w:rsidRPr="006529C2">
              <w:rPr>
                <w:sz w:val="20"/>
                <w:szCs w:val="20"/>
                <w:lang w:val="en-US" w:eastAsia="x-none"/>
              </w:rPr>
              <w:t>Will Higgisson</w:t>
            </w:r>
          </w:p>
        </w:tc>
        <w:tc>
          <w:tcPr>
            <w:tcW w:w="2693" w:type="dxa"/>
          </w:tcPr>
          <w:p w14:paraId="2EFE01A2" w14:textId="4BC45E94" w:rsidR="00714160" w:rsidRPr="006529C2" w:rsidRDefault="00180A59" w:rsidP="00815B96">
            <w:pPr>
              <w:cnfStyle w:val="000000000000" w:firstRow="0" w:lastRow="0" w:firstColumn="0" w:lastColumn="0" w:oddVBand="0" w:evenVBand="0" w:oddHBand="0" w:evenHBand="0" w:firstRowFirstColumn="0" w:firstRowLastColumn="0" w:lastRowFirstColumn="0" w:lastRowLastColumn="0"/>
              <w:rPr>
                <w:sz w:val="20"/>
                <w:szCs w:val="20"/>
                <w:lang w:val="x-none" w:eastAsia="x-none"/>
              </w:rPr>
            </w:pPr>
            <w:r w:rsidRPr="006529C2">
              <w:rPr>
                <w:sz w:val="20"/>
                <w:szCs w:val="20"/>
                <w:lang w:val="en-US" w:eastAsia="x-none"/>
              </w:rPr>
              <w:t>The Australian Freshwater Sciences Society Conference, Adelaide, December 2019</w:t>
            </w:r>
          </w:p>
        </w:tc>
        <w:tc>
          <w:tcPr>
            <w:tcW w:w="3634" w:type="dxa"/>
          </w:tcPr>
          <w:p w14:paraId="61916F01" w14:textId="221F574C" w:rsidR="00714160" w:rsidRPr="006529C2" w:rsidRDefault="00410ACD" w:rsidP="00815B96">
            <w:pPr>
              <w:cnfStyle w:val="000000000000" w:firstRow="0" w:lastRow="0" w:firstColumn="0" w:lastColumn="0" w:oddVBand="0" w:evenVBand="0" w:oddHBand="0" w:evenHBand="0" w:firstRowFirstColumn="0" w:firstRowLastColumn="0" w:lastRowFirstColumn="0" w:lastRowLastColumn="0"/>
              <w:rPr>
                <w:rFonts w:cstheme="minorHAnsi"/>
                <w:iCs/>
                <w:sz w:val="20"/>
                <w:szCs w:val="20"/>
              </w:rPr>
            </w:pPr>
            <w:r w:rsidRPr="006529C2">
              <w:rPr>
                <w:rFonts w:cstheme="minorHAnsi"/>
                <w:iCs/>
                <w:sz w:val="20"/>
                <w:szCs w:val="20"/>
              </w:rPr>
              <w:t xml:space="preserve">Genetic variation and gene-flow patterns in </w:t>
            </w:r>
            <w:r w:rsidRPr="006529C2">
              <w:rPr>
                <w:rFonts w:cstheme="minorHAnsi"/>
                <w:i/>
                <w:sz w:val="20"/>
                <w:szCs w:val="20"/>
              </w:rPr>
              <w:t>Duma florulenta</w:t>
            </w:r>
            <w:r w:rsidRPr="006529C2">
              <w:rPr>
                <w:rFonts w:cstheme="minorHAnsi"/>
                <w:iCs/>
                <w:sz w:val="20"/>
                <w:szCs w:val="20"/>
              </w:rPr>
              <w:t xml:space="preserve"> (tangled lignum) and </w:t>
            </w:r>
            <w:r w:rsidRPr="006529C2">
              <w:rPr>
                <w:rFonts w:cstheme="minorHAnsi"/>
                <w:i/>
                <w:sz w:val="20"/>
                <w:szCs w:val="20"/>
              </w:rPr>
              <w:t>Acacia stenophylla</w:t>
            </w:r>
            <w:r w:rsidRPr="006529C2">
              <w:rPr>
                <w:rFonts w:cstheme="minorHAnsi"/>
                <w:iCs/>
                <w:sz w:val="20"/>
                <w:szCs w:val="20"/>
              </w:rPr>
              <w:t xml:space="preserve"> (river cooba) across a large inland floodplain</w:t>
            </w:r>
          </w:p>
        </w:tc>
      </w:tr>
      <w:tr w:rsidR="00180A59" w:rsidRPr="006529C2" w14:paraId="64CE8D40" w14:textId="77777777" w:rsidTr="00410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90E18E7" w14:textId="0A3F0950" w:rsidR="00180A59" w:rsidRPr="006529C2" w:rsidRDefault="00180A59" w:rsidP="00815B96">
            <w:pPr>
              <w:rPr>
                <w:sz w:val="20"/>
                <w:szCs w:val="20"/>
                <w:lang w:val="en-US" w:eastAsia="x-none"/>
              </w:rPr>
            </w:pPr>
            <w:r w:rsidRPr="006529C2">
              <w:rPr>
                <w:sz w:val="20"/>
                <w:szCs w:val="20"/>
                <w:lang w:val="en-US" w:eastAsia="x-none"/>
              </w:rPr>
              <w:t>Foyez Shams</w:t>
            </w:r>
          </w:p>
        </w:tc>
        <w:tc>
          <w:tcPr>
            <w:tcW w:w="2693" w:type="dxa"/>
          </w:tcPr>
          <w:p w14:paraId="6CDE2F15" w14:textId="476D322D" w:rsidR="00180A59" w:rsidRPr="006529C2" w:rsidRDefault="00180A59" w:rsidP="00815B96">
            <w:pPr>
              <w:cnfStyle w:val="000000100000" w:firstRow="0" w:lastRow="0" w:firstColumn="0" w:lastColumn="0" w:oddVBand="0" w:evenVBand="0" w:oddHBand="1" w:evenHBand="0" w:firstRowFirstColumn="0" w:firstRowLastColumn="0" w:lastRowFirstColumn="0" w:lastRowLastColumn="0"/>
              <w:rPr>
                <w:sz w:val="20"/>
                <w:szCs w:val="20"/>
                <w:lang w:val="x-none" w:eastAsia="x-none"/>
              </w:rPr>
            </w:pPr>
            <w:r w:rsidRPr="006529C2">
              <w:rPr>
                <w:sz w:val="20"/>
                <w:szCs w:val="20"/>
                <w:lang w:val="en-US" w:eastAsia="x-none"/>
              </w:rPr>
              <w:t>The Australian Freshwater Sciences Society Conference, Adelaide, December 2019</w:t>
            </w:r>
          </w:p>
        </w:tc>
        <w:tc>
          <w:tcPr>
            <w:tcW w:w="3634" w:type="dxa"/>
          </w:tcPr>
          <w:p w14:paraId="22C11850" w14:textId="28E31584" w:rsidR="00180A59" w:rsidRPr="006529C2" w:rsidRDefault="00AE1770" w:rsidP="00815B96">
            <w:pPr>
              <w:cnfStyle w:val="000000100000" w:firstRow="0" w:lastRow="0" w:firstColumn="0" w:lastColumn="0" w:oddVBand="0" w:evenVBand="0" w:oddHBand="1" w:evenHBand="0" w:firstRowFirstColumn="0" w:firstRowLastColumn="0" w:lastRowFirstColumn="0" w:lastRowLastColumn="0"/>
              <w:rPr>
                <w:rFonts w:cstheme="minorHAnsi"/>
                <w:iCs/>
                <w:sz w:val="20"/>
                <w:szCs w:val="20"/>
              </w:rPr>
            </w:pPr>
            <w:r w:rsidRPr="006529C2">
              <w:rPr>
                <w:rFonts w:cstheme="minorHAnsi"/>
                <w:iCs/>
                <w:sz w:val="20"/>
                <w:szCs w:val="20"/>
              </w:rPr>
              <w:t>Population genetic structure and effectiveness of stocking of hatchery born golden perch; a case study from Lachlan river catchment</w:t>
            </w:r>
          </w:p>
        </w:tc>
      </w:tr>
    </w:tbl>
    <w:p w14:paraId="28A023DD" w14:textId="315FACCC" w:rsidR="00714160" w:rsidRDefault="00714160" w:rsidP="00815B96">
      <w:pPr>
        <w:rPr>
          <w:lang w:val="x-none" w:eastAsia="x-none"/>
        </w:rPr>
      </w:pPr>
    </w:p>
    <w:p w14:paraId="39B8376B" w14:textId="77777777" w:rsidR="00AE1770" w:rsidRDefault="00AE1770">
      <w:pPr>
        <w:spacing w:before="0" w:after="0"/>
        <w:rPr>
          <w:lang w:val="en-US" w:eastAsia="x-none"/>
        </w:rPr>
      </w:pPr>
      <w:bookmarkStart w:id="701" w:name="_Ref24385422"/>
      <w:r>
        <w:rPr>
          <w:bCs/>
          <w:i/>
          <w:lang w:val="en-US" w:eastAsia="x-none"/>
        </w:rPr>
        <w:br w:type="page"/>
      </w:r>
    </w:p>
    <w:p w14:paraId="17894D26" w14:textId="1CE5CF87" w:rsidR="00180A59" w:rsidRDefault="00180A59" w:rsidP="00180A59">
      <w:pPr>
        <w:pStyle w:val="Caption"/>
      </w:pPr>
      <w:bookmarkStart w:id="702" w:name="_Toc31985701"/>
      <w:r>
        <w:t xml:space="preserve">Table </w:t>
      </w:r>
      <w:r>
        <w:fldChar w:fldCharType="begin"/>
      </w:r>
      <w:r>
        <w:instrText>SEQ Table \* ARABIC</w:instrText>
      </w:r>
      <w:r>
        <w:fldChar w:fldCharType="separate"/>
      </w:r>
      <w:r w:rsidR="007F7607">
        <w:rPr>
          <w:noProof/>
        </w:rPr>
        <w:t>34</w:t>
      </w:r>
      <w:r>
        <w:fldChar w:fldCharType="end"/>
      </w:r>
      <w:bookmarkEnd w:id="701"/>
      <w:r>
        <w:t xml:space="preserve">. </w:t>
      </w:r>
      <w:r>
        <w:rPr>
          <w:lang w:val="en-US" w:eastAsia="x-none"/>
        </w:rPr>
        <w:t xml:space="preserve">Publications arising from the </w:t>
      </w:r>
      <w:r w:rsidR="00E05711">
        <w:rPr>
          <w:lang w:val="en-US" w:eastAsia="x-none"/>
        </w:rPr>
        <w:t>LTIM Project</w:t>
      </w:r>
      <w:r>
        <w:rPr>
          <w:lang w:val="en-US" w:eastAsia="x-none"/>
        </w:rPr>
        <w:t xml:space="preserve"> and associated research</w:t>
      </w:r>
      <w:bookmarkEnd w:id="702"/>
    </w:p>
    <w:tbl>
      <w:tblPr>
        <w:tblStyle w:val="GridTable4-Accent31"/>
        <w:tblW w:w="0" w:type="auto"/>
        <w:tblLook w:val="04A0" w:firstRow="1" w:lastRow="0" w:firstColumn="1" w:lastColumn="0" w:noHBand="0" w:noVBand="1"/>
      </w:tblPr>
      <w:tblGrid>
        <w:gridCol w:w="8951"/>
      </w:tblGrid>
      <w:tr w:rsidR="00180A59" w:rsidRPr="000F2B1A" w14:paraId="7BA1CD12" w14:textId="77777777" w:rsidTr="006529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1" w:type="dxa"/>
          </w:tcPr>
          <w:p w14:paraId="7B90C350" w14:textId="43D23105" w:rsidR="00180A59" w:rsidRPr="006529C2" w:rsidRDefault="006529C2" w:rsidP="00180A59">
            <w:pPr>
              <w:autoSpaceDE w:val="0"/>
              <w:autoSpaceDN w:val="0"/>
              <w:adjustRightInd w:val="0"/>
              <w:rPr>
                <w:sz w:val="22"/>
                <w:szCs w:val="22"/>
              </w:rPr>
            </w:pPr>
            <w:r>
              <w:rPr>
                <w:lang w:val="en-US" w:eastAsia="x-none"/>
              </w:rPr>
              <w:t>Publications</w:t>
            </w:r>
          </w:p>
        </w:tc>
      </w:tr>
      <w:tr w:rsidR="006529C2" w:rsidRPr="00777B1C" w14:paraId="2077E6B9" w14:textId="77777777" w:rsidTr="00652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1" w:type="dxa"/>
          </w:tcPr>
          <w:p w14:paraId="514D6065" w14:textId="3B91DA4D" w:rsidR="006529C2" w:rsidRPr="00777B1C" w:rsidRDefault="006529C2" w:rsidP="00180A59">
            <w:pPr>
              <w:autoSpaceDE w:val="0"/>
              <w:autoSpaceDN w:val="0"/>
              <w:adjustRightInd w:val="0"/>
              <w:rPr>
                <w:b w:val="0"/>
                <w:bCs w:val="0"/>
                <w:sz w:val="20"/>
                <w:szCs w:val="20"/>
                <w:lang w:eastAsia="en-AU"/>
              </w:rPr>
            </w:pPr>
            <w:r w:rsidRPr="00777B1C">
              <w:rPr>
                <w:b w:val="0"/>
                <w:bCs w:val="0"/>
                <w:sz w:val="20"/>
                <w:szCs w:val="20"/>
                <w:lang w:eastAsia="en-AU"/>
              </w:rPr>
              <w:t xml:space="preserve">T Datry, A Foulquier, R Corti, D Schiller, K Tockner, C Mendoza-Lera, JC Clément, MO Gessner, M Moleón, R Stubbington, B Gücker, R Albariño, DC Allen, F Altermatt, MI Arce, S Arnon, D Banas, A Banegas-Medina, E Beller, ML Blanchette, JF Blanco-Libreros, JJ Blessing, IG Boëchat, KS Boersma, MT Bogan, N Bonada, NR Bond, KC Brintrup Barría, A Bruder, RM Burrows, T Cancellario, C Canhoto, SM Carlson, S Cauvy-Fraunié, N Cid, M Danger, Bianca Freitas Terra, AM Girolamo, Evans La Barra, R Campo, VD Diaz-Villanueva, </w:t>
            </w:r>
            <w:r w:rsidRPr="00777B1C">
              <w:rPr>
                <w:sz w:val="22"/>
                <w:szCs w:val="22"/>
                <w:lang w:eastAsia="en-AU"/>
              </w:rPr>
              <w:t>F Dyer</w:t>
            </w:r>
            <w:r w:rsidRPr="00777B1C">
              <w:rPr>
                <w:b w:val="0"/>
                <w:bCs w:val="0"/>
                <w:sz w:val="22"/>
                <w:szCs w:val="22"/>
                <w:lang w:eastAsia="en-AU"/>
              </w:rPr>
              <w:t xml:space="preserve">, </w:t>
            </w:r>
            <w:r w:rsidRPr="00777B1C">
              <w:rPr>
                <w:b w:val="0"/>
                <w:bCs w:val="0"/>
                <w:sz w:val="20"/>
                <w:szCs w:val="20"/>
                <w:lang w:eastAsia="en-AU"/>
              </w:rPr>
              <w:t>A Elosegi, E Faye, C Febria, B Four, S Gafny, SD Ghate, R Gómez, L Gómez-Gener, MAS Graça, S Guareschi, F Hoppeler, JL Hwan, JI Jones, S Kubheka, A Laini, SD Langhans, C Leigh, CJ Little, S Lorenz, JC Marshall, E Martín, AR McIntosh, EI Meyer, M Miliša, MC Mlambo, M Morais, N Moya, PM Negus, DK Niyogi, A Papatheodoulou, I Pardo, P Pařil, SU Pauls, V Pešić, M Polášek, CT Robinson, P Rodríguez-Lozano, RJ Rolls, MM Sánchez-Montoya, A Savić, O Shumilova, KR Sridhar, AL Steward, R Storey, A Taleb, A Uzan, Ross Vander Vorste, NJ Waltham, C Woelfle-Erskine, D Zak, C Zarfl, A Zoppini (2018) A global analysis of terrestrial plant litter dynamics in non-perennial waterways.</w:t>
            </w:r>
            <w:r w:rsidRPr="00777B1C">
              <w:rPr>
                <w:b w:val="0"/>
                <w:bCs w:val="0"/>
                <w:sz w:val="20"/>
                <w:szCs w:val="20"/>
              </w:rPr>
              <w:t xml:space="preserve"> </w:t>
            </w:r>
            <w:r w:rsidRPr="00777B1C">
              <w:rPr>
                <w:b w:val="0"/>
                <w:bCs w:val="0"/>
                <w:i/>
                <w:sz w:val="20"/>
                <w:szCs w:val="20"/>
              </w:rPr>
              <w:t>Nature Geoscience</w:t>
            </w:r>
            <w:r w:rsidRPr="00777B1C">
              <w:rPr>
                <w:b w:val="0"/>
                <w:bCs w:val="0"/>
                <w:sz w:val="20"/>
                <w:szCs w:val="20"/>
              </w:rPr>
              <w:t xml:space="preserve"> 1.</w:t>
            </w:r>
          </w:p>
        </w:tc>
      </w:tr>
      <w:tr w:rsidR="006529C2" w:rsidRPr="00777B1C" w14:paraId="374EAFB4" w14:textId="77777777" w:rsidTr="006529C2">
        <w:tc>
          <w:tcPr>
            <w:cnfStyle w:val="001000000000" w:firstRow="0" w:lastRow="0" w:firstColumn="1" w:lastColumn="0" w:oddVBand="0" w:evenVBand="0" w:oddHBand="0" w:evenHBand="0" w:firstRowFirstColumn="0" w:firstRowLastColumn="0" w:lastRowFirstColumn="0" w:lastRowLastColumn="0"/>
            <w:tcW w:w="8951" w:type="dxa"/>
          </w:tcPr>
          <w:p w14:paraId="1166FEEE" w14:textId="296FB269" w:rsidR="006529C2" w:rsidRPr="00777B1C" w:rsidRDefault="006529C2" w:rsidP="00180A59">
            <w:pPr>
              <w:autoSpaceDE w:val="0"/>
              <w:autoSpaceDN w:val="0"/>
              <w:adjustRightInd w:val="0"/>
              <w:rPr>
                <w:b w:val="0"/>
                <w:bCs w:val="0"/>
                <w:sz w:val="20"/>
                <w:szCs w:val="20"/>
                <w:lang w:eastAsia="en-AU"/>
              </w:rPr>
            </w:pPr>
            <w:r w:rsidRPr="00777B1C">
              <w:rPr>
                <w:b w:val="0"/>
                <w:bCs w:val="0"/>
                <w:sz w:val="20"/>
                <w:szCs w:val="20"/>
              </w:rPr>
              <w:t>Higgisson, W., Briggs, S., Dyer, F. (2018) Seed germination of tangled lignum (</w:t>
            </w:r>
            <w:r w:rsidRPr="00777B1C">
              <w:rPr>
                <w:b w:val="0"/>
                <w:bCs w:val="0"/>
                <w:i/>
                <w:iCs/>
                <w:sz w:val="20"/>
                <w:szCs w:val="20"/>
              </w:rPr>
              <w:t>Duma florulenta</w:t>
            </w:r>
            <w:r w:rsidRPr="00777B1C">
              <w:rPr>
                <w:b w:val="0"/>
                <w:bCs w:val="0"/>
                <w:sz w:val="20"/>
                <w:szCs w:val="20"/>
              </w:rPr>
              <w:t>) and nitre goosefoot (</w:t>
            </w:r>
            <w:r w:rsidRPr="00777B1C">
              <w:rPr>
                <w:b w:val="0"/>
                <w:bCs w:val="0"/>
                <w:i/>
                <w:iCs/>
                <w:sz w:val="20"/>
                <w:szCs w:val="20"/>
              </w:rPr>
              <w:t>Chenopdoium nitrariaceum)</w:t>
            </w:r>
            <w:r w:rsidRPr="00777B1C">
              <w:rPr>
                <w:b w:val="0"/>
                <w:bCs w:val="0"/>
                <w:sz w:val="20"/>
                <w:szCs w:val="20"/>
              </w:rPr>
              <w:t xml:space="preserve"> under experimental hydrological regimes.  </w:t>
            </w:r>
            <w:r w:rsidRPr="00777B1C">
              <w:rPr>
                <w:b w:val="0"/>
                <w:bCs w:val="0"/>
                <w:i/>
                <w:sz w:val="20"/>
                <w:szCs w:val="20"/>
              </w:rPr>
              <w:t>Marine and Freshwater Research</w:t>
            </w:r>
            <w:r w:rsidRPr="00777B1C">
              <w:rPr>
                <w:b w:val="0"/>
                <w:bCs w:val="0"/>
                <w:sz w:val="20"/>
                <w:szCs w:val="20"/>
              </w:rPr>
              <w:t xml:space="preserve">  DOI: 10.1071/MF17357</w:t>
            </w:r>
          </w:p>
        </w:tc>
      </w:tr>
      <w:tr w:rsidR="000F2B1A" w:rsidRPr="00777B1C" w14:paraId="7D3048B8" w14:textId="77777777" w:rsidTr="00652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1" w:type="dxa"/>
          </w:tcPr>
          <w:p w14:paraId="57D76450" w14:textId="272467BB" w:rsidR="000F2B1A" w:rsidRPr="00777B1C" w:rsidRDefault="000F2B1A" w:rsidP="000F2B1A">
            <w:pPr>
              <w:rPr>
                <w:b w:val="0"/>
                <w:bCs w:val="0"/>
                <w:sz w:val="20"/>
                <w:szCs w:val="20"/>
              </w:rPr>
            </w:pPr>
            <w:r w:rsidRPr="00777B1C">
              <w:rPr>
                <w:b w:val="0"/>
                <w:bCs w:val="0"/>
                <w:sz w:val="20"/>
                <w:szCs w:val="20"/>
                <w:lang w:eastAsia="en-AU"/>
              </w:rPr>
              <w:t>Higgisson W., Briggs S., Dyer F. (2018) Responses of nitre goosefoot (Chenopodium nitrariaceum) to simulated rainfall and depth and duration of experimental flooding. </w:t>
            </w:r>
            <w:r w:rsidRPr="00777B1C">
              <w:rPr>
                <w:b w:val="0"/>
                <w:bCs w:val="0"/>
                <w:i/>
                <w:sz w:val="20"/>
                <w:szCs w:val="20"/>
                <w:lang w:eastAsia="en-AU"/>
              </w:rPr>
              <w:t xml:space="preserve">Marine and Freshwater Research </w:t>
            </w:r>
            <w:r w:rsidRPr="00777B1C">
              <w:rPr>
                <w:b w:val="0"/>
                <w:bCs w:val="0"/>
                <w:iCs/>
                <w:sz w:val="20"/>
                <w:szCs w:val="20"/>
                <w:lang w:eastAsia="en-AU"/>
              </w:rPr>
              <w:t>69(8) 1268-1278</w:t>
            </w:r>
          </w:p>
        </w:tc>
      </w:tr>
    </w:tbl>
    <w:p w14:paraId="5330342C" w14:textId="77777777" w:rsidR="00180A59" w:rsidRPr="00180A59" w:rsidRDefault="00180A59" w:rsidP="00815B96">
      <w:pPr>
        <w:rPr>
          <w:lang w:val="en-US" w:eastAsia="x-none"/>
        </w:rPr>
      </w:pPr>
    </w:p>
    <w:p w14:paraId="462E68C9" w14:textId="121047C4" w:rsidR="00DF4D8A" w:rsidRDefault="00DF4D8A" w:rsidP="00DF4D8A">
      <w:pPr>
        <w:pStyle w:val="Heading4"/>
      </w:pPr>
      <w:r>
        <w:t>Community events and demonstrations</w:t>
      </w:r>
    </w:p>
    <w:p w14:paraId="7C298E79" w14:textId="268162F6" w:rsidR="00FC70EE" w:rsidRDefault="00FC70EE" w:rsidP="000F2B1A">
      <w:pPr>
        <w:rPr>
          <w:lang w:val="en-US" w:eastAsia="x-none"/>
        </w:rPr>
      </w:pPr>
      <w:r>
        <w:rPr>
          <w:lang w:val="en-US" w:eastAsia="x-none"/>
        </w:rPr>
        <w:t xml:space="preserve">The </w:t>
      </w:r>
      <w:r w:rsidR="00E05711">
        <w:rPr>
          <w:lang w:val="en-US" w:eastAsia="x-none"/>
        </w:rPr>
        <w:t>LTIM Project</w:t>
      </w:r>
      <w:r>
        <w:rPr>
          <w:lang w:val="en-US" w:eastAsia="x-none"/>
        </w:rPr>
        <w:t xml:space="preserve"> was associated with </w:t>
      </w:r>
      <w:r w:rsidR="00A370F4">
        <w:rPr>
          <w:lang w:val="en-US" w:eastAsia="x-none"/>
        </w:rPr>
        <w:t>7</w:t>
      </w:r>
      <w:r>
        <w:rPr>
          <w:lang w:val="en-US" w:eastAsia="x-none"/>
        </w:rPr>
        <w:t xml:space="preserve"> community events in 2018-19.  These included:</w:t>
      </w:r>
    </w:p>
    <w:p w14:paraId="2C7F1A2F" w14:textId="231C3D37" w:rsidR="00FC70EE" w:rsidRPr="00FC70EE" w:rsidRDefault="00FC70EE" w:rsidP="000F2B1A">
      <w:pPr>
        <w:rPr>
          <w:b/>
          <w:bCs/>
          <w:lang w:val="en-US" w:eastAsia="x-none"/>
        </w:rPr>
      </w:pPr>
      <w:r w:rsidRPr="00FC70EE">
        <w:rPr>
          <w:b/>
          <w:bCs/>
          <w:lang w:val="en-US" w:eastAsia="x-none"/>
        </w:rPr>
        <w:t>NAIDOC day celebrations</w:t>
      </w:r>
    </w:p>
    <w:p w14:paraId="159DD750" w14:textId="3741E959" w:rsidR="000F2B1A" w:rsidRPr="00FC70EE" w:rsidRDefault="00FC70EE" w:rsidP="00FC70EE">
      <w:pPr>
        <w:rPr>
          <w:lang w:val="en-US" w:eastAsia="x-none"/>
        </w:rPr>
      </w:pPr>
      <w:r>
        <w:rPr>
          <w:lang w:val="en-US" w:eastAsia="x-none"/>
        </w:rPr>
        <w:t xml:space="preserve">The LTIM Project funded </w:t>
      </w:r>
      <w:r w:rsidRPr="00FC70EE">
        <w:rPr>
          <w:lang w:val="en-US" w:eastAsia="x-none"/>
        </w:rPr>
        <w:t xml:space="preserve">activities and presenters at the NAIDOC day celebrations at St joseph’s Primary School in Hillston. At this event the LTIM </w:t>
      </w:r>
      <w:r>
        <w:t xml:space="preserve">&amp;E officer also ran a session on the parallels between traditional ecological knowledge and western science, and how they relate to the management of waterways for fish outcomes using examples from the </w:t>
      </w:r>
      <w:r w:rsidR="00E05711">
        <w:t>LTIM Project</w:t>
      </w:r>
      <w:r>
        <w:t xml:space="preserve">. </w:t>
      </w:r>
      <w:r w:rsidRPr="00FC70EE">
        <w:rPr>
          <w:lang w:val="en-US" w:eastAsia="x-none"/>
        </w:rPr>
        <w:t xml:space="preserve"> </w:t>
      </w:r>
    </w:p>
    <w:p w14:paraId="47D772F6" w14:textId="5907C901" w:rsidR="00815B96" w:rsidRDefault="00815B96" w:rsidP="00815B96">
      <w:r>
        <w:t xml:space="preserve">The </w:t>
      </w:r>
      <w:r w:rsidR="00E05711">
        <w:t>LTIM Project</w:t>
      </w:r>
      <w:r>
        <w:t xml:space="preserve"> then worked with the Orange Cowra Cabonne Science Hub and Inspiring Australia to produce a 4 min Vodcast from the N</w:t>
      </w:r>
      <w:r w:rsidR="00AE1770">
        <w:t>AIDOC</w:t>
      </w:r>
      <w:r>
        <w:t xml:space="preserve"> Day event which was well-received when shown during National Science Week community screenings of SCINEMA International Film Festival and on St Joseph’s Facebook </w:t>
      </w:r>
      <w:r w:rsidR="00507E37">
        <w:t>p.</w:t>
      </w:r>
      <w:r>
        <w:t xml:space="preserve"> [https://vimeo.com/287378111] and [</w:t>
      </w:r>
      <w:r w:rsidRPr="00F96F19">
        <w:t>https://www.facebook.com/246801345763940/videos/</w:t>
      </w:r>
      <w:r>
        <w:t xml:space="preserve"> </w:t>
      </w:r>
      <w:r w:rsidRPr="00F96F19">
        <w:t>225906861422636/</w:t>
      </w:r>
      <w:r>
        <w:t>].</w:t>
      </w:r>
    </w:p>
    <w:p w14:paraId="2F6232BE" w14:textId="08E511C9" w:rsidR="00815B96" w:rsidRPr="00FC70EE" w:rsidRDefault="00FC70EE" w:rsidP="00815B96">
      <w:pPr>
        <w:spacing w:after="160" w:line="256" w:lineRule="auto"/>
        <w:jc w:val="both"/>
        <w:rPr>
          <w:b/>
          <w:bCs/>
        </w:rPr>
      </w:pPr>
      <w:r w:rsidRPr="00FC70EE">
        <w:rPr>
          <w:b/>
          <w:bCs/>
        </w:rPr>
        <w:t>Twenty five years celebration of the Hillston Hook, Line and Sinker Fishing Festival</w:t>
      </w:r>
    </w:p>
    <w:p w14:paraId="1BBF0334" w14:textId="5207DC98" w:rsidR="00815B96" w:rsidRDefault="00815B96" w:rsidP="00815B96">
      <w:pPr>
        <w:ind w:left="45"/>
      </w:pPr>
      <w:r>
        <w:t>As the majority of LTIM fish sampling sites were also within the fishing festivals geographical range, it was a great opportunity to highlight native fish values around Hillston, and how water for the environment (which is monitored by LTIM) has been used to support those values. Tanks displaying live native fish, such as freshwater catfish and olive perchlet, were very popular and had people asking lots of good questions</w:t>
      </w:r>
      <w:r w:rsidR="00FC70EE">
        <w:t xml:space="preserve"> (</w:t>
      </w:r>
      <w:r w:rsidR="00FC70EE">
        <w:fldChar w:fldCharType="begin"/>
      </w:r>
      <w:r w:rsidR="00FC70EE">
        <w:instrText xml:space="preserve"> REF _Ref24386030 \h </w:instrText>
      </w:r>
      <w:r w:rsidR="00FC70EE">
        <w:fldChar w:fldCharType="separate"/>
      </w:r>
      <w:r w:rsidR="007F7607">
        <w:t xml:space="preserve">Figure </w:t>
      </w:r>
      <w:r w:rsidR="007F7607">
        <w:rPr>
          <w:noProof/>
        </w:rPr>
        <w:t>97</w:t>
      </w:r>
      <w:r w:rsidR="00FC70EE">
        <w:fldChar w:fldCharType="end"/>
      </w:r>
      <w:r w:rsidR="00FC70EE">
        <w:t>).</w:t>
      </w:r>
      <w:r>
        <w:t xml:space="preserve"> Larval catfish were caught by the LTIM team at Wallanthery and Hunthawang in November 2015.</w:t>
      </w:r>
    </w:p>
    <w:p w14:paraId="09EA9585" w14:textId="77777777" w:rsidR="00815B96" w:rsidRDefault="00815B96" w:rsidP="00815B96">
      <w:pPr>
        <w:jc w:val="both"/>
      </w:pPr>
      <w:r>
        <w:rPr>
          <w:noProof/>
          <w:lang w:eastAsia="en-AU"/>
        </w:rPr>
        <w:drawing>
          <wp:inline distT="0" distB="0" distL="0" distR="0" wp14:anchorId="06673257" wp14:editId="4002FAB6">
            <wp:extent cx="6210935" cy="349365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6210935" cy="3493651"/>
                    </a:xfrm>
                    <a:prstGeom prst="rect">
                      <a:avLst/>
                    </a:prstGeom>
                    <a:noFill/>
                    <a:ln>
                      <a:noFill/>
                    </a:ln>
                  </pic:spPr>
                </pic:pic>
              </a:graphicData>
            </a:graphic>
          </wp:inline>
        </w:drawing>
      </w:r>
    </w:p>
    <w:p w14:paraId="0776C891" w14:textId="7EB26F32" w:rsidR="00815B96" w:rsidRDefault="00815B96" w:rsidP="00815B96">
      <w:pPr>
        <w:pStyle w:val="Caption"/>
      </w:pPr>
      <w:bookmarkStart w:id="703" w:name="_Ref24386030"/>
      <w:bookmarkStart w:id="704" w:name="_Toc31985661"/>
      <w:r>
        <w:t xml:space="preserve">Figure </w:t>
      </w:r>
      <w:r>
        <w:rPr>
          <w:noProof/>
        </w:rPr>
        <w:fldChar w:fldCharType="begin"/>
      </w:r>
      <w:r>
        <w:rPr>
          <w:noProof/>
        </w:rPr>
        <w:instrText xml:space="preserve"> SEQ Figure \* ARABIC </w:instrText>
      </w:r>
      <w:r>
        <w:rPr>
          <w:noProof/>
        </w:rPr>
        <w:fldChar w:fldCharType="separate"/>
      </w:r>
      <w:r w:rsidR="007F7607">
        <w:rPr>
          <w:noProof/>
        </w:rPr>
        <w:t>97</w:t>
      </w:r>
      <w:r>
        <w:rPr>
          <w:noProof/>
        </w:rPr>
        <w:fldChar w:fldCharType="end"/>
      </w:r>
      <w:bookmarkEnd w:id="703"/>
      <w:r>
        <w:t xml:space="preserve">. </w:t>
      </w:r>
      <w:r w:rsidRPr="00135558">
        <w:t>Hillston Hook</w:t>
      </w:r>
      <w:r w:rsidR="00777B1C">
        <w:t xml:space="preserve">, </w:t>
      </w:r>
      <w:r w:rsidRPr="00135558">
        <w:t xml:space="preserve">Line and Sinker </w:t>
      </w:r>
      <w:r w:rsidR="00777B1C">
        <w:t xml:space="preserve">fishing festival with </w:t>
      </w:r>
      <w:r w:rsidRPr="00135558">
        <w:t>threatened species display, which featured species such as the olive perchlet (Ambassis agassizii) as the Hillston region has the only known population in the Lachlan, as well as freshwater catfish</w:t>
      </w:r>
      <w:r w:rsidR="00777B1C">
        <w:t>,</w:t>
      </w:r>
      <w:r w:rsidRPr="00135558">
        <w:t xml:space="preserve"> which LTIM confirmed breed in the area (</w:t>
      </w:r>
      <w:r>
        <w:t>Photo</w:t>
      </w:r>
      <w:r w:rsidRPr="00135558">
        <w:t>: Jo Lenehan).</w:t>
      </w:r>
      <w:bookmarkEnd w:id="704"/>
    </w:p>
    <w:p w14:paraId="578636D7" w14:textId="77777777" w:rsidR="00815B96" w:rsidRPr="00FC70EE" w:rsidRDefault="00815B96" w:rsidP="00FC70EE">
      <w:pPr>
        <w:rPr>
          <w:b/>
          <w:bCs/>
        </w:rPr>
      </w:pPr>
      <w:r w:rsidRPr="00FC70EE">
        <w:rPr>
          <w:b/>
          <w:bCs/>
        </w:rPr>
        <w:t>Condobolin &amp; Districts Primary Schools Environment Day</w:t>
      </w:r>
    </w:p>
    <w:p w14:paraId="52F2C154" w14:textId="77777777" w:rsidR="00815B96" w:rsidRDefault="00815B96" w:rsidP="00815B96">
      <w:pPr>
        <w:ind w:left="45"/>
        <w:rPr>
          <w:rFonts w:cstheme="minorHAnsi"/>
          <w:sz w:val="20"/>
          <w:szCs w:val="20"/>
        </w:rPr>
      </w:pPr>
      <w:r>
        <w:t xml:space="preserve">More than 240 students took part in Environment Day from 12 schools across the district including Tullamore, Tullibigeal, Bogan Gate, Trundle, Bedgerabong, Condobolin Primary and Condobolin MET School.  Being asked to run an activity entitled ‘Waterbirds, A Glorious and Gregarious Group’ provided another opportunity to engage primary school students in waterbird research and management using the </w:t>
      </w:r>
      <w:r w:rsidRPr="00F96F19">
        <w:t xml:space="preserve">LTIM’s monitoring of the </w:t>
      </w:r>
      <w:r w:rsidRPr="00F96F19">
        <w:rPr>
          <w:rFonts w:cstheme="minorHAnsi"/>
          <w:szCs w:val="20"/>
        </w:rPr>
        <w:t>largest straw-necked ibis breeding event</w:t>
      </w:r>
      <w:r>
        <w:rPr>
          <w:rFonts w:cstheme="minorHAnsi"/>
          <w:szCs w:val="20"/>
        </w:rPr>
        <w:t xml:space="preserve"> recorded in the Lachlan (&gt;100,</w:t>
      </w:r>
      <w:r w:rsidRPr="00F96F19">
        <w:rPr>
          <w:rFonts w:cstheme="minorHAnsi"/>
          <w:szCs w:val="20"/>
        </w:rPr>
        <w:t>000 nests) as a case study. https://www.facebook.com/stjosephscondobolin/photos</w:t>
      </w:r>
      <w:r>
        <w:rPr>
          <w:rFonts w:cstheme="minorHAnsi"/>
          <w:szCs w:val="20"/>
        </w:rPr>
        <w:t xml:space="preserve"> </w:t>
      </w:r>
      <w:r w:rsidRPr="00F96F19">
        <w:rPr>
          <w:rFonts w:cstheme="minorHAnsi"/>
          <w:szCs w:val="20"/>
        </w:rPr>
        <w:t>/pcb.2342413589132409/</w:t>
      </w:r>
      <w:r>
        <w:rPr>
          <w:rFonts w:cstheme="minorHAnsi"/>
          <w:szCs w:val="20"/>
        </w:rPr>
        <w:t xml:space="preserve"> </w:t>
      </w:r>
      <w:r w:rsidRPr="00F96F19">
        <w:rPr>
          <w:rFonts w:cstheme="minorHAnsi"/>
          <w:szCs w:val="20"/>
        </w:rPr>
        <w:t>2342413269132441/?type=3&amp;</w:t>
      </w:r>
      <w:r>
        <w:rPr>
          <w:rFonts w:cstheme="minorHAnsi"/>
          <w:szCs w:val="20"/>
        </w:rPr>
        <w:t>theatre.</w:t>
      </w:r>
    </w:p>
    <w:p w14:paraId="45EF8A95" w14:textId="77777777" w:rsidR="00815B96" w:rsidRPr="00FC70EE" w:rsidRDefault="00815B96" w:rsidP="00FC70EE">
      <w:pPr>
        <w:rPr>
          <w:rFonts w:cstheme="minorHAnsi"/>
          <w:b/>
          <w:bCs/>
        </w:rPr>
      </w:pPr>
      <w:r w:rsidRPr="00FC70EE">
        <w:rPr>
          <w:b/>
          <w:bCs/>
        </w:rPr>
        <w:t>Booberoi Creek cultural-</w:t>
      </w:r>
      <w:r w:rsidRPr="00FC70EE">
        <w:rPr>
          <w:rFonts w:cstheme="minorHAnsi"/>
          <w:b/>
          <w:bCs/>
        </w:rPr>
        <w:t>environmental flows</w:t>
      </w:r>
    </w:p>
    <w:p w14:paraId="11A45285" w14:textId="70434BC0" w:rsidR="00815B96" w:rsidRPr="00F96F19" w:rsidRDefault="00815B96" w:rsidP="00815B96">
      <w:pPr>
        <w:ind w:left="45"/>
        <w:rPr>
          <w:rFonts w:cstheme="minorHAnsi"/>
        </w:rPr>
      </w:pPr>
      <w:r w:rsidRPr="00F96F19">
        <w:rPr>
          <w:rFonts w:cstheme="minorHAnsi"/>
        </w:rPr>
        <w:t xml:space="preserve">The LTIM’s support of the Booberoi Creek cultural–environmental flow has also continued to provide further opportunities for Ngiyaampaa Elders to reconnect with their country as they are the traditional owners of Booberoi Creek country. </w:t>
      </w:r>
      <w:r w:rsidR="00A370F4">
        <w:rPr>
          <w:rFonts w:cstheme="minorHAnsi"/>
        </w:rPr>
        <w:t xml:space="preserve">The </w:t>
      </w:r>
      <w:r w:rsidRPr="00F96F19">
        <w:rPr>
          <w:rFonts w:cstheme="minorHAnsi"/>
        </w:rPr>
        <w:t xml:space="preserve">project has enabled family members of former owners to return to their family properties. </w:t>
      </w:r>
    </w:p>
    <w:p w14:paraId="6D2403D5" w14:textId="32508CE3" w:rsidR="00815B96" w:rsidRDefault="00815B96" w:rsidP="00815B96">
      <w:pPr>
        <w:jc w:val="both"/>
      </w:pPr>
      <w:r>
        <w:t>The engagement highlight during this period was the larval fish monitoring demonstration and insightful discussion between LTIM researchers and NSW DPI Fisheries Engaged Angler representative, Graeme May, local Lachlan River landholder, Andre Cashmere, and several staff from Western and Central Tablelands Local Land Services (LLS) (</w:t>
      </w:r>
      <w:r>
        <w:fldChar w:fldCharType="begin"/>
      </w:r>
      <w:r>
        <w:instrText xml:space="preserve"> REF _Ref532831040 \h </w:instrText>
      </w:r>
      <w:r>
        <w:fldChar w:fldCharType="separate"/>
      </w:r>
      <w:r w:rsidR="007F7607">
        <w:t xml:space="preserve">Figure </w:t>
      </w:r>
      <w:r w:rsidR="007F7607">
        <w:rPr>
          <w:noProof/>
        </w:rPr>
        <w:t>98</w:t>
      </w:r>
      <w:r>
        <w:fldChar w:fldCharType="end"/>
      </w:r>
      <w:r>
        <w:t>). Mr May has been advocating for screens on irrigation pumps to prevent larval fish entrapment while LLS is developing a pilot project with a trial site ear-marked for the Hillston area. This engagement event and the data that the LTIM Project has generated on ‘larval drift hotspots’ for varying species (e.g. threatened species of freshwater catfish) will inform and improve Mr May and Local Land Services efforts to demonstrate the benefits of such technology to local irrigators and recreational fishing community.</w:t>
      </w:r>
    </w:p>
    <w:p w14:paraId="437FA2CE" w14:textId="77777777" w:rsidR="00777B1C" w:rsidRDefault="00777B1C" w:rsidP="00815B96">
      <w:pPr>
        <w:jc w:val="both"/>
      </w:pPr>
    </w:p>
    <w:p w14:paraId="19B3FB04" w14:textId="77777777" w:rsidR="00815B96" w:rsidRDefault="00815B96" w:rsidP="00815B96">
      <w:pPr>
        <w:keepNext/>
        <w:jc w:val="center"/>
      </w:pPr>
      <w:r>
        <w:rPr>
          <w:noProof/>
          <w:lang w:eastAsia="en-AU"/>
        </w:rPr>
        <w:drawing>
          <wp:inline distT="0" distB="0" distL="0" distR="0" wp14:anchorId="2871FBB1" wp14:editId="37D175E4">
            <wp:extent cx="5591175" cy="3375124"/>
            <wp:effectExtent l="0" t="0" r="0" b="0"/>
            <wp:docPr id="229" name="Picture 229" descr="A group of people walking down a sidewal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illstonlarvalfish18.png"/>
                    <pic:cNvPicPr/>
                  </pic:nvPicPr>
                  <pic:blipFill>
                    <a:blip r:embed="rId196" cstate="email">
                      <a:extLst>
                        <a:ext uri="{28A0092B-C50C-407E-A947-70E740481C1C}">
                          <a14:useLocalDpi xmlns:a14="http://schemas.microsoft.com/office/drawing/2010/main"/>
                        </a:ext>
                      </a:extLst>
                    </a:blip>
                    <a:stretch>
                      <a:fillRect/>
                    </a:stretch>
                  </pic:blipFill>
                  <pic:spPr>
                    <a:xfrm>
                      <a:off x="0" y="0"/>
                      <a:ext cx="5592031" cy="3375641"/>
                    </a:xfrm>
                    <a:prstGeom prst="rect">
                      <a:avLst/>
                    </a:prstGeom>
                  </pic:spPr>
                </pic:pic>
              </a:graphicData>
            </a:graphic>
          </wp:inline>
        </w:drawing>
      </w:r>
    </w:p>
    <w:p w14:paraId="28B18D04" w14:textId="3AD6CAD9" w:rsidR="00815B96" w:rsidRDefault="00815B96" w:rsidP="00815B96">
      <w:pPr>
        <w:pStyle w:val="Caption"/>
      </w:pPr>
      <w:bookmarkStart w:id="705" w:name="_Ref532831040"/>
      <w:bookmarkStart w:id="706" w:name="_Toc31985662"/>
      <w:r>
        <w:t xml:space="preserve">Figure </w:t>
      </w:r>
      <w:r>
        <w:rPr>
          <w:noProof/>
        </w:rPr>
        <w:fldChar w:fldCharType="begin"/>
      </w:r>
      <w:r>
        <w:rPr>
          <w:noProof/>
        </w:rPr>
        <w:instrText xml:space="preserve"> SEQ Figure \* ARABIC </w:instrText>
      </w:r>
      <w:r>
        <w:rPr>
          <w:noProof/>
        </w:rPr>
        <w:fldChar w:fldCharType="separate"/>
      </w:r>
      <w:r w:rsidR="007F7607">
        <w:rPr>
          <w:noProof/>
        </w:rPr>
        <w:t>98</w:t>
      </w:r>
      <w:r>
        <w:rPr>
          <w:noProof/>
        </w:rPr>
        <w:fldChar w:fldCharType="end"/>
      </w:r>
      <w:bookmarkEnd w:id="705"/>
      <w:r w:rsidR="00777B1C">
        <w:rPr>
          <w:noProof/>
        </w:rPr>
        <w:t>.</w:t>
      </w:r>
      <w:r>
        <w:t xml:space="preserve"> Engaged Angler Graeme May in foreground inspecting a larval sample with Ben Broadhurst and Casey Proctor (Central Tablelands LLS) in the background; and right is Tweet associated with event. (Photo:  Mal Carnegie, Lake Cowal Foundation).</w:t>
      </w:r>
      <w:bookmarkEnd w:id="706"/>
    </w:p>
    <w:p w14:paraId="3E7B8DA6" w14:textId="6FFE941A" w:rsidR="00815B96" w:rsidRDefault="00815B96" w:rsidP="00815B96">
      <w:pPr>
        <w:ind w:left="45"/>
        <w:jc w:val="both"/>
        <w:rPr>
          <w:rFonts w:cstheme="minorHAnsi"/>
        </w:rPr>
      </w:pPr>
      <w:r>
        <w:rPr>
          <w:rFonts w:cstheme="minorHAnsi"/>
        </w:rPr>
        <w:t xml:space="preserve">The LTIM Project continued to support </w:t>
      </w:r>
      <w:r w:rsidRPr="00F96F19">
        <w:rPr>
          <w:rFonts w:cstheme="minorHAnsi"/>
        </w:rPr>
        <w:t xml:space="preserve">the Booberoi Creek cultural–environmental flow has also continued to provide further opportunities for Ngiyaampaa Elders to reconnect with their country as they are the traditional owners of Booberoi Creek country. </w:t>
      </w:r>
      <w:r>
        <w:rPr>
          <w:rFonts w:cstheme="minorHAnsi"/>
        </w:rPr>
        <w:t>Several Ngiyampaa community representatives assisted Community &amp; Engagement Theme Leader Jo Lenehan download data and change the batteries on the supplementary stream metabolism station on Booberoi Creek in early December 2018. Dr Adam Kerezsy (Dr Fish Consulting) and Jo Lenehan also engaged several Booberoi Creek landholders and their family and friends (‘Doone’, ‘Hyandra’ and ‘Booberoi Station’) on the LTIM Project and watering events by having them assist with the fyke net directional monitoring. Dr Kerezsy commented that this form of engagement (combining data collection with landholder interaction) is simple but highly effective as it provides a visual demonstration, and opportunity for landholders to ask lots of questions about what they have observed – and put that local observational knowledge into a broader monitoring context. Photographic images captured by Mal Carnegie from Lake Cowal Conservation Centre during these landholder engagement events and monitoring have proven invaluable for several CEWO Tweets (</w:t>
      </w:r>
      <w:r>
        <w:rPr>
          <w:rFonts w:cstheme="minorHAnsi"/>
        </w:rPr>
        <w:fldChar w:fldCharType="begin"/>
      </w:r>
      <w:r>
        <w:rPr>
          <w:rFonts w:cstheme="minorHAnsi"/>
        </w:rPr>
        <w:instrText xml:space="preserve"> REF _Ref532831040 \h </w:instrText>
      </w:r>
      <w:r>
        <w:rPr>
          <w:rFonts w:cstheme="minorHAnsi"/>
        </w:rPr>
      </w:r>
      <w:r>
        <w:rPr>
          <w:rFonts w:cstheme="minorHAnsi"/>
        </w:rPr>
        <w:fldChar w:fldCharType="separate"/>
      </w:r>
      <w:r w:rsidR="007F7607">
        <w:t xml:space="preserve">Figure </w:t>
      </w:r>
      <w:r w:rsidR="007F7607">
        <w:rPr>
          <w:noProof/>
        </w:rPr>
        <w:t>98</w:t>
      </w:r>
      <w:r>
        <w:rPr>
          <w:rFonts w:cstheme="minorHAnsi"/>
        </w:rPr>
        <w:fldChar w:fldCharType="end"/>
      </w:r>
      <w:r w:rsidR="00A370F4">
        <w:rPr>
          <w:rFonts w:cstheme="minorHAnsi"/>
        </w:rPr>
        <w:t>).</w:t>
      </w:r>
    </w:p>
    <w:p w14:paraId="067BEF3B" w14:textId="491C1CD4" w:rsidR="00A370F4" w:rsidRPr="00A370F4" w:rsidRDefault="00A370F4" w:rsidP="00815B96">
      <w:pPr>
        <w:ind w:left="45"/>
        <w:jc w:val="both"/>
        <w:rPr>
          <w:rFonts w:cstheme="minorHAnsi"/>
          <w:b/>
          <w:bCs/>
        </w:rPr>
      </w:pPr>
      <w:r w:rsidRPr="00A370F4">
        <w:rPr>
          <w:rFonts w:cstheme="minorHAnsi"/>
          <w:b/>
          <w:bCs/>
        </w:rPr>
        <w:t>Collaborative carp management</w:t>
      </w:r>
    </w:p>
    <w:p w14:paraId="02FAA5DC" w14:textId="3986CC0F" w:rsidR="00815B96" w:rsidRDefault="00815B96" w:rsidP="00815B96">
      <w:pPr>
        <w:jc w:val="both"/>
      </w:pPr>
      <w:r>
        <w:t xml:space="preserve">A small proportion of the Commonwealth Environmental Water Office (CEWO) licenced water was diverted into Lake Brewster in 2017 to support aquatic plant growth and pelican breeding. The LTIM Project took the opportunity in late October to video and drone Keith Bell from </w:t>
      </w:r>
      <w:r w:rsidRPr="00E33DDA">
        <w:t>K &amp; C Fisheries Global Pty Ltd</w:t>
      </w:r>
      <w:r>
        <w:t xml:space="preserve"> removing tonnes of large carp from the Brewster main cell and outlet channel (</w:t>
      </w:r>
      <w:r>
        <w:fldChar w:fldCharType="begin"/>
      </w:r>
      <w:r>
        <w:instrText xml:space="preserve"> REF _Ref532884629 \h </w:instrText>
      </w:r>
      <w:r>
        <w:fldChar w:fldCharType="separate"/>
      </w:r>
      <w:r w:rsidR="007F7607">
        <w:t xml:space="preserve">Figure </w:t>
      </w:r>
      <w:r w:rsidR="007F7607">
        <w:rPr>
          <w:noProof/>
        </w:rPr>
        <w:t>99</w:t>
      </w:r>
      <w:r>
        <w:fldChar w:fldCharType="end"/>
      </w:r>
      <w:r>
        <w:t xml:space="preserve"> – </w:t>
      </w:r>
      <w:r w:rsidRPr="00D4752C">
        <w:rPr>
          <w:u w:val="single"/>
        </w:rPr>
        <w:t>Note</w:t>
      </w:r>
      <w:r>
        <w:t xml:space="preserve"> this is a commercial fisheries operation and not funded by environmental water holders). There is further opportunity to develop a case study into collaborative management of carp in conjunction with environmental watering in known ‘carp biomass and breeding hotspots’, such as Lake Brewster and Lake Cargelligo</w:t>
      </w:r>
    </w:p>
    <w:p w14:paraId="740CFF34" w14:textId="6EFF37E5" w:rsidR="00777B1C" w:rsidRDefault="00777B1C" w:rsidP="00815B96">
      <w:pPr>
        <w:jc w:val="both"/>
      </w:pPr>
      <w:r>
        <w:rPr>
          <w:noProof/>
          <w:lang w:eastAsia="en-AU"/>
        </w:rPr>
        <w:drawing>
          <wp:inline distT="0" distB="0" distL="0" distR="0" wp14:anchorId="50102FC5" wp14:editId="043BDB9F">
            <wp:extent cx="5731510" cy="2847882"/>
            <wp:effectExtent l="0" t="0" r="2540" b="0"/>
            <wp:docPr id="85" name="Picture 85" descr="A group of people standing next to a body of wa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p.png"/>
                    <pic:cNvPicPr/>
                  </pic:nvPicPr>
                  <pic:blipFill rotWithShape="1">
                    <a:blip r:embed="rId197" cstate="email">
                      <a:extLst>
                        <a:ext uri="{28A0092B-C50C-407E-A947-70E740481C1C}">
                          <a14:useLocalDpi xmlns:a14="http://schemas.microsoft.com/office/drawing/2010/main"/>
                        </a:ext>
                      </a:extLst>
                    </a:blip>
                    <a:srcRect/>
                    <a:stretch/>
                  </pic:blipFill>
                  <pic:spPr bwMode="auto">
                    <a:xfrm>
                      <a:off x="0" y="0"/>
                      <a:ext cx="5731510" cy="2847882"/>
                    </a:xfrm>
                    <a:prstGeom prst="rect">
                      <a:avLst/>
                    </a:prstGeom>
                    <a:ln>
                      <a:noFill/>
                    </a:ln>
                    <a:extLst>
                      <a:ext uri="{53640926-AAD7-44D8-BBD7-CCE9431645EC}">
                        <a14:shadowObscured xmlns:a14="http://schemas.microsoft.com/office/drawing/2010/main"/>
                      </a:ext>
                    </a:extLst>
                  </pic:spPr>
                </pic:pic>
              </a:graphicData>
            </a:graphic>
          </wp:inline>
        </w:drawing>
      </w:r>
    </w:p>
    <w:p w14:paraId="3D4202CB" w14:textId="394DBAC9" w:rsidR="00815B96" w:rsidRPr="00576609" w:rsidRDefault="00815B96" w:rsidP="00815B96">
      <w:pPr>
        <w:pStyle w:val="Caption"/>
      </w:pPr>
      <w:bookmarkStart w:id="707" w:name="_Ref532884629"/>
      <w:bookmarkStart w:id="708" w:name="_Toc31985663"/>
      <w:r>
        <w:t xml:space="preserve">Figure </w:t>
      </w:r>
      <w:r>
        <w:rPr>
          <w:noProof/>
        </w:rPr>
        <w:fldChar w:fldCharType="begin"/>
      </w:r>
      <w:r>
        <w:rPr>
          <w:noProof/>
        </w:rPr>
        <w:instrText xml:space="preserve"> SEQ Figure \* ARABIC </w:instrText>
      </w:r>
      <w:r>
        <w:rPr>
          <w:noProof/>
        </w:rPr>
        <w:fldChar w:fldCharType="separate"/>
      </w:r>
      <w:r w:rsidR="007F7607">
        <w:rPr>
          <w:noProof/>
        </w:rPr>
        <w:t>99</w:t>
      </w:r>
      <w:r>
        <w:rPr>
          <w:noProof/>
        </w:rPr>
        <w:fldChar w:fldCharType="end"/>
      </w:r>
      <w:bookmarkEnd w:id="707"/>
      <w:r w:rsidR="0018699C">
        <w:rPr>
          <w:noProof/>
        </w:rPr>
        <w:t>.</w:t>
      </w:r>
      <w:r>
        <w:t xml:space="preserve"> Commercial carp removal from Lake Brewster with Keith Bell Fisheries and Feral</w:t>
      </w:r>
      <w:r w:rsidR="00777B1C">
        <w:t xml:space="preserve"> </w:t>
      </w:r>
      <w:r>
        <w:t>fisherman (Photo:  Mal Carnegie, Lake Cowal Foundation).</w:t>
      </w:r>
      <w:bookmarkEnd w:id="708"/>
    </w:p>
    <w:p w14:paraId="4FEFA90B" w14:textId="50FE3D1C" w:rsidR="00A370F4" w:rsidRPr="00A370F4" w:rsidRDefault="00A370F4" w:rsidP="00815B96">
      <w:pPr>
        <w:rPr>
          <w:b/>
          <w:bCs/>
        </w:rPr>
      </w:pPr>
      <w:r w:rsidRPr="00A370F4">
        <w:rPr>
          <w:b/>
          <w:bCs/>
        </w:rPr>
        <w:t>Mt Boorithumble weekend</w:t>
      </w:r>
    </w:p>
    <w:p w14:paraId="54D14D8F" w14:textId="357AD342" w:rsidR="00815B96" w:rsidRDefault="00815B96" w:rsidP="00815B96">
      <w:r w:rsidRPr="00077487">
        <w:t>Landholders, traditional owners, scientists, environmental water managers and others with an interest in Booberoi Creek converged on the property Mt Boorithumble on Saturday</w:t>
      </w:r>
      <w:r>
        <w:t xml:space="preserve"> the </w:t>
      </w:r>
      <w:r w:rsidRPr="00077487">
        <w:t>23</w:t>
      </w:r>
      <w:r w:rsidRPr="00077487">
        <w:rPr>
          <w:vertAlign w:val="superscript"/>
        </w:rPr>
        <w:t>th</w:t>
      </w:r>
      <w:r>
        <w:t xml:space="preserve"> of</w:t>
      </w:r>
      <w:r w:rsidRPr="00077487">
        <w:t xml:space="preserve"> February to share their interest in</w:t>
      </w:r>
      <w:r>
        <w:t>,</w:t>
      </w:r>
      <w:r w:rsidRPr="00077487">
        <w:t xml:space="preserve"> and local knowledge of</w:t>
      </w:r>
      <w:r>
        <w:t>,</w:t>
      </w:r>
      <w:r w:rsidRPr="00077487">
        <w:t xml:space="preserve"> their creek</w:t>
      </w:r>
      <w:r>
        <w:t>.</w:t>
      </w:r>
      <w:r w:rsidRPr="00077487">
        <w:t xml:space="preserve"> </w:t>
      </w:r>
    </w:p>
    <w:p w14:paraId="7C993C70" w14:textId="6B8C27AE" w:rsidR="00815B96" w:rsidRDefault="00815B96" w:rsidP="00815B96">
      <w:bookmarkStart w:id="709" w:name="_Hlk8327508"/>
      <w:r w:rsidRPr="00077487">
        <w:t>Preliminary observations from the additional mid-Lachlan LTIM larval fish monitoring (October to December 2018) in the Lachlan River close by (Euabalong and Condobolin sites) were shared with landholders and the community – including the eel-tailed catfish larvae as catfish is an iconic and cultural species for Booberoi Creek. The local Lake News newspaper featured the engagement weekend</w:t>
      </w:r>
      <w:r>
        <w:t xml:space="preserve"> (</w:t>
      </w:r>
      <w:r>
        <w:fldChar w:fldCharType="begin"/>
      </w:r>
      <w:r>
        <w:instrText xml:space="preserve"> REF _Ref4502316 \h </w:instrText>
      </w:r>
      <w:r>
        <w:fldChar w:fldCharType="separate"/>
      </w:r>
      <w:r w:rsidR="007F7607">
        <w:t xml:space="preserve">Figure </w:t>
      </w:r>
      <w:r w:rsidR="007F7607">
        <w:rPr>
          <w:noProof/>
        </w:rPr>
        <w:t>93</w:t>
      </w:r>
      <w:r>
        <w:fldChar w:fldCharType="end"/>
      </w:r>
      <w:r>
        <w:t>)</w:t>
      </w:r>
      <w:r w:rsidRPr="00077487">
        <w:t xml:space="preserve"> – and as there is great demand from all who attended (and those who wished they could have!) – </w:t>
      </w:r>
      <w:r>
        <w:t xml:space="preserve">the LTIM Communication and Engagement </w:t>
      </w:r>
      <w:r w:rsidRPr="00077487">
        <w:t xml:space="preserve">Team </w:t>
      </w:r>
      <w:r>
        <w:t>and OEH have discussed with landholders the option to do a similar event in future years.</w:t>
      </w:r>
    </w:p>
    <w:bookmarkEnd w:id="709"/>
    <w:p w14:paraId="1EFD23CA" w14:textId="1987AC4A" w:rsidR="00815B96" w:rsidRPr="00A370F4" w:rsidRDefault="00A370F4" w:rsidP="00A370F4">
      <w:pPr>
        <w:rPr>
          <w:b/>
          <w:bCs/>
        </w:rPr>
      </w:pPr>
      <w:r w:rsidRPr="00A370F4">
        <w:rPr>
          <w:b/>
          <w:bCs/>
        </w:rPr>
        <w:t>Waterwatch workshop</w:t>
      </w:r>
    </w:p>
    <w:p w14:paraId="623AF201" w14:textId="77777777" w:rsidR="00FA4F4A" w:rsidRDefault="00FA4F4A" w:rsidP="00FA4F4A">
      <w:r>
        <w:t>A two-day Waterwatch workshop was held in Murrin Bridge to introduce the community to the new WaterWatch and Waterbug team. Lake Cargelligo Local Landcare Coordinator Nicole O’Neill will assist the Community Development team for the area as well as Landholders to put their training into action over the next year. The workshop was very popular with all who attended. Data from the program will be available to contribute to the Commonwealth Environmental Water LTIM Lachlan River project.</w:t>
      </w:r>
    </w:p>
    <w:p w14:paraId="33578AEA" w14:textId="67295FE9" w:rsidR="00DF4D8A" w:rsidRDefault="000F2B1A" w:rsidP="000F2B1A">
      <w:pPr>
        <w:pStyle w:val="Heading2"/>
        <w:rPr>
          <w:lang w:val="en-US"/>
        </w:rPr>
      </w:pPr>
      <w:bookmarkStart w:id="710" w:name="_Toc31985548"/>
      <w:r>
        <w:rPr>
          <w:lang w:val="en-US"/>
        </w:rPr>
        <w:t>Informing future Communication and engagement activities</w:t>
      </w:r>
      <w:bookmarkEnd w:id="710"/>
    </w:p>
    <w:p w14:paraId="1F9B28C4" w14:textId="7E57840E" w:rsidR="00410ACD" w:rsidRDefault="00410ACD" w:rsidP="00410ACD">
      <w:pPr>
        <w:pStyle w:val="Heading3"/>
      </w:pPr>
      <w:bookmarkStart w:id="711" w:name="_Toc31985549"/>
      <w:r>
        <w:t>Reflections</w:t>
      </w:r>
      <w:r>
        <w:rPr>
          <w:lang w:val="en-US"/>
        </w:rPr>
        <w:t xml:space="preserve"> from 2018-19</w:t>
      </w:r>
      <w:bookmarkEnd w:id="711"/>
    </w:p>
    <w:p w14:paraId="11CD72CC" w14:textId="11B9B415" w:rsidR="00685996" w:rsidRDefault="00880453" w:rsidP="000F2B1A">
      <w:pPr>
        <w:rPr>
          <w:lang w:val="en-US" w:eastAsia="x-none"/>
        </w:rPr>
      </w:pPr>
      <w:r>
        <w:rPr>
          <w:lang w:val="en-US" w:eastAsia="x-none"/>
        </w:rPr>
        <w:t xml:space="preserve">The internal project communications are an essential part of delivering the monitoring project. In 2019, </w:t>
      </w:r>
      <w:r w:rsidR="00685996">
        <w:rPr>
          <w:lang w:val="en-US" w:eastAsia="x-none"/>
        </w:rPr>
        <w:t>some additional investment was required in establishing sites within the mid-Lachlan. In many instances, new relationships have been commenced with landholders and these have enabled the team to not only deliver the monitoring activities, but talk with landholders about environmental water and the CEWO.</w:t>
      </w:r>
    </w:p>
    <w:p w14:paraId="3951575E" w14:textId="1AB9C8C8" w:rsidR="000F2B1A" w:rsidRDefault="00EB06F3" w:rsidP="000F2B1A">
      <w:pPr>
        <w:rPr>
          <w:lang w:val="en-US" w:eastAsia="x-none"/>
        </w:rPr>
      </w:pPr>
      <w:r>
        <w:rPr>
          <w:lang w:val="en-US" w:eastAsia="x-none"/>
        </w:rPr>
        <w:t xml:space="preserve">The </w:t>
      </w:r>
      <w:r w:rsidR="00685996">
        <w:rPr>
          <w:lang w:val="en-US" w:eastAsia="x-none"/>
        </w:rPr>
        <w:t xml:space="preserve">external </w:t>
      </w:r>
      <w:r>
        <w:rPr>
          <w:lang w:val="en-US" w:eastAsia="x-none"/>
        </w:rPr>
        <w:t xml:space="preserve">C&amp;E activities undertaken in 2018-19 </w:t>
      </w:r>
      <w:r w:rsidR="00410ACD">
        <w:rPr>
          <w:lang w:val="en-US" w:eastAsia="x-none"/>
        </w:rPr>
        <w:t xml:space="preserve">have </w:t>
      </w:r>
      <w:r w:rsidR="00685996">
        <w:rPr>
          <w:lang w:val="en-US" w:eastAsia="x-none"/>
        </w:rPr>
        <w:t xml:space="preserve">capitalized on </w:t>
      </w:r>
      <w:r w:rsidR="00880453">
        <w:rPr>
          <w:lang w:val="en-US" w:eastAsia="x-none"/>
        </w:rPr>
        <w:t xml:space="preserve">relationships that have been built up over many years in the catchment. They have been delivered in collaboration with NSW OEH, with the LTIM funding enabling </w:t>
      </w:r>
      <w:r w:rsidR="00685996">
        <w:rPr>
          <w:lang w:val="en-US" w:eastAsia="x-none"/>
        </w:rPr>
        <w:t xml:space="preserve">community-based activities to go ahead. </w:t>
      </w:r>
    </w:p>
    <w:p w14:paraId="64586477" w14:textId="77777777" w:rsidR="00685996" w:rsidRDefault="00685996" w:rsidP="000F2B1A">
      <w:pPr>
        <w:rPr>
          <w:lang w:val="en-US" w:eastAsia="x-none"/>
        </w:rPr>
      </w:pPr>
    </w:p>
    <w:p w14:paraId="3571D453" w14:textId="54FAA79A" w:rsidR="00D6619F" w:rsidRDefault="00D6619F" w:rsidP="00410ACD">
      <w:pPr>
        <w:pStyle w:val="Heading3"/>
      </w:pPr>
      <w:bookmarkStart w:id="712" w:name="_Toc13037214"/>
      <w:bookmarkStart w:id="713" w:name="_Toc31985550"/>
      <w:r>
        <w:t>Learning from the</w:t>
      </w:r>
      <w:r>
        <w:rPr>
          <w:lang w:val="en-US"/>
        </w:rPr>
        <w:t xml:space="preserve"> 5 years of the</w:t>
      </w:r>
      <w:r>
        <w:t xml:space="preserve"> LTIM Project</w:t>
      </w:r>
      <w:bookmarkEnd w:id="712"/>
      <w:bookmarkEnd w:id="713"/>
    </w:p>
    <w:p w14:paraId="6AEB497E" w14:textId="77777777" w:rsidR="00D6619F" w:rsidRDefault="00D6619F" w:rsidP="00D6619F">
      <w:pPr>
        <w:rPr>
          <w:lang w:eastAsia="x-none"/>
        </w:rPr>
      </w:pPr>
      <w:r>
        <w:rPr>
          <w:lang w:eastAsia="x-none"/>
        </w:rPr>
        <w:t xml:space="preserve">Communication products in the Lachlan Selected Area LTIM C&amp;E Theme focused on informing key stakeholders of commencing watering events and monitoring activities. Outcomes observed or key results from the LTIM Project were reported to key stakeholders. Communication products were tailored for stakeholder audiences, with a focus on operational information (hydrograph) for those who may be directly impacted by changing river levels (e.g. move pump, order on top of flow to improve pumping efficiency, or move stock if risk of bogging or loss of access track, land inundated). </w:t>
      </w:r>
    </w:p>
    <w:p w14:paraId="5F6F62B4" w14:textId="77777777" w:rsidR="00D6619F" w:rsidRDefault="00D6619F" w:rsidP="00D6619F">
      <w:pPr>
        <w:rPr>
          <w:lang w:eastAsia="x-none"/>
        </w:rPr>
      </w:pPr>
      <w:r>
        <w:rPr>
          <w:lang w:eastAsia="x-none"/>
        </w:rPr>
        <w:t xml:space="preserve">A focus on monitoring activities and results was provided for those who expressed an interest in the ecology and adaptive management of environmental water based on LTIM and other research and monitoring programs. For example, articles on waterbird breeding and aquatic vegetation have appeared in Lower Lachlan landholder newsletters. </w:t>
      </w:r>
    </w:p>
    <w:p w14:paraId="4F2A7E03" w14:textId="76ADC607" w:rsidR="00D6619F" w:rsidRDefault="00D6619F" w:rsidP="00D6619F">
      <w:pPr>
        <w:rPr>
          <w:lang w:eastAsia="x-none"/>
        </w:rPr>
      </w:pPr>
      <w:r>
        <w:rPr>
          <w:lang w:eastAsia="x-none"/>
        </w:rPr>
        <w:t xml:space="preserve">The LTIM Project was also mentioned in </w:t>
      </w:r>
      <w:r w:rsidR="00281678">
        <w:rPr>
          <w:lang w:eastAsia="x-none"/>
        </w:rPr>
        <w:t>numerous</w:t>
      </w:r>
      <w:r>
        <w:rPr>
          <w:lang w:eastAsia="x-none"/>
        </w:rPr>
        <w:t xml:space="preserve"> local media articles, and directly engaged with </w:t>
      </w:r>
      <w:r w:rsidR="00281678">
        <w:rPr>
          <w:lang w:eastAsia="x-none"/>
        </w:rPr>
        <w:t>more than</w:t>
      </w:r>
      <w:r>
        <w:rPr>
          <w:lang w:eastAsia="x-none"/>
        </w:rPr>
        <w:t xml:space="preserve"> 30 recreational fishers and two clubs when enlisting the assistance of individual members of the public to collect fin clips and otoliths for a LTIM related PhD Project. </w:t>
      </w:r>
    </w:p>
    <w:p w14:paraId="2C312523" w14:textId="2A26400A" w:rsidR="00D6619F" w:rsidRDefault="00D6619F" w:rsidP="00D6619F">
      <w:pPr>
        <w:rPr>
          <w:lang w:eastAsia="x-none"/>
        </w:rPr>
      </w:pPr>
      <w:r>
        <w:rPr>
          <w:lang w:eastAsia="x-none"/>
        </w:rPr>
        <w:t>Engagement activities were more often opportunistic in nature, based on the C&amp;E Theme Leaders existing communication and relationship networks across the Lachlan Catchment. The majority of events were by either by invitation (guest speaker at conference or meeting), display or activity as part of established event (Hillston Hook Line and Sinker and Condobolin Schools Enviro Day) or supported Indigenous involvement in environmental water management (Booberoi Creek and Hillston NAIDOC Day).</w:t>
      </w:r>
      <w:r w:rsidR="00685996">
        <w:rPr>
          <w:lang w:eastAsia="x-none"/>
        </w:rPr>
        <w:t xml:space="preserve"> It is therefore important to have the capacity to undertake activities when the opportunity arises.</w:t>
      </w:r>
    </w:p>
    <w:p w14:paraId="2E653D62" w14:textId="763C4371" w:rsidR="00D6619F" w:rsidRDefault="00D6619F" w:rsidP="00281678">
      <w:pPr>
        <w:rPr>
          <w:lang w:eastAsia="x-none"/>
        </w:rPr>
      </w:pPr>
      <w:r>
        <w:rPr>
          <w:lang w:eastAsia="x-none"/>
        </w:rPr>
        <w:t xml:space="preserve">In combination, these activities have resulted in more collaborative environmental water management with the Booberoi Water Users Group, Lower Lachlan Landcare, Torriganny, Muggabah and Merrimajeel Trust, Ngiyampaa nation, mid-Lachlan irrigators, and the lower Lachlan Great Cumbung Swamp landholders via State and Commonwealth environmental water management liaison. </w:t>
      </w:r>
    </w:p>
    <w:p w14:paraId="5A34AAAD" w14:textId="4F131E5F" w:rsidR="00281678" w:rsidRDefault="00BC2933" w:rsidP="00D6619F">
      <w:pPr>
        <w:rPr>
          <w:lang w:eastAsia="x-none"/>
        </w:rPr>
      </w:pPr>
      <w:r>
        <w:rPr>
          <w:lang w:eastAsia="x-none"/>
        </w:rPr>
        <w:t xml:space="preserve">Many of the LTIM C&amp;E activities </w:t>
      </w:r>
      <w:r w:rsidR="00880453">
        <w:rPr>
          <w:lang w:eastAsia="x-none"/>
        </w:rPr>
        <w:t xml:space="preserve">over the past 5 years </w:t>
      </w:r>
      <w:r>
        <w:rPr>
          <w:lang w:eastAsia="x-none"/>
        </w:rPr>
        <w:t xml:space="preserve">have been made possible because of the relationship the C&amp;E lead has with the local community and because of synergies between the role of the C&amp;E lead within NSW Government and the funding able to be provided by LTIM. </w:t>
      </w:r>
      <w:r w:rsidR="00281678">
        <w:rPr>
          <w:lang w:eastAsia="x-none"/>
        </w:rPr>
        <w:t xml:space="preserve">While such a collaborative arrangement has enabled a far greater number of activities to be supported than would be delivered </w:t>
      </w:r>
      <w:r w:rsidR="00685996">
        <w:rPr>
          <w:lang w:eastAsia="x-none"/>
        </w:rPr>
        <w:t>in the absence of this arrangement</w:t>
      </w:r>
      <w:r w:rsidR="00281678">
        <w:rPr>
          <w:lang w:eastAsia="x-none"/>
        </w:rPr>
        <w:t>, there are challenges associated with this model</w:t>
      </w:r>
      <w:r w:rsidR="00B90AD4">
        <w:rPr>
          <w:lang w:eastAsia="x-none"/>
        </w:rPr>
        <w:t xml:space="preserve"> that include</w:t>
      </w:r>
      <w:r w:rsidR="00281678">
        <w:rPr>
          <w:lang w:eastAsia="x-none"/>
        </w:rPr>
        <w:t>:</w:t>
      </w:r>
    </w:p>
    <w:p w14:paraId="76CB204D" w14:textId="77777777" w:rsidR="00B90AD4" w:rsidRDefault="00281678" w:rsidP="00281678">
      <w:pPr>
        <w:pStyle w:val="ListParagraph"/>
        <w:numPr>
          <w:ilvl w:val="0"/>
          <w:numId w:val="51"/>
        </w:numPr>
        <w:rPr>
          <w:lang w:eastAsia="x-none"/>
        </w:rPr>
      </w:pPr>
      <w:r>
        <w:rPr>
          <w:lang w:eastAsia="x-none"/>
        </w:rPr>
        <w:t xml:space="preserve">A lack of </w:t>
      </w:r>
      <w:r w:rsidR="00B90AD4">
        <w:rPr>
          <w:lang w:eastAsia="x-none"/>
        </w:rPr>
        <w:t>clear delineation of roles</w:t>
      </w:r>
    </w:p>
    <w:p w14:paraId="5F448174" w14:textId="04A29763" w:rsidR="00281678" w:rsidRDefault="00B90AD4" w:rsidP="00281678">
      <w:pPr>
        <w:pStyle w:val="ListParagraph"/>
        <w:numPr>
          <w:ilvl w:val="0"/>
          <w:numId w:val="51"/>
        </w:numPr>
        <w:rPr>
          <w:lang w:eastAsia="x-none"/>
        </w:rPr>
      </w:pPr>
      <w:r>
        <w:rPr>
          <w:lang w:eastAsia="x-none"/>
        </w:rPr>
        <w:t xml:space="preserve">A lack of </w:t>
      </w:r>
      <w:r w:rsidR="00281678">
        <w:rPr>
          <w:lang w:eastAsia="x-none"/>
        </w:rPr>
        <w:t>transparency about what the C&amp;E funding has paid for and what NSW have paid for and a perception of ‘double dipping’</w:t>
      </w:r>
    </w:p>
    <w:p w14:paraId="115E0550" w14:textId="59E53D32" w:rsidR="00281678" w:rsidRDefault="00281678" w:rsidP="00281678">
      <w:pPr>
        <w:pStyle w:val="ListParagraph"/>
        <w:numPr>
          <w:ilvl w:val="0"/>
          <w:numId w:val="51"/>
        </w:numPr>
        <w:rPr>
          <w:lang w:eastAsia="x-none"/>
        </w:rPr>
      </w:pPr>
      <w:r>
        <w:rPr>
          <w:lang w:eastAsia="x-none"/>
        </w:rPr>
        <w:t xml:space="preserve">The lack of control of CEWH communication and engagement activities </w:t>
      </w:r>
    </w:p>
    <w:p w14:paraId="09FBC9C6" w14:textId="7881B903" w:rsidR="00281678" w:rsidRDefault="00281678" w:rsidP="00880453">
      <w:pPr>
        <w:pStyle w:val="ListParagraph"/>
        <w:numPr>
          <w:ilvl w:val="0"/>
          <w:numId w:val="51"/>
        </w:numPr>
        <w:rPr>
          <w:lang w:eastAsia="x-none"/>
        </w:rPr>
      </w:pPr>
      <w:r>
        <w:rPr>
          <w:lang w:eastAsia="x-none"/>
        </w:rPr>
        <w:t>T</w:t>
      </w:r>
      <w:r w:rsidR="00BC2933">
        <w:rPr>
          <w:lang w:eastAsia="x-none"/>
        </w:rPr>
        <w:t xml:space="preserve">he </w:t>
      </w:r>
      <w:r>
        <w:rPr>
          <w:lang w:eastAsia="x-none"/>
        </w:rPr>
        <w:t xml:space="preserve">inability for the current </w:t>
      </w:r>
      <w:r w:rsidR="00BC2933">
        <w:rPr>
          <w:lang w:eastAsia="x-none"/>
        </w:rPr>
        <w:t xml:space="preserve">C&amp;E lead </w:t>
      </w:r>
      <w:r w:rsidR="00BF1FC9">
        <w:rPr>
          <w:lang w:eastAsia="x-none"/>
        </w:rPr>
        <w:t xml:space="preserve">to continue to devote the time to the </w:t>
      </w:r>
      <w:r w:rsidR="00E05711">
        <w:rPr>
          <w:lang w:eastAsia="x-none"/>
        </w:rPr>
        <w:t>LTIM Project</w:t>
      </w:r>
      <w:r w:rsidR="00BF1FC9">
        <w:rPr>
          <w:lang w:eastAsia="x-none"/>
        </w:rPr>
        <w:t xml:space="preserve">.  </w:t>
      </w:r>
    </w:p>
    <w:p w14:paraId="44FFF536" w14:textId="0A40AADE" w:rsidR="00BF1FC9" w:rsidRDefault="00BF1FC9" w:rsidP="00281678">
      <w:pPr>
        <w:rPr>
          <w:lang w:eastAsia="x-none"/>
        </w:rPr>
      </w:pPr>
      <w:r>
        <w:rPr>
          <w:lang w:eastAsia="x-none"/>
        </w:rPr>
        <w:t xml:space="preserve">Thus while there is opportunity from the CEWO and DoPIE network collaboration to continue evolving, </w:t>
      </w:r>
      <w:r w:rsidR="00281678">
        <w:rPr>
          <w:lang w:eastAsia="x-none"/>
        </w:rPr>
        <w:t>the way in which it is delivered will have to be re-thought.  This has been done as part of the development of ongoing MER activities</w:t>
      </w:r>
      <w:r w:rsidR="004F03DB">
        <w:rPr>
          <w:lang w:eastAsia="x-none"/>
        </w:rPr>
        <w:t xml:space="preserve"> </w:t>
      </w:r>
      <w:r w:rsidR="004F03DB">
        <w:rPr>
          <w:lang w:eastAsia="x-none"/>
        </w:rPr>
        <w:fldChar w:fldCharType="begin"/>
      </w:r>
      <w:r w:rsidR="004F03DB">
        <w:rPr>
          <w:lang w:eastAsia="x-none"/>
        </w:rPr>
        <w:instrText xml:space="preserve"> ADDIN EN.CITE &lt;EndNote&gt;&lt;Cite&gt;&lt;Author&gt;Dyer&lt;/Author&gt;&lt;Year&gt;2019&lt;/Year&gt;&lt;RecNum&gt;393&lt;/RecNum&gt;&lt;DisplayText&gt;(Dyer et al. 2019)&lt;/DisplayText&gt;&lt;record&gt;&lt;rec-number&gt;393&lt;/rec-number&gt;&lt;foreign-keys&gt;&lt;key app="EN" db-id="0a0zttz0gewd9befav559p5osxw5sftwfpdv" timestamp="1573770945"&gt;393&lt;/key&gt;&lt;/foreign-keys&gt;&lt;ref-type name="Report"&gt;27&lt;/ref-type&gt;&lt;contributors&gt;&lt;authors&gt;&lt;author&gt;Dyer, F.&lt;/author&gt;&lt;author&gt;Broadhurst, B.&lt;/author&gt;&lt;author&gt;Tschierschke, A.&lt;/author&gt;&lt;author&gt;Thompson, R.&lt;/author&gt;&lt;author&gt;Clear, R.&lt;/author&gt;&lt;author&gt;Driver, P.&lt;/author&gt;&lt;author&gt;Bowen, S.&lt;/author&gt;&lt;author&gt;Lenehan, J.&lt;/author&gt;&lt;author&gt;Thomas, R.&lt;/author&gt;&lt;author&gt;Thurtell, L.&lt;/author&gt;&lt;author&gt;Packard, P.&lt;/author&gt;&lt;author&gt;Wright, D.&lt;/author&gt;&lt;author&gt;Thiem, J.&lt;/author&gt;&lt;author&gt;Brandis, K.&lt;/author&gt;&lt;/authors&gt;&lt;/contributors&gt;&lt;titles&gt;&lt;title&gt;Lachlan Selected Area Monitoring, Evaluation and Research Plan (2019-2022)&lt;/title&gt;&lt;/titles&gt;&lt;dates&gt;&lt;year&gt;2019&lt;/year&gt;&lt;/dates&gt;&lt;pub-location&gt;Canberra&lt;/pub-location&gt;&lt;publisher&gt;Commonwealth of Australia&lt;/publisher&gt;&lt;urls&gt;&lt;/urls&gt;&lt;/record&gt;&lt;/Cite&gt;&lt;/EndNote&gt;</w:instrText>
      </w:r>
      <w:r w:rsidR="004F03DB">
        <w:rPr>
          <w:lang w:eastAsia="x-none"/>
        </w:rPr>
        <w:fldChar w:fldCharType="separate"/>
      </w:r>
      <w:r w:rsidR="004F03DB">
        <w:rPr>
          <w:noProof/>
          <w:lang w:eastAsia="x-none"/>
        </w:rPr>
        <w:t>(Dyer et al. 2019)</w:t>
      </w:r>
      <w:r w:rsidR="004F03DB">
        <w:rPr>
          <w:lang w:eastAsia="x-none"/>
        </w:rPr>
        <w:fldChar w:fldCharType="end"/>
      </w:r>
      <w:r w:rsidR="004F03DB">
        <w:rPr>
          <w:lang w:eastAsia="x-none"/>
        </w:rPr>
        <w:t>.</w:t>
      </w:r>
    </w:p>
    <w:p w14:paraId="52B2E066" w14:textId="6359D8E0" w:rsidR="000F2B1A" w:rsidRDefault="000F2B1A">
      <w:pPr>
        <w:spacing w:before="0" w:after="0"/>
        <w:rPr>
          <w:lang w:val="en-US" w:eastAsia="x-none"/>
        </w:rPr>
      </w:pPr>
      <w:r>
        <w:rPr>
          <w:lang w:val="en-US" w:eastAsia="x-none"/>
        </w:rPr>
        <w:br w:type="page"/>
      </w:r>
    </w:p>
    <w:p w14:paraId="15C1A3F8" w14:textId="4EE1BFBB" w:rsidR="0030124A" w:rsidRDefault="0030124A" w:rsidP="0030124A">
      <w:pPr>
        <w:pStyle w:val="Heading1"/>
        <w:rPr>
          <w:lang w:val="en-US"/>
        </w:rPr>
      </w:pPr>
      <w:bookmarkStart w:id="714" w:name="_Toc31985551"/>
      <w:r>
        <w:rPr>
          <w:lang w:val="en-US"/>
        </w:rPr>
        <w:t>Five years of Commonwealth environmental water</w:t>
      </w:r>
      <w:bookmarkEnd w:id="685"/>
      <w:bookmarkEnd w:id="714"/>
    </w:p>
    <w:p w14:paraId="40BC208F" w14:textId="29D8B537" w:rsidR="0030124A" w:rsidRDefault="0030124A" w:rsidP="0030124A">
      <w:r w:rsidRPr="00FC1144">
        <w:t>Commonwealth environmental water has been delivered in the Lachlan catchment since 2010</w:t>
      </w:r>
      <w:r>
        <w:t xml:space="preserve"> and </w:t>
      </w:r>
      <w:r w:rsidR="006A5CCE">
        <w:t xml:space="preserve">to date </w:t>
      </w:r>
      <w:r>
        <w:t xml:space="preserve">more than 205 GL of Commonwealth environmental water has been delivered to achieve a wide range of outcomes. Watering actions have been set within the context of the MDBA’s long term environmental objectives, </w:t>
      </w:r>
      <w:r w:rsidRPr="00C40AB3">
        <w:t>as well as antecedent watering conditions, seasonal, operational and local management considerations.</w:t>
      </w:r>
      <w:r>
        <w:t xml:space="preserve"> </w:t>
      </w:r>
    </w:p>
    <w:p w14:paraId="23A0AC04" w14:textId="77777777" w:rsidR="0030124A" w:rsidRDefault="0030124A" w:rsidP="0030124A">
      <w:pPr>
        <w:pStyle w:val="Heading2"/>
      </w:pPr>
      <w:bookmarkStart w:id="715" w:name="_Toc31985552"/>
      <w:r>
        <w:t>Climate and water context</w:t>
      </w:r>
      <w:bookmarkEnd w:id="715"/>
    </w:p>
    <w:p w14:paraId="65F3D2E4" w14:textId="18B89F97" w:rsidR="0030124A" w:rsidRDefault="0030124A" w:rsidP="0030124A">
      <w:r w:rsidRPr="00B46C5C">
        <w:t xml:space="preserve">The Lower Lachlan </w:t>
      </w:r>
      <w:r w:rsidR="002E745D">
        <w:t>r</w:t>
      </w:r>
      <w:r w:rsidRPr="00B46C5C">
        <w:t>iver catchment experiences alternating periods of wet and dry conditions (</w:t>
      </w:r>
      <w:r>
        <w:fldChar w:fldCharType="begin"/>
      </w:r>
      <w:r>
        <w:instrText xml:space="preserve"> REF _Ref527063976 \h </w:instrText>
      </w:r>
      <w:r>
        <w:fldChar w:fldCharType="separate"/>
      </w:r>
      <w:r w:rsidR="007F7607" w:rsidRPr="00DB4E54">
        <w:t xml:space="preserve">Figure </w:t>
      </w:r>
      <w:r w:rsidR="007F7607">
        <w:rPr>
          <w:noProof/>
        </w:rPr>
        <w:t>100</w:t>
      </w:r>
      <w:r>
        <w:fldChar w:fldCharType="end"/>
      </w:r>
      <w:r w:rsidRPr="00B46C5C">
        <w:t xml:space="preserve">). The recent Millennium drought (2001- 2010) was the longest extended dry period on record during which the river ceased to flow. </w:t>
      </w:r>
      <w:r>
        <w:t>While w</w:t>
      </w:r>
      <w:r w:rsidRPr="00B46C5C">
        <w:t>ater has been more abundant since the drought, with floods in 2010, 2012 and 2016, each progressively longer and greater in discharge</w:t>
      </w:r>
      <w:r>
        <w:t>, the floods have been interspersed with periods of dry to very dry conditions. The past two years have seen very dry conditions prevail across the catchment with lower than average rainfall and higher temperatures, particularly in summer. This has led to rapidly declining water resource availability.</w:t>
      </w:r>
    </w:p>
    <w:p w14:paraId="55EE72EE" w14:textId="77777777" w:rsidR="0030124A" w:rsidRPr="00B46C5C" w:rsidRDefault="0030124A" w:rsidP="0030124A"/>
    <w:p w14:paraId="37BC0933" w14:textId="77777777" w:rsidR="0030124A" w:rsidRPr="00B467F2" w:rsidRDefault="0030124A" w:rsidP="0030124A">
      <w:pPr>
        <w:keepNext/>
        <w:jc w:val="center"/>
        <w:rPr>
          <w:color w:val="FF0000"/>
        </w:rPr>
      </w:pPr>
      <w:r>
        <w:rPr>
          <w:noProof/>
          <w:color w:val="FF0000"/>
          <w:lang w:eastAsia="en-AU"/>
        </w:rPr>
        <w:drawing>
          <wp:inline distT="0" distB="0" distL="0" distR="0" wp14:anchorId="5BAFF461" wp14:editId="083F074E">
            <wp:extent cx="5414400" cy="370080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414400" cy="3700800"/>
                    </a:xfrm>
                    <a:prstGeom prst="rect">
                      <a:avLst/>
                    </a:prstGeom>
                    <a:noFill/>
                  </pic:spPr>
                </pic:pic>
              </a:graphicData>
            </a:graphic>
          </wp:inline>
        </w:drawing>
      </w:r>
    </w:p>
    <w:p w14:paraId="43B9C337" w14:textId="11AE0015" w:rsidR="0030124A" w:rsidRPr="00DB4E54" w:rsidRDefault="0030124A" w:rsidP="0030124A">
      <w:pPr>
        <w:pStyle w:val="Caption"/>
      </w:pPr>
      <w:bookmarkStart w:id="716" w:name="_Ref527063976"/>
      <w:bookmarkStart w:id="717" w:name="_Toc31985664"/>
      <w:r w:rsidRPr="00DB4E54">
        <w:t xml:space="preserve">Figure </w:t>
      </w:r>
      <w:r>
        <w:rPr>
          <w:noProof/>
        </w:rPr>
        <w:fldChar w:fldCharType="begin"/>
      </w:r>
      <w:r>
        <w:rPr>
          <w:noProof/>
        </w:rPr>
        <w:instrText xml:space="preserve"> SEQ Figure \* ARABIC </w:instrText>
      </w:r>
      <w:r>
        <w:rPr>
          <w:noProof/>
        </w:rPr>
        <w:fldChar w:fldCharType="separate"/>
      </w:r>
      <w:r w:rsidR="007F7607">
        <w:rPr>
          <w:noProof/>
        </w:rPr>
        <w:t>100</w:t>
      </w:r>
      <w:r>
        <w:rPr>
          <w:noProof/>
        </w:rPr>
        <w:fldChar w:fldCharType="end"/>
      </w:r>
      <w:bookmarkEnd w:id="716"/>
      <w:r w:rsidRPr="00DB4E54">
        <w:t>. Hydrographs for the Lachlan River at Booligal illustrating the variability in flow in the river.</w:t>
      </w:r>
      <w:bookmarkEnd w:id="717"/>
    </w:p>
    <w:p w14:paraId="4882FF14" w14:textId="27565576" w:rsidR="0030124A" w:rsidRDefault="0030124A" w:rsidP="0030124A">
      <w:pPr>
        <w:pStyle w:val="Caption"/>
      </w:pPr>
      <w:r w:rsidRPr="00DB4E54">
        <w:t>The long</w:t>
      </w:r>
      <w:r>
        <w:t>-</w:t>
      </w:r>
      <w:r w:rsidRPr="00DB4E54">
        <w:t>term continuous flow record is shown at the top, the period from 2000 to present is shown at the bottom illustrating the Millennium drought</w:t>
      </w:r>
      <w:r>
        <w:t xml:space="preserve"> and most recent flood events.</w:t>
      </w:r>
    </w:p>
    <w:p w14:paraId="36195B79" w14:textId="11F7BEFA" w:rsidR="00E20838" w:rsidRDefault="00E20838" w:rsidP="00E20838"/>
    <w:p w14:paraId="6866377D" w14:textId="77777777" w:rsidR="00D11F63" w:rsidRDefault="00D11F63" w:rsidP="00E20838"/>
    <w:p w14:paraId="648083E5" w14:textId="6FB2E58F" w:rsidR="0030124A" w:rsidRDefault="00233857" w:rsidP="00233857">
      <w:pPr>
        <w:pStyle w:val="Heading2"/>
      </w:pPr>
      <w:bookmarkStart w:id="718" w:name="_Toc31985553"/>
      <w:r>
        <w:t>Five years of watering actions</w:t>
      </w:r>
      <w:bookmarkEnd w:id="718"/>
    </w:p>
    <w:p w14:paraId="3610F38A" w14:textId="4885C185" w:rsidR="00233857" w:rsidRDefault="0030124A" w:rsidP="0030124A">
      <w:r>
        <w:t xml:space="preserve">This sequence of wet and dry conditions means that the past five years of the </w:t>
      </w:r>
      <w:r w:rsidR="00E05711">
        <w:t>LTIM Project</w:t>
      </w:r>
      <w:r>
        <w:t xml:space="preserve"> has seen the Lachlan catchment experience vastly different hydrological conditions ranging from the fourth largest flood on record (2016-17) to the recent very dry conditions of 2018 (</w:t>
      </w:r>
      <w:r>
        <w:fldChar w:fldCharType="begin"/>
      </w:r>
      <w:r>
        <w:instrText xml:space="preserve"> REF _Ref17210661 \h </w:instrText>
      </w:r>
      <w:r>
        <w:fldChar w:fldCharType="separate"/>
      </w:r>
      <w:r w:rsidR="007F7607">
        <w:t xml:space="preserve">Figure </w:t>
      </w:r>
      <w:r w:rsidR="007F7607">
        <w:rPr>
          <w:noProof/>
        </w:rPr>
        <w:t>101</w:t>
      </w:r>
      <w:r>
        <w:fldChar w:fldCharType="end"/>
      </w:r>
      <w:r>
        <w:t xml:space="preserve">). Environmental watering actions have reflected water availability and have sought to build on the outcomes and learning from previous years watering actions.  Where possible, the CEWO have sought to achieve multiple benefits from watering events to maximise the outcomes. </w:t>
      </w:r>
    </w:p>
    <w:p w14:paraId="1490B82B" w14:textId="4A81A6C3" w:rsidR="00233857" w:rsidRDefault="00233857" w:rsidP="00233857">
      <w:r>
        <w:t>A total of 122</w:t>
      </w:r>
      <w:r w:rsidR="00121F7D">
        <w:t> </w:t>
      </w:r>
      <w:r>
        <w:t>208 ML of Commonwealth environmental water has been used strategically within the context of water availability and catchment conditions. Annual volumes delivered have been as low as 5</w:t>
      </w:r>
      <w:r w:rsidR="00121F7D">
        <w:t>,</w:t>
      </w:r>
      <w:r>
        <w:t>000 ML in 2014-15 when conditions were dry and in years of greater water availability (2015 – 2018), the volumes used have been between 30</w:t>
      </w:r>
      <w:r w:rsidR="00121F7D">
        <w:t> </w:t>
      </w:r>
      <w:r>
        <w:t>000 ML and 36</w:t>
      </w:r>
      <w:r w:rsidR="00121F7D">
        <w:t> </w:t>
      </w:r>
      <w:r>
        <w:t>000 ML (</w:t>
      </w:r>
      <w:r>
        <w:fldChar w:fldCharType="begin"/>
      </w:r>
      <w:r>
        <w:instrText xml:space="preserve"> REF _Ref21341006 \h </w:instrText>
      </w:r>
      <w:r>
        <w:fldChar w:fldCharType="separate"/>
      </w:r>
      <w:r w:rsidR="007F7607">
        <w:t xml:space="preserve">Table </w:t>
      </w:r>
      <w:r w:rsidR="007F7607">
        <w:rPr>
          <w:noProof/>
        </w:rPr>
        <w:t>35</w:t>
      </w:r>
      <w:r>
        <w:fldChar w:fldCharType="end"/>
      </w:r>
      <w:r>
        <w:t>).</w:t>
      </w:r>
    </w:p>
    <w:p w14:paraId="0EF6187D" w14:textId="77777777" w:rsidR="00233857" w:rsidRDefault="00233857" w:rsidP="00233857">
      <w:r>
        <w:t>The volumes of Commonwealth environmental water used have been a very small proportion (typically less than 5%) of the annual flow at Forbes, but has been a far more significant proportion of the flow at Booligal, with more than 40% of the annual flow in the river at Booligal in 2015-16 and 2017-18 provided by Commonwealth environmental water. This illustrates the relative importance of Commonwealth environmental water for flow in the lower reaches of the Lachlan river system compared with the almost negligible contribution in the mid Lachlan.</w:t>
      </w:r>
    </w:p>
    <w:p w14:paraId="7502E98A" w14:textId="77777777" w:rsidR="00233857" w:rsidRDefault="00233857" w:rsidP="00233857">
      <w:r>
        <w:t>Commonwealth environmental water has typically been used in spring and has native fish outcomes and improvements to habitat quality and access. Water has also been used opportunistically to support bird breeding and to mitigate adverse water quality outcomes during the floods of 2016-17. In 2017-18 and 2018-19, small winter freshes have been delivered to the lower river system to provide flow variability and habitat access during the winter months when flows are operationally low.</w:t>
      </w:r>
    </w:p>
    <w:p w14:paraId="3150DC08" w14:textId="53D0CC85" w:rsidR="0030124A" w:rsidRDefault="0030124A" w:rsidP="0030124A">
      <w:r>
        <w:t xml:space="preserve">Within the main channel environmental flows have sought outcomes ranging from hydrological connectivity and variability, improvements in dissolved oxygen concentrations, providing cues for native fish spawning and providing refuge habitat. A number of significant wetlands have also received environmental flows including Booligal </w:t>
      </w:r>
      <w:r w:rsidR="00845738">
        <w:t>S</w:t>
      </w:r>
      <w:r>
        <w:t>wamp, Lake Tarwong and the Great Cumbung Swamp. These wetland flows have sought to support waterbird breeding, vegetation condition and fish dispersal outcomes.</w:t>
      </w:r>
    </w:p>
    <w:p w14:paraId="0C42FCF6" w14:textId="77777777" w:rsidR="00CD6EDA" w:rsidRDefault="00CD6EDA" w:rsidP="0030124A"/>
    <w:p w14:paraId="258A8E72" w14:textId="0ADF75AE" w:rsidR="00D87503" w:rsidRDefault="00D87503" w:rsidP="001613C3">
      <w:pPr>
        <w:sectPr w:rsidR="00D87503" w:rsidSect="006E0321">
          <w:pgSz w:w="11906" w:h="16838"/>
          <w:pgMar w:top="1440" w:right="1440" w:bottom="1440" w:left="1440" w:header="708" w:footer="708" w:gutter="0"/>
          <w:cols w:space="708"/>
          <w:docGrid w:linePitch="360"/>
        </w:sectPr>
      </w:pPr>
    </w:p>
    <w:p w14:paraId="4A3899AB" w14:textId="3ACD00C6" w:rsidR="00DE6409" w:rsidRDefault="00DE6409" w:rsidP="00DE6409">
      <w:pPr>
        <w:pStyle w:val="Caption"/>
      </w:pPr>
      <w:bookmarkStart w:id="719" w:name="_Ref21341006"/>
      <w:bookmarkStart w:id="720" w:name="_Toc31985702"/>
      <w:r>
        <w:t xml:space="preserve">Table </w:t>
      </w:r>
      <w:r>
        <w:fldChar w:fldCharType="begin"/>
      </w:r>
      <w:r>
        <w:instrText>SEQ Table \* ARABIC</w:instrText>
      </w:r>
      <w:r>
        <w:fldChar w:fldCharType="separate"/>
      </w:r>
      <w:r w:rsidR="007F7607">
        <w:rPr>
          <w:noProof/>
        </w:rPr>
        <w:t>35</w:t>
      </w:r>
      <w:r>
        <w:fldChar w:fldCharType="end"/>
      </w:r>
      <w:bookmarkEnd w:id="719"/>
      <w:r>
        <w:t>. Summary of the environmental water use in the Lachlan River system during the 5 years of the LTIM Pro</w:t>
      </w:r>
      <w:r w:rsidR="0018699C">
        <w:t>ject</w:t>
      </w:r>
      <w:r>
        <w:t>.</w:t>
      </w:r>
      <w:bookmarkEnd w:id="720"/>
      <w:r>
        <w:t xml:space="preserve"> </w:t>
      </w:r>
    </w:p>
    <w:tbl>
      <w:tblPr>
        <w:tblStyle w:val="GridTable5Dark-Accent310"/>
        <w:tblW w:w="0" w:type="auto"/>
        <w:tblLook w:val="04A0" w:firstRow="1" w:lastRow="0" w:firstColumn="1" w:lastColumn="0" w:noHBand="0" w:noVBand="1"/>
      </w:tblPr>
      <w:tblGrid>
        <w:gridCol w:w="1980"/>
        <w:gridCol w:w="2668"/>
        <w:gridCol w:w="2325"/>
        <w:gridCol w:w="2325"/>
        <w:gridCol w:w="2325"/>
        <w:gridCol w:w="2325"/>
      </w:tblGrid>
      <w:tr w:rsidR="003874C9" w:rsidRPr="00845738" w14:paraId="353F6B7E" w14:textId="77777777" w:rsidTr="00EF52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755D1F6" w14:textId="23351A70" w:rsidR="003874C9" w:rsidRPr="00845738" w:rsidRDefault="003874C9" w:rsidP="00845738">
            <w:pPr>
              <w:spacing w:before="40" w:after="40"/>
              <w:rPr>
                <w:sz w:val="18"/>
                <w:szCs w:val="18"/>
              </w:rPr>
            </w:pPr>
            <w:r w:rsidRPr="00845738">
              <w:rPr>
                <w:sz w:val="18"/>
                <w:szCs w:val="18"/>
              </w:rPr>
              <w:t>Year</w:t>
            </w:r>
          </w:p>
        </w:tc>
        <w:tc>
          <w:tcPr>
            <w:tcW w:w="2668" w:type="dxa"/>
          </w:tcPr>
          <w:p w14:paraId="1264B18C" w14:textId="3D1C30C1" w:rsidR="003874C9" w:rsidRPr="00845738" w:rsidRDefault="003874C9" w:rsidP="00845738">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845738">
              <w:rPr>
                <w:sz w:val="18"/>
                <w:szCs w:val="18"/>
              </w:rPr>
              <w:t>2014-15</w:t>
            </w:r>
          </w:p>
        </w:tc>
        <w:tc>
          <w:tcPr>
            <w:tcW w:w="2325" w:type="dxa"/>
          </w:tcPr>
          <w:p w14:paraId="3BFBFFE8" w14:textId="1294B635" w:rsidR="003874C9" w:rsidRPr="00845738" w:rsidRDefault="003874C9" w:rsidP="00845738">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845738">
              <w:rPr>
                <w:sz w:val="18"/>
                <w:szCs w:val="18"/>
              </w:rPr>
              <w:t>2015-16</w:t>
            </w:r>
          </w:p>
        </w:tc>
        <w:tc>
          <w:tcPr>
            <w:tcW w:w="2325" w:type="dxa"/>
          </w:tcPr>
          <w:p w14:paraId="4D953C06" w14:textId="4E47BEA9" w:rsidR="003874C9" w:rsidRPr="00845738" w:rsidRDefault="003874C9" w:rsidP="00845738">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845738">
              <w:rPr>
                <w:sz w:val="18"/>
                <w:szCs w:val="18"/>
              </w:rPr>
              <w:t>2016-17</w:t>
            </w:r>
          </w:p>
        </w:tc>
        <w:tc>
          <w:tcPr>
            <w:tcW w:w="2325" w:type="dxa"/>
          </w:tcPr>
          <w:p w14:paraId="712C9CBA" w14:textId="63B217C7" w:rsidR="003874C9" w:rsidRPr="00845738" w:rsidRDefault="003874C9" w:rsidP="00845738">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845738">
              <w:rPr>
                <w:sz w:val="18"/>
                <w:szCs w:val="18"/>
              </w:rPr>
              <w:t>2017-18</w:t>
            </w:r>
          </w:p>
        </w:tc>
        <w:tc>
          <w:tcPr>
            <w:tcW w:w="2325" w:type="dxa"/>
          </w:tcPr>
          <w:p w14:paraId="578570A6" w14:textId="1DEB6EF5" w:rsidR="003874C9" w:rsidRPr="00845738" w:rsidRDefault="003874C9" w:rsidP="00845738">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845738">
              <w:rPr>
                <w:sz w:val="18"/>
                <w:szCs w:val="18"/>
              </w:rPr>
              <w:t>2018-19</w:t>
            </w:r>
          </w:p>
        </w:tc>
      </w:tr>
      <w:tr w:rsidR="003874C9" w:rsidRPr="00845738" w14:paraId="107F760F"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0B9CC9" w14:textId="49E74A81" w:rsidR="003874C9" w:rsidRPr="00845738" w:rsidRDefault="003874C9" w:rsidP="00845738">
            <w:pPr>
              <w:spacing w:before="40" w:after="40"/>
              <w:rPr>
                <w:sz w:val="18"/>
                <w:szCs w:val="18"/>
              </w:rPr>
            </w:pPr>
            <w:r w:rsidRPr="00845738">
              <w:rPr>
                <w:sz w:val="18"/>
                <w:szCs w:val="18"/>
              </w:rPr>
              <w:t>Conditions</w:t>
            </w:r>
          </w:p>
        </w:tc>
        <w:tc>
          <w:tcPr>
            <w:tcW w:w="2668" w:type="dxa"/>
          </w:tcPr>
          <w:p w14:paraId="218AA6F5" w14:textId="568CFB9B"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Dry</w:t>
            </w:r>
          </w:p>
        </w:tc>
        <w:tc>
          <w:tcPr>
            <w:tcW w:w="2325" w:type="dxa"/>
          </w:tcPr>
          <w:p w14:paraId="5F33D9F9" w14:textId="1BB973DF"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Moderately Wet</w:t>
            </w:r>
          </w:p>
        </w:tc>
        <w:tc>
          <w:tcPr>
            <w:tcW w:w="2325" w:type="dxa"/>
          </w:tcPr>
          <w:p w14:paraId="633DFE8C" w14:textId="365FA811"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Very Wet</w:t>
            </w:r>
          </w:p>
        </w:tc>
        <w:tc>
          <w:tcPr>
            <w:tcW w:w="2325" w:type="dxa"/>
          </w:tcPr>
          <w:p w14:paraId="5C5B1993" w14:textId="62739B98"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Drying</w:t>
            </w:r>
          </w:p>
        </w:tc>
        <w:tc>
          <w:tcPr>
            <w:tcW w:w="2325" w:type="dxa"/>
          </w:tcPr>
          <w:p w14:paraId="2DF0F8A4" w14:textId="303A8D94"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Dry</w:t>
            </w:r>
          </w:p>
        </w:tc>
      </w:tr>
      <w:tr w:rsidR="003874C9" w:rsidRPr="00845738" w14:paraId="4B84C1F3" w14:textId="77777777" w:rsidTr="00EF52B9">
        <w:tc>
          <w:tcPr>
            <w:cnfStyle w:val="001000000000" w:firstRow="0" w:lastRow="0" w:firstColumn="1" w:lastColumn="0" w:oddVBand="0" w:evenVBand="0" w:oddHBand="0" w:evenHBand="0" w:firstRowFirstColumn="0" w:firstRowLastColumn="0" w:lastRowFirstColumn="0" w:lastRowLastColumn="0"/>
            <w:tcW w:w="1980" w:type="dxa"/>
          </w:tcPr>
          <w:p w14:paraId="04E0E60F" w14:textId="39274ACC" w:rsidR="003874C9" w:rsidRPr="00845738" w:rsidRDefault="003874C9" w:rsidP="00845738">
            <w:pPr>
              <w:spacing w:before="40" w:after="40"/>
              <w:rPr>
                <w:sz w:val="18"/>
                <w:szCs w:val="18"/>
              </w:rPr>
            </w:pPr>
            <w:r w:rsidRPr="00845738">
              <w:rPr>
                <w:sz w:val="18"/>
                <w:szCs w:val="18"/>
              </w:rPr>
              <w:t># Watering Actions</w:t>
            </w:r>
          </w:p>
        </w:tc>
        <w:tc>
          <w:tcPr>
            <w:tcW w:w="2668" w:type="dxa"/>
          </w:tcPr>
          <w:p w14:paraId="42E6814D" w14:textId="336D3F7D" w:rsidR="003874C9" w:rsidRPr="00845738" w:rsidRDefault="003874C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1</w:t>
            </w:r>
          </w:p>
        </w:tc>
        <w:tc>
          <w:tcPr>
            <w:tcW w:w="2325" w:type="dxa"/>
          </w:tcPr>
          <w:p w14:paraId="1FFB3520" w14:textId="01296DEA" w:rsidR="003874C9" w:rsidRPr="00845738" w:rsidRDefault="003874C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3</w:t>
            </w:r>
          </w:p>
        </w:tc>
        <w:tc>
          <w:tcPr>
            <w:tcW w:w="2325" w:type="dxa"/>
          </w:tcPr>
          <w:p w14:paraId="0331D16A" w14:textId="684A47D0" w:rsidR="003874C9" w:rsidRPr="00845738" w:rsidRDefault="000F1682"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2</w:t>
            </w:r>
          </w:p>
        </w:tc>
        <w:tc>
          <w:tcPr>
            <w:tcW w:w="2325" w:type="dxa"/>
          </w:tcPr>
          <w:p w14:paraId="293B793F" w14:textId="69416F1A" w:rsidR="003874C9" w:rsidRPr="00845738" w:rsidRDefault="00AC2988"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2</w:t>
            </w:r>
          </w:p>
        </w:tc>
        <w:tc>
          <w:tcPr>
            <w:tcW w:w="2325" w:type="dxa"/>
          </w:tcPr>
          <w:p w14:paraId="69A72008" w14:textId="333AD51C" w:rsidR="003874C9" w:rsidRPr="00845738" w:rsidRDefault="00C723A7"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4</w:t>
            </w:r>
          </w:p>
        </w:tc>
      </w:tr>
      <w:tr w:rsidR="003874C9" w:rsidRPr="00845738" w14:paraId="4A824718"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116876" w14:textId="0C712683" w:rsidR="003874C9" w:rsidRPr="00845738" w:rsidRDefault="00AC2988" w:rsidP="00845738">
            <w:pPr>
              <w:spacing w:before="40" w:after="40"/>
              <w:rPr>
                <w:sz w:val="18"/>
                <w:szCs w:val="18"/>
              </w:rPr>
            </w:pPr>
            <w:r w:rsidRPr="00845738">
              <w:rPr>
                <w:sz w:val="18"/>
                <w:szCs w:val="18"/>
              </w:rPr>
              <w:t>Volume (CEW)</w:t>
            </w:r>
          </w:p>
        </w:tc>
        <w:tc>
          <w:tcPr>
            <w:tcW w:w="2668" w:type="dxa"/>
          </w:tcPr>
          <w:p w14:paraId="19E140E6" w14:textId="263F2E7A"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5</w:t>
            </w:r>
            <w:r w:rsidR="00AC2988" w:rsidRPr="00845738">
              <w:rPr>
                <w:sz w:val="18"/>
                <w:szCs w:val="18"/>
              </w:rPr>
              <w:t xml:space="preserve"> </w:t>
            </w:r>
            <w:r w:rsidRPr="00845738">
              <w:rPr>
                <w:sz w:val="18"/>
                <w:szCs w:val="18"/>
              </w:rPr>
              <w:t>000</w:t>
            </w:r>
          </w:p>
        </w:tc>
        <w:tc>
          <w:tcPr>
            <w:tcW w:w="2325" w:type="dxa"/>
          </w:tcPr>
          <w:p w14:paraId="71837CB6" w14:textId="204B7916" w:rsidR="003874C9" w:rsidRPr="00845738" w:rsidRDefault="00FF451B"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36 020</w:t>
            </w:r>
          </w:p>
        </w:tc>
        <w:tc>
          <w:tcPr>
            <w:tcW w:w="2325" w:type="dxa"/>
          </w:tcPr>
          <w:p w14:paraId="5C54450E" w14:textId="6B5CF5B0" w:rsidR="003874C9" w:rsidRPr="00845738" w:rsidRDefault="000F1682"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29 492</w:t>
            </w:r>
          </w:p>
        </w:tc>
        <w:tc>
          <w:tcPr>
            <w:tcW w:w="2325" w:type="dxa"/>
          </w:tcPr>
          <w:p w14:paraId="27EA1C81" w14:textId="781818F5" w:rsidR="003874C9" w:rsidRPr="00845738" w:rsidRDefault="00AC2988"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33 523</w:t>
            </w:r>
          </w:p>
        </w:tc>
        <w:tc>
          <w:tcPr>
            <w:tcW w:w="2325" w:type="dxa"/>
          </w:tcPr>
          <w:p w14:paraId="5B544259" w14:textId="5FDEB602" w:rsidR="003874C9" w:rsidRPr="00845738" w:rsidRDefault="00C723A7"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18 173</w:t>
            </w:r>
          </w:p>
        </w:tc>
      </w:tr>
      <w:tr w:rsidR="003874C9" w:rsidRPr="00845738" w14:paraId="6C042FFF" w14:textId="77777777" w:rsidTr="00EF52B9">
        <w:tc>
          <w:tcPr>
            <w:cnfStyle w:val="001000000000" w:firstRow="0" w:lastRow="0" w:firstColumn="1" w:lastColumn="0" w:oddVBand="0" w:evenVBand="0" w:oddHBand="0" w:evenHBand="0" w:firstRowFirstColumn="0" w:firstRowLastColumn="0" w:lastRowFirstColumn="0" w:lastRowLastColumn="0"/>
            <w:tcW w:w="1980" w:type="dxa"/>
          </w:tcPr>
          <w:p w14:paraId="02EE39BE" w14:textId="5515E9CF" w:rsidR="003874C9" w:rsidRPr="00845738" w:rsidRDefault="00AC2988" w:rsidP="00845738">
            <w:pPr>
              <w:spacing w:before="40" w:after="40"/>
              <w:rPr>
                <w:sz w:val="18"/>
                <w:szCs w:val="18"/>
              </w:rPr>
            </w:pPr>
            <w:r w:rsidRPr="00845738">
              <w:rPr>
                <w:sz w:val="18"/>
                <w:szCs w:val="18"/>
              </w:rPr>
              <w:t>Volume (NSW)</w:t>
            </w:r>
          </w:p>
        </w:tc>
        <w:tc>
          <w:tcPr>
            <w:tcW w:w="2668" w:type="dxa"/>
          </w:tcPr>
          <w:p w14:paraId="0829CF38" w14:textId="3431F68B" w:rsidR="003874C9" w:rsidRPr="00845738" w:rsidRDefault="003874C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821</w:t>
            </w:r>
          </w:p>
        </w:tc>
        <w:tc>
          <w:tcPr>
            <w:tcW w:w="2325" w:type="dxa"/>
          </w:tcPr>
          <w:p w14:paraId="46FF5CBB" w14:textId="5D1446B7" w:rsidR="003874C9" w:rsidRPr="00845738" w:rsidRDefault="00FF451B"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12 089</w:t>
            </w:r>
          </w:p>
        </w:tc>
        <w:tc>
          <w:tcPr>
            <w:tcW w:w="2325" w:type="dxa"/>
          </w:tcPr>
          <w:p w14:paraId="4D95440C" w14:textId="271428E8" w:rsidR="003874C9" w:rsidRPr="00845738" w:rsidRDefault="009E2A9C"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 xml:space="preserve">6 250 </w:t>
            </w:r>
            <w:r w:rsidR="008434C1" w:rsidRPr="00845738">
              <w:rPr>
                <w:sz w:val="18"/>
                <w:szCs w:val="18"/>
              </w:rPr>
              <w:t>+</w:t>
            </w:r>
            <w:r w:rsidRPr="00845738">
              <w:rPr>
                <w:sz w:val="18"/>
                <w:szCs w:val="18"/>
              </w:rPr>
              <w:t>7 571 (EWA</w:t>
            </w:r>
            <w:r w:rsidRPr="00845738">
              <w:rPr>
                <w:sz w:val="18"/>
                <w:szCs w:val="18"/>
                <w:vertAlign w:val="superscript"/>
              </w:rPr>
              <w:t>1</w:t>
            </w:r>
            <w:r w:rsidRPr="00845738">
              <w:rPr>
                <w:sz w:val="18"/>
                <w:szCs w:val="18"/>
              </w:rPr>
              <w:t>)</w:t>
            </w:r>
            <w:r w:rsidR="008434C1" w:rsidRPr="00845738">
              <w:rPr>
                <w:sz w:val="18"/>
                <w:szCs w:val="18"/>
              </w:rPr>
              <w:t xml:space="preserve"> +</w:t>
            </w:r>
            <w:r w:rsidR="008434C1" w:rsidRPr="00845738">
              <w:rPr>
                <w:sz w:val="18"/>
                <w:szCs w:val="18"/>
              </w:rPr>
              <w:br/>
              <w:t>15 000 (WQA</w:t>
            </w:r>
            <w:r w:rsidR="008434C1" w:rsidRPr="00845738">
              <w:rPr>
                <w:sz w:val="18"/>
                <w:szCs w:val="18"/>
                <w:vertAlign w:val="superscript"/>
              </w:rPr>
              <w:t>2</w:t>
            </w:r>
            <w:r w:rsidR="008434C1" w:rsidRPr="00845738">
              <w:rPr>
                <w:sz w:val="18"/>
                <w:szCs w:val="18"/>
              </w:rPr>
              <w:t>)</w:t>
            </w:r>
          </w:p>
        </w:tc>
        <w:tc>
          <w:tcPr>
            <w:tcW w:w="2325" w:type="dxa"/>
          </w:tcPr>
          <w:p w14:paraId="72604DE8" w14:textId="202AB724" w:rsidR="003874C9" w:rsidRPr="00845738" w:rsidRDefault="00AC2988"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9 205</w:t>
            </w:r>
          </w:p>
        </w:tc>
        <w:tc>
          <w:tcPr>
            <w:tcW w:w="2325" w:type="dxa"/>
          </w:tcPr>
          <w:p w14:paraId="7399BD68" w14:textId="393DCC75" w:rsidR="003874C9" w:rsidRPr="00845738" w:rsidRDefault="003874C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3874C9" w:rsidRPr="00845738" w14:paraId="3E3A8309"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6E2953" w14:textId="26C2B2E0" w:rsidR="003874C9" w:rsidRPr="00845738" w:rsidRDefault="00AC2988" w:rsidP="00845738">
            <w:pPr>
              <w:spacing w:before="40" w:after="40"/>
              <w:rPr>
                <w:sz w:val="18"/>
                <w:szCs w:val="18"/>
              </w:rPr>
            </w:pPr>
            <w:r w:rsidRPr="00845738">
              <w:rPr>
                <w:sz w:val="18"/>
                <w:szCs w:val="18"/>
              </w:rPr>
              <w:t xml:space="preserve">Total </w:t>
            </w:r>
          </w:p>
        </w:tc>
        <w:tc>
          <w:tcPr>
            <w:tcW w:w="2668" w:type="dxa"/>
          </w:tcPr>
          <w:p w14:paraId="5A344984" w14:textId="60E6D130"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845738">
              <w:rPr>
                <w:b/>
                <w:bCs/>
                <w:sz w:val="18"/>
                <w:szCs w:val="18"/>
              </w:rPr>
              <w:t>5</w:t>
            </w:r>
            <w:r w:rsidR="00AC2988" w:rsidRPr="00845738">
              <w:rPr>
                <w:b/>
                <w:bCs/>
                <w:sz w:val="18"/>
                <w:szCs w:val="18"/>
              </w:rPr>
              <w:t xml:space="preserve"> </w:t>
            </w:r>
            <w:r w:rsidRPr="00845738">
              <w:rPr>
                <w:b/>
                <w:bCs/>
                <w:sz w:val="18"/>
                <w:szCs w:val="18"/>
              </w:rPr>
              <w:t>821</w:t>
            </w:r>
          </w:p>
        </w:tc>
        <w:tc>
          <w:tcPr>
            <w:tcW w:w="2325" w:type="dxa"/>
          </w:tcPr>
          <w:p w14:paraId="22F52A2B" w14:textId="3AF5BB9E" w:rsidR="003874C9" w:rsidRPr="00845738" w:rsidRDefault="003874C9" w:rsidP="00845738">
            <w:pPr>
              <w:spacing w:before="40" w:after="4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845738">
              <w:rPr>
                <w:b/>
                <w:bCs/>
                <w:sz w:val="18"/>
                <w:szCs w:val="18"/>
              </w:rPr>
              <w:t>48 027</w:t>
            </w:r>
          </w:p>
        </w:tc>
        <w:tc>
          <w:tcPr>
            <w:tcW w:w="2325" w:type="dxa"/>
          </w:tcPr>
          <w:p w14:paraId="325F6599" w14:textId="02B8442F" w:rsidR="003874C9" w:rsidRPr="00845738" w:rsidRDefault="008434C1" w:rsidP="00845738">
            <w:pPr>
              <w:spacing w:before="40" w:after="4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845738">
              <w:rPr>
                <w:b/>
                <w:bCs/>
                <w:sz w:val="18"/>
                <w:szCs w:val="18"/>
              </w:rPr>
              <w:t>5</w:t>
            </w:r>
            <w:r w:rsidR="000F1682" w:rsidRPr="00845738">
              <w:rPr>
                <w:b/>
                <w:bCs/>
                <w:sz w:val="18"/>
                <w:szCs w:val="18"/>
              </w:rPr>
              <w:t>8 313</w:t>
            </w:r>
          </w:p>
        </w:tc>
        <w:tc>
          <w:tcPr>
            <w:tcW w:w="2325" w:type="dxa"/>
          </w:tcPr>
          <w:p w14:paraId="10C97E58" w14:textId="5F34980C" w:rsidR="003874C9" w:rsidRPr="00845738" w:rsidRDefault="00AC2988" w:rsidP="00845738">
            <w:pPr>
              <w:spacing w:before="40" w:after="4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845738">
              <w:rPr>
                <w:b/>
                <w:bCs/>
                <w:sz w:val="18"/>
                <w:szCs w:val="18"/>
              </w:rPr>
              <w:t>41 723</w:t>
            </w:r>
          </w:p>
        </w:tc>
        <w:tc>
          <w:tcPr>
            <w:tcW w:w="2325" w:type="dxa"/>
          </w:tcPr>
          <w:p w14:paraId="1D00AEB1" w14:textId="737CECC1" w:rsidR="003874C9" w:rsidRPr="00845738" w:rsidRDefault="00C723A7" w:rsidP="00845738">
            <w:pPr>
              <w:spacing w:before="40" w:after="4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845738">
              <w:rPr>
                <w:b/>
                <w:bCs/>
                <w:sz w:val="18"/>
                <w:szCs w:val="18"/>
              </w:rPr>
              <w:t>18 173</w:t>
            </w:r>
          </w:p>
        </w:tc>
      </w:tr>
      <w:tr w:rsidR="00E87559" w:rsidRPr="00845738" w14:paraId="1C5B9012" w14:textId="77777777" w:rsidTr="00EF52B9">
        <w:tc>
          <w:tcPr>
            <w:cnfStyle w:val="001000000000" w:firstRow="0" w:lastRow="0" w:firstColumn="1" w:lastColumn="0" w:oddVBand="0" w:evenVBand="0" w:oddHBand="0" w:evenHBand="0" w:firstRowFirstColumn="0" w:firstRowLastColumn="0" w:lastRowFirstColumn="0" w:lastRowLastColumn="0"/>
            <w:tcW w:w="1980" w:type="dxa"/>
          </w:tcPr>
          <w:p w14:paraId="3797664D" w14:textId="5D1F8510" w:rsidR="00E87559" w:rsidRPr="00845738" w:rsidRDefault="00AC2988" w:rsidP="00845738">
            <w:pPr>
              <w:spacing w:before="40" w:after="40"/>
              <w:rPr>
                <w:sz w:val="18"/>
                <w:szCs w:val="18"/>
              </w:rPr>
            </w:pPr>
            <w:r w:rsidRPr="00845738">
              <w:rPr>
                <w:sz w:val="18"/>
                <w:szCs w:val="18"/>
              </w:rPr>
              <w:t>Volume (other)</w:t>
            </w:r>
          </w:p>
        </w:tc>
        <w:tc>
          <w:tcPr>
            <w:tcW w:w="2668" w:type="dxa"/>
          </w:tcPr>
          <w:p w14:paraId="463C6633" w14:textId="77777777" w:rsidR="00E87559" w:rsidRPr="00845738" w:rsidRDefault="00E8755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325" w:type="dxa"/>
          </w:tcPr>
          <w:p w14:paraId="16297E48" w14:textId="311C956F" w:rsidR="00E87559" w:rsidRPr="00845738" w:rsidRDefault="00E8755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72 000</w:t>
            </w:r>
            <w:r w:rsidR="000F1682" w:rsidRPr="00845738">
              <w:rPr>
                <w:sz w:val="18"/>
                <w:szCs w:val="18"/>
              </w:rPr>
              <w:t xml:space="preserve"> (Translucent flow)</w:t>
            </w:r>
          </w:p>
        </w:tc>
        <w:tc>
          <w:tcPr>
            <w:tcW w:w="2325" w:type="dxa"/>
          </w:tcPr>
          <w:p w14:paraId="50DE5C22" w14:textId="0324AB66" w:rsidR="009E2A9C" w:rsidRPr="00845738" w:rsidRDefault="000F1682"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350 000 (Translucent flow)</w:t>
            </w:r>
          </w:p>
        </w:tc>
        <w:tc>
          <w:tcPr>
            <w:tcW w:w="2325" w:type="dxa"/>
          </w:tcPr>
          <w:p w14:paraId="7D81653B" w14:textId="77777777" w:rsidR="00E87559" w:rsidRPr="00845738" w:rsidRDefault="00E8755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325" w:type="dxa"/>
          </w:tcPr>
          <w:p w14:paraId="68158350" w14:textId="77777777" w:rsidR="00E87559" w:rsidRPr="00845738" w:rsidRDefault="00E87559" w:rsidP="00845738">
            <w:pPr>
              <w:spacing w:before="40" w:after="4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A27B9" w:rsidRPr="00845738" w14:paraId="3F389C2D"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9A329F" w14:textId="66D159CC" w:rsidR="00EA27B9" w:rsidRPr="00845738" w:rsidRDefault="00B33C46" w:rsidP="00845738">
            <w:pPr>
              <w:spacing w:before="40" w:after="40"/>
              <w:rPr>
                <w:sz w:val="18"/>
                <w:szCs w:val="18"/>
              </w:rPr>
            </w:pPr>
            <w:r w:rsidRPr="00845738">
              <w:rPr>
                <w:sz w:val="18"/>
                <w:szCs w:val="18"/>
              </w:rPr>
              <w:t>Estimated CEW</w:t>
            </w:r>
            <w:r w:rsidR="00B254B4" w:rsidRPr="00845738">
              <w:rPr>
                <w:sz w:val="18"/>
                <w:szCs w:val="18"/>
              </w:rPr>
              <w:t xml:space="preserve"> contribution to annual flow</w:t>
            </w:r>
          </w:p>
        </w:tc>
        <w:tc>
          <w:tcPr>
            <w:tcW w:w="2668" w:type="dxa"/>
          </w:tcPr>
          <w:p w14:paraId="3357D836" w14:textId="15765AFB" w:rsidR="00EA27B9"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Forbes:</w:t>
            </w:r>
            <w:r w:rsidR="005C684B" w:rsidRPr="00845738">
              <w:rPr>
                <w:sz w:val="18"/>
                <w:szCs w:val="18"/>
              </w:rPr>
              <w:t xml:space="preserve"> N/A</w:t>
            </w:r>
          </w:p>
          <w:p w14:paraId="3CE3885E" w14:textId="741AC5C7"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Hillston:</w:t>
            </w:r>
            <w:r w:rsidR="005C684B" w:rsidRPr="00845738">
              <w:rPr>
                <w:sz w:val="18"/>
                <w:szCs w:val="18"/>
              </w:rPr>
              <w:t xml:space="preserve"> 6%</w:t>
            </w:r>
          </w:p>
          <w:p w14:paraId="0094E4DE" w14:textId="0C4A0A42"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Booligal: </w:t>
            </w:r>
            <w:r w:rsidR="005C684B" w:rsidRPr="00845738">
              <w:rPr>
                <w:sz w:val="18"/>
                <w:szCs w:val="18"/>
              </w:rPr>
              <w:t>18%</w:t>
            </w:r>
          </w:p>
        </w:tc>
        <w:tc>
          <w:tcPr>
            <w:tcW w:w="2325" w:type="dxa"/>
          </w:tcPr>
          <w:p w14:paraId="5EA9BD84" w14:textId="73B52B84"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Forbes:</w:t>
            </w:r>
            <w:r w:rsidR="00B33C46" w:rsidRPr="00845738">
              <w:rPr>
                <w:sz w:val="18"/>
                <w:szCs w:val="18"/>
              </w:rPr>
              <w:t xml:space="preserve"> N/A</w:t>
            </w:r>
          </w:p>
          <w:p w14:paraId="30D84A7E" w14:textId="0E1823AC"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Hillston:</w:t>
            </w:r>
            <w:r w:rsidR="00B33C46" w:rsidRPr="00845738">
              <w:rPr>
                <w:sz w:val="18"/>
                <w:szCs w:val="18"/>
              </w:rPr>
              <w:t xml:space="preserve"> 20%</w:t>
            </w:r>
          </w:p>
          <w:p w14:paraId="6B1CC9B9" w14:textId="2B540978" w:rsidR="00EA27B9"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Booligal:</w:t>
            </w:r>
            <w:r w:rsidR="00B33C46" w:rsidRPr="00845738">
              <w:rPr>
                <w:sz w:val="18"/>
                <w:szCs w:val="18"/>
              </w:rPr>
              <w:t xml:space="preserve"> 41%</w:t>
            </w:r>
          </w:p>
        </w:tc>
        <w:tc>
          <w:tcPr>
            <w:tcW w:w="2325" w:type="dxa"/>
          </w:tcPr>
          <w:p w14:paraId="60F508D4" w14:textId="0C7118D8"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Forbes:</w:t>
            </w:r>
            <w:r w:rsidR="00B33C46" w:rsidRPr="00845738">
              <w:rPr>
                <w:sz w:val="18"/>
                <w:szCs w:val="18"/>
              </w:rPr>
              <w:t xml:space="preserve"> 1.5%</w:t>
            </w:r>
          </w:p>
          <w:p w14:paraId="33608DD3" w14:textId="29215ABB"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Hillston:</w:t>
            </w:r>
            <w:r w:rsidR="00B33C46" w:rsidRPr="00845738">
              <w:rPr>
                <w:sz w:val="18"/>
                <w:szCs w:val="18"/>
              </w:rPr>
              <w:t xml:space="preserve"> 3%</w:t>
            </w:r>
          </w:p>
          <w:p w14:paraId="4A73BD70" w14:textId="56A2B2F3" w:rsidR="00EA27B9"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Booligal: </w:t>
            </w:r>
            <w:r w:rsidR="00B33C46" w:rsidRPr="00845738">
              <w:rPr>
                <w:sz w:val="18"/>
                <w:szCs w:val="18"/>
              </w:rPr>
              <w:t>6%</w:t>
            </w:r>
          </w:p>
        </w:tc>
        <w:tc>
          <w:tcPr>
            <w:tcW w:w="2325" w:type="dxa"/>
          </w:tcPr>
          <w:p w14:paraId="30E63716" w14:textId="6FA92008" w:rsidR="00EA27B9"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Forbes: </w:t>
            </w:r>
            <w:r w:rsidR="005C684B" w:rsidRPr="00845738">
              <w:rPr>
                <w:sz w:val="18"/>
                <w:szCs w:val="18"/>
              </w:rPr>
              <w:t>7</w:t>
            </w:r>
            <w:r w:rsidRPr="00845738">
              <w:rPr>
                <w:sz w:val="18"/>
                <w:szCs w:val="18"/>
              </w:rPr>
              <w:t>%</w:t>
            </w:r>
          </w:p>
          <w:p w14:paraId="4F4A09A9" w14:textId="59CE646C"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Hillston: </w:t>
            </w:r>
            <w:r w:rsidR="00B33C46" w:rsidRPr="00845738">
              <w:rPr>
                <w:sz w:val="18"/>
                <w:szCs w:val="18"/>
              </w:rPr>
              <w:t>19</w:t>
            </w:r>
            <w:r w:rsidRPr="00845738">
              <w:rPr>
                <w:sz w:val="18"/>
                <w:szCs w:val="18"/>
              </w:rPr>
              <w:t>%</w:t>
            </w:r>
          </w:p>
          <w:p w14:paraId="55374109" w14:textId="0CAB1D87" w:rsidR="00B254B4"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Booligal: </w:t>
            </w:r>
            <w:r w:rsidR="00B33C46" w:rsidRPr="00845738">
              <w:rPr>
                <w:sz w:val="18"/>
                <w:szCs w:val="18"/>
              </w:rPr>
              <w:t>44</w:t>
            </w:r>
            <w:r w:rsidRPr="00845738">
              <w:rPr>
                <w:sz w:val="18"/>
                <w:szCs w:val="18"/>
              </w:rPr>
              <w:t>%</w:t>
            </w:r>
          </w:p>
        </w:tc>
        <w:tc>
          <w:tcPr>
            <w:tcW w:w="2325" w:type="dxa"/>
          </w:tcPr>
          <w:p w14:paraId="43978CEF" w14:textId="17BF43AC" w:rsidR="00EA27B9"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Forbes: </w:t>
            </w:r>
            <w:r w:rsidR="00C723A7" w:rsidRPr="00845738">
              <w:rPr>
                <w:sz w:val="18"/>
                <w:szCs w:val="18"/>
              </w:rPr>
              <w:t>4</w:t>
            </w:r>
            <w:r w:rsidRPr="00845738">
              <w:rPr>
                <w:sz w:val="18"/>
                <w:szCs w:val="18"/>
              </w:rPr>
              <w:t>%</w:t>
            </w:r>
          </w:p>
          <w:p w14:paraId="4F02A109" w14:textId="5AB08062" w:rsidR="00C723A7"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Hillston: </w:t>
            </w:r>
            <w:r w:rsidR="00C723A7" w:rsidRPr="00845738">
              <w:rPr>
                <w:sz w:val="18"/>
                <w:szCs w:val="18"/>
              </w:rPr>
              <w:t>11</w:t>
            </w:r>
            <w:r w:rsidRPr="00845738">
              <w:rPr>
                <w:sz w:val="18"/>
                <w:szCs w:val="18"/>
              </w:rPr>
              <w:t>%</w:t>
            </w:r>
          </w:p>
          <w:p w14:paraId="43C6DDD2" w14:textId="60C3ADA5" w:rsidR="00C723A7" w:rsidRPr="00845738" w:rsidRDefault="00B254B4" w:rsidP="00845738">
            <w:pPr>
              <w:spacing w:before="40" w:after="40"/>
              <w:jc w:val="center"/>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 xml:space="preserve">Booligal: </w:t>
            </w:r>
            <w:r w:rsidR="00C723A7" w:rsidRPr="00845738">
              <w:rPr>
                <w:sz w:val="18"/>
                <w:szCs w:val="18"/>
              </w:rPr>
              <w:t>24</w:t>
            </w:r>
            <w:r w:rsidRPr="00845738">
              <w:rPr>
                <w:sz w:val="18"/>
                <w:szCs w:val="18"/>
              </w:rPr>
              <w:t>%</w:t>
            </w:r>
          </w:p>
        </w:tc>
      </w:tr>
      <w:tr w:rsidR="00C10DB3" w:rsidRPr="00845738" w14:paraId="2EDF5A8D" w14:textId="77777777" w:rsidTr="00953089">
        <w:tc>
          <w:tcPr>
            <w:cnfStyle w:val="001000000000" w:firstRow="0" w:lastRow="0" w:firstColumn="1" w:lastColumn="0" w:oddVBand="0" w:evenVBand="0" w:oddHBand="0" w:evenHBand="0" w:firstRowFirstColumn="0" w:firstRowLastColumn="0" w:lastRowFirstColumn="0" w:lastRowLastColumn="0"/>
            <w:tcW w:w="1980" w:type="dxa"/>
          </w:tcPr>
          <w:p w14:paraId="7C832BC6" w14:textId="77777777" w:rsidR="00C10DB3" w:rsidRPr="00845738" w:rsidRDefault="00C10DB3" w:rsidP="00953089">
            <w:pPr>
              <w:spacing w:before="40" w:after="40"/>
              <w:rPr>
                <w:sz w:val="18"/>
                <w:szCs w:val="18"/>
              </w:rPr>
            </w:pPr>
            <w:r w:rsidRPr="00845738">
              <w:rPr>
                <w:sz w:val="18"/>
                <w:szCs w:val="18"/>
              </w:rPr>
              <w:t>Flow component</w:t>
            </w:r>
          </w:p>
        </w:tc>
        <w:tc>
          <w:tcPr>
            <w:tcW w:w="2668" w:type="dxa"/>
          </w:tcPr>
          <w:p w14:paraId="4F333567" w14:textId="77777777" w:rsidR="00C10DB3" w:rsidRPr="00845738"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Fresh flow</w:t>
            </w:r>
          </w:p>
        </w:tc>
        <w:tc>
          <w:tcPr>
            <w:tcW w:w="2325" w:type="dxa"/>
          </w:tcPr>
          <w:p w14:paraId="7A948E99" w14:textId="77777777" w:rsidR="00C10DB3"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w:t>
            </w:r>
            <w:r w:rsidRPr="00845738">
              <w:rPr>
                <w:sz w:val="18"/>
                <w:szCs w:val="18"/>
              </w:rPr>
              <w:t>resh flow</w:t>
            </w:r>
          </w:p>
          <w:p w14:paraId="302F9026" w14:textId="77777777" w:rsidR="00C10DB3"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Baseflow</w:t>
            </w:r>
          </w:p>
          <w:p w14:paraId="2BB9D25B" w14:textId="77777777" w:rsidR="00C10DB3" w:rsidRPr="00845738"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w:t>
            </w:r>
            <w:r w:rsidRPr="00845738">
              <w:rPr>
                <w:sz w:val="18"/>
                <w:szCs w:val="18"/>
              </w:rPr>
              <w:t>etland inundation</w:t>
            </w:r>
          </w:p>
        </w:tc>
        <w:tc>
          <w:tcPr>
            <w:tcW w:w="2325" w:type="dxa"/>
          </w:tcPr>
          <w:p w14:paraId="12C7AAA7" w14:textId="77777777" w:rsidR="00C10DB3" w:rsidRPr="00845738"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Fresh flow</w:t>
            </w:r>
          </w:p>
        </w:tc>
        <w:tc>
          <w:tcPr>
            <w:tcW w:w="2325" w:type="dxa"/>
          </w:tcPr>
          <w:p w14:paraId="10EA87FC" w14:textId="77777777" w:rsidR="00C10DB3"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Fresh flow</w:t>
            </w:r>
          </w:p>
          <w:p w14:paraId="106F94AF" w14:textId="77777777" w:rsidR="00C10DB3" w:rsidRPr="00845738"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Base flow</w:t>
            </w:r>
          </w:p>
        </w:tc>
        <w:tc>
          <w:tcPr>
            <w:tcW w:w="2325" w:type="dxa"/>
          </w:tcPr>
          <w:p w14:paraId="23A7B1A7" w14:textId="77777777" w:rsidR="00C10DB3"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Fresh flow</w:t>
            </w:r>
          </w:p>
          <w:p w14:paraId="7357105B" w14:textId="77777777" w:rsidR="00C10DB3"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Base flow</w:t>
            </w:r>
          </w:p>
          <w:p w14:paraId="6E1B7834" w14:textId="77777777" w:rsidR="00C10DB3" w:rsidRPr="00845738" w:rsidRDefault="00C10DB3" w:rsidP="00953089">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w:t>
            </w:r>
            <w:r w:rsidRPr="00845738">
              <w:rPr>
                <w:sz w:val="18"/>
                <w:szCs w:val="18"/>
              </w:rPr>
              <w:t>etland inundation</w:t>
            </w:r>
          </w:p>
        </w:tc>
      </w:tr>
      <w:tr w:rsidR="003874C9" w:rsidRPr="00845738" w14:paraId="7D2B4238"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04779F" w14:textId="5F2CA2EC" w:rsidR="003874C9" w:rsidRPr="00845738" w:rsidRDefault="003874C9" w:rsidP="00845738">
            <w:pPr>
              <w:spacing w:before="40" w:after="40"/>
              <w:rPr>
                <w:sz w:val="18"/>
                <w:szCs w:val="18"/>
              </w:rPr>
            </w:pPr>
            <w:r w:rsidRPr="00845738">
              <w:rPr>
                <w:sz w:val="18"/>
                <w:szCs w:val="18"/>
              </w:rPr>
              <w:t>Timing</w:t>
            </w:r>
          </w:p>
        </w:tc>
        <w:tc>
          <w:tcPr>
            <w:tcW w:w="2668" w:type="dxa"/>
          </w:tcPr>
          <w:p w14:paraId="5F6E0DEA" w14:textId="181DF17E" w:rsidR="003874C9" w:rsidRPr="00845738" w:rsidRDefault="003874C9"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Winter/Spring</w:t>
            </w:r>
          </w:p>
        </w:tc>
        <w:tc>
          <w:tcPr>
            <w:tcW w:w="2325" w:type="dxa"/>
          </w:tcPr>
          <w:p w14:paraId="1C18AD4A" w14:textId="0F20FAFC" w:rsidR="003874C9" w:rsidRPr="00845738" w:rsidRDefault="00C723A7"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Spring</w:t>
            </w:r>
          </w:p>
        </w:tc>
        <w:tc>
          <w:tcPr>
            <w:tcW w:w="2325" w:type="dxa"/>
          </w:tcPr>
          <w:p w14:paraId="79BCBD35" w14:textId="1AF5D69E" w:rsidR="003874C9" w:rsidRPr="00845738" w:rsidRDefault="00C723A7"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Summer</w:t>
            </w:r>
          </w:p>
        </w:tc>
        <w:tc>
          <w:tcPr>
            <w:tcW w:w="2325" w:type="dxa"/>
          </w:tcPr>
          <w:p w14:paraId="1D4909F2" w14:textId="77777777" w:rsidR="003874C9"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Spring</w:t>
            </w:r>
          </w:p>
          <w:p w14:paraId="58B3857A" w14:textId="2DCEBBA3" w:rsidR="00AC2988"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Autumn/Winter</w:t>
            </w:r>
          </w:p>
        </w:tc>
        <w:tc>
          <w:tcPr>
            <w:tcW w:w="2325" w:type="dxa"/>
          </w:tcPr>
          <w:p w14:paraId="22A24C1B" w14:textId="7A33C737" w:rsidR="003874C9" w:rsidRPr="00845738" w:rsidRDefault="00C723A7"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Winter/</w:t>
            </w:r>
            <w:r w:rsidR="0011446C" w:rsidRPr="00845738">
              <w:rPr>
                <w:sz w:val="18"/>
                <w:szCs w:val="18"/>
              </w:rPr>
              <w:t>Spring</w:t>
            </w:r>
          </w:p>
          <w:p w14:paraId="7A147075" w14:textId="7BDA4387" w:rsidR="0011446C" w:rsidRPr="00845738" w:rsidRDefault="0011446C"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Autumn/winter</w:t>
            </w:r>
          </w:p>
        </w:tc>
      </w:tr>
      <w:tr w:rsidR="00F16D42" w:rsidRPr="00845738" w14:paraId="3AD2944B" w14:textId="77777777" w:rsidTr="00F16D42">
        <w:tc>
          <w:tcPr>
            <w:cnfStyle w:val="001000000000" w:firstRow="0" w:lastRow="0" w:firstColumn="1" w:lastColumn="0" w:oddVBand="0" w:evenVBand="0" w:oddHBand="0" w:evenHBand="0" w:firstRowFirstColumn="0" w:firstRowLastColumn="0" w:lastRowFirstColumn="0" w:lastRowLastColumn="0"/>
            <w:tcW w:w="1980" w:type="dxa"/>
          </w:tcPr>
          <w:p w14:paraId="3D37B941" w14:textId="77777777" w:rsidR="00F16D42" w:rsidRPr="00845738" w:rsidRDefault="00F16D42" w:rsidP="00F16D42">
            <w:pPr>
              <w:spacing w:before="40" w:after="40"/>
              <w:rPr>
                <w:sz w:val="18"/>
                <w:szCs w:val="18"/>
              </w:rPr>
            </w:pPr>
            <w:r w:rsidRPr="00845738">
              <w:rPr>
                <w:sz w:val="18"/>
                <w:szCs w:val="18"/>
              </w:rPr>
              <w:t>Target Asset</w:t>
            </w:r>
          </w:p>
        </w:tc>
        <w:tc>
          <w:tcPr>
            <w:tcW w:w="2668" w:type="dxa"/>
          </w:tcPr>
          <w:p w14:paraId="1DCABFB8"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Lachlan main channel</w:t>
            </w:r>
          </w:p>
        </w:tc>
        <w:tc>
          <w:tcPr>
            <w:tcW w:w="2325" w:type="dxa"/>
          </w:tcPr>
          <w:p w14:paraId="0629A5CD" w14:textId="77777777" w:rsidR="00F16D42"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Lachlan main channel (lower)</w:t>
            </w:r>
          </w:p>
          <w:p w14:paraId="06CA668B"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 xml:space="preserve">Booligal wetlands </w:t>
            </w:r>
          </w:p>
          <w:p w14:paraId="4CD8E0AC" w14:textId="2A7C238E" w:rsidR="00D271BC"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Great Cumbung Swamp</w:t>
            </w:r>
          </w:p>
        </w:tc>
        <w:tc>
          <w:tcPr>
            <w:tcW w:w="2325" w:type="dxa"/>
          </w:tcPr>
          <w:p w14:paraId="372FFE4D" w14:textId="77777777" w:rsidR="00F16D42"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Lachlan main channel (</w:t>
            </w:r>
            <w:r>
              <w:rPr>
                <w:sz w:val="18"/>
                <w:szCs w:val="18"/>
              </w:rPr>
              <w:t>mid</w:t>
            </w:r>
            <w:r w:rsidRPr="00845738">
              <w:rPr>
                <w:sz w:val="18"/>
                <w:szCs w:val="18"/>
              </w:rPr>
              <w:t>)</w:t>
            </w:r>
          </w:p>
          <w:p w14:paraId="051BA054" w14:textId="77777777" w:rsidR="00D271BC" w:rsidRDefault="00D271BC"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p>
          <w:p w14:paraId="473BA551" w14:textId="10F794FE"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Booligal wetlands</w:t>
            </w:r>
          </w:p>
        </w:tc>
        <w:tc>
          <w:tcPr>
            <w:tcW w:w="2325" w:type="dxa"/>
          </w:tcPr>
          <w:p w14:paraId="5641E9FE"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Lachlan main channel (mid and lower)</w:t>
            </w:r>
          </w:p>
          <w:p w14:paraId="5233314F" w14:textId="77777777" w:rsidR="00D271BC" w:rsidRDefault="00D271BC"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p>
          <w:p w14:paraId="39BA9FBF" w14:textId="20CF77CA"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Great Cumbung Swamp</w:t>
            </w:r>
          </w:p>
        </w:tc>
        <w:tc>
          <w:tcPr>
            <w:tcW w:w="2325" w:type="dxa"/>
          </w:tcPr>
          <w:p w14:paraId="478F407F"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Lachlan main channel (mid and lower)</w:t>
            </w:r>
          </w:p>
          <w:p w14:paraId="5DAA275E"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 xml:space="preserve">Yarrabandai </w:t>
            </w:r>
            <w:r>
              <w:rPr>
                <w:sz w:val="18"/>
                <w:szCs w:val="18"/>
              </w:rPr>
              <w:t>L</w:t>
            </w:r>
            <w:r w:rsidRPr="00845738">
              <w:rPr>
                <w:sz w:val="18"/>
                <w:szCs w:val="18"/>
              </w:rPr>
              <w:t>agoon</w:t>
            </w:r>
          </w:p>
          <w:p w14:paraId="63B53C2E" w14:textId="77777777" w:rsidR="00F16D42" w:rsidRPr="00845738" w:rsidRDefault="00F16D42" w:rsidP="00F16D42">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Great Cumbung Swamp</w:t>
            </w:r>
          </w:p>
        </w:tc>
      </w:tr>
      <w:tr w:rsidR="003874C9" w:rsidRPr="00845738" w14:paraId="1A765AF8" w14:textId="77777777" w:rsidTr="00EF52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5C1B5BA" w14:textId="3891A48B" w:rsidR="003874C9" w:rsidRPr="00845738" w:rsidRDefault="003874C9" w:rsidP="00845738">
            <w:pPr>
              <w:spacing w:before="40" w:after="40"/>
              <w:rPr>
                <w:sz w:val="18"/>
                <w:szCs w:val="18"/>
              </w:rPr>
            </w:pPr>
            <w:r w:rsidRPr="00845738">
              <w:rPr>
                <w:sz w:val="18"/>
                <w:szCs w:val="18"/>
              </w:rPr>
              <w:t>Target outcome</w:t>
            </w:r>
          </w:p>
        </w:tc>
        <w:tc>
          <w:tcPr>
            <w:tcW w:w="2668" w:type="dxa"/>
          </w:tcPr>
          <w:p w14:paraId="1E35A1B3" w14:textId="47FBBF25" w:rsidR="003874C9"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rFonts w:eastAsia="Cambria"/>
                <w:sz w:val="18"/>
                <w:szCs w:val="18"/>
              </w:rPr>
            </w:pPr>
            <w:r w:rsidRPr="00845738">
              <w:rPr>
                <w:rFonts w:eastAsia="Cambria"/>
                <w:sz w:val="18"/>
                <w:szCs w:val="18"/>
              </w:rPr>
              <w:t>Native fish</w:t>
            </w:r>
          </w:p>
          <w:p w14:paraId="1FE0BE78" w14:textId="05C2496D" w:rsidR="00AC2988"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rFonts w:eastAsia="Cambria"/>
                <w:sz w:val="18"/>
                <w:szCs w:val="18"/>
              </w:rPr>
            </w:pPr>
            <w:r w:rsidRPr="00845738">
              <w:rPr>
                <w:rFonts w:eastAsia="Cambria"/>
                <w:sz w:val="18"/>
                <w:szCs w:val="18"/>
              </w:rPr>
              <w:t>Habitat access</w:t>
            </w:r>
          </w:p>
          <w:p w14:paraId="53658905" w14:textId="236614B8" w:rsidR="00AC2988"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p>
        </w:tc>
        <w:tc>
          <w:tcPr>
            <w:tcW w:w="2325" w:type="dxa"/>
          </w:tcPr>
          <w:p w14:paraId="051C922F" w14:textId="77777777" w:rsidR="00D271BC" w:rsidRDefault="00D271BC"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Native fish</w:t>
            </w:r>
          </w:p>
          <w:p w14:paraId="6D3A9C0C" w14:textId="77777777" w:rsidR="00D271BC" w:rsidRDefault="00D271BC"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Habitat quality</w:t>
            </w:r>
          </w:p>
          <w:p w14:paraId="79466698" w14:textId="7C815A70" w:rsidR="00E87559"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Wetland vegetation</w:t>
            </w:r>
          </w:p>
        </w:tc>
        <w:tc>
          <w:tcPr>
            <w:tcW w:w="2325" w:type="dxa"/>
          </w:tcPr>
          <w:p w14:paraId="2F8E3020" w14:textId="2222C550" w:rsidR="000F1682"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Water quality</w:t>
            </w:r>
          </w:p>
          <w:p w14:paraId="1CDAD6FF" w14:textId="4F075BB6" w:rsidR="003874C9" w:rsidRPr="00845738" w:rsidRDefault="00AC298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Water birds</w:t>
            </w:r>
          </w:p>
        </w:tc>
        <w:tc>
          <w:tcPr>
            <w:tcW w:w="2325" w:type="dxa"/>
          </w:tcPr>
          <w:p w14:paraId="1848C519" w14:textId="77777777" w:rsidR="003874C9" w:rsidRPr="00845738" w:rsidRDefault="00EF52B9"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Native fish</w:t>
            </w:r>
          </w:p>
          <w:p w14:paraId="218E7107" w14:textId="77777777" w:rsidR="00EF52B9" w:rsidRDefault="00EF52B9"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Habitat</w:t>
            </w:r>
            <w:r w:rsidR="00C723A7" w:rsidRPr="00845738">
              <w:rPr>
                <w:sz w:val="18"/>
                <w:szCs w:val="18"/>
              </w:rPr>
              <w:t xml:space="preserve"> access and quality</w:t>
            </w:r>
          </w:p>
          <w:p w14:paraId="1276BF32" w14:textId="0D111882" w:rsidR="00845738" w:rsidRPr="00845738" w:rsidRDefault="0084573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Wetland vegetation</w:t>
            </w:r>
          </w:p>
        </w:tc>
        <w:tc>
          <w:tcPr>
            <w:tcW w:w="2325" w:type="dxa"/>
          </w:tcPr>
          <w:p w14:paraId="639D3D76" w14:textId="1F438840" w:rsidR="003874C9" w:rsidRPr="00845738" w:rsidRDefault="00EF52B9"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Native fish</w:t>
            </w:r>
            <w:r w:rsidR="00845738">
              <w:rPr>
                <w:sz w:val="18"/>
                <w:szCs w:val="18"/>
              </w:rPr>
              <w:t xml:space="preserve"> &amp; productivity</w:t>
            </w:r>
          </w:p>
          <w:p w14:paraId="08C4570E" w14:textId="77777777" w:rsidR="00EF52B9" w:rsidRDefault="00EF52B9"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45738">
              <w:rPr>
                <w:sz w:val="18"/>
                <w:szCs w:val="18"/>
              </w:rPr>
              <w:t>Habitat</w:t>
            </w:r>
            <w:r w:rsidR="00C723A7" w:rsidRPr="00845738">
              <w:rPr>
                <w:sz w:val="18"/>
                <w:szCs w:val="18"/>
              </w:rPr>
              <w:t xml:space="preserve"> access and quality</w:t>
            </w:r>
          </w:p>
          <w:p w14:paraId="70918A5F" w14:textId="0DEF4F94" w:rsidR="00845738" w:rsidRPr="00845738" w:rsidRDefault="00845738" w:rsidP="00845738">
            <w:pPr>
              <w:spacing w:before="40" w:after="40"/>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Wetland vegetation</w:t>
            </w:r>
          </w:p>
        </w:tc>
      </w:tr>
      <w:tr w:rsidR="003874C9" w:rsidRPr="00845738" w14:paraId="0A672E52" w14:textId="77777777" w:rsidTr="00EF52B9">
        <w:tc>
          <w:tcPr>
            <w:cnfStyle w:val="001000000000" w:firstRow="0" w:lastRow="0" w:firstColumn="1" w:lastColumn="0" w:oddVBand="0" w:evenVBand="0" w:oddHBand="0" w:evenHBand="0" w:firstRowFirstColumn="0" w:firstRowLastColumn="0" w:lastRowFirstColumn="0" w:lastRowLastColumn="0"/>
            <w:tcW w:w="1980" w:type="dxa"/>
          </w:tcPr>
          <w:p w14:paraId="7DE98820" w14:textId="5BAA5560" w:rsidR="003874C9" w:rsidRPr="00845738" w:rsidRDefault="003874C9" w:rsidP="00845738">
            <w:pPr>
              <w:spacing w:before="40" w:after="40"/>
              <w:rPr>
                <w:sz w:val="18"/>
                <w:szCs w:val="18"/>
              </w:rPr>
            </w:pPr>
            <w:r w:rsidRPr="00845738">
              <w:rPr>
                <w:sz w:val="18"/>
                <w:szCs w:val="18"/>
              </w:rPr>
              <w:t>Approach</w:t>
            </w:r>
          </w:p>
        </w:tc>
        <w:tc>
          <w:tcPr>
            <w:tcW w:w="2668" w:type="dxa"/>
          </w:tcPr>
          <w:p w14:paraId="03183208" w14:textId="3D45B1DE" w:rsidR="003874C9" w:rsidRPr="00845738" w:rsidRDefault="003874C9" w:rsidP="00845738">
            <w:pPr>
              <w:spacing w:before="40" w:after="40"/>
              <w:cnfStyle w:val="000000000000" w:firstRow="0" w:lastRow="0" w:firstColumn="0" w:lastColumn="0" w:oddVBand="0" w:evenVBand="0" w:oddHBand="0" w:evenHBand="0" w:firstRowFirstColumn="0" w:firstRowLastColumn="0" w:lastRowFirstColumn="0" w:lastRowLastColumn="0"/>
              <w:rPr>
                <w:rFonts w:eastAsia="Cambria"/>
                <w:sz w:val="18"/>
                <w:szCs w:val="18"/>
              </w:rPr>
            </w:pPr>
            <w:r w:rsidRPr="00845738">
              <w:rPr>
                <w:rFonts w:eastAsia="Cambria"/>
                <w:sz w:val="18"/>
                <w:szCs w:val="18"/>
              </w:rPr>
              <w:t>Protect tributary inflows</w:t>
            </w:r>
          </w:p>
        </w:tc>
        <w:tc>
          <w:tcPr>
            <w:tcW w:w="2325" w:type="dxa"/>
          </w:tcPr>
          <w:p w14:paraId="524420DE" w14:textId="4802A829" w:rsidR="003874C9" w:rsidRPr="00845738" w:rsidRDefault="000F1682"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Add fresh</w:t>
            </w:r>
          </w:p>
        </w:tc>
        <w:tc>
          <w:tcPr>
            <w:tcW w:w="2325" w:type="dxa"/>
          </w:tcPr>
          <w:p w14:paraId="32F5BE29" w14:textId="46766AAB" w:rsidR="003874C9" w:rsidRPr="00845738" w:rsidRDefault="00845738"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Modify recession of hydrograph</w:t>
            </w:r>
          </w:p>
          <w:p w14:paraId="1AADB4D4" w14:textId="03C0FB08" w:rsidR="00EF52B9" w:rsidRPr="00845738" w:rsidRDefault="00EF52B9"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Prevent water level drops</w:t>
            </w:r>
            <w:r w:rsidR="00845738" w:rsidRPr="00845738">
              <w:rPr>
                <w:sz w:val="18"/>
                <w:szCs w:val="18"/>
              </w:rPr>
              <w:t xml:space="preserve"> in wetlands</w:t>
            </w:r>
          </w:p>
        </w:tc>
        <w:tc>
          <w:tcPr>
            <w:tcW w:w="2325" w:type="dxa"/>
          </w:tcPr>
          <w:p w14:paraId="109916DA" w14:textId="77777777" w:rsidR="003874C9" w:rsidRPr="00845738" w:rsidRDefault="00EF52B9"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Prevent water level drops</w:t>
            </w:r>
          </w:p>
          <w:p w14:paraId="14FEDAC5" w14:textId="4EFE6CB8" w:rsidR="00EF52B9" w:rsidRPr="00845738" w:rsidRDefault="00EF52B9"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Add fresh</w:t>
            </w:r>
          </w:p>
        </w:tc>
        <w:tc>
          <w:tcPr>
            <w:tcW w:w="2325" w:type="dxa"/>
          </w:tcPr>
          <w:p w14:paraId="627E30A0" w14:textId="77777777" w:rsidR="003874C9" w:rsidRPr="00845738" w:rsidRDefault="00EF52B9"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Prevent water level drops</w:t>
            </w:r>
          </w:p>
          <w:p w14:paraId="101B826C" w14:textId="5DE2C793" w:rsidR="00C723A7" w:rsidRPr="00845738" w:rsidRDefault="00C723A7" w:rsidP="00845738">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sidRPr="00845738">
              <w:rPr>
                <w:sz w:val="18"/>
                <w:szCs w:val="18"/>
              </w:rPr>
              <w:t>Add fresh</w:t>
            </w:r>
          </w:p>
        </w:tc>
      </w:tr>
    </w:tbl>
    <w:p w14:paraId="5F8E4A97" w14:textId="77777777" w:rsidR="002A4AF7" w:rsidRDefault="002A4AF7" w:rsidP="002A4AF7"/>
    <w:p w14:paraId="5A8A29C1" w14:textId="77777777" w:rsidR="002A4AF7" w:rsidRDefault="002A4AF7" w:rsidP="002A4AF7"/>
    <w:p w14:paraId="399E964B" w14:textId="77777777" w:rsidR="00D271BC" w:rsidRDefault="00D271BC" w:rsidP="00D271BC">
      <w:r>
        <w:rPr>
          <w:noProof/>
          <w:lang w:eastAsia="en-AU"/>
        </w:rPr>
        <w:drawing>
          <wp:inline distT="0" distB="0" distL="0" distR="0" wp14:anchorId="2F9A935A" wp14:editId="35634CED">
            <wp:extent cx="7976649" cy="25527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7987491" cy="2556170"/>
                    </a:xfrm>
                    <a:prstGeom prst="rect">
                      <a:avLst/>
                    </a:prstGeom>
                    <a:noFill/>
                  </pic:spPr>
                </pic:pic>
              </a:graphicData>
            </a:graphic>
          </wp:inline>
        </w:drawing>
      </w:r>
    </w:p>
    <w:p w14:paraId="13F882BB" w14:textId="77777777" w:rsidR="00D271BC" w:rsidRDefault="00D271BC" w:rsidP="00D271BC">
      <w:pPr>
        <w:keepNext/>
      </w:pPr>
      <w:r>
        <w:rPr>
          <w:noProof/>
          <w:lang w:eastAsia="en-AU"/>
        </w:rPr>
        <w:drawing>
          <wp:inline distT="0" distB="0" distL="0" distR="0" wp14:anchorId="09101A4C" wp14:editId="1B560BEC">
            <wp:extent cx="7884628" cy="13049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7897226" cy="1307010"/>
                    </a:xfrm>
                    <a:prstGeom prst="rect">
                      <a:avLst/>
                    </a:prstGeom>
                    <a:noFill/>
                  </pic:spPr>
                </pic:pic>
              </a:graphicData>
            </a:graphic>
          </wp:inline>
        </w:drawing>
      </w:r>
    </w:p>
    <w:p w14:paraId="3FBBFE59" w14:textId="14FBDE4A" w:rsidR="00D271BC" w:rsidRDefault="00D271BC" w:rsidP="00D271BC">
      <w:pPr>
        <w:pStyle w:val="Caption"/>
      </w:pPr>
      <w:bookmarkStart w:id="721" w:name="_Ref17210661"/>
      <w:bookmarkStart w:id="722" w:name="_Ref18500451"/>
      <w:bookmarkStart w:id="723" w:name="_Toc31985665"/>
      <w:r>
        <w:t xml:space="preserve">Figure </w:t>
      </w:r>
      <w:r>
        <w:fldChar w:fldCharType="begin"/>
      </w:r>
      <w:r>
        <w:instrText>SEQ Figure \* ARABIC</w:instrText>
      </w:r>
      <w:r>
        <w:fldChar w:fldCharType="separate"/>
      </w:r>
      <w:r w:rsidR="007F7607">
        <w:rPr>
          <w:noProof/>
        </w:rPr>
        <w:t>101</w:t>
      </w:r>
      <w:r>
        <w:fldChar w:fldCharType="end"/>
      </w:r>
      <w:bookmarkEnd w:id="721"/>
      <w:r>
        <w:t>. Hydrological conditions in the Lachlan river system between 2014 and 2019 combined with the corresponding volumes of environmental water and generalised objectives.</w:t>
      </w:r>
      <w:bookmarkEnd w:id="722"/>
      <w:bookmarkEnd w:id="723"/>
    </w:p>
    <w:p w14:paraId="396EF50B" w14:textId="6B4ED2A2" w:rsidR="001613C3" w:rsidRDefault="001613C3" w:rsidP="003E03C8">
      <w:pPr>
        <w:pStyle w:val="Caption"/>
        <w:sectPr w:rsidR="001613C3" w:rsidSect="001613C3">
          <w:pgSz w:w="16838" w:h="11906" w:orient="landscape"/>
          <w:pgMar w:top="1440" w:right="1440" w:bottom="1440" w:left="1440" w:header="708" w:footer="708" w:gutter="0"/>
          <w:cols w:space="708"/>
          <w:docGrid w:linePitch="360"/>
        </w:sectPr>
      </w:pPr>
    </w:p>
    <w:p w14:paraId="44F34C9D" w14:textId="5D970D96" w:rsidR="00C765D6" w:rsidRDefault="00C765D6" w:rsidP="00C765D6">
      <w:pPr>
        <w:pStyle w:val="Heading2"/>
        <w:rPr>
          <w:lang w:val="en-US"/>
        </w:rPr>
      </w:pPr>
      <w:bookmarkStart w:id="724" w:name="_Toc31985554"/>
      <w:r>
        <w:rPr>
          <w:lang w:val="en-US"/>
        </w:rPr>
        <w:t>Five years of river regulation</w:t>
      </w:r>
      <w:bookmarkEnd w:id="724"/>
    </w:p>
    <w:p w14:paraId="4F68AAD7" w14:textId="1B69F57E" w:rsidR="00C765D6" w:rsidRDefault="00C765D6" w:rsidP="00C765D6">
      <w:pPr>
        <w:rPr>
          <w:lang w:val="en-US" w:eastAsia="x-none"/>
        </w:rPr>
      </w:pPr>
      <w:r>
        <w:rPr>
          <w:lang w:val="en-US" w:eastAsia="x-none"/>
        </w:rPr>
        <w:t>The hydrological character of the Lachlan river system has been extensively modified by river regulation which has resulted in significant changes to in-channel flows and wetland inundation in the lower Lachlan river system (Driver</w:t>
      </w:r>
      <w:r w:rsidR="008A4B89">
        <w:rPr>
          <w:lang w:val="en-US" w:eastAsia="x-none"/>
        </w:rPr>
        <w:t xml:space="preserve"> et al.</w:t>
      </w:r>
      <w:r>
        <w:rPr>
          <w:lang w:val="en-US" w:eastAsia="x-none"/>
        </w:rPr>
        <w:t xml:space="preserve"> </w:t>
      </w:r>
      <w:r w:rsidR="008A4B89">
        <w:rPr>
          <w:lang w:val="en-US" w:eastAsia="x-none"/>
        </w:rPr>
        <w:t>2004</w:t>
      </w:r>
      <w:r>
        <w:rPr>
          <w:lang w:val="en-US" w:eastAsia="x-none"/>
        </w:rPr>
        <w:t>; Higgisson</w:t>
      </w:r>
      <w:r w:rsidR="00FE6ED8">
        <w:rPr>
          <w:lang w:val="en-US" w:eastAsia="x-none"/>
        </w:rPr>
        <w:t xml:space="preserve"> </w:t>
      </w:r>
      <w:r w:rsidR="008A4B89">
        <w:rPr>
          <w:lang w:val="en-US" w:eastAsia="x-none"/>
        </w:rPr>
        <w:t>et al. 2019b</w:t>
      </w:r>
      <w:r>
        <w:rPr>
          <w:lang w:val="en-US" w:eastAsia="x-none"/>
        </w:rPr>
        <w:t>). To understand the nature of these changes over the past five years, we compared the observed flow in the river with modelled flow data for the river in the absence of regulation.</w:t>
      </w:r>
    </w:p>
    <w:p w14:paraId="29D16873" w14:textId="40FBA951" w:rsidR="00A5584E" w:rsidRDefault="00C765D6" w:rsidP="00C765D6">
      <w:pPr>
        <w:rPr>
          <w:lang w:val="en-US" w:eastAsia="x-none"/>
        </w:rPr>
      </w:pPr>
      <w:r>
        <w:rPr>
          <w:lang w:val="en-US" w:eastAsia="x-none"/>
        </w:rPr>
        <w:t xml:space="preserve">Modelled daily flow data under natural (pre-development) flow conditions for the Lachlan River were obtained from the NSW Department of Primary Industry and Environment (DPIE Water) for five river gauges on the lower Lachlan River. Modelling was undertaken using the Integrated Quantity and quality Model (IQQM) designed to examine long-term flow behavior under different management regimes </w:t>
      </w:r>
      <w:r>
        <w:rPr>
          <w:lang w:val="en-US" w:eastAsia="x-none"/>
        </w:rPr>
        <w:fldChar w:fldCharType="begin"/>
      </w:r>
      <w:r>
        <w:rPr>
          <w:lang w:val="en-US" w:eastAsia="x-none"/>
        </w:rPr>
        <w:instrText xml:space="preserve"> ADDIN EN.CITE &lt;EndNote&gt;&lt;Cite&gt;&lt;Author&gt;Hameed&lt;/Author&gt;&lt;Year&gt;2001&lt;/Year&gt;&lt;RecNum&gt;396&lt;/RecNum&gt;&lt;DisplayText&gt;(Hameed and Podger 2001)&lt;/DisplayText&gt;&lt;record&gt;&lt;rec-number&gt;396&lt;/rec-number&gt;&lt;foreign-keys&gt;&lt;key app="EN" db-id="0a0zttz0gewd9befav559p5osxw5sftwfpdv" timestamp="1575926053"&gt;396&lt;/key&gt;&lt;/foreign-keys&gt;&lt;ref-type name="Journal Article"&gt;17&lt;/ref-type&gt;&lt;contributors&gt;&lt;authors&gt;&lt;author&gt;Hameed, TAHIR&lt;/author&gt;&lt;author&gt;Podger, GEOFF&lt;/author&gt;&lt;/authors&gt;&lt;/contributors&gt;&lt;titles&gt;&lt;title&gt;Use of the IQQM simulation model for planning and management of a regulated river system&lt;/title&gt;&lt;secondary-title&gt;IAHS PUBLICATION&lt;/secondary-title&gt;&lt;/titles&gt;&lt;periodical&gt;&lt;full-title&gt;IAHS PUBLICATION&lt;/full-title&gt;&lt;/periodical&gt;&lt;pages&gt;83-90&lt;/pages&gt;&lt;dates&gt;&lt;year&gt;2001&lt;/year&gt;&lt;/dates&gt;&lt;isbn&gt;0144-7815&lt;/isbn&gt;&lt;urls&gt;&lt;/urls&gt;&lt;/record&gt;&lt;/Cite&gt;&lt;/EndNote&gt;</w:instrText>
      </w:r>
      <w:r>
        <w:rPr>
          <w:lang w:val="en-US" w:eastAsia="x-none"/>
        </w:rPr>
        <w:fldChar w:fldCharType="separate"/>
      </w:r>
      <w:r>
        <w:rPr>
          <w:noProof/>
          <w:lang w:val="en-US" w:eastAsia="x-none"/>
        </w:rPr>
        <w:t>(Hameed and Podger 2001)</w:t>
      </w:r>
      <w:r>
        <w:rPr>
          <w:lang w:val="en-US" w:eastAsia="x-none"/>
        </w:rPr>
        <w:fldChar w:fldCharType="end"/>
      </w:r>
      <w:r>
        <w:rPr>
          <w:lang w:val="en-US" w:eastAsia="x-none"/>
        </w:rPr>
        <w:t>. These data sets were compared to the actual current flow conditions of the Lachlan River over the past five years</w:t>
      </w:r>
      <w:r w:rsidR="00E4429E">
        <w:rPr>
          <w:lang w:val="en-US" w:eastAsia="x-none"/>
        </w:rPr>
        <w:t xml:space="preserve"> (which includes environmental water)</w:t>
      </w:r>
      <w:r>
        <w:rPr>
          <w:lang w:val="en-US" w:eastAsia="x-none"/>
        </w:rPr>
        <w:t xml:space="preserve"> using river flow data acquired from WaterNSW (</w:t>
      </w:r>
      <w:hyperlink r:id="rId201" w:history="1">
        <w:r w:rsidRPr="00380F08">
          <w:rPr>
            <w:rStyle w:val="Hyperlink"/>
            <w:lang w:val="en-US" w:eastAsia="x-none"/>
          </w:rPr>
          <w:t>https://realtimedata.waternsw.com.au</w:t>
        </w:r>
      </w:hyperlink>
      <w:r>
        <w:rPr>
          <w:lang w:val="en-US" w:eastAsia="x-none"/>
        </w:rPr>
        <w:t xml:space="preserve">). </w:t>
      </w:r>
    </w:p>
    <w:p w14:paraId="51C84611" w14:textId="403B37E2" w:rsidR="00C765D6" w:rsidRDefault="00C765D6" w:rsidP="00C765D6">
      <w:pPr>
        <w:rPr>
          <w:lang w:val="en-US" w:eastAsia="x-none"/>
        </w:rPr>
      </w:pPr>
      <w:r>
        <w:rPr>
          <w:lang w:val="en-US" w:eastAsia="x-none"/>
        </w:rPr>
        <w:t>Using commence to fill (CTF) values derived from</w:t>
      </w:r>
      <w:r w:rsidR="00FE6ED8">
        <w:rPr>
          <w:lang w:val="en-US" w:eastAsia="x-none"/>
        </w:rPr>
        <w:t xml:space="preserve"> Higgisson et al.</w:t>
      </w:r>
      <w:r w:rsidR="00FC700D">
        <w:rPr>
          <w:lang w:val="en-US" w:eastAsia="x-none"/>
        </w:rPr>
        <w:t xml:space="preserve"> (2019b</w:t>
      </w:r>
      <w:r>
        <w:rPr>
          <w:lang w:val="en-US" w:eastAsia="x-none"/>
        </w:rPr>
        <w:fldChar w:fldCharType="begin"/>
      </w:r>
      <w:r w:rsidR="009538DA">
        <w:rPr>
          <w:lang w:val="en-US" w:eastAsia="x-none"/>
        </w:rPr>
        <w:instrText xml:space="preserve"> ADDIN EN.CITE &lt;EndNote&gt;&lt;Cite ExcludeAuth="1"&gt;&lt;Author&gt;Higgisson&lt;/Author&gt;&lt;Year&gt;2019&lt;/Year&gt;&lt;RecNum&gt;260&lt;/RecNum&gt;&lt;DisplayText&gt;(2019b)&lt;/DisplayText&gt;&lt;record&gt;&lt;rec-number&gt;260&lt;/rec-number&gt;&lt;foreign-keys&gt;&lt;key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Applications&lt;/full-title&gt;&lt;/periodical&gt;&lt;dates&gt;&lt;year&gt;2019&lt;/year&gt;&lt;/dates&gt;&lt;urls&gt;&lt;/urls&gt;&lt;/record&gt;&lt;/Cite&gt;&lt;/EndNote&gt;</w:instrText>
      </w:r>
      <w:r>
        <w:rPr>
          <w:lang w:val="en-US" w:eastAsia="x-none"/>
        </w:rPr>
        <w:fldChar w:fldCharType="end"/>
      </w:r>
      <w:r w:rsidR="00535F48">
        <w:rPr>
          <w:lang w:val="en-US" w:eastAsia="x-none"/>
        </w:rPr>
        <w:t>)</w:t>
      </w:r>
      <w:r w:rsidR="00FC700D">
        <w:rPr>
          <w:lang w:val="en-US" w:eastAsia="x-none"/>
        </w:rPr>
        <w:t xml:space="preserve"> </w:t>
      </w:r>
      <w:r>
        <w:rPr>
          <w:lang w:val="en-US" w:eastAsia="x-none"/>
        </w:rPr>
        <w:t xml:space="preserve">and the modelled natural and (actual) current flow records for Booligal Swamp and Nooran </w:t>
      </w:r>
      <w:r w:rsidR="00F25295">
        <w:rPr>
          <w:lang w:val="en-US" w:eastAsia="x-none"/>
        </w:rPr>
        <w:t xml:space="preserve">Lake </w:t>
      </w:r>
      <w:r>
        <w:rPr>
          <w:lang w:val="en-US" w:eastAsia="x-none"/>
        </w:rPr>
        <w:t xml:space="preserve">we calculated </w:t>
      </w:r>
      <w:r w:rsidR="00D05E48">
        <w:rPr>
          <w:lang w:val="en-US" w:eastAsia="x-none"/>
        </w:rPr>
        <w:t>eight</w:t>
      </w:r>
      <w:r>
        <w:rPr>
          <w:lang w:val="en-US" w:eastAsia="x-none"/>
        </w:rPr>
        <w:t xml:space="preserve"> connection metrics representing important components of the flow regime of intermittent streams </w:t>
      </w:r>
      <w:r>
        <w:rPr>
          <w:lang w:val="en-US" w:eastAsia="x-none"/>
        </w:rPr>
        <w:fldChar w:fldCharType="begin"/>
      </w:r>
      <w:r>
        <w:rPr>
          <w:lang w:val="en-US" w:eastAsia="x-none"/>
        </w:rPr>
        <w:instrText xml:space="preserve"> ADDIN EN.CITE &lt;EndNote&gt;&lt;Cite&gt;&lt;Author&gt;Olden&lt;/Author&gt;&lt;Year&gt;2003&lt;/Year&gt;&lt;RecNum&gt;394&lt;/RecNum&gt;&lt;DisplayText&gt;(Olden and Poff 2003)&lt;/DisplayText&gt;&lt;record&gt;&lt;rec-number&gt;394&lt;/rec-number&gt;&lt;foreign-keys&gt;&lt;key app="EN" db-id="0a0zttz0gewd9befav559p5osxw5sftwfpdv" timestamp="1575334531"&gt;394&lt;/key&gt;&lt;/foreign-keys&gt;&lt;ref-type name="Journal Article"&gt;17&lt;/ref-type&gt;&lt;contributors&gt;&lt;authors&gt;&lt;author&gt;Olden, J.D.&lt;/author&gt;&lt;author&gt;Poff, N.L.R.&lt;/author&gt;&lt;/authors&gt;&lt;/contributors&gt;&lt;titles&gt;&lt;title&gt;Redundancy and the choice of hydrologic indices for characterizing streamflow regimes&lt;/title&gt;&lt;secondary-title&gt;River Research and Applications&lt;/secondary-title&gt;&lt;/titles&gt;&lt;periodical&gt;&lt;full-title&gt;River Research and Applications&lt;/full-title&gt;&lt;/periodical&gt;&lt;pages&gt;101-121&lt;/pages&gt;&lt;volume&gt;19&lt;/volume&gt;&lt;number&gt;2&lt;/number&gt;&lt;dates&gt;&lt;year&gt;2003&lt;/year&gt;&lt;/dates&gt;&lt;urls&gt;&lt;/urls&gt;&lt;/record&gt;&lt;/Cite&gt;&lt;/EndNote&gt;</w:instrText>
      </w:r>
      <w:r>
        <w:rPr>
          <w:lang w:val="en-US" w:eastAsia="x-none"/>
        </w:rPr>
        <w:fldChar w:fldCharType="separate"/>
      </w:r>
      <w:r>
        <w:rPr>
          <w:noProof/>
          <w:lang w:val="en-US" w:eastAsia="x-none"/>
        </w:rPr>
        <w:t>(Olden and Poff 2003)</w:t>
      </w:r>
      <w:r>
        <w:rPr>
          <w:lang w:val="en-US" w:eastAsia="x-none"/>
        </w:rPr>
        <w:fldChar w:fldCharType="end"/>
      </w:r>
      <w:r>
        <w:rPr>
          <w:lang w:val="en-US" w:eastAsia="x-none"/>
        </w:rPr>
        <w:t>.</w:t>
      </w:r>
      <w:r w:rsidRPr="00AA3AF9">
        <w:rPr>
          <w:lang w:val="en-US" w:eastAsia="x-none"/>
        </w:rPr>
        <w:t xml:space="preserve"> </w:t>
      </w:r>
      <w:r w:rsidR="00D05E48">
        <w:rPr>
          <w:lang w:val="en-US" w:eastAsia="x-none"/>
        </w:rPr>
        <w:t xml:space="preserve">The CTF value for </w:t>
      </w:r>
      <w:r w:rsidR="00F25295">
        <w:rPr>
          <w:lang w:val="en-US" w:eastAsia="x-none"/>
        </w:rPr>
        <w:t>Nooran Lake</w:t>
      </w:r>
      <w:r w:rsidR="00D05E48">
        <w:rPr>
          <w:lang w:val="en-US" w:eastAsia="x-none"/>
        </w:rPr>
        <w:t xml:space="preserve"> was revised following Higgisson et al. (2019b) resulting from improved estimates. </w:t>
      </w:r>
      <w:r w:rsidR="00F25295">
        <w:rPr>
          <w:lang w:val="en-US" w:eastAsia="x-none"/>
        </w:rPr>
        <w:t>Booligal Swamp (</w:t>
      </w:r>
      <w:r w:rsidR="00F25295">
        <w:rPr>
          <w:lang w:val="en-US" w:eastAsia="x-none"/>
        </w:rPr>
        <w:fldChar w:fldCharType="begin"/>
      </w:r>
      <w:r w:rsidR="00F25295">
        <w:rPr>
          <w:lang w:val="en-US" w:eastAsia="x-none"/>
        </w:rPr>
        <w:instrText xml:space="preserve"> REF _Ref31972810 \h </w:instrText>
      </w:r>
      <w:r w:rsidR="00F25295">
        <w:rPr>
          <w:lang w:val="en-US" w:eastAsia="x-none"/>
        </w:rPr>
      </w:r>
      <w:r w:rsidR="00F25295">
        <w:rPr>
          <w:lang w:val="en-US" w:eastAsia="x-none"/>
        </w:rPr>
        <w:fldChar w:fldCharType="separate"/>
      </w:r>
      <w:r w:rsidR="007F7607">
        <w:t xml:space="preserve">Figure </w:t>
      </w:r>
      <w:r w:rsidR="007F7607">
        <w:rPr>
          <w:noProof/>
        </w:rPr>
        <w:t>102</w:t>
      </w:r>
      <w:r w:rsidR="00F25295">
        <w:rPr>
          <w:lang w:val="en-US" w:eastAsia="x-none"/>
        </w:rPr>
        <w:fldChar w:fldCharType="end"/>
      </w:r>
      <w:r w:rsidR="00F25295">
        <w:rPr>
          <w:lang w:val="en-US" w:eastAsia="x-none"/>
        </w:rPr>
        <w:t>,</w:t>
      </w:r>
      <w:r w:rsidR="00F25295" w:rsidRPr="00F25295">
        <w:rPr>
          <w:lang w:val="en-US" w:eastAsia="x-none"/>
        </w:rPr>
        <w:t xml:space="preserve"> </w:t>
      </w:r>
      <w:r w:rsidR="00F25295">
        <w:rPr>
          <w:lang w:val="en-US" w:eastAsia="x-none"/>
        </w:rPr>
        <w:fldChar w:fldCharType="begin"/>
      </w:r>
      <w:r w:rsidR="00F25295">
        <w:rPr>
          <w:lang w:val="en-US" w:eastAsia="x-none"/>
        </w:rPr>
        <w:instrText xml:space="preserve"> REF _Ref31972795 \h </w:instrText>
      </w:r>
      <w:r w:rsidR="00F25295">
        <w:rPr>
          <w:lang w:val="en-US" w:eastAsia="x-none"/>
        </w:rPr>
      </w:r>
      <w:r w:rsidR="00F25295">
        <w:rPr>
          <w:lang w:val="en-US" w:eastAsia="x-none"/>
        </w:rPr>
        <w:fldChar w:fldCharType="separate"/>
      </w:r>
      <w:r w:rsidR="007F7607">
        <w:t xml:space="preserve">Table </w:t>
      </w:r>
      <w:r w:rsidR="007F7607">
        <w:rPr>
          <w:noProof/>
        </w:rPr>
        <w:t>36</w:t>
      </w:r>
      <w:r w:rsidR="00F25295">
        <w:rPr>
          <w:lang w:val="en-US" w:eastAsia="x-none"/>
        </w:rPr>
        <w:fldChar w:fldCharType="end"/>
      </w:r>
      <w:r w:rsidR="00F25295">
        <w:rPr>
          <w:lang w:val="en-US" w:eastAsia="x-none"/>
        </w:rPr>
        <w:t xml:space="preserve">) and </w:t>
      </w:r>
      <w:r w:rsidR="00D05E48">
        <w:rPr>
          <w:lang w:val="en-US" w:eastAsia="x-none"/>
        </w:rPr>
        <w:t>Nooran</w:t>
      </w:r>
      <w:r w:rsidR="00F25295">
        <w:rPr>
          <w:lang w:val="en-US" w:eastAsia="x-none"/>
        </w:rPr>
        <w:t xml:space="preserve"> Lake (</w:t>
      </w:r>
      <w:r w:rsidR="00F25295">
        <w:rPr>
          <w:lang w:val="en-US" w:eastAsia="x-none"/>
        </w:rPr>
        <w:fldChar w:fldCharType="begin"/>
      </w:r>
      <w:r w:rsidR="00F25295">
        <w:rPr>
          <w:lang w:val="en-US" w:eastAsia="x-none"/>
        </w:rPr>
        <w:instrText xml:space="preserve"> REF _Ref31972812 \h </w:instrText>
      </w:r>
      <w:r w:rsidR="00F25295">
        <w:rPr>
          <w:lang w:val="en-US" w:eastAsia="x-none"/>
        </w:rPr>
      </w:r>
      <w:r w:rsidR="00F25295">
        <w:rPr>
          <w:lang w:val="en-US" w:eastAsia="x-none"/>
        </w:rPr>
        <w:fldChar w:fldCharType="separate"/>
      </w:r>
      <w:r w:rsidR="007F7607">
        <w:t xml:space="preserve">Figure </w:t>
      </w:r>
      <w:r w:rsidR="007F7607">
        <w:rPr>
          <w:noProof/>
        </w:rPr>
        <w:t>103</w:t>
      </w:r>
      <w:r w:rsidR="00F25295">
        <w:rPr>
          <w:lang w:val="en-US" w:eastAsia="x-none"/>
        </w:rPr>
        <w:fldChar w:fldCharType="end"/>
      </w:r>
      <w:r w:rsidR="00F25295">
        <w:rPr>
          <w:lang w:val="en-US" w:eastAsia="x-none"/>
        </w:rPr>
        <w:t xml:space="preserve">, </w:t>
      </w:r>
      <w:r w:rsidR="00F25295">
        <w:rPr>
          <w:lang w:val="en-US" w:eastAsia="x-none"/>
        </w:rPr>
        <w:fldChar w:fldCharType="begin"/>
      </w:r>
      <w:r w:rsidR="00F25295">
        <w:rPr>
          <w:lang w:val="en-US" w:eastAsia="x-none"/>
        </w:rPr>
        <w:instrText xml:space="preserve"> REF _Ref31972600 \h </w:instrText>
      </w:r>
      <w:r w:rsidR="00F25295">
        <w:rPr>
          <w:lang w:val="en-US" w:eastAsia="x-none"/>
        </w:rPr>
      </w:r>
      <w:r w:rsidR="00F25295">
        <w:rPr>
          <w:lang w:val="en-US" w:eastAsia="x-none"/>
        </w:rPr>
        <w:fldChar w:fldCharType="separate"/>
      </w:r>
      <w:r w:rsidR="007F7607">
        <w:t xml:space="preserve">Table </w:t>
      </w:r>
      <w:r w:rsidR="007F7607">
        <w:rPr>
          <w:noProof/>
        </w:rPr>
        <w:t>37</w:t>
      </w:r>
      <w:r w:rsidR="00F25295">
        <w:rPr>
          <w:lang w:val="en-US" w:eastAsia="x-none"/>
        </w:rPr>
        <w:fldChar w:fldCharType="end"/>
      </w:r>
      <w:r w:rsidR="00F25295">
        <w:rPr>
          <w:lang w:val="en-US" w:eastAsia="x-none"/>
        </w:rPr>
        <w:t>)</w:t>
      </w:r>
      <w:r w:rsidR="00D05E48">
        <w:rPr>
          <w:lang w:val="en-US" w:eastAsia="x-none"/>
        </w:rPr>
        <w:t xml:space="preserve"> </w:t>
      </w:r>
      <w:r>
        <w:rPr>
          <w:lang w:val="en-US" w:eastAsia="x-none"/>
        </w:rPr>
        <w:t>were selected as they are or are part of wetlands considered assets in the Basin Plan</w:t>
      </w:r>
      <w:r w:rsidR="00F25295">
        <w:rPr>
          <w:lang w:val="en-US" w:eastAsia="x-none"/>
        </w:rPr>
        <w:t xml:space="preserve"> </w:t>
      </w:r>
      <w:r>
        <w:rPr>
          <w:lang w:val="en-US" w:eastAsia="x-none"/>
        </w:rPr>
        <w:t xml:space="preserve">Floodplains are likely to retain water for longer than the duration of connection related to floodplain topography. However, the effects of river regulation </w:t>
      </w:r>
      <w:r w:rsidR="00D05E48">
        <w:rPr>
          <w:lang w:val="en-US" w:eastAsia="x-none"/>
        </w:rPr>
        <w:t xml:space="preserve">and environmental flow allocation </w:t>
      </w:r>
      <w:r>
        <w:rPr>
          <w:lang w:val="en-US" w:eastAsia="x-none"/>
        </w:rPr>
        <w:t>are likely to be directly related to differences in river-floodplain connection. The approximate volume (ML) of water that is likely to have inundated the floodplain was estimated as the total flow above the CTF value at Booligal and Nooran Lake. These volumes of water may have inundated other sites with similar positions on the floodplain.</w:t>
      </w:r>
    </w:p>
    <w:p w14:paraId="055767E3" w14:textId="77777777" w:rsidR="00C765D6" w:rsidRDefault="00C765D6" w:rsidP="00C765D6">
      <w:pPr>
        <w:rPr>
          <w:lang w:val="en-US" w:eastAsia="x-none"/>
        </w:rPr>
      </w:pPr>
      <w:r>
        <w:rPr>
          <w:lang w:val="en-US" w:eastAsia="x-none"/>
        </w:rPr>
        <w:t>The current hydrological character of the Lachlan River over the past five years of LTIM is markedly different to that which would have occurred under natural flow conditions (</w:t>
      </w:r>
      <w:r w:rsidRPr="006D6D7C">
        <w:rPr>
          <w:lang w:val="en-US" w:eastAsia="x-none"/>
        </w:rPr>
        <w:t>Figure</w:t>
      </w:r>
      <w:r>
        <w:rPr>
          <w:lang w:val="en-US" w:eastAsia="x-none"/>
        </w:rPr>
        <w:t>s</w:t>
      </w:r>
      <w:r w:rsidRPr="006D6D7C">
        <w:rPr>
          <w:lang w:val="en-US" w:eastAsia="x-none"/>
        </w:rPr>
        <w:t xml:space="preserve"> </w:t>
      </w:r>
      <w:r>
        <w:rPr>
          <w:lang w:val="en-US" w:eastAsia="x-none"/>
        </w:rPr>
        <w:t>90 and 91). The flow of the Lachlan River is more consistent and stable under current flow conditions with much less variability in flow. The high flow events have either been completely removed from the hydrograph or substantially reduced in duration and magnitude. Periods of no flow which occurred approximately 16% of the time under natural flow conditions, have not occurred over the past 5 years.</w:t>
      </w:r>
    </w:p>
    <w:p w14:paraId="053921E5" w14:textId="7F4B3EF7" w:rsidR="00C765D6" w:rsidRDefault="00C765D6" w:rsidP="00C765D6">
      <w:pPr>
        <w:rPr>
          <w:lang w:val="en-US" w:eastAsia="x-none"/>
        </w:rPr>
      </w:pPr>
      <w:r>
        <w:rPr>
          <w:lang w:val="en-US" w:eastAsia="x-none"/>
        </w:rPr>
        <w:t>These changes to the flow of the Lachlan River have altered the connection regime between the floodplain and river. Small and medium connection events now in most instances do not occur while the large events have been reduced</w:t>
      </w:r>
      <w:r w:rsidR="008A4B89">
        <w:rPr>
          <w:lang w:val="en-US" w:eastAsia="x-none"/>
        </w:rPr>
        <w:t xml:space="preserve"> in magnitude and duration</w:t>
      </w:r>
      <w:r>
        <w:rPr>
          <w:lang w:val="en-US" w:eastAsia="x-none"/>
        </w:rPr>
        <w:t xml:space="preserve">. </w:t>
      </w:r>
      <w:r w:rsidR="00A93E61">
        <w:rPr>
          <w:lang w:val="en-US" w:eastAsia="x-none"/>
        </w:rPr>
        <w:t>While the frequency and magnitude of connection events has been reduced in each of the last five years, these reductions are more apparent during dry years (2014-15, 2017-18, and 2018-19) compared to the wet (2016-17) and moderately wet (2015-16) years. U</w:t>
      </w:r>
      <w:r w:rsidR="00A5584E">
        <w:rPr>
          <w:lang w:val="en-US" w:eastAsia="x-none"/>
        </w:rPr>
        <w:t xml:space="preserve">nder natural flow conditions, </w:t>
      </w:r>
      <w:r w:rsidR="008A4B89">
        <w:rPr>
          <w:lang w:val="en-US" w:eastAsia="x-none"/>
        </w:rPr>
        <w:t>t</w:t>
      </w:r>
      <w:r>
        <w:rPr>
          <w:lang w:val="en-US" w:eastAsia="x-none"/>
        </w:rPr>
        <w:t xml:space="preserve">he Booligal Swamp would have </w:t>
      </w:r>
      <w:r w:rsidR="00A5584E">
        <w:rPr>
          <w:lang w:val="en-US" w:eastAsia="x-none"/>
        </w:rPr>
        <w:t xml:space="preserve">received water </w:t>
      </w:r>
      <w:r>
        <w:rPr>
          <w:lang w:val="en-US" w:eastAsia="x-none"/>
        </w:rPr>
        <w:t xml:space="preserve">briefly (one day) in 2014, twice in 2015, and 2018 </w:t>
      </w:r>
      <w:r w:rsidR="00A5584E">
        <w:rPr>
          <w:lang w:val="en-US" w:eastAsia="x-none"/>
        </w:rPr>
        <w:t xml:space="preserve">yet under the current regulated conditions, </w:t>
      </w:r>
      <w:r>
        <w:rPr>
          <w:lang w:val="en-US" w:eastAsia="x-none"/>
        </w:rPr>
        <w:t xml:space="preserve">these connection events did not occur. The large flood event in 2016-2017 was 11 days </w:t>
      </w:r>
      <w:r w:rsidR="00A5584E">
        <w:rPr>
          <w:lang w:val="en-US" w:eastAsia="x-none"/>
        </w:rPr>
        <w:t xml:space="preserve">shorter </w:t>
      </w:r>
      <w:r>
        <w:rPr>
          <w:lang w:val="en-US" w:eastAsia="x-none"/>
        </w:rPr>
        <w:t xml:space="preserve">(approx. 9%) in the Booligal Swamp (Figure 90 and Table 28). While the connection event in 2016-2017 to Booligal Swamp was only 11 days </w:t>
      </w:r>
      <w:r w:rsidR="00E4429E">
        <w:rPr>
          <w:lang w:val="en-US" w:eastAsia="x-none"/>
        </w:rPr>
        <w:t xml:space="preserve">shorter </w:t>
      </w:r>
      <w:r>
        <w:rPr>
          <w:lang w:val="en-US" w:eastAsia="x-none"/>
        </w:rPr>
        <w:t xml:space="preserve">under current flow conditions, it received </w:t>
      </w:r>
      <w:r w:rsidR="00E4429E">
        <w:rPr>
          <w:lang w:val="en-US" w:eastAsia="x-none"/>
        </w:rPr>
        <w:t xml:space="preserve">less than </w:t>
      </w:r>
      <w:r>
        <w:rPr>
          <w:lang w:val="en-US" w:eastAsia="x-none"/>
        </w:rPr>
        <w:t>half the total amount of floodwater under current conditions (</w:t>
      </w:r>
      <w:r w:rsidRPr="00B67073">
        <w:rPr>
          <w:lang w:val="en-US" w:eastAsia="x-none"/>
        </w:rPr>
        <w:t>99764</w:t>
      </w:r>
      <w:r>
        <w:rPr>
          <w:lang w:val="en-US" w:eastAsia="x-none"/>
        </w:rPr>
        <w:t xml:space="preserve"> ML) compared to natural flow conditions (</w:t>
      </w:r>
      <w:r w:rsidRPr="00B67073">
        <w:rPr>
          <w:lang w:val="en-US" w:eastAsia="x-none"/>
        </w:rPr>
        <w:t>212651</w:t>
      </w:r>
      <w:r>
        <w:rPr>
          <w:lang w:val="en-US" w:eastAsia="x-none"/>
        </w:rPr>
        <w:t xml:space="preserve"> ML). In 2015-16</w:t>
      </w:r>
      <w:r w:rsidR="00E4429E">
        <w:rPr>
          <w:lang w:val="en-US" w:eastAsia="x-none"/>
        </w:rPr>
        <w:t xml:space="preserve">, under natural conditions, </w:t>
      </w:r>
      <w:r>
        <w:rPr>
          <w:lang w:val="en-US" w:eastAsia="x-none"/>
        </w:rPr>
        <w:t>Booligal Swamp would have received 18390 ML and 841 ML in 2017-2018 while connection did not occur in these years (Table 28).</w:t>
      </w:r>
    </w:p>
    <w:p w14:paraId="3365F245" w14:textId="64A0430D" w:rsidR="00D41C23" w:rsidRDefault="00F25295" w:rsidP="00C765D6">
      <w:pPr>
        <w:rPr>
          <w:lang w:val="en-US" w:eastAsia="x-none"/>
        </w:rPr>
      </w:pPr>
      <w:r>
        <w:rPr>
          <w:lang w:val="en-US" w:eastAsia="x-none"/>
        </w:rPr>
        <w:t>Nooran Lake</w:t>
      </w:r>
      <w:r w:rsidR="00C765D6">
        <w:rPr>
          <w:lang w:val="en-US" w:eastAsia="x-none"/>
        </w:rPr>
        <w:t xml:space="preserve"> which is a lower lying (open) temporary wetland would have been flooded under natural flow conditions </w:t>
      </w:r>
      <w:r w:rsidR="0083679A">
        <w:rPr>
          <w:lang w:val="en-US" w:eastAsia="x-none"/>
        </w:rPr>
        <w:t>12</w:t>
      </w:r>
      <w:r w:rsidR="00C765D6">
        <w:rPr>
          <w:lang w:val="en-US" w:eastAsia="x-none"/>
        </w:rPr>
        <w:t xml:space="preserve"> times </w:t>
      </w:r>
      <w:r w:rsidR="00A93E61">
        <w:rPr>
          <w:lang w:val="en-US" w:eastAsia="x-none"/>
        </w:rPr>
        <w:t xml:space="preserve">(total of 144 days) </w:t>
      </w:r>
      <w:r w:rsidR="00C765D6">
        <w:rPr>
          <w:lang w:val="en-US" w:eastAsia="x-none"/>
        </w:rPr>
        <w:t xml:space="preserve">in 2014-15 </w:t>
      </w:r>
      <w:r w:rsidR="0083679A">
        <w:rPr>
          <w:lang w:val="en-US" w:eastAsia="x-none"/>
        </w:rPr>
        <w:t xml:space="preserve">which would have provided 48831 ML of floodwater on to </w:t>
      </w:r>
      <w:r>
        <w:rPr>
          <w:lang w:val="en-US" w:eastAsia="x-none"/>
        </w:rPr>
        <w:t>Nooran Lake</w:t>
      </w:r>
      <w:r w:rsidR="0083679A">
        <w:rPr>
          <w:lang w:val="en-US" w:eastAsia="x-none"/>
        </w:rPr>
        <w:t xml:space="preserve"> and the surrounding temporary wetlands. </w:t>
      </w:r>
      <w:r w:rsidR="00D41C23">
        <w:rPr>
          <w:lang w:val="en-US" w:eastAsia="x-none"/>
        </w:rPr>
        <w:t xml:space="preserve">During 2015-16 the number of days </w:t>
      </w:r>
      <w:r>
        <w:rPr>
          <w:lang w:val="en-US" w:eastAsia="x-none"/>
        </w:rPr>
        <w:t>Nooran Lake</w:t>
      </w:r>
      <w:r w:rsidR="00A93E61">
        <w:rPr>
          <w:lang w:val="en-US" w:eastAsia="x-none"/>
        </w:rPr>
        <w:t xml:space="preserve"> </w:t>
      </w:r>
      <w:r w:rsidR="00D41C23">
        <w:rPr>
          <w:lang w:val="en-US" w:eastAsia="x-none"/>
        </w:rPr>
        <w:t xml:space="preserve">connected to the river (73 days) was half that which would have occurred under natural flow conditions (144 days), reducing the total volume of water on the floodplain by 80%.  During the particularly wet 2016-17 year </w:t>
      </w:r>
      <w:r w:rsidR="00953E2F">
        <w:rPr>
          <w:lang w:val="en-US" w:eastAsia="x-none"/>
        </w:rPr>
        <w:t xml:space="preserve">the number of days </w:t>
      </w:r>
      <w:r>
        <w:rPr>
          <w:lang w:val="en-US" w:eastAsia="x-none"/>
        </w:rPr>
        <w:t>Nooran Lake</w:t>
      </w:r>
      <w:r w:rsidR="00D41C23">
        <w:rPr>
          <w:lang w:val="en-US" w:eastAsia="x-none"/>
        </w:rPr>
        <w:t xml:space="preserve"> connec</w:t>
      </w:r>
      <w:r w:rsidR="00953E2F">
        <w:rPr>
          <w:lang w:val="en-US" w:eastAsia="x-none"/>
        </w:rPr>
        <w:t xml:space="preserve">ted to the river (180 days) was 20 % less than the number of days it would have connected to the river under natural flow conditions (224 days) reducing the total volume </w:t>
      </w:r>
      <w:r w:rsidR="00D05E48">
        <w:rPr>
          <w:lang w:val="en-US" w:eastAsia="x-none"/>
        </w:rPr>
        <w:t xml:space="preserve">of water </w:t>
      </w:r>
      <w:r w:rsidR="00953E2F">
        <w:rPr>
          <w:lang w:val="en-US" w:eastAsia="x-none"/>
        </w:rPr>
        <w:t xml:space="preserve">on the floodplain by 43% (Table 29). During 2017-18 and 2018-19, the number of days </w:t>
      </w:r>
      <w:r>
        <w:rPr>
          <w:lang w:val="en-US" w:eastAsia="x-none"/>
        </w:rPr>
        <w:t>Nooran Lake</w:t>
      </w:r>
      <w:r w:rsidR="00953E2F">
        <w:rPr>
          <w:lang w:val="en-US" w:eastAsia="x-none"/>
        </w:rPr>
        <w:t xml:space="preserve"> connected to the river by floodwater was reduced from 58 to 30 days in 2017-18 and 31 to 6 days in 2018-19 resulting in a considerable reduction in the total volume of water on the floodplain and </w:t>
      </w:r>
      <w:r w:rsidR="00D05E48">
        <w:rPr>
          <w:lang w:val="en-US" w:eastAsia="x-none"/>
        </w:rPr>
        <w:t>increas</w:t>
      </w:r>
      <w:r w:rsidR="00A93E61">
        <w:rPr>
          <w:lang w:val="en-US" w:eastAsia="x-none"/>
        </w:rPr>
        <w:t>ing the</w:t>
      </w:r>
      <w:r w:rsidR="00D05E48">
        <w:rPr>
          <w:lang w:val="en-US" w:eastAsia="x-none"/>
        </w:rPr>
        <w:t xml:space="preserve"> </w:t>
      </w:r>
      <w:r w:rsidR="00953E2F">
        <w:rPr>
          <w:lang w:val="en-US" w:eastAsia="x-none"/>
        </w:rPr>
        <w:t>duration of disconnection.</w:t>
      </w:r>
      <w:r w:rsidR="00A93E61" w:rsidRPr="00A93E61">
        <w:rPr>
          <w:lang w:val="en-US" w:eastAsia="x-none"/>
        </w:rPr>
        <w:t xml:space="preserve"> </w:t>
      </w:r>
      <w:r w:rsidR="00A93E61">
        <w:rPr>
          <w:lang w:val="en-US" w:eastAsia="x-none"/>
        </w:rPr>
        <w:t xml:space="preserve">The connection regimes described for </w:t>
      </w:r>
      <w:r>
        <w:rPr>
          <w:lang w:val="en-US" w:eastAsia="x-none"/>
        </w:rPr>
        <w:t>Nooran Lake</w:t>
      </w:r>
      <w:r w:rsidR="00A93E61">
        <w:rPr>
          <w:lang w:val="en-US" w:eastAsia="x-none"/>
        </w:rPr>
        <w:t xml:space="preserve"> under natural and current flow conditions are similar to those on other lower lying parts of the floodplain of the Lachlan River including the central reed beds of the Great Cumbung Swamp which has a similar CTF.</w:t>
      </w:r>
    </w:p>
    <w:p w14:paraId="33C3756E" w14:textId="6C7CC8F0" w:rsidR="00E12DBE" w:rsidRDefault="00E12DBE">
      <w:pPr>
        <w:spacing w:before="0" w:after="0"/>
        <w:rPr>
          <w:lang w:val="en-US" w:eastAsia="x-none"/>
        </w:rPr>
      </w:pPr>
      <w:r>
        <w:rPr>
          <w:lang w:val="en-US" w:eastAsia="x-none"/>
        </w:rPr>
        <w:br w:type="page"/>
      </w:r>
    </w:p>
    <w:p w14:paraId="5D721EA0" w14:textId="77777777" w:rsidR="00C765D6" w:rsidRDefault="00C765D6" w:rsidP="00C765D6">
      <w:pPr>
        <w:rPr>
          <w:lang w:val="en-US" w:eastAsia="x-none"/>
        </w:rPr>
      </w:pPr>
      <w:r>
        <w:rPr>
          <w:noProof/>
          <w:lang w:eastAsia="en-AU"/>
        </w:rPr>
        <w:drawing>
          <wp:inline distT="0" distB="0" distL="0" distR="0" wp14:anchorId="5C068C86" wp14:editId="0249DF0E">
            <wp:extent cx="5726763" cy="3880437"/>
            <wp:effectExtent l="0" t="0" r="762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Booligal with red.JPG"/>
                    <pic:cNvPicPr/>
                  </pic:nvPicPr>
                  <pic:blipFill>
                    <a:blip r:embed="rId202" cstate="email">
                      <a:extLst>
                        <a:ext uri="{28A0092B-C50C-407E-A947-70E740481C1C}">
                          <a14:useLocalDpi xmlns:a14="http://schemas.microsoft.com/office/drawing/2010/main"/>
                        </a:ext>
                      </a:extLst>
                    </a:blip>
                    <a:stretch>
                      <a:fillRect/>
                    </a:stretch>
                  </pic:blipFill>
                  <pic:spPr>
                    <a:xfrm>
                      <a:off x="0" y="0"/>
                      <a:ext cx="5876609" cy="3981972"/>
                    </a:xfrm>
                    <a:prstGeom prst="rect">
                      <a:avLst/>
                    </a:prstGeom>
                  </pic:spPr>
                </pic:pic>
              </a:graphicData>
            </a:graphic>
          </wp:inline>
        </w:drawing>
      </w:r>
    </w:p>
    <w:p w14:paraId="7E0DCF8A" w14:textId="77777777" w:rsidR="00C765D6" w:rsidRDefault="00C765D6" w:rsidP="00C765D6">
      <w:pPr>
        <w:rPr>
          <w:lang w:val="en-US" w:eastAsia="x-none"/>
        </w:rPr>
      </w:pPr>
      <w:r>
        <w:rPr>
          <w:noProof/>
          <w:lang w:eastAsia="en-AU"/>
        </w:rPr>
        <w:drawing>
          <wp:inline distT="0" distB="0" distL="0" distR="0" wp14:anchorId="66FEBE8D" wp14:editId="60E45F5C">
            <wp:extent cx="6321808" cy="2162175"/>
            <wp:effectExtent l="0" t="0" r="3175" b="0"/>
            <wp:docPr id="155" name="Picture 155"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ooligal under 500.JPG"/>
                    <pic:cNvPicPr/>
                  </pic:nvPicPr>
                  <pic:blipFill>
                    <a:blip r:embed="rId203" cstate="email">
                      <a:extLst>
                        <a:ext uri="{28A0092B-C50C-407E-A947-70E740481C1C}">
                          <a14:useLocalDpi xmlns:a14="http://schemas.microsoft.com/office/drawing/2010/main"/>
                        </a:ext>
                      </a:extLst>
                    </a:blip>
                    <a:stretch>
                      <a:fillRect/>
                    </a:stretch>
                  </pic:blipFill>
                  <pic:spPr>
                    <a:xfrm>
                      <a:off x="0" y="0"/>
                      <a:ext cx="6321808" cy="2162175"/>
                    </a:xfrm>
                    <a:prstGeom prst="rect">
                      <a:avLst/>
                    </a:prstGeom>
                  </pic:spPr>
                </pic:pic>
              </a:graphicData>
            </a:graphic>
          </wp:inline>
        </w:drawing>
      </w:r>
    </w:p>
    <w:p w14:paraId="72DFE527" w14:textId="6BB26E6C" w:rsidR="00C765D6" w:rsidRDefault="00C765D6" w:rsidP="00C765D6">
      <w:pPr>
        <w:pStyle w:val="Caption"/>
        <w:rPr>
          <w:lang w:val="en-US" w:eastAsia="x-none"/>
        </w:rPr>
      </w:pPr>
      <w:bookmarkStart w:id="725" w:name="_Ref31972810"/>
      <w:bookmarkStart w:id="726" w:name="_Ref31972803"/>
      <w:bookmarkStart w:id="727" w:name="_Toc31985666"/>
      <w:r>
        <w:t xml:space="preserve">Figure </w:t>
      </w:r>
      <w:r>
        <w:fldChar w:fldCharType="begin"/>
      </w:r>
      <w:r>
        <w:instrText>SEQ Figure \* ARABIC</w:instrText>
      </w:r>
      <w:r>
        <w:fldChar w:fldCharType="separate"/>
      </w:r>
      <w:r w:rsidR="007F7607">
        <w:rPr>
          <w:noProof/>
        </w:rPr>
        <w:t>102</w:t>
      </w:r>
      <w:r>
        <w:fldChar w:fldCharType="end"/>
      </w:r>
      <w:bookmarkEnd w:id="725"/>
      <w:r w:rsidR="0063492B">
        <w:t>.</w:t>
      </w:r>
      <w:r>
        <w:t xml:space="preserve"> </w:t>
      </w:r>
      <w:r w:rsidR="0063492B">
        <w:t xml:space="preserve">a) </w:t>
      </w:r>
      <w:r>
        <w:rPr>
          <w:lang w:val="en-US" w:eastAsia="x-none"/>
        </w:rPr>
        <w:t>Modelled natural flow (ML/day) (grey hydrograph) and actual river flow (black hydrograph) of the Lachlan River at Booligal river gauge from 1 July 2014 to 30 June 2019.</w:t>
      </w:r>
      <w:r w:rsidR="0063492B">
        <w:rPr>
          <w:lang w:val="en-US" w:eastAsia="x-none"/>
        </w:rPr>
        <w:t xml:space="preserve"> </w:t>
      </w:r>
      <w:r>
        <w:rPr>
          <w:lang w:val="en-US" w:eastAsia="x-none"/>
        </w:rPr>
        <w:t>The dashed horizontal line represents the CTF value (2500 ML/day) required to connect the Booligal Swamp to the river by flooding</w:t>
      </w:r>
      <w:r w:rsidR="0063492B">
        <w:rPr>
          <w:lang w:val="en-US" w:eastAsia="x-none"/>
        </w:rPr>
        <w:t xml:space="preserve">. </w:t>
      </w:r>
      <w:r>
        <w:rPr>
          <w:lang w:val="en-US" w:eastAsia="x-none"/>
        </w:rPr>
        <w:t>b) shows the modelled natural flow (top figure) and actual river flow (bottom) under low flow conditions (i.e. &lt;500 ML/day).</w:t>
      </w:r>
      <w:bookmarkEnd w:id="726"/>
      <w:bookmarkEnd w:id="727"/>
    </w:p>
    <w:p w14:paraId="49103F43" w14:textId="77777777" w:rsidR="00E12DBE" w:rsidRPr="00E12DBE" w:rsidRDefault="00E12DBE" w:rsidP="00E12DBE">
      <w:pPr>
        <w:rPr>
          <w:lang w:val="en-US" w:eastAsia="x-none"/>
        </w:rPr>
      </w:pPr>
    </w:p>
    <w:p w14:paraId="2700C0E4" w14:textId="618E9849" w:rsidR="001326EA" w:rsidRDefault="001326EA" w:rsidP="00C765D6">
      <w:pPr>
        <w:rPr>
          <w:lang w:val="en-US" w:eastAsia="x-none"/>
        </w:rPr>
      </w:pPr>
      <w:r>
        <w:rPr>
          <w:noProof/>
          <w:lang w:eastAsia="en-AU"/>
        </w:rPr>
        <w:drawing>
          <wp:inline distT="0" distB="0" distL="0" distR="0" wp14:anchorId="36750FC6" wp14:editId="65C4D6DB">
            <wp:extent cx="5731510" cy="3928110"/>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corrong CTF 350.JPG"/>
                    <pic:cNvPicPr/>
                  </pic:nvPicPr>
                  <pic:blipFill>
                    <a:blip r:embed="rId204" cstate="email">
                      <a:extLst>
                        <a:ext uri="{28A0092B-C50C-407E-A947-70E740481C1C}">
                          <a14:useLocalDpi xmlns:a14="http://schemas.microsoft.com/office/drawing/2010/main"/>
                        </a:ext>
                      </a:extLst>
                    </a:blip>
                    <a:stretch>
                      <a:fillRect/>
                    </a:stretch>
                  </pic:blipFill>
                  <pic:spPr>
                    <a:xfrm>
                      <a:off x="0" y="0"/>
                      <a:ext cx="5731510" cy="3928110"/>
                    </a:xfrm>
                    <a:prstGeom prst="rect">
                      <a:avLst/>
                    </a:prstGeom>
                  </pic:spPr>
                </pic:pic>
              </a:graphicData>
            </a:graphic>
          </wp:inline>
        </w:drawing>
      </w:r>
    </w:p>
    <w:p w14:paraId="296ED207" w14:textId="77777777" w:rsidR="00C765D6" w:rsidRDefault="00C765D6" w:rsidP="00C765D6">
      <w:pPr>
        <w:rPr>
          <w:lang w:val="en-US" w:eastAsia="x-none"/>
        </w:rPr>
      </w:pPr>
      <w:r>
        <w:rPr>
          <w:noProof/>
          <w:lang w:eastAsia="en-AU"/>
        </w:rPr>
        <w:drawing>
          <wp:inline distT="0" distB="0" distL="0" distR="0" wp14:anchorId="53B0B6EE" wp14:editId="467852E1">
            <wp:extent cx="5728970" cy="2012950"/>
            <wp:effectExtent l="0" t="0" r="5080" b="6350"/>
            <wp:docPr id="1025" name="Picture 1025"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corrong less than200.JPG"/>
                    <pic:cNvPicPr/>
                  </pic:nvPicPr>
                  <pic:blipFill>
                    <a:blip r:embed="rId205" cstate="email">
                      <a:extLst>
                        <a:ext uri="{28A0092B-C50C-407E-A947-70E740481C1C}">
                          <a14:useLocalDpi xmlns:a14="http://schemas.microsoft.com/office/drawing/2010/main"/>
                        </a:ext>
                      </a:extLst>
                    </a:blip>
                    <a:stretch>
                      <a:fillRect/>
                    </a:stretch>
                  </pic:blipFill>
                  <pic:spPr>
                    <a:xfrm>
                      <a:off x="0" y="0"/>
                      <a:ext cx="5728970" cy="2012950"/>
                    </a:xfrm>
                    <a:prstGeom prst="rect">
                      <a:avLst/>
                    </a:prstGeom>
                  </pic:spPr>
                </pic:pic>
              </a:graphicData>
            </a:graphic>
          </wp:inline>
        </w:drawing>
      </w:r>
    </w:p>
    <w:p w14:paraId="1B7C0CCB" w14:textId="5169DB5B" w:rsidR="00C765D6" w:rsidRDefault="00C765D6" w:rsidP="00C765D6">
      <w:pPr>
        <w:pStyle w:val="Caption"/>
        <w:rPr>
          <w:lang w:val="en-US" w:eastAsia="x-none"/>
        </w:rPr>
      </w:pPr>
      <w:bookmarkStart w:id="728" w:name="_Ref31972812"/>
      <w:bookmarkStart w:id="729" w:name="_Toc31985667"/>
      <w:r>
        <w:t xml:space="preserve">Figure </w:t>
      </w:r>
      <w:r>
        <w:fldChar w:fldCharType="begin"/>
      </w:r>
      <w:r>
        <w:instrText>SEQ Figure \* ARABIC</w:instrText>
      </w:r>
      <w:r>
        <w:fldChar w:fldCharType="separate"/>
      </w:r>
      <w:r w:rsidR="007F7607">
        <w:rPr>
          <w:noProof/>
        </w:rPr>
        <w:t>103</w:t>
      </w:r>
      <w:r>
        <w:fldChar w:fldCharType="end"/>
      </w:r>
      <w:bookmarkEnd w:id="728"/>
      <w:r w:rsidR="0063492B">
        <w:t>.</w:t>
      </w:r>
      <w:r>
        <w:t xml:space="preserve"> </w:t>
      </w:r>
      <w:r>
        <w:rPr>
          <w:lang w:val="en-US" w:eastAsia="x-none"/>
        </w:rPr>
        <w:t>a) Modelled natural flow (ML/day) (grey hydrograph) and actual river flow (black hydrograph) of the Lachlan River at Corrong river gauge from 1 July 2014 to 30 June 2019.</w:t>
      </w:r>
      <w:r w:rsidR="0063492B">
        <w:rPr>
          <w:lang w:val="en-US" w:eastAsia="x-none"/>
        </w:rPr>
        <w:t xml:space="preserve"> </w:t>
      </w:r>
      <w:r>
        <w:rPr>
          <w:lang w:val="en-US" w:eastAsia="x-none"/>
        </w:rPr>
        <w:t>The dashed horizontal line represents the CTF value (</w:t>
      </w:r>
      <w:r w:rsidR="0083679A">
        <w:rPr>
          <w:lang w:val="en-US" w:eastAsia="x-none"/>
        </w:rPr>
        <w:t>350</w:t>
      </w:r>
      <w:r>
        <w:rPr>
          <w:lang w:val="en-US" w:eastAsia="x-none"/>
        </w:rPr>
        <w:t xml:space="preserve"> ML/day) required to connect Nooran Lake to the river by flooding. b) shows the modelled natural flow (top figure) and actual river flow (bottom) under low flow conditions (i.e. &lt;200 ML/day).</w:t>
      </w:r>
      <w:bookmarkEnd w:id="729"/>
    </w:p>
    <w:p w14:paraId="3F93ED34" w14:textId="342B3326" w:rsidR="00E12DBE" w:rsidRDefault="00E12DBE">
      <w:pPr>
        <w:spacing w:before="0" w:after="0"/>
        <w:rPr>
          <w:sz w:val="20"/>
          <w:szCs w:val="20"/>
        </w:rPr>
      </w:pPr>
      <w:r>
        <w:rPr>
          <w:sz w:val="20"/>
          <w:szCs w:val="20"/>
        </w:rPr>
        <w:br w:type="page"/>
      </w:r>
    </w:p>
    <w:p w14:paraId="28FFABEF" w14:textId="599B57D7" w:rsidR="00C765D6" w:rsidRDefault="00C765D6" w:rsidP="00C765D6">
      <w:pPr>
        <w:pStyle w:val="Caption"/>
        <w:rPr>
          <w:lang w:val="en-US" w:eastAsia="x-none"/>
        </w:rPr>
      </w:pPr>
      <w:bookmarkStart w:id="730" w:name="_Ref31972795"/>
      <w:bookmarkStart w:id="731" w:name="_Toc31985703"/>
      <w:r>
        <w:t xml:space="preserve">Table </w:t>
      </w:r>
      <w:r>
        <w:fldChar w:fldCharType="begin"/>
      </w:r>
      <w:r>
        <w:instrText>SEQ Table \* ARABIC</w:instrText>
      </w:r>
      <w:r>
        <w:fldChar w:fldCharType="separate"/>
      </w:r>
      <w:r w:rsidR="007F7607">
        <w:rPr>
          <w:noProof/>
        </w:rPr>
        <w:t>36</w:t>
      </w:r>
      <w:r>
        <w:fldChar w:fldCharType="end"/>
      </w:r>
      <w:bookmarkEnd w:id="730"/>
      <w:r w:rsidR="00F25295">
        <w:t>.</w:t>
      </w:r>
      <w:r>
        <w:rPr>
          <w:lang w:val="en-US" w:eastAsia="x-none"/>
        </w:rPr>
        <w:t xml:space="preserve"> River – floodplain connection metrics for Booligal Swamp under modelled natural flow conditions (N) and current flow conditions (C). CTF value for Booligal Swamp is 2500 ML/day at Booligal river gauge.</w:t>
      </w:r>
      <w:bookmarkEnd w:id="731"/>
    </w:p>
    <w:tbl>
      <w:tblPr>
        <w:tblStyle w:val="MediumGrid3-Accent3"/>
        <w:tblW w:w="9081" w:type="dxa"/>
        <w:tblInd w:w="-10" w:type="dxa"/>
        <w:tblLook w:val="06A0" w:firstRow="1" w:lastRow="0" w:firstColumn="1" w:lastColumn="0" w:noHBand="1" w:noVBand="1"/>
      </w:tblPr>
      <w:tblGrid>
        <w:gridCol w:w="2422"/>
        <w:gridCol w:w="767"/>
        <w:gridCol w:w="564"/>
        <w:gridCol w:w="20"/>
        <w:gridCol w:w="703"/>
        <w:gridCol w:w="521"/>
        <w:gridCol w:w="825"/>
        <w:gridCol w:w="865"/>
        <w:gridCol w:w="543"/>
        <w:gridCol w:w="694"/>
        <w:gridCol w:w="593"/>
        <w:gridCol w:w="564"/>
      </w:tblGrid>
      <w:tr w:rsidR="00C765D6" w:rsidRPr="00834045" w14:paraId="3A354D8A" w14:textId="77777777" w:rsidTr="008A4B89">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2422" w:type="dxa"/>
            <w:hideMark/>
          </w:tcPr>
          <w:p w14:paraId="7373B85A" w14:textId="77777777" w:rsidR="00C765D6" w:rsidRPr="00E12DBE" w:rsidRDefault="00C765D6" w:rsidP="008A4B89">
            <w:pPr>
              <w:spacing w:before="0" w:after="0"/>
              <w:rPr>
                <w:b w:val="0"/>
                <w:bCs w:val="0"/>
                <w:color w:val="FFFFFF" w:themeColor="background1"/>
                <w:sz w:val="20"/>
                <w:szCs w:val="20"/>
              </w:rPr>
            </w:pPr>
          </w:p>
        </w:tc>
        <w:tc>
          <w:tcPr>
            <w:tcW w:w="1351" w:type="dxa"/>
            <w:gridSpan w:val="3"/>
            <w:hideMark/>
          </w:tcPr>
          <w:p w14:paraId="39744E4E"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2014</w:t>
            </w:r>
            <w:r>
              <w:rPr>
                <w:sz w:val="20"/>
                <w:szCs w:val="20"/>
              </w:rPr>
              <w:t xml:space="preserve"> </w:t>
            </w:r>
            <w:r w:rsidRPr="00821894">
              <w:rPr>
                <w:sz w:val="20"/>
                <w:szCs w:val="20"/>
              </w:rPr>
              <w:t>-</w:t>
            </w:r>
            <w:r>
              <w:rPr>
                <w:sz w:val="20"/>
                <w:szCs w:val="20"/>
              </w:rPr>
              <w:t xml:space="preserve"> </w:t>
            </w:r>
            <w:r w:rsidRPr="00821894">
              <w:rPr>
                <w:sz w:val="20"/>
                <w:szCs w:val="20"/>
              </w:rPr>
              <w:t>2015</w:t>
            </w:r>
          </w:p>
        </w:tc>
        <w:tc>
          <w:tcPr>
            <w:tcW w:w="1224" w:type="dxa"/>
            <w:gridSpan w:val="2"/>
            <w:hideMark/>
          </w:tcPr>
          <w:p w14:paraId="3DECD8AF"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2015</w:t>
            </w:r>
            <w:r>
              <w:rPr>
                <w:sz w:val="20"/>
                <w:szCs w:val="20"/>
              </w:rPr>
              <w:t xml:space="preserve"> </w:t>
            </w:r>
            <w:r w:rsidRPr="00821894">
              <w:rPr>
                <w:sz w:val="20"/>
                <w:szCs w:val="20"/>
              </w:rPr>
              <w:t>-</w:t>
            </w:r>
            <w:r>
              <w:rPr>
                <w:sz w:val="20"/>
                <w:szCs w:val="20"/>
              </w:rPr>
              <w:t xml:space="preserve"> </w:t>
            </w:r>
            <w:r w:rsidRPr="00821894">
              <w:rPr>
                <w:sz w:val="20"/>
                <w:szCs w:val="20"/>
              </w:rPr>
              <w:t>2016</w:t>
            </w:r>
          </w:p>
        </w:tc>
        <w:tc>
          <w:tcPr>
            <w:tcW w:w="1690" w:type="dxa"/>
            <w:gridSpan w:val="2"/>
            <w:hideMark/>
          </w:tcPr>
          <w:p w14:paraId="42417CF4"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2016</w:t>
            </w:r>
            <w:r>
              <w:rPr>
                <w:sz w:val="20"/>
                <w:szCs w:val="20"/>
              </w:rPr>
              <w:t xml:space="preserve"> </w:t>
            </w:r>
            <w:r w:rsidRPr="00821894">
              <w:rPr>
                <w:sz w:val="20"/>
                <w:szCs w:val="20"/>
              </w:rPr>
              <w:t>-</w:t>
            </w:r>
            <w:r>
              <w:rPr>
                <w:sz w:val="20"/>
                <w:szCs w:val="20"/>
              </w:rPr>
              <w:t xml:space="preserve"> </w:t>
            </w:r>
            <w:r w:rsidRPr="00821894">
              <w:rPr>
                <w:sz w:val="20"/>
                <w:szCs w:val="20"/>
              </w:rPr>
              <w:t>2017</w:t>
            </w:r>
          </w:p>
        </w:tc>
        <w:tc>
          <w:tcPr>
            <w:tcW w:w="1237" w:type="dxa"/>
            <w:gridSpan w:val="2"/>
            <w:hideMark/>
          </w:tcPr>
          <w:p w14:paraId="65636C23"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2017</w:t>
            </w:r>
            <w:r>
              <w:rPr>
                <w:sz w:val="20"/>
                <w:szCs w:val="20"/>
              </w:rPr>
              <w:t xml:space="preserve"> </w:t>
            </w:r>
            <w:r w:rsidRPr="00821894">
              <w:rPr>
                <w:sz w:val="20"/>
                <w:szCs w:val="20"/>
              </w:rPr>
              <w:t>-</w:t>
            </w:r>
            <w:r>
              <w:rPr>
                <w:sz w:val="20"/>
                <w:szCs w:val="20"/>
              </w:rPr>
              <w:t xml:space="preserve"> </w:t>
            </w:r>
            <w:r w:rsidRPr="00821894">
              <w:rPr>
                <w:sz w:val="20"/>
                <w:szCs w:val="20"/>
              </w:rPr>
              <w:t>2018</w:t>
            </w:r>
          </w:p>
        </w:tc>
        <w:tc>
          <w:tcPr>
            <w:tcW w:w="1157" w:type="dxa"/>
            <w:gridSpan w:val="2"/>
            <w:hideMark/>
          </w:tcPr>
          <w:p w14:paraId="32387034"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2018-</w:t>
            </w:r>
            <w:r>
              <w:rPr>
                <w:sz w:val="20"/>
                <w:szCs w:val="20"/>
              </w:rPr>
              <w:t xml:space="preserve"> </w:t>
            </w:r>
            <w:r w:rsidRPr="00821894">
              <w:rPr>
                <w:sz w:val="20"/>
                <w:szCs w:val="20"/>
              </w:rPr>
              <w:t>2019</w:t>
            </w:r>
          </w:p>
        </w:tc>
      </w:tr>
      <w:tr w:rsidR="00C765D6" w:rsidRPr="00924476" w14:paraId="5C3CB4D9" w14:textId="77777777" w:rsidTr="008A4B89">
        <w:tc>
          <w:tcPr>
            <w:cnfStyle w:val="001000000000" w:firstRow="0" w:lastRow="0" w:firstColumn="1" w:lastColumn="0" w:oddVBand="0" w:evenVBand="0" w:oddHBand="0" w:evenHBand="0" w:firstRowFirstColumn="0" w:firstRowLastColumn="0" w:lastRowFirstColumn="0" w:lastRowLastColumn="0"/>
            <w:tcW w:w="2422" w:type="dxa"/>
            <w:hideMark/>
          </w:tcPr>
          <w:p w14:paraId="29EC6806" w14:textId="77777777" w:rsidR="00C765D6" w:rsidRPr="00E12DBE" w:rsidRDefault="00C765D6" w:rsidP="008A4B89">
            <w:pPr>
              <w:spacing w:before="0" w:after="0"/>
              <w:rPr>
                <w:rFonts w:asciiTheme="minorHAnsi" w:hAnsiTheme="minorHAnsi" w:cstheme="minorHAnsi"/>
                <w:b w:val="0"/>
                <w:bCs w:val="0"/>
                <w:color w:val="FFFFFF" w:themeColor="background1"/>
                <w:sz w:val="20"/>
                <w:szCs w:val="20"/>
              </w:rPr>
            </w:pPr>
          </w:p>
        </w:tc>
        <w:tc>
          <w:tcPr>
            <w:tcW w:w="767" w:type="dxa"/>
          </w:tcPr>
          <w:p w14:paraId="6D5F6D3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564" w:type="dxa"/>
          </w:tcPr>
          <w:p w14:paraId="00ECE7C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723" w:type="dxa"/>
            <w:gridSpan w:val="2"/>
          </w:tcPr>
          <w:p w14:paraId="1B84F4F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521" w:type="dxa"/>
          </w:tcPr>
          <w:p w14:paraId="56B5A31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825" w:type="dxa"/>
          </w:tcPr>
          <w:p w14:paraId="113F3B2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865" w:type="dxa"/>
          </w:tcPr>
          <w:p w14:paraId="41CE395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543" w:type="dxa"/>
          </w:tcPr>
          <w:p w14:paraId="1F799798"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694" w:type="dxa"/>
          </w:tcPr>
          <w:p w14:paraId="16B95A6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593" w:type="dxa"/>
          </w:tcPr>
          <w:p w14:paraId="5FCE773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564" w:type="dxa"/>
          </w:tcPr>
          <w:p w14:paraId="0EBF4EB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r>
      <w:tr w:rsidR="00C765D6" w:rsidRPr="00924476" w14:paraId="6E552A20"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1FF2E344" w14:textId="77777777" w:rsidR="00C765D6" w:rsidRPr="00E12DBE" w:rsidRDefault="00C765D6" w:rsidP="008A4B89">
            <w:pPr>
              <w:spacing w:before="0" w:after="0"/>
              <w:rPr>
                <w:rFonts w:asciiTheme="minorHAnsi" w:hAnsiTheme="minorHAnsi" w:cstheme="minorHAnsi"/>
                <w:sz w:val="20"/>
                <w:szCs w:val="20"/>
              </w:rPr>
            </w:pPr>
            <w:r w:rsidRPr="00E12DBE">
              <w:rPr>
                <w:rFonts w:asciiTheme="minorHAnsi" w:hAnsiTheme="minorHAnsi" w:cstheme="minorHAnsi"/>
                <w:sz w:val="20"/>
                <w:szCs w:val="20"/>
              </w:rPr>
              <w:t>No. of connections</w:t>
            </w:r>
          </w:p>
        </w:tc>
        <w:tc>
          <w:tcPr>
            <w:tcW w:w="767" w:type="dxa"/>
          </w:tcPr>
          <w:p w14:paraId="440579E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64" w:type="dxa"/>
          </w:tcPr>
          <w:p w14:paraId="2122505D"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gridSpan w:val="2"/>
          </w:tcPr>
          <w:p w14:paraId="3C71B12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521" w:type="dxa"/>
          </w:tcPr>
          <w:p w14:paraId="70A666A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825" w:type="dxa"/>
          </w:tcPr>
          <w:p w14:paraId="3ABC2E8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865" w:type="dxa"/>
          </w:tcPr>
          <w:p w14:paraId="60524E4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43" w:type="dxa"/>
          </w:tcPr>
          <w:p w14:paraId="5092EEE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694" w:type="dxa"/>
          </w:tcPr>
          <w:p w14:paraId="2FE5368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93" w:type="dxa"/>
          </w:tcPr>
          <w:p w14:paraId="076A45A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64" w:type="dxa"/>
          </w:tcPr>
          <w:p w14:paraId="12FF7C6D"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r>
      <w:tr w:rsidR="0083679A" w:rsidRPr="00924476" w14:paraId="216ED8D0"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4B8286F6" w14:textId="5A6BEF8C" w:rsidR="0083679A" w:rsidRPr="00E12DBE" w:rsidRDefault="0083679A" w:rsidP="008A4B89">
            <w:pPr>
              <w:spacing w:before="0" w:after="0"/>
              <w:rPr>
                <w:rFonts w:asciiTheme="minorHAnsi" w:hAnsiTheme="minorHAnsi" w:cstheme="minorHAnsi"/>
                <w:sz w:val="20"/>
                <w:szCs w:val="20"/>
              </w:rPr>
            </w:pPr>
            <w:r w:rsidRPr="00E12DBE">
              <w:rPr>
                <w:rFonts w:asciiTheme="minorHAnsi" w:hAnsiTheme="minorHAnsi" w:cstheme="minorHAnsi"/>
                <w:sz w:val="20"/>
                <w:szCs w:val="20"/>
              </w:rPr>
              <w:t>Days connected (total)</w:t>
            </w:r>
          </w:p>
        </w:tc>
        <w:tc>
          <w:tcPr>
            <w:tcW w:w="767" w:type="dxa"/>
          </w:tcPr>
          <w:p w14:paraId="69805CD0" w14:textId="79D1B0FC"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w:t>
            </w:r>
          </w:p>
        </w:tc>
        <w:tc>
          <w:tcPr>
            <w:tcW w:w="564" w:type="dxa"/>
          </w:tcPr>
          <w:p w14:paraId="7C758268" w14:textId="0047684E"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723" w:type="dxa"/>
            <w:gridSpan w:val="2"/>
          </w:tcPr>
          <w:p w14:paraId="4318D0BC" w14:textId="4BE8AA02"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31</w:t>
            </w:r>
          </w:p>
        </w:tc>
        <w:tc>
          <w:tcPr>
            <w:tcW w:w="521" w:type="dxa"/>
          </w:tcPr>
          <w:p w14:paraId="2A0C8701" w14:textId="4E7928F7"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825" w:type="dxa"/>
          </w:tcPr>
          <w:p w14:paraId="3DA3E883" w14:textId="10AD1C6B"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135</w:t>
            </w:r>
          </w:p>
        </w:tc>
        <w:tc>
          <w:tcPr>
            <w:tcW w:w="865" w:type="dxa"/>
          </w:tcPr>
          <w:p w14:paraId="541BB770" w14:textId="6A099620"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124</w:t>
            </w:r>
          </w:p>
        </w:tc>
        <w:tc>
          <w:tcPr>
            <w:tcW w:w="543" w:type="dxa"/>
          </w:tcPr>
          <w:p w14:paraId="46593953" w14:textId="5C27EAD1"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w:t>
            </w:r>
          </w:p>
        </w:tc>
        <w:tc>
          <w:tcPr>
            <w:tcW w:w="694" w:type="dxa"/>
          </w:tcPr>
          <w:p w14:paraId="67F905BC" w14:textId="0CD13680"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593" w:type="dxa"/>
          </w:tcPr>
          <w:p w14:paraId="575DDC4E" w14:textId="265E0736"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564" w:type="dxa"/>
          </w:tcPr>
          <w:p w14:paraId="46D98277" w14:textId="51247D0E" w:rsidR="0083679A" w:rsidRPr="00FE6ED8" w:rsidRDefault="00D41C23"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r>
      <w:tr w:rsidR="00C765D6" w:rsidRPr="00924476" w14:paraId="370DB414"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543E073C" w14:textId="77777777" w:rsidR="00C765D6" w:rsidRPr="00E12DBE" w:rsidRDefault="00C765D6" w:rsidP="008A4B89">
            <w:pPr>
              <w:spacing w:before="0" w:after="0"/>
              <w:rPr>
                <w:rFonts w:asciiTheme="minorHAnsi" w:hAnsiTheme="minorHAnsi" w:cstheme="minorHAnsi"/>
                <w:color w:val="FFFFFF" w:themeColor="background1"/>
                <w:sz w:val="20"/>
                <w:szCs w:val="20"/>
              </w:rPr>
            </w:pPr>
            <w:r w:rsidRPr="00E12DBE">
              <w:rPr>
                <w:rFonts w:asciiTheme="minorHAnsi" w:hAnsiTheme="minorHAnsi" w:cstheme="minorHAnsi"/>
                <w:sz w:val="20"/>
                <w:szCs w:val="20"/>
              </w:rPr>
              <w:t>Mean days connected</w:t>
            </w:r>
          </w:p>
        </w:tc>
        <w:tc>
          <w:tcPr>
            <w:tcW w:w="767" w:type="dxa"/>
          </w:tcPr>
          <w:p w14:paraId="6AA85B2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64" w:type="dxa"/>
          </w:tcPr>
          <w:p w14:paraId="57BD65D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gridSpan w:val="2"/>
          </w:tcPr>
          <w:p w14:paraId="17F7F8C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16</w:t>
            </w:r>
          </w:p>
        </w:tc>
        <w:tc>
          <w:tcPr>
            <w:tcW w:w="521" w:type="dxa"/>
          </w:tcPr>
          <w:p w14:paraId="1F102C8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825" w:type="dxa"/>
          </w:tcPr>
          <w:p w14:paraId="4A8849D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135</w:t>
            </w:r>
          </w:p>
        </w:tc>
        <w:tc>
          <w:tcPr>
            <w:tcW w:w="865" w:type="dxa"/>
          </w:tcPr>
          <w:p w14:paraId="6986D743"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124</w:t>
            </w:r>
          </w:p>
        </w:tc>
        <w:tc>
          <w:tcPr>
            <w:tcW w:w="543" w:type="dxa"/>
          </w:tcPr>
          <w:p w14:paraId="74FD0AB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w:t>
            </w:r>
          </w:p>
        </w:tc>
        <w:tc>
          <w:tcPr>
            <w:tcW w:w="694" w:type="dxa"/>
          </w:tcPr>
          <w:p w14:paraId="2A910578"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93" w:type="dxa"/>
          </w:tcPr>
          <w:p w14:paraId="188B9128"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64" w:type="dxa"/>
          </w:tcPr>
          <w:p w14:paraId="3D4C66B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r>
      <w:tr w:rsidR="00C765D6" w:rsidRPr="00924476" w14:paraId="3B03A17A"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23C23A2F" w14:textId="77777777" w:rsidR="00C765D6" w:rsidRPr="00E12DBE" w:rsidRDefault="00C765D6" w:rsidP="008A4B89">
            <w:pPr>
              <w:spacing w:before="0" w:after="0"/>
              <w:rPr>
                <w:rFonts w:asciiTheme="minorHAnsi" w:hAnsiTheme="minorHAnsi" w:cstheme="minorHAnsi"/>
                <w:color w:val="FFFFFF" w:themeColor="background1"/>
                <w:sz w:val="20"/>
                <w:szCs w:val="20"/>
              </w:rPr>
            </w:pPr>
            <w:r w:rsidRPr="00E12DBE">
              <w:rPr>
                <w:rFonts w:asciiTheme="minorHAnsi" w:hAnsiTheme="minorHAnsi" w:cstheme="minorHAnsi"/>
                <w:sz w:val="20"/>
                <w:szCs w:val="20"/>
              </w:rPr>
              <w:t>Longest connection</w:t>
            </w:r>
          </w:p>
        </w:tc>
        <w:tc>
          <w:tcPr>
            <w:tcW w:w="767" w:type="dxa"/>
          </w:tcPr>
          <w:p w14:paraId="6D3EEB8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64" w:type="dxa"/>
          </w:tcPr>
          <w:p w14:paraId="21DE545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gridSpan w:val="2"/>
          </w:tcPr>
          <w:p w14:paraId="69564D5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19</w:t>
            </w:r>
          </w:p>
        </w:tc>
        <w:tc>
          <w:tcPr>
            <w:tcW w:w="521" w:type="dxa"/>
          </w:tcPr>
          <w:p w14:paraId="2EE2FF18"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825" w:type="dxa"/>
          </w:tcPr>
          <w:p w14:paraId="5560FD6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135</w:t>
            </w:r>
          </w:p>
        </w:tc>
        <w:tc>
          <w:tcPr>
            <w:tcW w:w="865" w:type="dxa"/>
          </w:tcPr>
          <w:p w14:paraId="04E74A45"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124</w:t>
            </w:r>
          </w:p>
        </w:tc>
        <w:tc>
          <w:tcPr>
            <w:tcW w:w="543" w:type="dxa"/>
          </w:tcPr>
          <w:p w14:paraId="3818DC5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w:t>
            </w:r>
          </w:p>
        </w:tc>
        <w:tc>
          <w:tcPr>
            <w:tcW w:w="694" w:type="dxa"/>
          </w:tcPr>
          <w:p w14:paraId="2CCA7E1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93" w:type="dxa"/>
          </w:tcPr>
          <w:p w14:paraId="6F548CA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64" w:type="dxa"/>
          </w:tcPr>
          <w:p w14:paraId="19A3C685"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r>
      <w:tr w:rsidR="00C765D6" w:rsidRPr="00924476" w14:paraId="642DD61E"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155691E6" w14:textId="77777777" w:rsidR="00C765D6" w:rsidRPr="00E12DBE" w:rsidRDefault="00C765D6" w:rsidP="008A4B89">
            <w:pPr>
              <w:spacing w:before="0" w:after="0"/>
              <w:rPr>
                <w:rFonts w:asciiTheme="minorHAnsi" w:hAnsiTheme="minorHAnsi" w:cstheme="minorHAnsi"/>
                <w:color w:val="FFFFFF" w:themeColor="background1"/>
                <w:sz w:val="20"/>
                <w:szCs w:val="20"/>
              </w:rPr>
            </w:pPr>
            <w:r w:rsidRPr="00E12DBE">
              <w:rPr>
                <w:rFonts w:asciiTheme="minorHAnsi" w:hAnsiTheme="minorHAnsi" w:cstheme="minorHAnsi"/>
                <w:sz w:val="20"/>
                <w:szCs w:val="20"/>
              </w:rPr>
              <w:t>No. of disconnections</w:t>
            </w:r>
          </w:p>
        </w:tc>
        <w:tc>
          <w:tcPr>
            <w:tcW w:w="767" w:type="dxa"/>
          </w:tcPr>
          <w:p w14:paraId="3527F075"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564" w:type="dxa"/>
          </w:tcPr>
          <w:p w14:paraId="5840926B"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723" w:type="dxa"/>
            <w:gridSpan w:val="2"/>
          </w:tcPr>
          <w:p w14:paraId="403DEB83"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w:t>
            </w:r>
          </w:p>
        </w:tc>
        <w:tc>
          <w:tcPr>
            <w:tcW w:w="521" w:type="dxa"/>
          </w:tcPr>
          <w:p w14:paraId="2280D5D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825" w:type="dxa"/>
          </w:tcPr>
          <w:p w14:paraId="4399278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865" w:type="dxa"/>
          </w:tcPr>
          <w:p w14:paraId="658E07E9"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543" w:type="dxa"/>
          </w:tcPr>
          <w:p w14:paraId="14D2536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694" w:type="dxa"/>
          </w:tcPr>
          <w:p w14:paraId="63D592F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93" w:type="dxa"/>
          </w:tcPr>
          <w:p w14:paraId="1375038D"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564" w:type="dxa"/>
          </w:tcPr>
          <w:p w14:paraId="0B15F39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r>
      <w:tr w:rsidR="00C765D6" w:rsidRPr="00924476" w14:paraId="30B65E45"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4D7C31F0" w14:textId="77777777" w:rsidR="00C765D6" w:rsidRPr="00E12DBE" w:rsidRDefault="00C765D6" w:rsidP="008A4B89">
            <w:pPr>
              <w:spacing w:before="0" w:after="0"/>
              <w:rPr>
                <w:rFonts w:asciiTheme="minorHAnsi" w:hAnsiTheme="minorHAnsi" w:cstheme="minorHAnsi"/>
                <w:color w:val="FFFFFF" w:themeColor="background1"/>
                <w:sz w:val="20"/>
                <w:szCs w:val="20"/>
              </w:rPr>
            </w:pPr>
            <w:r w:rsidRPr="00E12DBE">
              <w:rPr>
                <w:rFonts w:asciiTheme="minorHAnsi" w:hAnsiTheme="minorHAnsi" w:cstheme="minorHAnsi"/>
                <w:sz w:val="20"/>
                <w:szCs w:val="20"/>
              </w:rPr>
              <w:t>Mean days disconnected</w:t>
            </w:r>
          </w:p>
        </w:tc>
        <w:tc>
          <w:tcPr>
            <w:tcW w:w="767" w:type="dxa"/>
          </w:tcPr>
          <w:p w14:paraId="30949363"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182</w:t>
            </w:r>
          </w:p>
        </w:tc>
        <w:tc>
          <w:tcPr>
            <w:tcW w:w="564" w:type="dxa"/>
          </w:tcPr>
          <w:p w14:paraId="4EE7169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723" w:type="dxa"/>
            <w:gridSpan w:val="2"/>
          </w:tcPr>
          <w:p w14:paraId="125A0EE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112</w:t>
            </w:r>
          </w:p>
        </w:tc>
        <w:tc>
          <w:tcPr>
            <w:tcW w:w="521" w:type="dxa"/>
          </w:tcPr>
          <w:p w14:paraId="23FA4CF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825" w:type="dxa"/>
          </w:tcPr>
          <w:p w14:paraId="5466AD0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115</w:t>
            </w:r>
          </w:p>
        </w:tc>
        <w:tc>
          <w:tcPr>
            <w:tcW w:w="865" w:type="dxa"/>
          </w:tcPr>
          <w:p w14:paraId="020848C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121</w:t>
            </w:r>
          </w:p>
        </w:tc>
        <w:tc>
          <w:tcPr>
            <w:tcW w:w="543" w:type="dxa"/>
          </w:tcPr>
          <w:p w14:paraId="12DC910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181</w:t>
            </w:r>
          </w:p>
        </w:tc>
        <w:tc>
          <w:tcPr>
            <w:tcW w:w="694" w:type="dxa"/>
          </w:tcPr>
          <w:p w14:paraId="32B361E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593" w:type="dxa"/>
          </w:tcPr>
          <w:p w14:paraId="26BFAE8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564" w:type="dxa"/>
          </w:tcPr>
          <w:p w14:paraId="2297B2E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r>
      <w:tr w:rsidR="00C765D6" w:rsidRPr="00924476" w14:paraId="012105DB"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5F4B528F" w14:textId="77777777" w:rsidR="00C765D6" w:rsidRPr="00E12DBE" w:rsidRDefault="00C765D6" w:rsidP="008A4B89">
            <w:pPr>
              <w:spacing w:before="0" w:after="0"/>
              <w:rPr>
                <w:rFonts w:asciiTheme="minorHAnsi" w:hAnsiTheme="minorHAnsi" w:cstheme="minorHAnsi"/>
                <w:color w:val="FFFFFF" w:themeColor="background1"/>
                <w:sz w:val="20"/>
                <w:szCs w:val="20"/>
              </w:rPr>
            </w:pPr>
            <w:r w:rsidRPr="00E12DBE">
              <w:rPr>
                <w:rFonts w:asciiTheme="minorHAnsi" w:hAnsiTheme="minorHAnsi" w:cstheme="minorHAnsi"/>
                <w:sz w:val="20"/>
                <w:szCs w:val="20"/>
              </w:rPr>
              <w:t>Longest disconnection</w:t>
            </w:r>
          </w:p>
        </w:tc>
        <w:tc>
          <w:tcPr>
            <w:tcW w:w="767" w:type="dxa"/>
          </w:tcPr>
          <w:p w14:paraId="67AB1B7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285</w:t>
            </w:r>
          </w:p>
        </w:tc>
        <w:tc>
          <w:tcPr>
            <w:tcW w:w="564" w:type="dxa"/>
          </w:tcPr>
          <w:p w14:paraId="2A49136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723" w:type="dxa"/>
            <w:gridSpan w:val="2"/>
          </w:tcPr>
          <w:p w14:paraId="5079025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262</w:t>
            </w:r>
          </w:p>
        </w:tc>
        <w:tc>
          <w:tcPr>
            <w:tcW w:w="521" w:type="dxa"/>
          </w:tcPr>
          <w:p w14:paraId="4D5CCEB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825" w:type="dxa"/>
          </w:tcPr>
          <w:p w14:paraId="7C72A135"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212</w:t>
            </w:r>
          </w:p>
        </w:tc>
        <w:tc>
          <w:tcPr>
            <w:tcW w:w="865" w:type="dxa"/>
          </w:tcPr>
          <w:p w14:paraId="549F7BF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188</w:t>
            </w:r>
          </w:p>
        </w:tc>
        <w:tc>
          <w:tcPr>
            <w:tcW w:w="543" w:type="dxa"/>
          </w:tcPr>
          <w:p w14:paraId="0562B8F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188</w:t>
            </w:r>
          </w:p>
        </w:tc>
        <w:tc>
          <w:tcPr>
            <w:tcW w:w="694" w:type="dxa"/>
          </w:tcPr>
          <w:p w14:paraId="375EFBE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593" w:type="dxa"/>
          </w:tcPr>
          <w:p w14:paraId="51F39A4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564" w:type="dxa"/>
          </w:tcPr>
          <w:p w14:paraId="09724DD8"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r>
      <w:tr w:rsidR="00C765D6" w:rsidRPr="00924476" w14:paraId="72C4B01C" w14:textId="77777777" w:rsidTr="008A4B89">
        <w:tc>
          <w:tcPr>
            <w:cnfStyle w:val="001000000000" w:firstRow="0" w:lastRow="0" w:firstColumn="1" w:lastColumn="0" w:oddVBand="0" w:evenVBand="0" w:oddHBand="0" w:evenHBand="0" w:firstRowFirstColumn="0" w:firstRowLastColumn="0" w:lastRowFirstColumn="0" w:lastRowLastColumn="0"/>
            <w:tcW w:w="2422" w:type="dxa"/>
          </w:tcPr>
          <w:p w14:paraId="6AEA4061" w14:textId="77777777" w:rsidR="00C765D6" w:rsidRPr="00E12DBE" w:rsidRDefault="00C765D6" w:rsidP="008A4B89">
            <w:pPr>
              <w:spacing w:before="0" w:after="0"/>
              <w:rPr>
                <w:rFonts w:asciiTheme="minorHAnsi" w:hAnsiTheme="minorHAnsi" w:cstheme="minorHAnsi"/>
                <w:sz w:val="20"/>
                <w:szCs w:val="20"/>
              </w:rPr>
            </w:pPr>
            <w:r w:rsidRPr="00E12DBE">
              <w:rPr>
                <w:rFonts w:asciiTheme="minorHAnsi" w:hAnsiTheme="minorHAnsi" w:cstheme="minorHAnsi"/>
                <w:sz w:val="20"/>
                <w:szCs w:val="20"/>
              </w:rPr>
              <w:t>Total volume (ML)</w:t>
            </w:r>
          </w:p>
        </w:tc>
        <w:tc>
          <w:tcPr>
            <w:tcW w:w="767" w:type="dxa"/>
          </w:tcPr>
          <w:p w14:paraId="37B4AE5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29</w:t>
            </w:r>
          </w:p>
        </w:tc>
        <w:tc>
          <w:tcPr>
            <w:tcW w:w="564" w:type="dxa"/>
          </w:tcPr>
          <w:p w14:paraId="2990402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gridSpan w:val="2"/>
          </w:tcPr>
          <w:p w14:paraId="1DF9F322" w14:textId="0E9509FF"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18</w:t>
            </w:r>
            <w:r w:rsidR="00A5584E">
              <w:rPr>
                <w:rFonts w:asciiTheme="minorHAnsi" w:hAnsiTheme="minorHAnsi" w:cstheme="minorHAnsi"/>
                <w:sz w:val="18"/>
                <w:szCs w:val="18"/>
              </w:rPr>
              <w:t xml:space="preserve"> </w:t>
            </w:r>
            <w:r w:rsidRPr="00FE6ED8">
              <w:rPr>
                <w:rFonts w:asciiTheme="minorHAnsi" w:hAnsiTheme="minorHAnsi" w:cstheme="minorHAnsi"/>
                <w:sz w:val="18"/>
                <w:szCs w:val="18"/>
              </w:rPr>
              <w:t>390</w:t>
            </w:r>
          </w:p>
        </w:tc>
        <w:tc>
          <w:tcPr>
            <w:tcW w:w="521" w:type="dxa"/>
          </w:tcPr>
          <w:p w14:paraId="18F12676"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825" w:type="dxa"/>
          </w:tcPr>
          <w:p w14:paraId="765D3ECD" w14:textId="06AD248D"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212</w:t>
            </w:r>
            <w:r w:rsidR="00A5584E">
              <w:rPr>
                <w:rFonts w:asciiTheme="minorHAnsi" w:hAnsiTheme="minorHAnsi" w:cstheme="minorHAnsi"/>
                <w:sz w:val="18"/>
                <w:szCs w:val="18"/>
              </w:rPr>
              <w:t>,</w:t>
            </w:r>
            <w:r w:rsidRPr="00FE6ED8">
              <w:rPr>
                <w:rFonts w:asciiTheme="minorHAnsi" w:hAnsiTheme="minorHAnsi" w:cstheme="minorHAnsi"/>
                <w:sz w:val="18"/>
                <w:szCs w:val="18"/>
              </w:rPr>
              <w:t>651</w:t>
            </w:r>
          </w:p>
        </w:tc>
        <w:tc>
          <w:tcPr>
            <w:tcW w:w="865" w:type="dxa"/>
          </w:tcPr>
          <w:p w14:paraId="723F38AE" w14:textId="3B5FEF71"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99</w:t>
            </w:r>
            <w:r w:rsidR="00A5584E">
              <w:rPr>
                <w:rFonts w:asciiTheme="minorHAnsi" w:hAnsiTheme="minorHAnsi" w:cstheme="minorHAnsi"/>
                <w:sz w:val="18"/>
                <w:szCs w:val="18"/>
              </w:rPr>
              <w:t xml:space="preserve"> </w:t>
            </w:r>
            <w:r w:rsidRPr="00FE6ED8">
              <w:rPr>
                <w:rFonts w:asciiTheme="minorHAnsi" w:hAnsiTheme="minorHAnsi" w:cstheme="minorHAnsi"/>
                <w:sz w:val="18"/>
                <w:szCs w:val="18"/>
              </w:rPr>
              <w:t>764</w:t>
            </w:r>
          </w:p>
        </w:tc>
        <w:tc>
          <w:tcPr>
            <w:tcW w:w="543" w:type="dxa"/>
          </w:tcPr>
          <w:p w14:paraId="7E6E4EF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841</w:t>
            </w:r>
          </w:p>
        </w:tc>
        <w:tc>
          <w:tcPr>
            <w:tcW w:w="694" w:type="dxa"/>
          </w:tcPr>
          <w:p w14:paraId="68D74465"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93" w:type="dxa"/>
          </w:tcPr>
          <w:p w14:paraId="2567D699"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564" w:type="dxa"/>
          </w:tcPr>
          <w:p w14:paraId="1BA06162"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r>
    </w:tbl>
    <w:p w14:paraId="3329CCDD" w14:textId="77777777" w:rsidR="00E12DBE" w:rsidRPr="00E12DBE" w:rsidRDefault="00E12DBE" w:rsidP="00E12DBE">
      <w:pPr>
        <w:spacing w:after="0"/>
        <w:rPr>
          <w:sz w:val="20"/>
          <w:szCs w:val="20"/>
        </w:rPr>
      </w:pPr>
    </w:p>
    <w:p w14:paraId="1E2D852E" w14:textId="5E8529F3" w:rsidR="00C765D6" w:rsidRDefault="00C765D6" w:rsidP="00C765D6">
      <w:pPr>
        <w:pStyle w:val="Caption"/>
        <w:rPr>
          <w:lang w:val="en-US" w:eastAsia="x-none"/>
        </w:rPr>
      </w:pPr>
      <w:bookmarkStart w:id="732" w:name="_Ref31972600"/>
      <w:bookmarkStart w:id="733" w:name="_Toc31985704"/>
      <w:r>
        <w:t xml:space="preserve">Table </w:t>
      </w:r>
      <w:r>
        <w:fldChar w:fldCharType="begin"/>
      </w:r>
      <w:r>
        <w:instrText>SEQ Table \* ARABIC</w:instrText>
      </w:r>
      <w:r>
        <w:fldChar w:fldCharType="separate"/>
      </w:r>
      <w:r w:rsidR="007F7607">
        <w:rPr>
          <w:noProof/>
        </w:rPr>
        <w:t>37</w:t>
      </w:r>
      <w:r>
        <w:fldChar w:fldCharType="end"/>
      </w:r>
      <w:bookmarkEnd w:id="732"/>
      <w:r w:rsidR="00F25295">
        <w:t>.</w:t>
      </w:r>
      <w:r>
        <w:rPr>
          <w:lang w:val="en-US" w:eastAsia="x-none"/>
        </w:rPr>
        <w:t xml:space="preserve"> River – floodplain connection metrics for Nooran</w:t>
      </w:r>
      <w:r w:rsidR="00F25295">
        <w:rPr>
          <w:lang w:val="en-US" w:eastAsia="x-none"/>
        </w:rPr>
        <w:t xml:space="preserve"> Lake</w:t>
      </w:r>
      <w:r>
        <w:rPr>
          <w:lang w:val="en-US" w:eastAsia="x-none"/>
        </w:rPr>
        <w:t xml:space="preserve"> under modelled natural flow conditions (N) and current flow conditions (C). CTF value for Nooran</w:t>
      </w:r>
      <w:r w:rsidR="00F25295">
        <w:rPr>
          <w:lang w:val="en-US" w:eastAsia="x-none"/>
        </w:rPr>
        <w:t xml:space="preserve"> Lake</w:t>
      </w:r>
      <w:r>
        <w:rPr>
          <w:lang w:val="en-US" w:eastAsia="x-none"/>
        </w:rPr>
        <w:t xml:space="preserve"> is </w:t>
      </w:r>
      <w:r w:rsidR="00C86FC0">
        <w:rPr>
          <w:lang w:val="en-US" w:eastAsia="x-none"/>
        </w:rPr>
        <w:t xml:space="preserve">350 </w:t>
      </w:r>
      <w:r>
        <w:rPr>
          <w:lang w:val="en-US" w:eastAsia="x-none"/>
        </w:rPr>
        <w:t>ML/day at Corrong river gauge.</w:t>
      </w:r>
      <w:bookmarkEnd w:id="733"/>
    </w:p>
    <w:tbl>
      <w:tblPr>
        <w:tblStyle w:val="MediumGrid3-Accent3"/>
        <w:tblW w:w="9081" w:type="dxa"/>
        <w:tblInd w:w="-10" w:type="dxa"/>
        <w:tblLayout w:type="fixed"/>
        <w:tblLook w:val="06A0" w:firstRow="1" w:lastRow="0" w:firstColumn="1" w:lastColumn="0" w:noHBand="1" w:noVBand="1"/>
      </w:tblPr>
      <w:tblGrid>
        <w:gridCol w:w="2127"/>
        <w:gridCol w:w="708"/>
        <w:gridCol w:w="551"/>
        <w:gridCol w:w="723"/>
        <w:gridCol w:w="683"/>
        <w:gridCol w:w="845"/>
        <w:gridCol w:w="825"/>
        <w:gridCol w:w="768"/>
        <w:gridCol w:w="602"/>
        <w:gridCol w:w="673"/>
        <w:gridCol w:w="576"/>
      </w:tblGrid>
      <w:tr w:rsidR="00C765D6" w:rsidRPr="00834045" w14:paraId="4FDA0C7C" w14:textId="77777777" w:rsidTr="0083679A">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2127" w:type="dxa"/>
            <w:hideMark/>
          </w:tcPr>
          <w:p w14:paraId="535B0775" w14:textId="77777777" w:rsidR="00C765D6" w:rsidRPr="00821894" w:rsidRDefault="00C765D6" w:rsidP="008A4B89">
            <w:pPr>
              <w:spacing w:before="0" w:after="0"/>
              <w:rPr>
                <w:b w:val="0"/>
                <w:bCs w:val="0"/>
                <w:color w:val="FFFFFF" w:themeColor="background1"/>
                <w:sz w:val="20"/>
                <w:szCs w:val="20"/>
              </w:rPr>
            </w:pPr>
          </w:p>
        </w:tc>
        <w:tc>
          <w:tcPr>
            <w:tcW w:w="1259" w:type="dxa"/>
            <w:gridSpan w:val="2"/>
            <w:hideMark/>
          </w:tcPr>
          <w:p w14:paraId="6639F3DC"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2014-</w:t>
            </w:r>
            <w:r>
              <w:rPr>
                <w:sz w:val="20"/>
                <w:szCs w:val="20"/>
              </w:rPr>
              <w:t xml:space="preserve"> </w:t>
            </w:r>
            <w:r w:rsidRPr="00821894">
              <w:rPr>
                <w:sz w:val="20"/>
                <w:szCs w:val="20"/>
              </w:rPr>
              <w:t>2015</w:t>
            </w:r>
          </w:p>
        </w:tc>
        <w:tc>
          <w:tcPr>
            <w:tcW w:w="1406" w:type="dxa"/>
            <w:gridSpan w:val="2"/>
            <w:hideMark/>
          </w:tcPr>
          <w:p w14:paraId="584D2F63"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2015-2016</w:t>
            </w:r>
          </w:p>
        </w:tc>
        <w:tc>
          <w:tcPr>
            <w:tcW w:w="1670" w:type="dxa"/>
            <w:gridSpan w:val="2"/>
            <w:hideMark/>
          </w:tcPr>
          <w:p w14:paraId="241FDB75"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2016-2017</w:t>
            </w:r>
          </w:p>
        </w:tc>
        <w:tc>
          <w:tcPr>
            <w:tcW w:w="1370" w:type="dxa"/>
            <w:gridSpan w:val="2"/>
            <w:hideMark/>
          </w:tcPr>
          <w:p w14:paraId="7532DFF5"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2017-2018</w:t>
            </w:r>
          </w:p>
        </w:tc>
        <w:tc>
          <w:tcPr>
            <w:tcW w:w="1249" w:type="dxa"/>
            <w:gridSpan w:val="2"/>
            <w:hideMark/>
          </w:tcPr>
          <w:p w14:paraId="3BC6ACA5" w14:textId="77777777" w:rsidR="00C765D6" w:rsidRPr="00821894" w:rsidRDefault="00C765D6" w:rsidP="008A4B89">
            <w:pPr>
              <w:spacing w:before="0" w:after="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20"/>
                <w:szCs w:val="20"/>
              </w:rPr>
            </w:pPr>
            <w:r w:rsidRPr="00821894">
              <w:rPr>
                <w:sz w:val="20"/>
                <w:szCs w:val="20"/>
              </w:rPr>
              <w:t>2018-2019</w:t>
            </w:r>
          </w:p>
        </w:tc>
      </w:tr>
      <w:tr w:rsidR="00C765D6" w:rsidRPr="00924476" w14:paraId="340DF107" w14:textId="77777777" w:rsidTr="00A93E61">
        <w:tc>
          <w:tcPr>
            <w:cnfStyle w:val="001000000000" w:firstRow="0" w:lastRow="0" w:firstColumn="1" w:lastColumn="0" w:oddVBand="0" w:evenVBand="0" w:oddHBand="0" w:evenHBand="0" w:firstRowFirstColumn="0" w:firstRowLastColumn="0" w:lastRowFirstColumn="0" w:lastRowLastColumn="0"/>
            <w:tcW w:w="2127" w:type="dxa"/>
            <w:hideMark/>
          </w:tcPr>
          <w:p w14:paraId="7B1DC304" w14:textId="77777777" w:rsidR="00C765D6" w:rsidRPr="00821894" w:rsidRDefault="00C765D6" w:rsidP="008A4B89">
            <w:pPr>
              <w:spacing w:before="0" w:after="0"/>
              <w:rPr>
                <w:b w:val="0"/>
                <w:bCs w:val="0"/>
                <w:color w:val="FFFFFF" w:themeColor="background1"/>
                <w:sz w:val="20"/>
                <w:szCs w:val="20"/>
              </w:rPr>
            </w:pPr>
          </w:p>
        </w:tc>
        <w:tc>
          <w:tcPr>
            <w:tcW w:w="708" w:type="dxa"/>
          </w:tcPr>
          <w:p w14:paraId="3FCF65B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551" w:type="dxa"/>
          </w:tcPr>
          <w:p w14:paraId="127E01A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723" w:type="dxa"/>
          </w:tcPr>
          <w:p w14:paraId="0712849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683" w:type="dxa"/>
          </w:tcPr>
          <w:p w14:paraId="6C765B2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845" w:type="dxa"/>
          </w:tcPr>
          <w:p w14:paraId="13945C3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825" w:type="dxa"/>
          </w:tcPr>
          <w:p w14:paraId="3DA14FB7"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768" w:type="dxa"/>
          </w:tcPr>
          <w:p w14:paraId="707BF4BF"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602" w:type="dxa"/>
          </w:tcPr>
          <w:p w14:paraId="5E693859"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c>
          <w:tcPr>
            <w:tcW w:w="673" w:type="dxa"/>
          </w:tcPr>
          <w:p w14:paraId="05A39D0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N</w:t>
            </w:r>
          </w:p>
        </w:tc>
        <w:tc>
          <w:tcPr>
            <w:tcW w:w="576" w:type="dxa"/>
          </w:tcPr>
          <w:p w14:paraId="70CAEDB3"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C</w:t>
            </w:r>
          </w:p>
        </w:tc>
      </w:tr>
      <w:tr w:rsidR="00C765D6" w:rsidRPr="00924476" w14:paraId="2CC3EE0F"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15E45CE8" w14:textId="77777777" w:rsidR="00C765D6" w:rsidRPr="00821894" w:rsidRDefault="00C765D6" w:rsidP="008A4B89">
            <w:pPr>
              <w:spacing w:before="0" w:after="0"/>
              <w:rPr>
                <w:sz w:val="20"/>
                <w:szCs w:val="20"/>
              </w:rPr>
            </w:pPr>
            <w:r w:rsidRPr="00821894">
              <w:rPr>
                <w:sz w:val="20"/>
                <w:szCs w:val="20"/>
              </w:rPr>
              <w:t>No. of connections</w:t>
            </w:r>
          </w:p>
        </w:tc>
        <w:tc>
          <w:tcPr>
            <w:tcW w:w="708" w:type="dxa"/>
          </w:tcPr>
          <w:p w14:paraId="74CCEF11" w14:textId="60F1FE55"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12</w:t>
            </w:r>
          </w:p>
        </w:tc>
        <w:tc>
          <w:tcPr>
            <w:tcW w:w="551" w:type="dxa"/>
          </w:tcPr>
          <w:p w14:paraId="74FC679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tcPr>
          <w:p w14:paraId="12200FC3" w14:textId="3EB6F0F3"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w:t>
            </w:r>
          </w:p>
        </w:tc>
        <w:tc>
          <w:tcPr>
            <w:tcW w:w="683" w:type="dxa"/>
          </w:tcPr>
          <w:p w14:paraId="73096CF3" w14:textId="0B466D9A"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w:t>
            </w:r>
          </w:p>
        </w:tc>
        <w:tc>
          <w:tcPr>
            <w:tcW w:w="845" w:type="dxa"/>
          </w:tcPr>
          <w:p w14:paraId="4BA5A08F" w14:textId="27E75FD3"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w:t>
            </w:r>
          </w:p>
        </w:tc>
        <w:tc>
          <w:tcPr>
            <w:tcW w:w="825" w:type="dxa"/>
          </w:tcPr>
          <w:p w14:paraId="2C0D7893"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768" w:type="dxa"/>
          </w:tcPr>
          <w:p w14:paraId="1BD76517" w14:textId="7253E1F0"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w:t>
            </w:r>
          </w:p>
        </w:tc>
        <w:tc>
          <w:tcPr>
            <w:tcW w:w="602" w:type="dxa"/>
          </w:tcPr>
          <w:p w14:paraId="314DD3F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673" w:type="dxa"/>
          </w:tcPr>
          <w:p w14:paraId="11CA3FF8" w14:textId="170FAE8C"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w:t>
            </w:r>
          </w:p>
        </w:tc>
        <w:tc>
          <w:tcPr>
            <w:tcW w:w="576" w:type="dxa"/>
          </w:tcPr>
          <w:p w14:paraId="1704C345" w14:textId="4FA7FC29"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w:t>
            </w:r>
          </w:p>
        </w:tc>
      </w:tr>
      <w:tr w:rsidR="0083679A" w:rsidRPr="00924476" w14:paraId="08FB8397"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7F19794A" w14:textId="396CD62A" w:rsidR="0083679A" w:rsidRPr="00821894" w:rsidRDefault="0083679A" w:rsidP="008A4B89">
            <w:pPr>
              <w:spacing w:before="0" w:after="0"/>
              <w:rPr>
                <w:sz w:val="20"/>
                <w:szCs w:val="20"/>
              </w:rPr>
            </w:pPr>
            <w:r>
              <w:rPr>
                <w:sz w:val="20"/>
                <w:szCs w:val="20"/>
              </w:rPr>
              <w:t>Days connected (total)</w:t>
            </w:r>
          </w:p>
        </w:tc>
        <w:tc>
          <w:tcPr>
            <w:tcW w:w="708" w:type="dxa"/>
          </w:tcPr>
          <w:p w14:paraId="0F4F02F2" w14:textId="2BDEF396"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140</w:t>
            </w:r>
          </w:p>
        </w:tc>
        <w:tc>
          <w:tcPr>
            <w:tcW w:w="551" w:type="dxa"/>
          </w:tcPr>
          <w:p w14:paraId="6530C984" w14:textId="072C05AD"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723" w:type="dxa"/>
          </w:tcPr>
          <w:p w14:paraId="1BAFB15C" w14:textId="24121488"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144</w:t>
            </w:r>
          </w:p>
        </w:tc>
        <w:tc>
          <w:tcPr>
            <w:tcW w:w="683" w:type="dxa"/>
          </w:tcPr>
          <w:p w14:paraId="3E33D92F" w14:textId="0C1A71BB"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73</w:t>
            </w:r>
          </w:p>
        </w:tc>
        <w:tc>
          <w:tcPr>
            <w:tcW w:w="845" w:type="dxa"/>
          </w:tcPr>
          <w:p w14:paraId="661FB3D8" w14:textId="636D72BD"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224</w:t>
            </w:r>
          </w:p>
        </w:tc>
        <w:tc>
          <w:tcPr>
            <w:tcW w:w="825" w:type="dxa"/>
          </w:tcPr>
          <w:p w14:paraId="69434227" w14:textId="340DC660"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180</w:t>
            </w:r>
          </w:p>
        </w:tc>
        <w:tc>
          <w:tcPr>
            <w:tcW w:w="768" w:type="dxa"/>
          </w:tcPr>
          <w:p w14:paraId="544DC675" w14:textId="7452B703"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58</w:t>
            </w:r>
          </w:p>
        </w:tc>
        <w:tc>
          <w:tcPr>
            <w:tcW w:w="602" w:type="dxa"/>
          </w:tcPr>
          <w:p w14:paraId="46C34CBF" w14:textId="06C0241C" w:rsidR="0083679A" w:rsidRPr="00FE6ED8"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30</w:t>
            </w:r>
          </w:p>
        </w:tc>
        <w:tc>
          <w:tcPr>
            <w:tcW w:w="673" w:type="dxa"/>
          </w:tcPr>
          <w:p w14:paraId="4D6417D9" w14:textId="39B17756"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31</w:t>
            </w:r>
          </w:p>
        </w:tc>
        <w:tc>
          <w:tcPr>
            <w:tcW w:w="576" w:type="dxa"/>
          </w:tcPr>
          <w:p w14:paraId="13F3BF38" w14:textId="2443D3C5" w:rsidR="0083679A" w:rsidRDefault="0083679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w:t>
            </w:r>
          </w:p>
        </w:tc>
      </w:tr>
      <w:tr w:rsidR="00C765D6" w:rsidRPr="00924476" w14:paraId="3D3B87E3"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73906D91" w14:textId="77777777" w:rsidR="00C765D6" w:rsidRPr="00821894" w:rsidRDefault="00C765D6" w:rsidP="008A4B89">
            <w:pPr>
              <w:spacing w:before="0" w:after="0"/>
              <w:rPr>
                <w:b w:val="0"/>
                <w:bCs w:val="0"/>
                <w:color w:val="FFFFFF" w:themeColor="background1"/>
                <w:sz w:val="20"/>
                <w:szCs w:val="20"/>
              </w:rPr>
            </w:pPr>
            <w:r w:rsidRPr="00821894">
              <w:rPr>
                <w:sz w:val="20"/>
                <w:szCs w:val="20"/>
              </w:rPr>
              <w:t>Mean days connected</w:t>
            </w:r>
          </w:p>
        </w:tc>
        <w:tc>
          <w:tcPr>
            <w:tcW w:w="708" w:type="dxa"/>
          </w:tcPr>
          <w:p w14:paraId="06C855C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12</w:t>
            </w:r>
          </w:p>
        </w:tc>
        <w:tc>
          <w:tcPr>
            <w:tcW w:w="551" w:type="dxa"/>
          </w:tcPr>
          <w:p w14:paraId="4E8E8D2D"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tcPr>
          <w:p w14:paraId="4DCADCCD" w14:textId="7A819FC9"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w:t>
            </w:r>
          </w:p>
        </w:tc>
        <w:tc>
          <w:tcPr>
            <w:tcW w:w="683" w:type="dxa"/>
          </w:tcPr>
          <w:p w14:paraId="7A857C10" w14:textId="59DBDBA0"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37</w:t>
            </w:r>
          </w:p>
        </w:tc>
        <w:tc>
          <w:tcPr>
            <w:tcW w:w="845" w:type="dxa"/>
          </w:tcPr>
          <w:p w14:paraId="6DF5589D" w14:textId="628581D5"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37</w:t>
            </w:r>
          </w:p>
        </w:tc>
        <w:tc>
          <w:tcPr>
            <w:tcW w:w="825" w:type="dxa"/>
          </w:tcPr>
          <w:p w14:paraId="785560F7" w14:textId="36D2BA1F"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180</w:t>
            </w:r>
          </w:p>
        </w:tc>
        <w:tc>
          <w:tcPr>
            <w:tcW w:w="768" w:type="dxa"/>
          </w:tcPr>
          <w:p w14:paraId="7E75CD27" w14:textId="4D3B06C3" w:rsidR="00C765D6" w:rsidRPr="00FE6ED8" w:rsidRDefault="00A2376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12</w:t>
            </w:r>
          </w:p>
        </w:tc>
        <w:tc>
          <w:tcPr>
            <w:tcW w:w="602" w:type="dxa"/>
          </w:tcPr>
          <w:p w14:paraId="084C40E4" w14:textId="6C7F35F6"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30</w:t>
            </w:r>
          </w:p>
        </w:tc>
        <w:tc>
          <w:tcPr>
            <w:tcW w:w="673" w:type="dxa"/>
          </w:tcPr>
          <w:p w14:paraId="706217B5" w14:textId="67461760"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w:t>
            </w:r>
          </w:p>
        </w:tc>
        <w:tc>
          <w:tcPr>
            <w:tcW w:w="576" w:type="dxa"/>
          </w:tcPr>
          <w:p w14:paraId="7E347363" w14:textId="06FBA534"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w:t>
            </w:r>
          </w:p>
        </w:tc>
      </w:tr>
      <w:tr w:rsidR="00C765D6" w:rsidRPr="00924476" w14:paraId="7AD53E5C"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2FD8F119" w14:textId="77777777" w:rsidR="00C765D6" w:rsidRPr="00821894" w:rsidRDefault="00C765D6" w:rsidP="008A4B89">
            <w:pPr>
              <w:spacing w:before="0" w:after="0"/>
              <w:rPr>
                <w:b w:val="0"/>
                <w:bCs w:val="0"/>
                <w:color w:val="FFFFFF" w:themeColor="background1"/>
                <w:sz w:val="20"/>
                <w:szCs w:val="20"/>
              </w:rPr>
            </w:pPr>
            <w:r w:rsidRPr="00821894">
              <w:rPr>
                <w:sz w:val="20"/>
                <w:szCs w:val="20"/>
              </w:rPr>
              <w:t>Longest connection</w:t>
            </w:r>
          </w:p>
        </w:tc>
        <w:tc>
          <w:tcPr>
            <w:tcW w:w="708" w:type="dxa"/>
          </w:tcPr>
          <w:p w14:paraId="30A6198F" w14:textId="7EFD81DF"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42</w:t>
            </w:r>
          </w:p>
        </w:tc>
        <w:tc>
          <w:tcPr>
            <w:tcW w:w="551" w:type="dxa"/>
          </w:tcPr>
          <w:p w14:paraId="6F2F55BE"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tcPr>
          <w:p w14:paraId="05F94F37" w14:textId="5E6C3AE0"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97</w:t>
            </w:r>
          </w:p>
        </w:tc>
        <w:tc>
          <w:tcPr>
            <w:tcW w:w="683" w:type="dxa"/>
          </w:tcPr>
          <w:p w14:paraId="4860A7C1" w14:textId="791B8EBE"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59</w:t>
            </w:r>
          </w:p>
        </w:tc>
        <w:tc>
          <w:tcPr>
            <w:tcW w:w="845" w:type="dxa"/>
          </w:tcPr>
          <w:p w14:paraId="3F10687C" w14:textId="31401A64"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199</w:t>
            </w:r>
          </w:p>
        </w:tc>
        <w:tc>
          <w:tcPr>
            <w:tcW w:w="825" w:type="dxa"/>
          </w:tcPr>
          <w:p w14:paraId="738540EC" w14:textId="0341427A"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180</w:t>
            </w:r>
          </w:p>
        </w:tc>
        <w:tc>
          <w:tcPr>
            <w:tcW w:w="768" w:type="dxa"/>
          </w:tcPr>
          <w:p w14:paraId="5A18A2CE" w14:textId="799FF51E" w:rsidR="00C765D6" w:rsidRPr="00FE6ED8" w:rsidRDefault="00A2376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24</w:t>
            </w:r>
          </w:p>
        </w:tc>
        <w:tc>
          <w:tcPr>
            <w:tcW w:w="602" w:type="dxa"/>
          </w:tcPr>
          <w:p w14:paraId="7E2AA973" w14:textId="088B85F4"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30</w:t>
            </w:r>
          </w:p>
        </w:tc>
        <w:tc>
          <w:tcPr>
            <w:tcW w:w="673" w:type="dxa"/>
          </w:tcPr>
          <w:p w14:paraId="45B3A134" w14:textId="6B9E8408"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10</w:t>
            </w:r>
          </w:p>
        </w:tc>
        <w:tc>
          <w:tcPr>
            <w:tcW w:w="576" w:type="dxa"/>
          </w:tcPr>
          <w:p w14:paraId="173C2E9F" w14:textId="3B3C0F0F"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4</w:t>
            </w:r>
          </w:p>
        </w:tc>
      </w:tr>
      <w:tr w:rsidR="00C765D6" w:rsidRPr="00924476" w14:paraId="0826A52C"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61C63CE4" w14:textId="77777777" w:rsidR="00C765D6" w:rsidRPr="00821894" w:rsidRDefault="00C765D6" w:rsidP="008A4B89">
            <w:pPr>
              <w:spacing w:before="0" w:after="0"/>
              <w:rPr>
                <w:b w:val="0"/>
                <w:bCs w:val="0"/>
                <w:color w:val="FFFFFF" w:themeColor="background1"/>
                <w:sz w:val="20"/>
                <w:szCs w:val="20"/>
              </w:rPr>
            </w:pPr>
            <w:r w:rsidRPr="00821894">
              <w:rPr>
                <w:sz w:val="20"/>
                <w:szCs w:val="20"/>
              </w:rPr>
              <w:t xml:space="preserve">No. of </w:t>
            </w:r>
            <w:r>
              <w:rPr>
                <w:sz w:val="20"/>
                <w:szCs w:val="20"/>
              </w:rPr>
              <w:t>disconnections</w:t>
            </w:r>
          </w:p>
        </w:tc>
        <w:tc>
          <w:tcPr>
            <w:tcW w:w="708" w:type="dxa"/>
          </w:tcPr>
          <w:p w14:paraId="0D1ADF35" w14:textId="0A1A7883"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13</w:t>
            </w:r>
          </w:p>
        </w:tc>
        <w:tc>
          <w:tcPr>
            <w:tcW w:w="551" w:type="dxa"/>
          </w:tcPr>
          <w:p w14:paraId="5AF1A8B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1</w:t>
            </w:r>
          </w:p>
        </w:tc>
        <w:tc>
          <w:tcPr>
            <w:tcW w:w="723" w:type="dxa"/>
          </w:tcPr>
          <w:p w14:paraId="03E1E0EE" w14:textId="348DE6B3"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w:t>
            </w:r>
          </w:p>
        </w:tc>
        <w:tc>
          <w:tcPr>
            <w:tcW w:w="683" w:type="dxa"/>
          </w:tcPr>
          <w:p w14:paraId="0B7EAE48" w14:textId="42D821D7"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w:t>
            </w:r>
          </w:p>
        </w:tc>
        <w:tc>
          <w:tcPr>
            <w:tcW w:w="845" w:type="dxa"/>
          </w:tcPr>
          <w:p w14:paraId="15F0ACE4" w14:textId="78971383"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7</w:t>
            </w:r>
          </w:p>
        </w:tc>
        <w:tc>
          <w:tcPr>
            <w:tcW w:w="825" w:type="dxa"/>
          </w:tcPr>
          <w:p w14:paraId="4D256B2A"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768" w:type="dxa"/>
          </w:tcPr>
          <w:p w14:paraId="2F8CF6E9" w14:textId="56D483B2" w:rsidR="00C765D6" w:rsidRPr="00FE6ED8" w:rsidRDefault="00A2376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w:t>
            </w:r>
          </w:p>
        </w:tc>
        <w:tc>
          <w:tcPr>
            <w:tcW w:w="602" w:type="dxa"/>
          </w:tcPr>
          <w:p w14:paraId="4DE91B84"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2</w:t>
            </w:r>
          </w:p>
        </w:tc>
        <w:tc>
          <w:tcPr>
            <w:tcW w:w="673" w:type="dxa"/>
          </w:tcPr>
          <w:p w14:paraId="02D16CC0" w14:textId="31CD2E4A"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w:t>
            </w:r>
          </w:p>
        </w:tc>
        <w:tc>
          <w:tcPr>
            <w:tcW w:w="576" w:type="dxa"/>
          </w:tcPr>
          <w:p w14:paraId="3745B467" w14:textId="27759291"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w:t>
            </w:r>
          </w:p>
        </w:tc>
      </w:tr>
      <w:tr w:rsidR="00C765D6" w:rsidRPr="00924476" w14:paraId="5D0B612B"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4D9B339E" w14:textId="77777777" w:rsidR="00C765D6" w:rsidRPr="00821894" w:rsidRDefault="00C765D6" w:rsidP="008A4B89">
            <w:pPr>
              <w:spacing w:before="0" w:after="0"/>
              <w:rPr>
                <w:b w:val="0"/>
                <w:bCs w:val="0"/>
                <w:color w:val="FFFFFF" w:themeColor="background1"/>
                <w:sz w:val="20"/>
                <w:szCs w:val="20"/>
              </w:rPr>
            </w:pPr>
            <w:r w:rsidRPr="00821894">
              <w:rPr>
                <w:sz w:val="20"/>
                <w:szCs w:val="20"/>
              </w:rPr>
              <w:t>Mean</w:t>
            </w:r>
            <w:r>
              <w:rPr>
                <w:sz w:val="20"/>
                <w:szCs w:val="20"/>
              </w:rPr>
              <w:t xml:space="preserve"> days disconnected</w:t>
            </w:r>
          </w:p>
        </w:tc>
        <w:tc>
          <w:tcPr>
            <w:tcW w:w="708" w:type="dxa"/>
          </w:tcPr>
          <w:p w14:paraId="56181BCC" w14:textId="64849BAA"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17</w:t>
            </w:r>
          </w:p>
        </w:tc>
        <w:tc>
          <w:tcPr>
            <w:tcW w:w="551" w:type="dxa"/>
          </w:tcPr>
          <w:p w14:paraId="75EF546C"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723" w:type="dxa"/>
          </w:tcPr>
          <w:p w14:paraId="7986A1FA" w14:textId="4E54C48A"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25</w:t>
            </w:r>
          </w:p>
        </w:tc>
        <w:tc>
          <w:tcPr>
            <w:tcW w:w="683" w:type="dxa"/>
          </w:tcPr>
          <w:p w14:paraId="3D00DFA5" w14:textId="2504BEAC"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97</w:t>
            </w:r>
          </w:p>
        </w:tc>
        <w:tc>
          <w:tcPr>
            <w:tcW w:w="845" w:type="dxa"/>
          </w:tcPr>
          <w:p w14:paraId="65907F1A" w14:textId="42138C79"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20</w:t>
            </w:r>
          </w:p>
        </w:tc>
        <w:tc>
          <w:tcPr>
            <w:tcW w:w="825" w:type="dxa"/>
          </w:tcPr>
          <w:p w14:paraId="7368F131" w14:textId="0300DC72"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92</w:t>
            </w:r>
          </w:p>
        </w:tc>
        <w:tc>
          <w:tcPr>
            <w:tcW w:w="768" w:type="dxa"/>
          </w:tcPr>
          <w:p w14:paraId="1BF9E275" w14:textId="5315B6C3" w:rsidR="00C765D6" w:rsidRPr="00FE6ED8" w:rsidRDefault="00A2376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51</w:t>
            </w:r>
          </w:p>
        </w:tc>
        <w:tc>
          <w:tcPr>
            <w:tcW w:w="602" w:type="dxa"/>
          </w:tcPr>
          <w:p w14:paraId="5C716D81" w14:textId="03113D46"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167</w:t>
            </w:r>
          </w:p>
        </w:tc>
        <w:tc>
          <w:tcPr>
            <w:tcW w:w="673" w:type="dxa"/>
          </w:tcPr>
          <w:p w14:paraId="0682E740" w14:textId="47685629"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56</w:t>
            </w:r>
          </w:p>
        </w:tc>
        <w:tc>
          <w:tcPr>
            <w:tcW w:w="576" w:type="dxa"/>
          </w:tcPr>
          <w:p w14:paraId="66EE3F9D" w14:textId="08BE316D"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179</w:t>
            </w:r>
          </w:p>
        </w:tc>
      </w:tr>
      <w:tr w:rsidR="00C765D6" w:rsidRPr="00924476" w14:paraId="0B0B499B"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189BA77C" w14:textId="77777777" w:rsidR="00C765D6" w:rsidRPr="00821894" w:rsidRDefault="00C765D6" w:rsidP="008A4B89">
            <w:pPr>
              <w:spacing w:before="0" w:after="0"/>
              <w:rPr>
                <w:b w:val="0"/>
                <w:bCs w:val="0"/>
                <w:color w:val="FFFFFF" w:themeColor="background1"/>
                <w:sz w:val="20"/>
                <w:szCs w:val="20"/>
              </w:rPr>
            </w:pPr>
            <w:r w:rsidRPr="00821894">
              <w:rPr>
                <w:sz w:val="20"/>
                <w:szCs w:val="20"/>
              </w:rPr>
              <w:t xml:space="preserve">Longest </w:t>
            </w:r>
            <w:r>
              <w:rPr>
                <w:sz w:val="20"/>
                <w:szCs w:val="20"/>
              </w:rPr>
              <w:t>disconnection</w:t>
            </w:r>
          </w:p>
        </w:tc>
        <w:tc>
          <w:tcPr>
            <w:tcW w:w="708" w:type="dxa"/>
          </w:tcPr>
          <w:p w14:paraId="2674F300" w14:textId="037AD481"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83</w:t>
            </w:r>
          </w:p>
        </w:tc>
        <w:tc>
          <w:tcPr>
            <w:tcW w:w="551" w:type="dxa"/>
          </w:tcPr>
          <w:p w14:paraId="6F9B0E41"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365</w:t>
            </w:r>
          </w:p>
        </w:tc>
        <w:tc>
          <w:tcPr>
            <w:tcW w:w="723" w:type="dxa"/>
          </w:tcPr>
          <w:p w14:paraId="2A7EC9DA" w14:textId="1A370B4B"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99</w:t>
            </w:r>
          </w:p>
        </w:tc>
        <w:tc>
          <w:tcPr>
            <w:tcW w:w="683" w:type="dxa"/>
          </w:tcPr>
          <w:p w14:paraId="5D127BF2" w14:textId="4CB8F916"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183</w:t>
            </w:r>
          </w:p>
        </w:tc>
        <w:tc>
          <w:tcPr>
            <w:tcW w:w="845" w:type="dxa"/>
          </w:tcPr>
          <w:p w14:paraId="2929E542" w14:textId="6F38ADB6" w:rsidR="00C765D6" w:rsidRPr="00FE6ED8" w:rsidRDefault="00BD31AD"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65</w:t>
            </w:r>
          </w:p>
        </w:tc>
        <w:tc>
          <w:tcPr>
            <w:tcW w:w="825" w:type="dxa"/>
          </w:tcPr>
          <w:p w14:paraId="474CCF7F" w14:textId="6C6D0E75"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153</w:t>
            </w:r>
          </w:p>
        </w:tc>
        <w:tc>
          <w:tcPr>
            <w:tcW w:w="768" w:type="dxa"/>
          </w:tcPr>
          <w:p w14:paraId="68C10FA7" w14:textId="2ED09BB6" w:rsidR="00C765D6" w:rsidRPr="00FE6ED8" w:rsidRDefault="00A2376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152</w:t>
            </w:r>
          </w:p>
        </w:tc>
        <w:tc>
          <w:tcPr>
            <w:tcW w:w="602" w:type="dxa"/>
          </w:tcPr>
          <w:p w14:paraId="518275AC" w14:textId="13F25CAD"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180</w:t>
            </w:r>
          </w:p>
        </w:tc>
        <w:tc>
          <w:tcPr>
            <w:tcW w:w="673" w:type="dxa"/>
          </w:tcPr>
          <w:p w14:paraId="14E938EE" w14:textId="53DA1E3B"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180</w:t>
            </w:r>
          </w:p>
        </w:tc>
        <w:tc>
          <w:tcPr>
            <w:tcW w:w="576" w:type="dxa"/>
          </w:tcPr>
          <w:p w14:paraId="5239B616" w14:textId="71C69EEA" w:rsidR="00C765D6" w:rsidRPr="00FE6ED8" w:rsidRDefault="00C86FC0"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257</w:t>
            </w:r>
          </w:p>
        </w:tc>
      </w:tr>
      <w:tr w:rsidR="00C765D6" w:rsidRPr="00924476" w14:paraId="64FEEC99" w14:textId="77777777" w:rsidTr="00A93E61">
        <w:tc>
          <w:tcPr>
            <w:cnfStyle w:val="001000000000" w:firstRow="0" w:lastRow="0" w:firstColumn="1" w:lastColumn="0" w:oddVBand="0" w:evenVBand="0" w:oddHBand="0" w:evenHBand="0" w:firstRowFirstColumn="0" w:firstRowLastColumn="0" w:lastRowFirstColumn="0" w:lastRowLastColumn="0"/>
            <w:tcW w:w="2127" w:type="dxa"/>
          </w:tcPr>
          <w:p w14:paraId="4B136A18" w14:textId="77777777" w:rsidR="00C765D6" w:rsidRPr="00821894" w:rsidRDefault="00C765D6" w:rsidP="008A4B89">
            <w:pPr>
              <w:spacing w:before="0" w:after="0"/>
              <w:rPr>
                <w:sz w:val="20"/>
                <w:szCs w:val="20"/>
              </w:rPr>
            </w:pPr>
            <w:r>
              <w:rPr>
                <w:sz w:val="20"/>
                <w:szCs w:val="20"/>
              </w:rPr>
              <w:t>T</w:t>
            </w:r>
            <w:r w:rsidRPr="00821894">
              <w:rPr>
                <w:sz w:val="20"/>
                <w:szCs w:val="20"/>
              </w:rPr>
              <w:t>otal volume (ML)</w:t>
            </w:r>
          </w:p>
        </w:tc>
        <w:tc>
          <w:tcPr>
            <w:tcW w:w="708" w:type="dxa"/>
          </w:tcPr>
          <w:p w14:paraId="42D9E9B1" w14:textId="7C56D4B9"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48831</w:t>
            </w:r>
          </w:p>
        </w:tc>
        <w:tc>
          <w:tcPr>
            <w:tcW w:w="551" w:type="dxa"/>
          </w:tcPr>
          <w:p w14:paraId="3CE71660" w14:textId="77777777" w:rsidR="00C765D6" w:rsidRPr="00FE6ED8" w:rsidRDefault="00C765D6"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E6ED8">
              <w:rPr>
                <w:rFonts w:asciiTheme="minorHAnsi" w:hAnsiTheme="minorHAnsi" w:cstheme="minorHAnsi"/>
                <w:sz w:val="18"/>
                <w:szCs w:val="18"/>
              </w:rPr>
              <w:t>0</w:t>
            </w:r>
          </w:p>
        </w:tc>
        <w:tc>
          <w:tcPr>
            <w:tcW w:w="723" w:type="dxa"/>
          </w:tcPr>
          <w:p w14:paraId="08522A02" w14:textId="7E58D7CC"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90155</w:t>
            </w:r>
          </w:p>
        </w:tc>
        <w:tc>
          <w:tcPr>
            <w:tcW w:w="683" w:type="dxa"/>
          </w:tcPr>
          <w:p w14:paraId="53224CFE" w14:textId="315BA7C5"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17319</w:t>
            </w:r>
          </w:p>
        </w:tc>
        <w:tc>
          <w:tcPr>
            <w:tcW w:w="845" w:type="dxa"/>
          </w:tcPr>
          <w:p w14:paraId="65F083F0" w14:textId="7F85590C"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338859</w:t>
            </w:r>
          </w:p>
        </w:tc>
        <w:tc>
          <w:tcPr>
            <w:tcW w:w="825" w:type="dxa"/>
          </w:tcPr>
          <w:p w14:paraId="57027BF5" w14:textId="79946C46"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193729</w:t>
            </w:r>
          </w:p>
        </w:tc>
        <w:tc>
          <w:tcPr>
            <w:tcW w:w="768" w:type="dxa"/>
          </w:tcPr>
          <w:p w14:paraId="155A43D1" w14:textId="4E0AAC98"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19004</w:t>
            </w:r>
          </w:p>
        </w:tc>
        <w:tc>
          <w:tcPr>
            <w:tcW w:w="602" w:type="dxa"/>
          </w:tcPr>
          <w:p w14:paraId="42E86C49" w14:textId="0A8C241B"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5727</w:t>
            </w:r>
          </w:p>
        </w:tc>
        <w:tc>
          <w:tcPr>
            <w:tcW w:w="673" w:type="dxa"/>
          </w:tcPr>
          <w:p w14:paraId="698F11AC" w14:textId="3D51CDF7"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8956</w:t>
            </w:r>
          </w:p>
        </w:tc>
        <w:tc>
          <w:tcPr>
            <w:tcW w:w="576" w:type="dxa"/>
          </w:tcPr>
          <w:p w14:paraId="30A5D591" w14:textId="06575261" w:rsidR="00C765D6" w:rsidRPr="00FE6ED8" w:rsidRDefault="00592FAA" w:rsidP="008A4B8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69</w:t>
            </w:r>
          </w:p>
        </w:tc>
      </w:tr>
    </w:tbl>
    <w:p w14:paraId="3409B581" w14:textId="0C391F10" w:rsidR="00782B3B" w:rsidRDefault="00E4429E" w:rsidP="00782B3B">
      <w:pPr>
        <w:rPr>
          <w:highlight w:val="yellow"/>
          <w:lang w:val="en-US" w:eastAsia="x-none"/>
        </w:rPr>
      </w:pPr>
      <w:r w:rsidRPr="00D46AD5">
        <w:rPr>
          <w:lang w:val="en-US" w:eastAsia="x-none"/>
        </w:rPr>
        <w:t xml:space="preserve">In the context of river regulation over the past five years, environmental water has made a small but significant contribution to the inundation of </w:t>
      </w:r>
      <w:r w:rsidR="00F25295">
        <w:rPr>
          <w:lang w:val="en-US" w:eastAsia="x-none"/>
        </w:rPr>
        <w:t xml:space="preserve">Nooran Lake </w:t>
      </w:r>
      <w:r w:rsidR="00782B3B">
        <w:rPr>
          <w:lang w:val="en-US" w:eastAsia="x-none"/>
        </w:rPr>
        <w:t>and the central reed beds of the Great Cumbung Swamp</w:t>
      </w:r>
      <w:r w:rsidR="00773719">
        <w:rPr>
          <w:lang w:val="en-US" w:eastAsia="x-none"/>
        </w:rPr>
        <w:t>,</w:t>
      </w:r>
      <w:r w:rsidR="00782B3B">
        <w:rPr>
          <w:lang w:val="en-US" w:eastAsia="x-none"/>
        </w:rPr>
        <w:t xml:space="preserve"> </w:t>
      </w:r>
      <w:r w:rsidR="00D46AD5" w:rsidRPr="00D46AD5">
        <w:rPr>
          <w:lang w:val="en-US" w:eastAsia="x-none"/>
        </w:rPr>
        <w:t>but</w:t>
      </w:r>
      <w:r w:rsidRPr="00D46AD5">
        <w:rPr>
          <w:lang w:val="en-US" w:eastAsia="x-none"/>
        </w:rPr>
        <w:t xml:space="preserve"> is a fraction of what has been removed from the system by regulation</w:t>
      </w:r>
      <w:r w:rsidR="00773719">
        <w:rPr>
          <w:lang w:val="en-US" w:eastAsia="x-none"/>
        </w:rPr>
        <w:t xml:space="preserve"> (</w:t>
      </w:r>
      <w:r w:rsidR="00773719">
        <w:rPr>
          <w:lang w:val="en-US" w:eastAsia="x-none"/>
        </w:rPr>
        <w:fldChar w:fldCharType="begin"/>
      </w:r>
      <w:r w:rsidR="00773719">
        <w:rPr>
          <w:lang w:val="en-US" w:eastAsia="x-none"/>
        </w:rPr>
        <w:instrText xml:space="preserve"> REF _Ref31972810 \h </w:instrText>
      </w:r>
      <w:r w:rsidR="00773719">
        <w:rPr>
          <w:lang w:val="en-US" w:eastAsia="x-none"/>
        </w:rPr>
      </w:r>
      <w:r w:rsidR="00773719">
        <w:rPr>
          <w:lang w:val="en-US" w:eastAsia="x-none"/>
        </w:rPr>
        <w:fldChar w:fldCharType="separate"/>
      </w:r>
      <w:r w:rsidR="007F7607">
        <w:t xml:space="preserve">Figure </w:t>
      </w:r>
      <w:r w:rsidR="007F7607">
        <w:rPr>
          <w:noProof/>
        </w:rPr>
        <w:t>102</w:t>
      </w:r>
      <w:r w:rsidR="00773719">
        <w:rPr>
          <w:lang w:val="en-US" w:eastAsia="x-none"/>
        </w:rPr>
        <w:fldChar w:fldCharType="end"/>
      </w:r>
      <w:r w:rsidR="00773719">
        <w:rPr>
          <w:lang w:val="en-US" w:eastAsia="x-none"/>
        </w:rPr>
        <w:t>,</w:t>
      </w:r>
      <w:r w:rsidR="00CE5057">
        <w:rPr>
          <w:lang w:val="en-US" w:eastAsia="x-none"/>
        </w:rPr>
        <w:t xml:space="preserve"> </w:t>
      </w:r>
      <w:r w:rsidR="00773719">
        <w:rPr>
          <w:lang w:val="en-US" w:eastAsia="x-none"/>
        </w:rPr>
        <w:fldChar w:fldCharType="begin"/>
      </w:r>
      <w:r w:rsidR="00773719">
        <w:rPr>
          <w:lang w:val="en-US" w:eastAsia="x-none"/>
        </w:rPr>
        <w:instrText xml:space="preserve"> REF _Ref31972812 \h </w:instrText>
      </w:r>
      <w:r w:rsidR="00773719">
        <w:rPr>
          <w:lang w:val="en-US" w:eastAsia="x-none"/>
        </w:rPr>
      </w:r>
      <w:r w:rsidR="00773719">
        <w:rPr>
          <w:lang w:val="en-US" w:eastAsia="x-none"/>
        </w:rPr>
        <w:fldChar w:fldCharType="separate"/>
      </w:r>
      <w:r w:rsidR="007F7607">
        <w:t xml:space="preserve">Figure </w:t>
      </w:r>
      <w:r w:rsidR="007F7607">
        <w:rPr>
          <w:noProof/>
        </w:rPr>
        <w:t>103</w:t>
      </w:r>
      <w:r w:rsidR="00773719">
        <w:rPr>
          <w:lang w:val="en-US" w:eastAsia="x-none"/>
        </w:rPr>
        <w:fldChar w:fldCharType="end"/>
      </w:r>
      <w:r w:rsidR="00773719">
        <w:rPr>
          <w:lang w:val="en-US" w:eastAsia="x-none"/>
        </w:rPr>
        <w:t>)</w:t>
      </w:r>
      <w:r w:rsidRPr="00D46AD5">
        <w:rPr>
          <w:lang w:val="en-US" w:eastAsia="x-none"/>
        </w:rPr>
        <w:t>.</w:t>
      </w:r>
      <w:r w:rsidR="00D46AD5">
        <w:rPr>
          <w:lang w:val="en-US" w:eastAsia="x-none"/>
        </w:rPr>
        <w:t xml:space="preserve"> </w:t>
      </w:r>
      <w:r w:rsidR="00782B3B">
        <w:rPr>
          <w:lang w:val="en-US" w:eastAsia="x-none"/>
        </w:rPr>
        <w:t xml:space="preserve">The connection events described in 2017-18 and 2018-19 in Nooran </w:t>
      </w:r>
      <w:r w:rsidR="00F25295">
        <w:rPr>
          <w:lang w:val="en-US" w:eastAsia="x-none"/>
        </w:rPr>
        <w:t xml:space="preserve">Lake </w:t>
      </w:r>
      <w:r w:rsidR="00782B3B">
        <w:rPr>
          <w:lang w:val="en-US" w:eastAsia="x-none"/>
        </w:rPr>
        <w:t xml:space="preserve">occurred as a result of environmental watering actions and would not have occurred otherwise. The two connection events in 2018-19 while short (mean 3 days) provided water and ground water </w:t>
      </w:r>
      <w:r w:rsidR="00D05E48">
        <w:rPr>
          <w:lang w:val="en-US" w:eastAsia="x-none"/>
        </w:rPr>
        <w:t xml:space="preserve">recharge </w:t>
      </w:r>
      <w:r w:rsidR="00782B3B">
        <w:rPr>
          <w:lang w:val="en-US" w:eastAsia="x-none"/>
        </w:rPr>
        <w:t>during a</w:t>
      </w:r>
      <w:r w:rsidR="00D05E48">
        <w:rPr>
          <w:lang w:val="en-US" w:eastAsia="x-none"/>
        </w:rPr>
        <w:t>n extended</w:t>
      </w:r>
      <w:r w:rsidR="00782B3B">
        <w:rPr>
          <w:lang w:val="en-US" w:eastAsia="x-none"/>
        </w:rPr>
        <w:t xml:space="preserve"> </w:t>
      </w:r>
      <w:r w:rsidR="00D05E48">
        <w:rPr>
          <w:lang w:val="en-US" w:eastAsia="x-none"/>
        </w:rPr>
        <w:t xml:space="preserve">period of </w:t>
      </w:r>
      <w:r w:rsidR="00782B3B">
        <w:rPr>
          <w:lang w:val="en-US" w:eastAsia="x-none"/>
        </w:rPr>
        <w:t>drought</w:t>
      </w:r>
      <w:r w:rsidR="00773719">
        <w:rPr>
          <w:lang w:val="en-US" w:eastAsia="x-none"/>
        </w:rPr>
        <w:t>.</w:t>
      </w:r>
    </w:p>
    <w:p w14:paraId="00118D4F" w14:textId="77777777" w:rsidR="00E4429E" w:rsidRPr="00D11F63" w:rsidRDefault="00E4429E" w:rsidP="00C765D6">
      <w:pPr>
        <w:rPr>
          <w:highlight w:val="yellow"/>
          <w:lang w:val="en-US" w:eastAsia="x-none"/>
        </w:rPr>
      </w:pPr>
    </w:p>
    <w:p w14:paraId="3942F38B" w14:textId="77777777" w:rsidR="00233857" w:rsidRDefault="00233857" w:rsidP="00233857">
      <w:pPr>
        <w:pStyle w:val="Heading2"/>
      </w:pPr>
      <w:bookmarkStart w:id="734" w:name="_Toc31985555"/>
      <w:r>
        <w:t>Learning from the past five years</w:t>
      </w:r>
      <w:bookmarkEnd w:id="734"/>
      <w:r>
        <w:t xml:space="preserve"> </w:t>
      </w:r>
    </w:p>
    <w:p w14:paraId="5885E6A6" w14:textId="41CE8DCF" w:rsidR="00233857" w:rsidRDefault="00233857" w:rsidP="00233857">
      <w:r>
        <w:t xml:space="preserve">The delivery of water within an adaptive management framework </w:t>
      </w:r>
      <w:r w:rsidR="001E19CE">
        <w:t xml:space="preserve">during the 5 years of the </w:t>
      </w:r>
      <w:r w:rsidR="00E05711">
        <w:t>LTIM Project</w:t>
      </w:r>
      <w:r w:rsidR="001E19CE">
        <w:t xml:space="preserve"> </w:t>
      </w:r>
      <w:r>
        <w:t xml:space="preserve">has resulted in changes to the way in which environmental water is both planned and used. This has resulted in significant advances in the practise of environmental flow </w:t>
      </w:r>
      <w:r w:rsidR="006A5CCE">
        <w:t xml:space="preserve">management. This has been complemented by learning about species and community responses to water which has seen refinement in the design of watering actions. In the Lachlan River </w:t>
      </w:r>
      <w:r w:rsidR="00E714D5">
        <w:t>system,</w:t>
      </w:r>
      <w:r w:rsidR="006A5CCE">
        <w:t xml:space="preserve"> there has</w:t>
      </w:r>
      <w:r w:rsidR="00B23F41">
        <w:t xml:space="preserve"> also</w:t>
      </w:r>
      <w:r w:rsidR="006A5CCE">
        <w:t xml:space="preserve"> been investment in trialling novel approaches to monitoring </w:t>
      </w:r>
      <w:r w:rsidR="00B23F41">
        <w:t xml:space="preserve">which offer some insight to future monitoring programs. </w:t>
      </w:r>
      <w:r w:rsidR="006A5CCE">
        <w:t>T</w:t>
      </w:r>
      <w:r>
        <w:t xml:space="preserve">he key </w:t>
      </w:r>
      <w:r w:rsidR="00B23F41">
        <w:t xml:space="preserve">learnings from the five years of the program </w:t>
      </w:r>
      <w:r>
        <w:t>are highlighted in the following sections</w:t>
      </w:r>
      <w:r w:rsidR="00BF1331">
        <w:t>, as well as some of the knowledge gaps that have been identified throughout the program</w:t>
      </w:r>
      <w:r>
        <w:t>.</w:t>
      </w:r>
    </w:p>
    <w:p w14:paraId="708EF784" w14:textId="64D85319" w:rsidR="00B917CD" w:rsidRDefault="00B917CD" w:rsidP="00233857">
      <w:pPr>
        <w:pStyle w:val="Heading3"/>
      </w:pPr>
      <w:bookmarkStart w:id="735" w:name="_Toc31985556"/>
      <w:r>
        <w:t>Delivering water for native fish</w:t>
      </w:r>
      <w:bookmarkEnd w:id="735"/>
    </w:p>
    <w:p w14:paraId="15B839EF" w14:textId="6FAB8443" w:rsidR="00B917CD" w:rsidRDefault="00B917CD" w:rsidP="00B917CD">
      <w:r>
        <w:t xml:space="preserve">Supporting native fish in </w:t>
      </w:r>
      <w:r w:rsidR="002E75C6">
        <w:t>the Lachlan river</w:t>
      </w:r>
      <w:r>
        <w:t xml:space="preserve"> system has been a major focus</w:t>
      </w:r>
      <w:r w:rsidR="002E75C6">
        <w:t xml:space="preserve"> of environmental water delivery over the past five years. W</w:t>
      </w:r>
      <w:r>
        <w:t xml:space="preserve">ater </w:t>
      </w:r>
      <w:r w:rsidR="002E75C6">
        <w:t xml:space="preserve">has </w:t>
      </w:r>
      <w:r w:rsidR="00E851B0">
        <w:t xml:space="preserve">been </w:t>
      </w:r>
      <w:r>
        <w:t>delivered to support fish outcomes, either directly (through the provision of spawning flows</w:t>
      </w:r>
      <w:r w:rsidR="002E75C6">
        <w:t>) or indirectly (through improvements to water quality or habitat access) in every year of the program.</w:t>
      </w:r>
    </w:p>
    <w:p w14:paraId="05723375" w14:textId="5E7E54AD" w:rsidR="00B917CD" w:rsidRDefault="00B53A79" w:rsidP="00B53A79">
      <w:pPr>
        <w:pStyle w:val="Heading4"/>
      </w:pPr>
      <w:r>
        <w:t xml:space="preserve">Golden Perch </w:t>
      </w:r>
    </w:p>
    <w:p w14:paraId="08663B0C" w14:textId="77777777" w:rsidR="008B0E35" w:rsidRDefault="00B53A79" w:rsidP="00B53A79">
      <w:pPr>
        <w:rPr>
          <w:lang w:eastAsia="x-none"/>
        </w:rPr>
      </w:pPr>
      <w:r>
        <w:t>A specific objective of the</w:t>
      </w:r>
      <w:r w:rsidRPr="005D179D">
        <w:t xml:space="preserve"> 2015-16 watering actions </w:t>
      </w:r>
      <w:r>
        <w:t xml:space="preserve">was to trial the </w:t>
      </w:r>
      <w:r>
        <w:rPr>
          <w:rFonts w:eastAsia="Cambria"/>
        </w:rPr>
        <w:t xml:space="preserve">augmentation of flows in the expectation that this would trigger a golden perch movement and spawning response. </w:t>
      </w:r>
      <w:r>
        <w:rPr>
          <w:lang w:val="en-GB"/>
        </w:rPr>
        <w:t xml:space="preserve">There was no evidence of golden perch spawning </w:t>
      </w:r>
      <w:r w:rsidR="009A40E1">
        <w:rPr>
          <w:lang w:val="en-GB"/>
        </w:rPr>
        <w:t>between</w:t>
      </w:r>
      <w:r>
        <w:rPr>
          <w:lang w:val="en-GB"/>
        </w:rPr>
        <w:t xml:space="preserve"> September </w:t>
      </w:r>
      <w:r w:rsidR="009A40E1">
        <w:rPr>
          <w:lang w:val="en-GB"/>
        </w:rPr>
        <w:t xml:space="preserve">and </w:t>
      </w:r>
      <w:r>
        <w:rPr>
          <w:lang w:val="en-GB"/>
        </w:rPr>
        <w:t xml:space="preserve">December 2015 in response to the targeted flow releases, and no young-of-year sampled in the LTIM fish community surveys in 2015–16. </w:t>
      </w:r>
      <w:r>
        <w:t xml:space="preserve">This was </w:t>
      </w:r>
      <w:r w:rsidR="001E19CE">
        <w:t>despite</w:t>
      </w:r>
      <w:r>
        <w:t xml:space="preserve"> observations by </w:t>
      </w:r>
      <w:r w:rsidRPr="002E6686">
        <w:rPr>
          <w:lang w:eastAsia="x-none"/>
        </w:rPr>
        <w:t xml:space="preserve">researchers from the University of Canberra </w:t>
      </w:r>
      <w:r>
        <w:rPr>
          <w:lang w:eastAsia="x-none"/>
        </w:rPr>
        <w:t xml:space="preserve">that </w:t>
      </w:r>
      <w:r w:rsidRPr="002E6686">
        <w:rPr>
          <w:lang w:eastAsia="x-none"/>
        </w:rPr>
        <w:t xml:space="preserve">golden perch captured </w:t>
      </w:r>
      <w:r w:rsidR="001E19CE">
        <w:rPr>
          <w:lang w:eastAsia="x-none"/>
        </w:rPr>
        <w:t>within the t</w:t>
      </w:r>
    </w:p>
    <w:p w14:paraId="7311715D" w14:textId="5C24BCA7" w:rsidR="00B53A79" w:rsidRDefault="001E19CE" w:rsidP="00B53A79">
      <w:pPr>
        <w:rPr>
          <w:lang w:eastAsia="x-none"/>
        </w:rPr>
      </w:pPr>
      <w:r>
        <w:rPr>
          <w:lang w:eastAsia="x-none"/>
        </w:rPr>
        <w:t>arget reach</w:t>
      </w:r>
      <w:r w:rsidR="00B53A79" w:rsidRPr="002E6686">
        <w:rPr>
          <w:lang w:eastAsia="x-none"/>
        </w:rPr>
        <w:t xml:space="preserve"> </w:t>
      </w:r>
      <w:r w:rsidR="009A40E1">
        <w:rPr>
          <w:lang w:eastAsia="x-none"/>
        </w:rPr>
        <w:t>in mid-</w:t>
      </w:r>
      <w:r w:rsidR="00B53A79" w:rsidRPr="002E6686">
        <w:rPr>
          <w:lang w:eastAsia="x-none"/>
        </w:rPr>
        <w:t>October were primed for spawning.</w:t>
      </w:r>
    </w:p>
    <w:p w14:paraId="56B6380F" w14:textId="0EA5FC8A" w:rsidR="009A40E1" w:rsidRDefault="009A40E1" w:rsidP="00B53A79">
      <w:r>
        <w:t xml:space="preserve">It </w:t>
      </w:r>
      <w:r w:rsidR="001E19CE">
        <w:t xml:space="preserve">is </w:t>
      </w:r>
      <w:r>
        <w:t>suggested that the lack of golden perch spawning may be a result of the timing of the watering action in relation to water temperatures and a series of recommendations were provided in relation to subsequent efforts to support golden perch spawning in the catchment. These included</w:t>
      </w:r>
      <w:r w:rsidR="001E19CE">
        <w:t>:</w:t>
      </w:r>
    </w:p>
    <w:p w14:paraId="279172A4" w14:textId="6ADFBCB4" w:rsidR="009A40E1" w:rsidRPr="001B0FC1" w:rsidRDefault="009A40E1" w:rsidP="00D437E3">
      <w:pPr>
        <w:numPr>
          <w:ilvl w:val="0"/>
          <w:numId w:val="20"/>
        </w:numPr>
        <w:rPr>
          <w:lang w:val="en-GB" w:eastAsia="x-none"/>
        </w:rPr>
      </w:pPr>
      <w:r>
        <w:t xml:space="preserve">Make use of translucent flows to prime the fish to move and spawn (based on </w:t>
      </w:r>
      <w:r w:rsidRPr="00945896">
        <w:t xml:space="preserve">observations of ripe golden perch at the end of the 2015 </w:t>
      </w:r>
      <w:r>
        <w:t>translucent</w:t>
      </w:r>
      <w:r w:rsidRPr="00945896">
        <w:t xml:space="preserve"> flows)</w:t>
      </w:r>
      <w:r>
        <w:t xml:space="preserve">. Depending on the duration of the translucent flows, provide subsequent releases to give </w:t>
      </w:r>
      <w:r w:rsidR="001E19CE">
        <w:t>a</w:t>
      </w:r>
      <w:r>
        <w:t xml:space="preserve"> second peak of the hydrograph expected to result in spawning.</w:t>
      </w:r>
    </w:p>
    <w:p w14:paraId="11E7B33B" w14:textId="4982985D" w:rsidR="009A40E1" w:rsidRPr="00A73CAF" w:rsidRDefault="009A40E1" w:rsidP="00D437E3">
      <w:pPr>
        <w:numPr>
          <w:ilvl w:val="0"/>
          <w:numId w:val="20"/>
        </w:numPr>
        <w:rPr>
          <w:lang w:val="en-GB" w:eastAsia="x-none"/>
        </w:rPr>
      </w:pPr>
      <w:r w:rsidRPr="00945896">
        <w:rPr>
          <w:lang w:val="en-GB" w:eastAsia="x-none"/>
        </w:rPr>
        <w:t>Where possible, use a combination of tributary inflow triggers and temperature triggers</w:t>
      </w:r>
      <w:r>
        <w:rPr>
          <w:lang w:val="en-GB" w:eastAsia="x-none"/>
        </w:rPr>
        <w:t xml:space="preserve"> to define the timing of the </w:t>
      </w:r>
      <w:r w:rsidR="001E19CE">
        <w:rPr>
          <w:lang w:val="en-GB" w:eastAsia="x-none"/>
        </w:rPr>
        <w:t xml:space="preserve">spawning </w:t>
      </w:r>
      <w:r>
        <w:rPr>
          <w:lang w:val="en-GB" w:eastAsia="x-none"/>
        </w:rPr>
        <w:t>flows</w:t>
      </w:r>
      <w:r w:rsidRPr="00945896">
        <w:rPr>
          <w:lang w:val="en-GB" w:eastAsia="x-none"/>
        </w:rPr>
        <w:t>.</w:t>
      </w:r>
      <w:r>
        <w:rPr>
          <w:lang w:val="en-GB" w:eastAsia="x-none"/>
        </w:rPr>
        <w:t xml:space="preserve"> </w:t>
      </w:r>
      <w:r>
        <w:t>This would require a more responsive approach to delivering Commonwealth environmental water than was possible in 2015-16</w:t>
      </w:r>
      <w:r w:rsidR="004F269C">
        <w:t>.</w:t>
      </w:r>
      <w:r>
        <w:t xml:space="preserve"> </w:t>
      </w:r>
    </w:p>
    <w:p w14:paraId="321C1196" w14:textId="0C31B400" w:rsidR="00A73CAF" w:rsidRPr="00945896" w:rsidRDefault="00A73CAF" w:rsidP="00A73CAF">
      <w:pPr>
        <w:rPr>
          <w:lang w:val="en-GB" w:eastAsia="x-none"/>
        </w:rPr>
      </w:pPr>
      <w:r>
        <w:t>Water has not been used in subsequent years to support golden perch spawning, however, collaborative, proactive processes have been put in place to enable a far more responsive approach to delivering watering actions that would enable more effective delivery of water in the future.</w:t>
      </w:r>
    </w:p>
    <w:p w14:paraId="2F834751" w14:textId="2AD9D941" w:rsidR="00B53A79" w:rsidRDefault="00B73E24" w:rsidP="00B73E24">
      <w:pPr>
        <w:pStyle w:val="Heading4"/>
      </w:pPr>
      <w:r>
        <w:t>Murray cod</w:t>
      </w:r>
    </w:p>
    <w:p w14:paraId="287FEB20" w14:textId="56F4051C" w:rsidR="008F238F" w:rsidRDefault="008F238F" w:rsidP="008F238F">
      <w:pPr>
        <w:rPr>
          <w:lang w:val="en-GB"/>
        </w:rPr>
      </w:pPr>
      <w:r>
        <w:rPr>
          <w:lang w:eastAsia="x-none"/>
        </w:rPr>
        <w:t xml:space="preserve">Over the last two years of the </w:t>
      </w:r>
      <w:r w:rsidR="00E05711">
        <w:rPr>
          <w:lang w:eastAsia="x-none"/>
        </w:rPr>
        <w:t>LTIM Project</w:t>
      </w:r>
      <w:r>
        <w:rPr>
          <w:lang w:eastAsia="x-none"/>
        </w:rPr>
        <w:t xml:space="preserve"> there have been watering actions targeted at supporting the spawning and recruitment of Murray cod and providing increased instream productivity that would support native fish communities. While the adult fish community remains in poor condition, the watering actions have provided conditions that have been suitable for increases in spawning and subsequent recruitment of Murray cod in both 2017-18 and 2018-19. </w:t>
      </w:r>
      <w:r>
        <w:t xml:space="preserve">In 2017-18, Commonwealth environmental water was used in the lower Lachlan to maintain water levels at 1400 ML/day in the mid Lachlan and 450 ML/day in the lower Lachlan. This was part of a strategy of minimising water level fluctuations during the key Murray cod breeding season to prevent nest abandonment or possible exposure of nests. This strategy was successful in preventing sudden decreases in water levels but was costly in water use (total use 31, 500 ML). While there was </w:t>
      </w:r>
      <w:r>
        <w:rPr>
          <w:lang w:val="en-GB"/>
        </w:rPr>
        <w:t xml:space="preserve">some evidence that the water management strategy may have influenced spawning and larval survival, the limited data (no data were collected from the mid Lachlan) meant it was difficult to attribute outcomes to water use. </w:t>
      </w:r>
      <w:r>
        <w:t xml:space="preserve">In 2018-19, the watering strategy was refined. Commonwealth environmental water was used to prevent water levels dropping below 800 ML/day in the mid Lachlan and were re-regulated to provide flow variability in the lower Lachlan. The strategy employed in 2018-19 (a hydrological ‘floor’) is far less water intensive (using only 2,032 ML) than the strategy employed in 2017-19 (a hydrological ‘roof’). </w:t>
      </w:r>
      <w:r w:rsidRPr="00386813">
        <w:t>Both strategies have supported Murray cod spawning and recruitment to juveniles.</w:t>
      </w:r>
    </w:p>
    <w:p w14:paraId="4E6C02F7" w14:textId="4DEBFAAA" w:rsidR="008F238F" w:rsidRPr="00F32976" w:rsidRDefault="008F238F" w:rsidP="008F238F">
      <w:pPr>
        <w:spacing w:after="200"/>
      </w:pPr>
      <w:r>
        <w:t>While there are several confounding factors that prevent direct comparison of the approaches in the mid Lachlan, it would appear that spawning in the lower Lachlan was not adversely affected by the series of small freshes in 2018-19 compared with the more stable water levels in 2017-18. The additional productivity benefit from the small freshes in the lower Lachlan would suggest that providing small freshes benefits more than Murray cod and is therefore a better use of environmental water than keeping the water level more constant. These small freshes may also have provided opportunities for movement prior to spawning. Given the improvements in Murray cod populations over the past 2 years, these watering actions should be considered exemplars for</w:t>
      </w:r>
      <w:r w:rsidRPr="00F32976">
        <w:t xml:space="preserve"> facilitating the movement of pre-spawning fish and maintaining spawning habitat during nesting periods to prevent rapid water level drops and nest abandonment or desiccation</w:t>
      </w:r>
      <w:r>
        <w:t xml:space="preserve"> in the lower Lachlan</w:t>
      </w:r>
      <w:r w:rsidRPr="00F32976">
        <w:t>.</w:t>
      </w:r>
    </w:p>
    <w:p w14:paraId="20BA9D7E" w14:textId="4EA219C8" w:rsidR="008F238F" w:rsidRDefault="008F238F" w:rsidP="008F238F">
      <w:r>
        <w:t xml:space="preserve">While the small freshes that were delivered in the lower Lachlan appear to have been beneficial for Murray cod spawning and recruitment, caution should be exercised in directly translating the regime to the mid Lachlan. The water level changes that occur because of operational deliveries in the mid Lachlan are often considerably more rapid than would have occurred under natural conditions. Thus, there is sound conceptual basis for preventing rapid water level drops to prevent nest abandonment or desiccation. However, it is unlikely that the small water level drops (between 0.08 and 0.25 m) prevented by the 800 ML/day ‘floor’ in 2018-19 would have made any difference to spawning in the mid Lachlan and we lack data for 2017-18 to be able to compare outcomes. Future strategies for managing water levels in the mid Lachlan should revisit the concept of a fixed floor in light of understanding critical nesting habitat in relation to water level and consider modifying rates of change rather than fixed water levels. These would need to be informed by additional data from the mid Lachlan River. </w:t>
      </w:r>
    </w:p>
    <w:p w14:paraId="3229B57A" w14:textId="4CB5FCDE" w:rsidR="008403A9" w:rsidRDefault="008403A9" w:rsidP="008403A9">
      <w:pPr>
        <w:pStyle w:val="Heading4"/>
      </w:pPr>
      <w:r>
        <w:rPr>
          <w:lang w:val="en-US"/>
        </w:rPr>
        <w:t>Carp</w:t>
      </w:r>
    </w:p>
    <w:p w14:paraId="662C22E6" w14:textId="0BB897ED" w:rsidR="008403A9" w:rsidRDefault="008403A9" w:rsidP="008F238F">
      <w:pPr>
        <w:rPr>
          <w:lang w:val="en-GB"/>
        </w:rPr>
      </w:pPr>
      <w:r>
        <w:rPr>
          <w:lang w:val="en-GB"/>
        </w:rPr>
        <w:t xml:space="preserve">The delivery of environmental water in warmer months to support native fish species runs the risk of promoting a </w:t>
      </w:r>
      <w:r w:rsidRPr="008403A9">
        <w:rPr>
          <w:lang w:val="en-GB"/>
        </w:rPr>
        <w:t>common carp spawning event</w:t>
      </w:r>
      <w:r>
        <w:rPr>
          <w:lang w:val="en-GB"/>
        </w:rPr>
        <w:t xml:space="preserve">. To mitigate this risk, the use of Commonwealth environmental water for native fish outcomes has been confined to in-channel flows and has not inundated wetlands. This was a successful approach in 2014-15, 2017-18 and 2018-19 with low levels of common carp spawning detected in these years and </w:t>
      </w:r>
      <w:r w:rsidR="00B53A79">
        <w:rPr>
          <w:lang w:val="en-GB"/>
        </w:rPr>
        <w:t>minimising connections with wetlands during warmer months</w:t>
      </w:r>
      <w:r>
        <w:rPr>
          <w:lang w:val="en-GB"/>
        </w:rPr>
        <w:t xml:space="preserve"> remains a strategy</w:t>
      </w:r>
      <w:r w:rsidR="00B53A79">
        <w:rPr>
          <w:lang w:val="en-GB"/>
        </w:rPr>
        <w:t xml:space="preserve"> that continues to be used within the catchment</w:t>
      </w:r>
      <w:r>
        <w:rPr>
          <w:lang w:val="en-GB"/>
        </w:rPr>
        <w:t xml:space="preserve">. </w:t>
      </w:r>
    </w:p>
    <w:p w14:paraId="676CCA02" w14:textId="68C1667F" w:rsidR="008403A9" w:rsidRDefault="008403A9" w:rsidP="008F238F">
      <w:pPr>
        <w:rPr>
          <w:lang w:val="en-GB"/>
        </w:rPr>
      </w:pPr>
      <w:r>
        <w:rPr>
          <w:lang w:val="en-GB"/>
        </w:rPr>
        <w:t xml:space="preserve">Environmental watering was complicated in 2015-16 with the release of translucent flows under the NSW Water Sharing Plan. These </w:t>
      </w:r>
      <w:r w:rsidR="00B53A79">
        <w:rPr>
          <w:lang w:val="en-GB"/>
        </w:rPr>
        <w:t>releases resulted in short term connections between wetlands and the main channel. While carp spawning was observed in the connected wetlands 2015-16, carp spawning in the monitored reach remained low suggesting that the response within the wetlands did not translate to the main channel. This supported the strategy of minimising connections with the wetlands to prevent environmental water from generating carp.</w:t>
      </w:r>
    </w:p>
    <w:p w14:paraId="72F42E4A" w14:textId="18608E3C" w:rsidR="004F269C" w:rsidRPr="009A40E1" w:rsidRDefault="004F269C" w:rsidP="004F269C">
      <w:pPr>
        <w:pStyle w:val="Heading4"/>
      </w:pPr>
      <w:r>
        <w:t>Addressing questions of growth and survival</w:t>
      </w:r>
    </w:p>
    <w:p w14:paraId="79457004" w14:textId="36F3B9EF" w:rsidR="00E851B0" w:rsidRDefault="00E851B0" w:rsidP="008F238F">
      <w:pPr>
        <w:rPr>
          <w:lang w:val="en-GB"/>
        </w:rPr>
      </w:pPr>
      <w:r w:rsidRPr="004F269C">
        <w:rPr>
          <w:lang w:val="en-GB"/>
        </w:rPr>
        <w:t xml:space="preserve">The project team’s capacity to determine growth and survival of larval native fish is limited by only having estimates of age:length ratios for the target species based on limited published studies. Daily aging of at least a subset of species </w:t>
      </w:r>
      <w:r w:rsidR="004F269C">
        <w:rPr>
          <w:lang w:val="en-GB"/>
        </w:rPr>
        <w:t>was</w:t>
      </w:r>
      <w:r w:rsidRPr="004F269C">
        <w:rPr>
          <w:lang w:val="en-GB"/>
        </w:rPr>
        <w:t xml:space="preserve"> recommended to be able to calculate age:length ratios (to be able to determine and compare growth and survival between years) and to accurately estimate spawning date. </w:t>
      </w:r>
      <w:r w:rsidR="008F238F">
        <w:rPr>
          <w:lang w:val="en-GB"/>
        </w:rPr>
        <w:t>To include learning here from doing this in 2018-19 but the data are currently being revisited following QA/QC.</w:t>
      </w:r>
    </w:p>
    <w:p w14:paraId="2900C9E1" w14:textId="3F646759" w:rsidR="00C2684E" w:rsidRDefault="00C2684E" w:rsidP="00C2684E">
      <w:pPr>
        <w:pStyle w:val="Heading3"/>
      </w:pPr>
      <w:bookmarkStart w:id="736" w:name="_Toc31985557"/>
      <w:r>
        <w:t>Delivering water for stream productivity</w:t>
      </w:r>
      <w:bookmarkEnd w:id="736"/>
    </w:p>
    <w:p w14:paraId="14F2E183" w14:textId="707E8096" w:rsidR="0037521D" w:rsidRDefault="0037521D" w:rsidP="00C2684E">
      <w:pPr>
        <w:rPr>
          <w:lang w:eastAsia="x-none"/>
        </w:rPr>
      </w:pPr>
      <w:r>
        <w:rPr>
          <w:lang w:eastAsia="x-none"/>
        </w:rPr>
        <w:t>Stream productivity responses have been either an implied or an explicit objective of providing freshes into the lower Lachlan river system over the past five years.</w:t>
      </w:r>
    </w:p>
    <w:p w14:paraId="09DD8765" w14:textId="3642D029" w:rsidR="00C2684E" w:rsidRDefault="0037521D" w:rsidP="00C2684E">
      <w:pPr>
        <w:rPr>
          <w:lang w:eastAsia="x-none"/>
        </w:rPr>
      </w:pPr>
      <w:r>
        <w:rPr>
          <w:lang w:eastAsia="x-none"/>
        </w:rPr>
        <w:t>Our data have shown that while n</w:t>
      </w:r>
      <w:r w:rsidR="00C2684E">
        <w:rPr>
          <w:lang w:eastAsia="x-none"/>
        </w:rPr>
        <w:t xml:space="preserve">atural flow variability is the dominant driver of patterns of water quality and stream metabolism in the Lachlan River, environmental water can generate smaller, but ecologically meaningful responses. The effects of environmental water are likely to be more important in dryer years (e.g. 2014-15), where carbon has accumulated on banks and in flood runners. In relatively wet years, such as occurred in 2016-17, metabolism responses to environmental flows are likely to be small relative to natural variability.  </w:t>
      </w:r>
    </w:p>
    <w:p w14:paraId="44C3C936" w14:textId="0A61DFB5" w:rsidR="00A34333" w:rsidRDefault="00A34333" w:rsidP="00A34333">
      <w:r>
        <w:rPr>
          <w:lang w:eastAsia="x-none"/>
        </w:rPr>
        <w:t xml:space="preserve">The greatest productivity responses have been observed when freshes have been provided when </w:t>
      </w:r>
      <w:r>
        <w:t xml:space="preserve">associated with warmer water conditions. Pulses in productivity have been observed from both environmental water and from variable water levels associated with meeting other demands for water. </w:t>
      </w:r>
      <w:r w:rsidR="00B73E24">
        <w:t>The use of Commonwealth environmental water in 2017-18</w:t>
      </w:r>
      <w:r>
        <w:t xml:space="preserve"> and 2018-19 during cooler months</w:t>
      </w:r>
      <w:r w:rsidR="00B73E24" w:rsidRPr="00131F12">
        <w:t xml:space="preserve"> </w:t>
      </w:r>
      <w:r>
        <w:t xml:space="preserve">generated a spatially variable, transient pulse </w:t>
      </w:r>
      <w:r w:rsidR="00B73E24" w:rsidRPr="00131F12">
        <w:t>of in-stream productivity that is likely to have benefited higher consumers.</w:t>
      </w:r>
      <w:r w:rsidR="00B73E24">
        <w:t xml:space="preserve"> </w:t>
      </w:r>
      <w:r>
        <w:t xml:space="preserve">While providing environmental flows during cooler periods does not produce a large productivity response, providing resources at this time may ‘prime’ ecosystems and contribute to fish condition, allowing for more rapid and larger responses to spring flows in the subsequent year. </w:t>
      </w:r>
    </w:p>
    <w:p w14:paraId="46C8DA2C" w14:textId="0EEA8A64" w:rsidR="0037521D" w:rsidRDefault="0037521D" w:rsidP="0037521D">
      <w:pPr>
        <w:rPr>
          <w:lang w:eastAsia="x-none"/>
        </w:rPr>
      </w:pPr>
      <w:r>
        <w:t xml:space="preserve">While these patterns in stream metabolism have emerged, the responses tend to be spatially and temporally variable. It has been recommended that </w:t>
      </w:r>
      <w:r w:rsidRPr="00367916">
        <w:t>high</w:t>
      </w:r>
      <w:r>
        <w:t>-</w:t>
      </w:r>
      <w:r w:rsidRPr="00367916">
        <w:t xml:space="preserve">resolution habitat mapping </w:t>
      </w:r>
      <w:r>
        <w:t xml:space="preserve">would provide </w:t>
      </w:r>
      <w:r w:rsidRPr="00367916">
        <w:t>an opportunity to examine the water level rises in relation to the inundation of channel features and may inform future flows targeting ecosystem responses through inundation of these features.</w:t>
      </w:r>
    </w:p>
    <w:p w14:paraId="5EE88E56" w14:textId="2CC5A61D" w:rsidR="00A34333" w:rsidRDefault="00A34333" w:rsidP="00A34333">
      <w:pPr>
        <w:rPr>
          <w:lang w:eastAsia="x-none"/>
        </w:rPr>
      </w:pPr>
      <w:r>
        <w:t xml:space="preserve">Our data indicates that </w:t>
      </w:r>
      <w:r>
        <w:rPr>
          <w:lang w:eastAsia="x-none"/>
        </w:rPr>
        <w:t>t</w:t>
      </w:r>
      <w:r>
        <w:t>he strategy of providing flows to generate productivity responses to support fish larvae and to improve food availability is realistic.</w:t>
      </w:r>
      <w:r>
        <w:rPr>
          <w:lang w:eastAsia="x-none"/>
        </w:rPr>
        <w:t xml:space="preserve"> In 2018-19, the watering actions contributed to pulses of instream productivity at the same time that small bodied native fish and Murray cod were spawning. Flatheaded gudgeon appear to have responded well to these conditions in the lower river suggesting that the strategy of managing Commonwealth environmental water to generate a number of small freshes has had benefit and should be considered in future years to continue to support in-stream production and native fish recruitment. </w:t>
      </w:r>
    </w:p>
    <w:p w14:paraId="17442701" w14:textId="17F97772" w:rsidR="004F269C" w:rsidRPr="00030C6B" w:rsidRDefault="004F269C" w:rsidP="004F269C">
      <w:pPr>
        <w:pStyle w:val="Heading3"/>
      </w:pPr>
      <w:bookmarkStart w:id="737" w:name="_Toc31985558"/>
      <w:r>
        <w:rPr>
          <w:lang w:val="en-US"/>
        </w:rPr>
        <w:t xml:space="preserve">Delivering </w:t>
      </w:r>
      <w:r w:rsidR="00A133E8">
        <w:rPr>
          <w:lang w:val="en-US"/>
        </w:rPr>
        <w:t>w</w:t>
      </w:r>
      <w:r>
        <w:rPr>
          <w:lang w:val="en-US"/>
        </w:rPr>
        <w:t>ater for vegetation</w:t>
      </w:r>
      <w:bookmarkEnd w:id="737"/>
      <w:r>
        <w:t xml:space="preserve"> </w:t>
      </w:r>
    </w:p>
    <w:p w14:paraId="47B90B7E" w14:textId="20CB2834" w:rsidR="00D077F1" w:rsidRDefault="00D077F1" w:rsidP="00D077F1">
      <w:r>
        <w:t xml:space="preserve">Wetland vegetation outcomes have been the target of environmental water in three of the five years of the </w:t>
      </w:r>
      <w:r w:rsidR="00E05711">
        <w:t>LTIM Project</w:t>
      </w:r>
      <w:r>
        <w:t>. Objectives have not been specific, and water has been delivered as end of system flows</w:t>
      </w:r>
      <w:r w:rsidR="00482D60">
        <w:t xml:space="preserve"> to ‘provide water’ to the </w:t>
      </w:r>
      <w:r w:rsidR="00D648DF">
        <w:t xml:space="preserve">Great </w:t>
      </w:r>
      <w:r w:rsidR="00482D60">
        <w:t>Cumbung Swamp and to Booligal wetlands.</w:t>
      </w:r>
    </w:p>
    <w:p w14:paraId="6AC9D435" w14:textId="1E456ECD" w:rsidR="00482D60" w:rsidRDefault="00482D60" w:rsidP="00482D60">
      <w:r w:rsidRPr="00924476">
        <w:t xml:space="preserve">The floodplain and wetland vegetation communities of the Lower Lachlan river system </w:t>
      </w:r>
      <w:r>
        <w:t xml:space="preserve">naturally </w:t>
      </w:r>
      <w:r w:rsidRPr="00924476">
        <w:t xml:space="preserve">display sequences of dry and wet phases depending on </w:t>
      </w:r>
      <w:r>
        <w:t>the prevailing weather</w:t>
      </w:r>
      <w:r w:rsidRPr="00924476">
        <w:t xml:space="preserve"> conditions</w:t>
      </w:r>
      <w:r>
        <w:t>. Our monitoring data indicates that one of the stronger drivers of the species assemblages over the past 5 years has been the annual weather conditions</w:t>
      </w:r>
      <w:r w:rsidR="000F3D5E">
        <w:t>. Inundation contributes to the species assemblages, and we have shown that Commonwealth environmental water can be used to produce native amphibious plants</w:t>
      </w:r>
      <w:r>
        <w:t xml:space="preserve"> </w:t>
      </w:r>
      <w:r w:rsidR="000F3D5E">
        <w:t>in the river system.</w:t>
      </w:r>
    </w:p>
    <w:p w14:paraId="1DA8A32C" w14:textId="45EF500A" w:rsidR="00B73E24" w:rsidRDefault="000F3D5E" w:rsidP="000F3D5E">
      <w:r>
        <w:rPr>
          <w:lang w:val="en-GB"/>
        </w:rPr>
        <w:t xml:space="preserve">The greatest challenge in delivering water for vegetation outcomes is the lack of specific </w:t>
      </w:r>
      <w:r w:rsidR="00B73E24">
        <w:t>objectives for vegetation outcomes within the catchment</w:t>
      </w:r>
      <w:r>
        <w:t xml:space="preserve">. </w:t>
      </w:r>
      <w:r w:rsidR="00B73E24">
        <w:t xml:space="preserve">It </w:t>
      </w:r>
      <w:r>
        <w:t>has been</w:t>
      </w:r>
      <w:r w:rsidR="00B73E24">
        <w:t xml:space="preserve"> recommended that </w:t>
      </w:r>
      <w:r w:rsidR="00B73E24" w:rsidRPr="00924476">
        <w:t xml:space="preserve">specific outcomes for flows provided to vegetation sites </w:t>
      </w:r>
      <w:r w:rsidR="00B73E24">
        <w:t xml:space="preserve">be developed </w:t>
      </w:r>
      <w:r w:rsidR="00B73E24" w:rsidRPr="00924476">
        <w:t xml:space="preserve">that include details on intended timing, duration and depth of inundation and how these elements are required for the vegetation outcomes being targeted. </w:t>
      </w:r>
    </w:p>
    <w:p w14:paraId="49BF2EA3" w14:textId="76BBCC5B" w:rsidR="001E1656" w:rsidRDefault="001E1656" w:rsidP="001E1656">
      <w:pPr>
        <w:pStyle w:val="Heading3"/>
      </w:pPr>
      <w:bookmarkStart w:id="738" w:name="_Toc31985559"/>
      <w:r>
        <w:t xml:space="preserve">Delivering water for </w:t>
      </w:r>
      <w:r w:rsidR="00CD4DB2">
        <w:rPr>
          <w:lang w:val="en-US"/>
        </w:rPr>
        <w:t>water dependent vertebrates</w:t>
      </w:r>
      <w:bookmarkEnd w:id="738"/>
    </w:p>
    <w:p w14:paraId="561CA8AA" w14:textId="126A5D61" w:rsidR="000F3D5E" w:rsidRDefault="000F3D5E" w:rsidP="000F3D5E">
      <w:pPr>
        <w:rPr>
          <w:lang w:val="en-US" w:eastAsia="x-none"/>
        </w:rPr>
      </w:pPr>
      <w:r>
        <w:rPr>
          <w:lang w:val="en-US" w:eastAsia="x-none"/>
        </w:rPr>
        <w:t xml:space="preserve">Environmental water has been delivered to provide access to habitat for water dependent vertebrates. Water has been provided specifically to target waterbirds in one of the five years of the </w:t>
      </w:r>
      <w:r w:rsidR="00E05711">
        <w:rPr>
          <w:lang w:val="en-US" w:eastAsia="x-none"/>
        </w:rPr>
        <w:t>LTIM Project</w:t>
      </w:r>
      <w:r>
        <w:rPr>
          <w:lang w:val="en-US" w:eastAsia="x-none"/>
        </w:rPr>
        <w:t>.</w:t>
      </w:r>
    </w:p>
    <w:p w14:paraId="3775F5A0" w14:textId="62D960C8" w:rsidR="00B73E24" w:rsidRPr="00B6622E" w:rsidRDefault="00B73E24" w:rsidP="00CD4DB2">
      <w:pPr>
        <w:rPr>
          <w:lang w:eastAsia="x-none"/>
        </w:rPr>
      </w:pPr>
      <w:r w:rsidRPr="00CD4DB2">
        <w:rPr>
          <w:shd w:val="clear" w:color="auto" w:fill="FFFFFF"/>
        </w:rPr>
        <w:t xml:space="preserve">The experiences of waterbird breeding in the Lachlan catchment in 2015-16 and 2016-17 highlight the importance of regional weather patterns, and the value of extensive flooding to provide foraging areas and habitat for food resources to thrive in a successful breeding event. The strategy of using Commonwealth environmental water to support breeding events once they have established (rather than trying to trigger a breeding event) is therefore </w:t>
      </w:r>
      <w:r w:rsidR="00CD4DB2">
        <w:rPr>
          <w:shd w:val="clear" w:color="auto" w:fill="FFFFFF"/>
        </w:rPr>
        <w:t>sound and continues to be the approach of the CEWO.</w:t>
      </w:r>
    </w:p>
    <w:p w14:paraId="69F1D79E" w14:textId="0D89D299" w:rsidR="004F269C" w:rsidRDefault="001E1656" w:rsidP="004F269C">
      <w:pPr>
        <w:pStyle w:val="Heading3"/>
      </w:pPr>
      <w:bookmarkStart w:id="739" w:name="_Toc31985560"/>
      <w:r>
        <w:rPr>
          <w:lang w:val="en-US"/>
        </w:rPr>
        <w:t>Informing</w:t>
      </w:r>
      <w:r w:rsidR="004F269C">
        <w:t xml:space="preserve"> water delivery</w:t>
      </w:r>
      <w:bookmarkEnd w:id="739"/>
    </w:p>
    <w:p w14:paraId="4E2F66C1" w14:textId="77777777" w:rsidR="008F238F" w:rsidRDefault="008F238F" w:rsidP="008F238F">
      <w:pPr>
        <w:pStyle w:val="Heading4"/>
      </w:pPr>
      <w:r>
        <w:t>Natural cues</w:t>
      </w:r>
    </w:p>
    <w:p w14:paraId="0B85CBDD" w14:textId="77777777" w:rsidR="008F238F" w:rsidRDefault="008F238F" w:rsidP="008F238F">
      <w:r>
        <w:t>The approach taken to delivering environmental water in 2014-15 was to rely on passing tributary inflows through the system. This resulted in a small watering action being delivered (only 5 821 ML) in late August which was not suited to encouraging spawning of flow cued fish species. While natural cues are considered to be optimal for supporting ecological outcomes they are not predictable enough to be used to support specific species. The 2014-15 experience indicated that the targeting of specific species would likely require releases from storage to generate the flow regime required by those species. The management of Commonwealth environmental water over subsequent years has relied more heavily on releases from storage, rather than waiting for tributary inflows.</w:t>
      </w:r>
    </w:p>
    <w:p w14:paraId="08C0B27B" w14:textId="211F7805" w:rsidR="001E1656" w:rsidRPr="001E1656" w:rsidRDefault="001E1656" w:rsidP="001E1656">
      <w:pPr>
        <w:pStyle w:val="Heading4"/>
      </w:pPr>
      <w:r>
        <w:t>Responsive water delivery</w:t>
      </w:r>
    </w:p>
    <w:p w14:paraId="67107D0D" w14:textId="1CC2551F" w:rsidR="000C0C6D" w:rsidRDefault="0037521D" w:rsidP="0037521D">
      <w:r>
        <w:rPr>
          <w:lang w:eastAsia="x-none"/>
        </w:rPr>
        <w:t xml:space="preserve">In 2015-16, translucent flows </w:t>
      </w:r>
      <w:r>
        <w:t xml:space="preserve">provided important late winter/spring freshes in the system, that are likely to have primed the ecological responses observed in the rivers and wetlands. </w:t>
      </w:r>
      <w:r>
        <w:rPr>
          <w:lang w:eastAsia="x-none"/>
        </w:rPr>
        <w:t>While</w:t>
      </w:r>
      <w:r w:rsidR="000C0C6D">
        <w:t xml:space="preserve"> it </w:t>
      </w:r>
      <w:r>
        <w:t xml:space="preserve">was </w:t>
      </w:r>
      <w:r w:rsidR="000C0C6D">
        <w:t xml:space="preserve">difficult to disentangle the relative effects of Commonwealth environmental water and the translucent releases, the responses observed </w:t>
      </w:r>
      <w:r>
        <w:t>were considered</w:t>
      </w:r>
      <w:r w:rsidR="000C0C6D">
        <w:t xml:space="preserve"> unlikely to have occurred with either of them on their own. Translucent releases provide advantage in being linked to natural inflows and are of sufficient magnitude to inundate and connect wetlands to the main channel. As such they provide flows that are unlikely to be able to be delivered through Commonwealth environmental watering. The use of Commonwealth water to </w:t>
      </w:r>
      <w:r>
        <w:t>capitalise on the opportunities provided by translucent flows was recommended, but the opportunity to do so has not yet arisen.</w:t>
      </w:r>
    </w:p>
    <w:p w14:paraId="7C4B2DD7" w14:textId="77777777" w:rsidR="001E1656" w:rsidRDefault="001E1656" w:rsidP="001E1656">
      <w:pPr>
        <w:pStyle w:val="Heading4"/>
      </w:pPr>
      <w:bookmarkStart w:id="740" w:name="_Toc499911969"/>
      <w:r>
        <w:t>Delivering environmental water during a flood year</w:t>
      </w:r>
      <w:bookmarkEnd w:id="740"/>
    </w:p>
    <w:p w14:paraId="6B2A926E" w14:textId="35EC2259" w:rsidR="001E1656" w:rsidRDefault="001E1656" w:rsidP="001E1656">
      <w:r>
        <w:t xml:space="preserve">In 2016-17 the Lower Lachlan river system was in flood. This meant that the approach to delivering Commonwealth environmental water changed from the traditional approach of adding missing elements of the hydrological regime to achieve environmental outcomes. Instead the management of Commonwealth water was in response to conditions in the river and the ecological responses observed. The aim was to capitalise on the natural flood event and protect vulnerable ecosystem attributes from the effects of a flood under highly managed conditions. This meant that environmental water was used to modify the outcome of the operation of Wyangala Dam once flood operations ceased. The positive outcomes achieved with the management of environmental water in 2016-17 provided evidence of the success of this approach when the system is in flood. </w:t>
      </w:r>
    </w:p>
    <w:p w14:paraId="5B407394" w14:textId="1CE59902" w:rsidR="001E1656" w:rsidRDefault="001E1656" w:rsidP="001E1656">
      <w:pPr>
        <w:rPr>
          <w:lang w:eastAsia="x-none"/>
        </w:rPr>
      </w:pPr>
      <w:r>
        <w:t xml:space="preserve">While the benefits of the first </w:t>
      </w:r>
      <w:r w:rsidR="007074A3">
        <w:t xml:space="preserve">2016-17 </w:t>
      </w:r>
      <w:r>
        <w:t xml:space="preserve">watering action for dissolved oxygen concentrations in the monitored reach are not clear, the improvements in the target reach (mid Lachlan) mean that the </w:t>
      </w:r>
      <w:r w:rsidRPr="006A7DDC">
        <w:t>p</w:t>
      </w:r>
      <w:r w:rsidRPr="006A7DDC">
        <w:rPr>
          <w:lang w:eastAsia="x-none"/>
        </w:rPr>
        <w:t>rovision of environmental water to manage dissolved oxygen on the receding limb of natural flow events, particularly where they occur in summer, is a valid management option with potential benefits.</w:t>
      </w:r>
    </w:p>
    <w:p w14:paraId="529EEB14" w14:textId="22762677" w:rsidR="001E1656" w:rsidRDefault="001E1656" w:rsidP="001E1656">
      <w:r w:rsidRPr="00381F60">
        <w:t xml:space="preserve">The provision of water to support the Blockbank </w:t>
      </w:r>
      <w:r>
        <w:t xml:space="preserve">waterbird </w:t>
      </w:r>
      <w:r w:rsidRPr="00381F60">
        <w:t>colony was successful in achieving the goals of supporting a breeding event. Commonwealth environmental water contributed to the completion of nesting (prevented abandonment due to falling water levels) and provided suitable habitat in which chicks could be raised and successfully fledged.</w:t>
      </w:r>
      <w:r>
        <w:t xml:space="preserve"> This ‘event’ demonstrates the value of cleverly managing water within the constraints of the system with a long lead time for delivering water. The combination of managing infrastructure, redirecting environmental water and delivering water generated successful outcomes. </w:t>
      </w:r>
    </w:p>
    <w:p w14:paraId="77B869AD" w14:textId="04F02A52" w:rsidR="001E1656" w:rsidRDefault="005F35AF" w:rsidP="005F35AF">
      <w:r>
        <w:t>A number of</w:t>
      </w:r>
      <w:r w:rsidR="001E1656">
        <w:t xml:space="preserve"> logistical challenges </w:t>
      </w:r>
      <w:r>
        <w:t xml:space="preserve">associated with a </w:t>
      </w:r>
      <w:r w:rsidR="001E1656">
        <w:t xml:space="preserve">responsive style of environmental water management </w:t>
      </w:r>
      <w:r>
        <w:t xml:space="preserve">were identified during 2016-17 </w:t>
      </w:r>
      <w:r w:rsidR="001E1656">
        <w:t>that affect the capacity for closing the adaptive management loop and institutional learning. These include</w:t>
      </w:r>
      <w:r>
        <w:t>d the fact that t</w:t>
      </w:r>
      <w:r w:rsidR="001E1656">
        <w:t xml:space="preserve">he standard processes for documenting objectives for the watering actions (Water Use minutes) does not fit the rapid and responsive style of water management. While the approach adopted is agile and effective, </w:t>
      </w:r>
      <w:r>
        <w:t xml:space="preserve">it was recommended that </w:t>
      </w:r>
      <w:r w:rsidR="001E1656">
        <w:t>better documentation of the actions, rationale and water use would facilitate future evaluation and learning.</w:t>
      </w:r>
      <w:r>
        <w:t xml:space="preserve"> In response to this recommendation, the CEWH have implemented an internal documentation process that enables the water use decisions, actions and rationale to be logged, providing opportunities to better learn from their actions.</w:t>
      </w:r>
    </w:p>
    <w:p w14:paraId="10829165" w14:textId="77777777" w:rsidR="00D437E3" w:rsidRDefault="00D437E3" w:rsidP="00D437E3">
      <w:pPr>
        <w:pStyle w:val="Heading3"/>
      </w:pPr>
      <w:bookmarkStart w:id="741" w:name="_Toc530493567"/>
      <w:bookmarkStart w:id="742" w:name="_Toc31985561"/>
      <w:bookmarkStart w:id="743" w:name="_Toc499911970"/>
      <w:r>
        <w:t>Accounting for the use of environmental water</w:t>
      </w:r>
      <w:bookmarkEnd w:id="741"/>
      <w:bookmarkEnd w:id="742"/>
    </w:p>
    <w:p w14:paraId="7C107FA4" w14:textId="756835DB" w:rsidR="00D437E3" w:rsidRDefault="00D437E3" w:rsidP="00D437E3">
      <w:r>
        <w:rPr>
          <w:lang w:eastAsia="x-none"/>
        </w:rPr>
        <w:t xml:space="preserve">The style of environmental water management employed in the Lachlan catchment for the past three years is responsive and uses a single parcel of water to achieve multiple benefits throughout the river system. While such as approach is an efficient and effective use of water it has presented substantial challenges for evaluating the watering actions. Documentation of the watering actions improved considerably in 2018-19, and when combined with the ‘log’ of watering decisions implemented by the CEWH the opportunities to learn have improved considerably. However, there remain some difficulties, particularly with the timely provision of accounting data. There are differences in the operational accounting and the accounting using quality controlled publicly available hydrographic data which also causes problems. It remains a recommendation that that more regular accounts be prepared to support the reporting requirements. </w:t>
      </w:r>
    </w:p>
    <w:p w14:paraId="5BA426F3" w14:textId="77777777" w:rsidR="007074A3" w:rsidRDefault="007074A3" w:rsidP="007074A3">
      <w:pPr>
        <w:pStyle w:val="Heading3"/>
      </w:pPr>
      <w:bookmarkStart w:id="744" w:name="_Toc31985562"/>
      <w:r>
        <w:t>Informing future monitoring</w:t>
      </w:r>
      <w:bookmarkEnd w:id="743"/>
      <w:bookmarkEnd w:id="744"/>
    </w:p>
    <w:p w14:paraId="1390917D" w14:textId="4C252A0E" w:rsidR="00C5516C" w:rsidRDefault="00C5516C" w:rsidP="00C5516C">
      <w:pPr>
        <w:pStyle w:val="Heading4"/>
      </w:pPr>
      <w:r>
        <w:t>Linking monitoring to target assets</w:t>
      </w:r>
    </w:p>
    <w:p w14:paraId="4C7A1DFD" w14:textId="3DDC4759" w:rsidR="007074A3" w:rsidRDefault="007074A3" w:rsidP="00C5516C">
      <w:r>
        <w:t xml:space="preserve">The current </w:t>
      </w:r>
      <w:r w:rsidR="00E05711">
        <w:t>LTIM Project</w:t>
      </w:r>
      <w:r>
        <w:t xml:space="preserve"> for the Lower Lachlan river system</w:t>
      </w:r>
      <w:r w:rsidR="00C5516C">
        <w:t xml:space="preserve"> (and the future MER Program)</w:t>
      </w:r>
      <w:r>
        <w:t xml:space="preserve"> only monitors the river system below Lake Brewster</w:t>
      </w:r>
      <w:r w:rsidR="00C5516C">
        <w:t xml:space="preserve">, yet numerous watering actions during the </w:t>
      </w:r>
      <w:r w:rsidR="00E05711">
        <w:t>LTIM Project</w:t>
      </w:r>
      <w:r w:rsidR="00C5516C">
        <w:t xml:space="preserve"> have targeted the mid-Lachlan reach. Many of these watering actions in the mid-Lachlan were unable to be evaluated and it was recommended in a number of instances that the mid-Lachlan be monitored. In 2018-19, the CEWH invested in Short Term Intervention Monitoring (STIM) of fish and stream metabolic responses to environmental water in the mid-Lachlan. The data collected demonstrated that while the fish community in the mid and lower Lachlan contain the same species, the relative abundances differ significantly as do the responses to watering actions. </w:t>
      </w:r>
      <w:r w:rsidR="002E5756">
        <w:t>There was some commonality of stream metabolic responses between the mid and lower Lachlan, but generally the productivity pulses were more spatially variable in the mid Lachlan and less predictable than in the lower Lachlan. This has implications for the expected outcomes for watering actions in the mid-Lachlan and highlights the need for more regular monitoring of that reach if it remains the target for watering actions.</w:t>
      </w:r>
    </w:p>
    <w:p w14:paraId="2AC84502" w14:textId="37938337" w:rsidR="002E5756" w:rsidRDefault="002E5756" w:rsidP="00C5516C">
      <w:r>
        <w:rPr>
          <w:lang w:eastAsia="x-none"/>
        </w:rPr>
        <w:t xml:space="preserve">Watering actions in the Lachlan across the five years of the </w:t>
      </w:r>
      <w:r w:rsidR="00E05711">
        <w:rPr>
          <w:lang w:eastAsia="x-none"/>
        </w:rPr>
        <w:t>LTIM Project</w:t>
      </w:r>
      <w:r>
        <w:rPr>
          <w:lang w:eastAsia="x-none"/>
        </w:rPr>
        <w:t xml:space="preserve"> have delivered water to the central reed beds and nearby open water areas of the Great Cumbung Swamp. Vegetation monitoring has not been set up to capture the outcomes of these actions. Access is difficult and costly. While initial forays into the use of drone technology to monitor vegetation outcomes as part of this project have been piecemeal and not particularly effective </w:t>
      </w:r>
      <w:r>
        <w:rPr>
          <w:lang w:eastAsia="x-none"/>
        </w:rPr>
        <w:fldChar w:fldCharType="begin"/>
      </w:r>
      <w:r>
        <w:rPr>
          <w:lang w:eastAsia="x-none"/>
        </w:rPr>
        <w:instrText xml:space="preserve"> ADDIN EN.CITE &lt;EndNote&gt;&lt;Cite&gt;&lt;Author&gt;Dyer&lt;/Author&gt;&lt;Year&gt;2017&lt;/Year&gt;&lt;RecNum&gt;232&lt;/RecNum&gt;&lt;DisplayText&gt;(Dyer et al. 2017)&lt;/DisplayText&gt;&lt;record&gt;&lt;rec-number&gt;232&lt;/rec-number&gt;&lt;foreign-keys&gt;&lt;key app="EN" db-id="0a0zttz0gewd9befav559p5osxw5sftwfpdv" timestamp="1539572347"&gt;232&lt;/key&gt;&lt;/foreign-keys&gt;&lt;ref-type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rPr>
          <w:lang w:eastAsia="x-none"/>
        </w:rPr>
        <w:fldChar w:fldCharType="separate"/>
      </w:r>
      <w:r>
        <w:rPr>
          <w:noProof/>
          <w:lang w:eastAsia="x-none"/>
        </w:rPr>
        <w:t>(Dyer et al. 2017)</w:t>
      </w:r>
      <w:r>
        <w:rPr>
          <w:lang w:eastAsia="x-none"/>
        </w:rPr>
        <w:fldChar w:fldCharType="end"/>
      </w:r>
      <w:r>
        <w:rPr>
          <w:lang w:eastAsia="x-none"/>
        </w:rPr>
        <w:t xml:space="preserve"> it was recommended that drone based methods be developed in a systematic and rigorous fashion to assist in future monitoring. This is being implemented in the MER </w:t>
      </w:r>
      <w:r w:rsidR="00151BA6">
        <w:rPr>
          <w:lang w:eastAsia="x-none"/>
        </w:rPr>
        <w:t>P</w:t>
      </w:r>
      <w:r>
        <w:rPr>
          <w:lang w:eastAsia="x-none"/>
        </w:rPr>
        <w:t>rogram.</w:t>
      </w:r>
    </w:p>
    <w:p w14:paraId="158EF1C1" w14:textId="0372697A" w:rsidR="002E5756" w:rsidRDefault="002E5756" w:rsidP="002E5756">
      <w:pPr>
        <w:pStyle w:val="Heading4"/>
      </w:pPr>
      <w:r>
        <w:t>Temporally relevant monitoring</w:t>
      </w:r>
    </w:p>
    <w:p w14:paraId="6D5907DB" w14:textId="6E2AFE2E" w:rsidR="00C5516C" w:rsidRDefault="00C5516C" w:rsidP="00C5516C">
      <w:r w:rsidRPr="00083C75">
        <w:t xml:space="preserve">One of the challenges with </w:t>
      </w:r>
      <w:r>
        <w:t xml:space="preserve">delivering water to improve dissolved oxygen concentrations is that </w:t>
      </w:r>
      <w:r w:rsidRPr="00083C75">
        <w:t xml:space="preserve">typically by the time dissolved oxygen concentrations </w:t>
      </w:r>
      <w:r>
        <w:t>drop below 4 </w:t>
      </w:r>
      <w:r w:rsidRPr="00083C75">
        <w:t xml:space="preserve">mg/L, it is too late to </w:t>
      </w:r>
      <w:r>
        <w:t xml:space="preserve">respond to achieve a benefit for fish. In the mid Lachlan, early warning of poor water quality </w:t>
      </w:r>
      <w:r w:rsidR="002E5756">
        <w:t xml:space="preserve">in 2016-17 </w:t>
      </w:r>
      <w:r>
        <w:t xml:space="preserve">was hampered by a paucity of data (and particularly a paucity of continuous data) that could be used to trigger a response. It would </w:t>
      </w:r>
      <w:r w:rsidR="002E5756">
        <w:t xml:space="preserve">have been particularly </w:t>
      </w:r>
      <w:r>
        <w:t xml:space="preserve">valuable to have </w:t>
      </w:r>
      <w:r w:rsidR="002E5756">
        <w:t xml:space="preserve">had </w:t>
      </w:r>
      <w:r>
        <w:t xml:space="preserve">water quality monitoring equipment in the reach from Wyangala Dam to Lake Brewster to inform water management decisions. </w:t>
      </w:r>
      <w:r w:rsidR="002E5756">
        <w:t>A recommendation to this effect was made in the 2016-17 reporting and has provided the impetus for a conversation with NSW agencies regarding monitoring infrastructure.</w:t>
      </w:r>
    </w:p>
    <w:p w14:paraId="09E10E14" w14:textId="77777777" w:rsidR="002E5756" w:rsidRPr="00381F60" w:rsidRDefault="002E5756" w:rsidP="002E5756">
      <w:r>
        <w:t>The management of environmental water for the Blockbank waterbird colony in 2016-17 demonstrated the value of tailoring observations to the conditions within the catchment. The establishment of the second colony was observed during a reconnaissance plane flight taken to gain an understanding of the extent of the flooding. Without this flight, the colony may have remained undetected for sufficient time that the water levels would have dropped and the colony put at risk.</w:t>
      </w:r>
    </w:p>
    <w:p w14:paraId="489C2400" w14:textId="77777777" w:rsidR="008F238F" w:rsidRDefault="008F238F" w:rsidP="008F238F">
      <w:pPr>
        <w:pStyle w:val="Heading4"/>
      </w:pPr>
      <w:r>
        <w:t>Monitoring to detect fish spawning</w:t>
      </w:r>
    </w:p>
    <w:p w14:paraId="271C1333" w14:textId="2FFF1F7B" w:rsidR="007074A3" w:rsidRDefault="008F238F" w:rsidP="007074A3">
      <w:r>
        <w:t xml:space="preserve">There were some concerns early in the program that detecting spawning responses in the </w:t>
      </w:r>
      <w:r w:rsidR="00F514EA">
        <w:t>l</w:t>
      </w:r>
      <w:r>
        <w:t xml:space="preserve">ower Lachlan river system for flow-cued fish may have be limited by the timing of the sampling program (fortnightly sampling). </w:t>
      </w:r>
      <w:r w:rsidRPr="009A40E1">
        <w:rPr>
          <w:lang w:val="en-GB"/>
        </w:rPr>
        <w:t xml:space="preserve">Increased monitoring intensity (sampling weekly at a minimum) </w:t>
      </w:r>
      <w:r>
        <w:rPr>
          <w:lang w:val="en-GB"/>
        </w:rPr>
        <w:t>was thought to have been</w:t>
      </w:r>
      <w:r w:rsidRPr="009A40E1">
        <w:rPr>
          <w:lang w:val="en-GB"/>
        </w:rPr>
        <w:t xml:space="preserve"> required to monitor spawning response of any events specifically targeted at golden perch or other flow cued spawning species.</w:t>
      </w:r>
      <w:r>
        <w:rPr>
          <w:lang w:val="en-GB"/>
        </w:rPr>
        <w:t xml:space="preserve"> The monitoring program in 2015-16 was augmented by an in-kind contribution from by DPI fisheries in an attempt to detect golden perch spawning. Weekly monitoring of larval fish failed to detect golden perch spawning and subsequent fish community sampling did not detect any juvenile golden perch. The combined monitoring dataset suggest</w:t>
      </w:r>
      <w:r w:rsidR="002E5756">
        <w:rPr>
          <w:lang w:val="en-GB"/>
        </w:rPr>
        <w:t xml:space="preserve">ed that golden perch did not spawn in 2015-16 and the additional monitoring provided a far greater degree of confidence around such a conclusion than if only the LTIM monitoring were implemented. </w:t>
      </w:r>
      <w:r w:rsidR="00D437E3">
        <w:rPr>
          <w:lang w:val="en-GB"/>
        </w:rPr>
        <w:t xml:space="preserve">It is recommended that such targeted monitoring could be implemented in response to </w:t>
      </w:r>
      <w:r>
        <w:rPr>
          <w:lang w:val="en-GB"/>
        </w:rPr>
        <w:t>s</w:t>
      </w:r>
      <w:r w:rsidR="00D437E3">
        <w:rPr>
          <w:lang w:val="en-GB"/>
        </w:rPr>
        <w:t>uch watering actions in the future.</w:t>
      </w:r>
    </w:p>
    <w:p w14:paraId="1F99C49B" w14:textId="2FF45FE9" w:rsidR="007526FD" w:rsidRPr="007526FD" w:rsidRDefault="00A133E8" w:rsidP="00BF1331">
      <w:pPr>
        <w:pStyle w:val="Heading3"/>
      </w:pPr>
      <w:bookmarkStart w:id="745" w:name="_Toc31985563"/>
      <w:r>
        <w:rPr>
          <w:lang w:val="en-US"/>
        </w:rPr>
        <w:t>Understanding</w:t>
      </w:r>
      <w:r w:rsidR="007526FD">
        <w:rPr>
          <w:lang w:val="en-US"/>
        </w:rPr>
        <w:t xml:space="preserve"> flow ecology relationships</w:t>
      </w:r>
      <w:bookmarkEnd w:id="745"/>
    </w:p>
    <w:p w14:paraId="6B1DCC79" w14:textId="3843366D" w:rsidR="007526FD" w:rsidRDefault="00BF1331" w:rsidP="00BF1331">
      <w:pPr>
        <w:rPr>
          <w:lang w:val="en-US" w:eastAsia="x-none"/>
        </w:rPr>
      </w:pPr>
      <w:r>
        <w:rPr>
          <w:lang w:val="en-US" w:eastAsia="x-none"/>
        </w:rPr>
        <w:t>The design of watering actions and our capacity to understand observed responses in the catchment is reliant on our knowledge of fundamental flow ecology relationships</w:t>
      </w:r>
      <w:r w:rsidR="007526FD">
        <w:rPr>
          <w:lang w:val="en-US" w:eastAsia="x-none"/>
        </w:rPr>
        <w:t>. Such knowledge is often imperfect</w:t>
      </w:r>
      <w:r>
        <w:rPr>
          <w:lang w:val="en-US" w:eastAsia="x-none"/>
        </w:rPr>
        <w:t>.</w:t>
      </w:r>
      <w:r w:rsidR="007526FD">
        <w:rPr>
          <w:lang w:val="en-US" w:eastAsia="x-none"/>
        </w:rPr>
        <w:t xml:space="preserve"> There have been several research students associated with the lower Lachlan </w:t>
      </w:r>
      <w:r w:rsidR="00E05711">
        <w:rPr>
          <w:lang w:val="en-US" w:eastAsia="x-none"/>
        </w:rPr>
        <w:t>LTIM Project</w:t>
      </w:r>
      <w:r w:rsidR="007526FD">
        <w:rPr>
          <w:lang w:val="en-US" w:eastAsia="x-none"/>
        </w:rPr>
        <w:t xml:space="preserve"> whose research has (and is) generated (ing) strategic understanding.</w:t>
      </w:r>
      <w:r w:rsidR="007526FD" w:rsidRPr="007526FD">
        <w:rPr>
          <w:lang w:val="en-US" w:eastAsia="x-none"/>
        </w:rPr>
        <w:t xml:space="preserve"> </w:t>
      </w:r>
    </w:p>
    <w:p w14:paraId="61D443A0" w14:textId="20F15FC7" w:rsidR="007526FD" w:rsidRDefault="007526FD" w:rsidP="007526FD">
      <w:pPr>
        <w:pStyle w:val="Heading4"/>
      </w:pPr>
      <w:r>
        <w:t>Generating knowledge</w:t>
      </w:r>
    </w:p>
    <w:p w14:paraId="0E646D0D" w14:textId="575F03E3" w:rsidR="007526FD" w:rsidRDefault="007526FD" w:rsidP="00BF1331">
      <w:pPr>
        <w:rPr>
          <w:lang w:val="en-US" w:eastAsia="x-none"/>
        </w:rPr>
      </w:pPr>
      <w:r>
        <w:rPr>
          <w:lang w:val="en-US" w:eastAsia="x-none"/>
        </w:rPr>
        <w:t xml:space="preserve">Three post-graduate research students from the University of Canberra have worked alongside the monitoring team in the lower Lachlan catchment to address targeted knowledge gaps. </w:t>
      </w:r>
      <w:r w:rsidR="00A01645">
        <w:rPr>
          <w:lang w:val="en-US" w:eastAsia="x-none"/>
        </w:rPr>
        <w:t>The studies undertaken are listed below along with strategic excerpts from the abstracts of their theses.</w:t>
      </w:r>
    </w:p>
    <w:p w14:paraId="3F13A931" w14:textId="798A9DF2" w:rsidR="005F3B87" w:rsidRPr="005F3B87" w:rsidRDefault="0014669A" w:rsidP="00E96AA6">
      <w:pPr>
        <w:pStyle w:val="ListParagraph"/>
        <w:numPr>
          <w:ilvl w:val="0"/>
          <w:numId w:val="44"/>
        </w:numPr>
        <w:rPr>
          <w:lang w:val="en-US" w:eastAsia="x-none"/>
        </w:rPr>
      </w:pPr>
      <w:r w:rsidRPr="005F3B87">
        <w:rPr>
          <w:lang w:val="en-US" w:eastAsia="x-none"/>
        </w:rPr>
        <w:t>Emily Belton</w:t>
      </w:r>
      <w:r w:rsidR="005F3B87" w:rsidRPr="005F3B87">
        <w:rPr>
          <w:lang w:val="en-US" w:eastAsia="x-none"/>
        </w:rPr>
        <w:t xml:space="preserve"> – Honours May 2015 - </w:t>
      </w:r>
      <w:r w:rsidR="005F3B87">
        <w:rPr>
          <w:lang w:val="en-US" w:eastAsia="x-none"/>
        </w:rPr>
        <w:t>T</w:t>
      </w:r>
      <w:r w:rsidR="005F3B87" w:rsidRPr="005F3B87">
        <w:rPr>
          <w:lang w:val="en-US" w:eastAsia="x-none"/>
        </w:rPr>
        <w:t xml:space="preserve">he diet and prey selectivity of larval Murray cod in an upland and lowland river.  </w:t>
      </w:r>
    </w:p>
    <w:p w14:paraId="244D5540" w14:textId="25DD6C59" w:rsidR="005F3B87" w:rsidRPr="005F3B87" w:rsidRDefault="0077718C" w:rsidP="005F3B87">
      <w:pPr>
        <w:rPr>
          <w:lang w:eastAsia="en-AU"/>
        </w:rPr>
      </w:pPr>
      <w:r>
        <w:rPr>
          <w:lang w:eastAsia="en-AU"/>
        </w:rPr>
        <w:t>Emily’s</w:t>
      </w:r>
      <w:r w:rsidR="005F3B87" w:rsidRPr="005F3B87">
        <w:rPr>
          <w:lang w:eastAsia="en-AU"/>
        </w:rPr>
        <w:t xml:space="preserve"> study examined the diet and prey selectivity of Murray cod larvae in a lowland</w:t>
      </w:r>
      <w:r w:rsidR="005F3B87">
        <w:rPr>
          <w:lang w:eastAsia="en-AU"/>
        </w:rPr>
        <w:t xml:space="preserve"> </w:t>
      </w:r>
      <w:r w:rsidR="005F3B87" w:rsidRPr="005F3B87">
        <w:rPr>
          <w:lang w:eastAsia="en-AU"/>
        </w:rPr>
        <w:t>river (lower Lachlan River) and an upland river (the upper Murrumbidgee River) in the</w:t>
      </w:r>
      <w:r w:rsidR="005F3B87">
        <w:rPr>
          <w:lang w:eastAsia="en-AU"/>
        </w:rPr>
        <w:t xml:space="preserve"> </w:t>
      </w:r>
      <w:r w:rsidR="005F3B87" w:rsidRPr="005F3B87">
        <w:rPr>
          <w:lang w:eastAsia="en-AU"/>
        </w:rPr>
        <w:t>Murray-Darling Basin. Gut content analysis was used to examine diet composition</w:t>
      </w:r>
      <w:r w:rsidR="005F3B87">
        <w:rPr>
          <w:lang w:eastAsia="en-AU"/>
        </w:rPr>
        <w:t xml:space="preserve"> </w:t>
      </w:r>
      <w:r w:rsidR="005F3B87" w:rsidRPr="005F3B87">
        <w:rPr>
          <w:lang w:eastAsia="en-AU"/>
        </w:rPr>
        <w:t>of larvae collected using drift nets and light traps. Prey availability was determined by</w:t>
      </w:r>
      <w:r w:rsidR="005F3B87">
        <w:rPr>
          <w:lang w:eastAsia="en-AU"/>
        </w:rPr>
        <w:t xml:space="preserve"> </w:t>
      </w:r>
      <w:r w:rsidR="005F3B87" w:rsidRPr="005F3B87">
        <w:rPr>
          <w:lang w:eastAsia="en-AU"/>
        </w:rPr>
        <w:t>sampling the pelagic and epibenthic microinvertebrate community and then comparing</w:t>
      </w:r>
      <w:r w:rsidR="005F3B87">
        <w:rPr>
          <w:lang w:eastAsia="en-AU"/>
        </w:rPr>
        <w:t xml:space="preserve"> </w:t>
      </w:r>
      <w:r w:rsidR="005F3B87" w:rsidRPr="005F3B87">
        <w:rPr>
          <w:lang w:eastAsia="en-AU"/>
        </w:rPr>
        <w:t>these findings to the diet composition of larval Murray cod to calculate prey selectivity.</w:t>
      </w:r>
      <w:r w:rsidR="005F3B87">
        <w:rPr>
          <w:lang w:eastAsia="en-AU"/>
        </w:rPr>
        <w:t xml:space="preserve"> </w:t>
      </w:r>
    </w:p>
    <w:p w14:paraId="55F42F41" w14:textId="4F3965FF" w:rsidR="005F3B87" w:rsidRPr="005F3B87" w:rsidRDefault="0077718C" w:rsidP="005F3B87">
      <w:pPr>
        <w:rPr>
          <w:lang w:eastAsia="en-AU"/>
        </w:rPr>
      </w:pPr>
      <w:r>
        <w:rPr>
          <w:lang w:eastAsia="en-AU"/>
        </w:rPr>
        <w:t xml:space="preserve">A copy of Emily’s thesis can be found at: </w:t>
      </w:r>
      <w:hyperlink r:id="rId206" w:history="1">
        <w:r>
          <w:rPr>
            <w:rStyle w:val="Hyperlink"/>
          </w:rPr>
          <w:t>http://www.canberra.edu.au/researchrepository/items/41ccf84a-0110-4c36-9084-7c911115e9fb/1/</w:t>
        </w:r>
      </w:hyperlink>
    </w:p>
    <w:p w14:paraId="7E538179" w14:textId="1C3692A9" w:rsidR="005F3B87" w:rsidRPr="005F3B87" w:rsidRDefault="0077718C" w:rsidP="0077718C">
      <w:pPr>
        <w:rPr>
          <w:lang w:val="en-US"/>
        </w:rPr>
      </w:pPr>
      <w:r>
        <w:rPr>
          <w:lang w:eastAsia="en-AU"/>
        </w:rPr>
        <w:t xml:space="preserve">Her research demonstrated that while </w:t>
      </w:r>
      <w:r w:rsidR="005F3B87" w:rsidRPr="005F3B87">
        <w:rPr>
          <w:lang w:eastAsia="en-AU"/>
        </w:rPr>
        <w:t>prey availability and diet composition differed between the lower Lachlan</w:t>
      </w:r>
      <w:r w:rsidR="005F3B87">
        <w:rPr>
          <w:lang w:eastAsia="en-AU"/>
        </w:rPr>
        <w:t xml:space="preserve"> </w:t>
      </w:r>
      <w:r w:rsidR="005F3B87" w:rsidRPr="005F3B87">
        <w:rPr>
          <w:lang w:eastAsia="en-AU"/>
        </w:rPr>
        <w:t>River and upper Murrumbidgee River, Murray cod were found to exhibit selective</w:t>
      </w:r>
      <w:r w:rsidR="005F3B87">
        <w:rPr>
          <w:lang w:eastAsia="en-AU"/>
        </w:rPr>
        <w:t xml:space="preserve"> </w:t>
      </w:r>
      <w:r w:rsidR="005F3B87" w:rsidRPr="005F3B87">
        <w:rPr>
          <w:lang w:eastAsia="en-AU"/>
        </w:rPr>
        <w:t xml:space="preserve">feeding for large copepods in both study areas. </w:t>
      </w:r>
      <w:r>
        <w:rPr>
          <w:lang w:eastAsia="en-AU"/>
        </w:rPr>
        <w:t>She also found that a</w:t>
      </w:r>
      <w:r w:rsidR="005F3B87" w:rsidRPr="005F3B87">
        <w:rPr>
          <w:lang w:eastAsia="en-AU"/>
        </w:rPr>
        <w:t>bundances of suitable prey items</w:t>
      </w:r>
      <w:r w:rsidR="005F3B87">
        <w:rPr>
          <w:lang w:eastAsia="en-AU"/>
        </w:rPr>
        <w:t xml:space="preserve"> </w:t>
      </w:r>
      <w:r w:rsidR="005F3B87" w:rsidRPr="005F3B87">
        <w:rPr>
          <w:lang w:eastAsia="en-AU"/>
        </w:rPr>
        <w:t>were found to be adequate in both systems despite no large overbank flows in the period</w:t>
      </w:r>
      <w:r w:rsidR="005F3B87">
        <w:rPr>
          <w:lang w:eastAsia="en-AU"/>
        </w:rPr>
        <w:t xml:space="preserve"> </w:t>
      </w:r>
      <w:r w:rsidR="005F3B87" w:rsidRPr="005F3B87">
        <w:rPr>
          <w:lang w:eastAsia="en-AU"/>
        </w:rPr>
        <w:t>leading up to the field sampling. These findings support the notion that low summer</w:t>
      </w:r>
      <w:r w:rsidR="005F3B87">
        <w:rPr>
          <w:lang w:eastAsia="en-AU"/>
        </w:rPr>
        <w:t xml:space="preserve"> </w:t>
      </w:r>
      <w:r w:rsidR="005F3B87" w:rsidRPr="005F3B87">
        <w:rPr>
          <w:lang w:eastAsia="en-AU"/>
        </w:rPr>
        <w:t>flows in the main channel provide suitable conditions for the survival and recruitment of</w:t>
      </w:r>
      <w:r w:rsidR="005F3B87">
        <w:rPr>
          <w:lang w:eastAsia="en-AU"/>
        </w:rPr>
        <w:t xml:space="preserve"> </w:t>
      </w:r>
      <w:r w:rsidR="005F3B87" w:rsidRPr="005F3B87">
        <w:rPr>
          <w:lang w:eastAsia="en-AU"/>
        </w:rPr>
        <w:t>some larval fish species.</w:t>
      </w:r>
    </w:p>
    <w:p w14:paraId="2C38D02C" w14:textId="5AC719A1" w:rsidR="0014669A" w:rsidRDefault="0014669A" w:rsidP="0077718C">
      <w:pPr>
        <w:pStyle w:val="ListParagraph"/>
        <w:numPr>
          <w:ilvl w:val="0"/>
          <w:numId w:val="44"/>
        </w:numPr>
        <w:rPr>
          <w:lang w:val="en-US" w:eastAsia="x-none"/>
        </w:rPr>
      </w:pPr>
      <w:r w:rsidRPr="0077718C">
        <w:rPr>
          <w:lang w:val="en-US" w:eastAsia="x-none"/>
        </w:rPr>
        <w:t>Will Higgisson</w:t>
      </w:r>
      <w:r w:rsidR="0077718C">
        <w:rPr>
          <w:lang w:val="en-US" w:eastAsia="x-none"/>
        </w:rPr>
        <w:t xml:space="preserve"> – PhD 2019 – The influence of flooding on the vegetati</w:t>
      </w:r>
      <w:r w:rsidR="001B0F9B">
        <w:rPr>
          <w:lang w:val="en-US" w:eastAsia="x-none"/>
        </w:rPr>
        <w:t>o</w:t>
      </w:r>
      <w:r w:rsidR="0077718C">
        <w:rPr>
          <w:lang w:val="en-US" w:eastAsia="x-none"/>
        </w:rPr>
        <w:t>n of the semi-arid floodplain of the lower Lachlan River</w:t>
      </w:r>
    </w:p>
    <w:p w14:paraId="710CE905" w14:textId="45230C78" w:rsidR="0077718C" w:rsidRDefault="0077718C" w:rsidP="0077718C">
      <w:r>
        <w:rPr>
          <w:lang w:val="en-US" w:eastAsia="x-none"/>
        </w:rPr>
        <w:t xml:space="preserve">Will’s study </w:t>
      </w:r>
      <w:r>
        <w:t>addressed some of the gaps in our understanding of floodplain plants and their responses to water, on the semi-arid floodplain of the lower Lachlan River, Australia.</w:t>
      </w:r>
      <w:r w:rsidRPr="002E66BB">
        <w:t xml:space="preserve"> </w:t>
      </w:r>
      <w:r>
        <w:t>It characterised spatial and temporal differences in seed bank characteristics relative to hydrological gradients, investigated the life-history responses of two floodplain shrub species (tangled lignum (</w:t>
      </w:r>
      <w:r w:rsidRPr="002E66BB">
        <w:rPr>
          <w:i/>
        </w:rPr>
        <w:t>Duma florulenta</w:t>
      </w:r>
      <w:r>
        <w:rPr>
          <w:i/>
        </w:rPr>
        <w:t xml:space="preserve"> </w:t>
      </w:r>
      <w:r>
        <w:t>(</w:t>
      </w:r>
      <w:r w:rsidRPr="00D411B2">
        <w:t>Meisn.)</w:t>
      </w:r>
      <w:r>
        <w:t>, and nitre goosefoot (</w:t>
      </w:r>
      <w:r w:rsidRPr="002E66BB">
        <w:rPr>
          <w:i/>
        </w:rPr>
        <w:t>Chenopodium nitrariaceum</w:t>
      </w:r>
      <w:r>
        <w:rPr>
          <w:i/>
        </w:rPr>
        <w:t xml:space="preserve"> </w:t>
      </w:r>
      <w:r w:rsidRPr="008B139F">
        <w:rPr>
          <w:lang w:val="en-US"/>
        </w:rPr>
        <w:t>(F.Muell.)</w:t>
      </w:r>
      <w:r>
        <w:t>) to watering, and investigated gene-flow and population genetic structure in tangled lignum and river cooba (</w:t>
      </w:r>
      <w:r w:rsidRPr="00CA70B0">
        <w:rPr>
          <w:i/>
        </w:rPr>
        <w:t>Acacia stenophylla</w:t>
      </w:r>
      <w:r w:rsidRPr="00D411B2">
        <w:rPr>
          <w:i/>
        </w:rPr>
        <w:t xml:space="preserve"> </w:t>
      </w:r>
      <w:r>
        <w:t>(</w:t>
      </w:r>
      <w:r w:rsidRPr="00D411B2">
        <w:t>A. Cunn. ex Benth.)</w:t>
      </w:r>
      <w:r>
        <w:t>). His study was framed within the context of the changes in river floodplain connectivity caused by water resource development.</w:t>
      </w:r>
    </w:p>
    <w:p w14:paraId="59920460" w14:textId="02FC5439" w:rsidR="0077718C" w:rsidRDefault="0077718C" w:rsidP="0077718C">
      <w:r>
        <w:t>Numerous publications have arisen from his thesis and can be found at:</w:t>
      </w:r>
    </w:p>
    <w:p w14:paraId="2537C8C7" w14:textId="56F0DC40" w:rsidR="0077718C" w:rsidRPr="00A01645" w:rsidRDefault="0077718C" w:rsidP="00A01645">
      <w:pPr>
        <w:ind w:left="720"/>
        <w:rPr>
          <w:iCs/>
          <w:sz w:val="22"/>
          <w:szCs w:val="22"/>
          <w:lang w:eastAsia="en-AU"/>
        </w:rPr>
      </w:pPr>
      <w:r w:rsidRPr="00686E4C">
        <w:rPr>
          <w:sz w:val="22"/>
          <w:szCs w:val="22"/>
          <w:lang w:eastAsia="en-AU"/>
        </w:rPr>
        <w:t>Higgisson W</w:t>
      </w:r>
      <w:r>
        <w:rPr>
          <w:sz w:val="22"/>
          <w:szCs w:val="22"/>
          <w:lang w:eastAsia="en-AU"/>
        </w:rPr>
        <w:t>.</w:t>
      </w:r>
      <w:r w:rsidRPr="00686E4C">
        <w:rPr>
          <w:sz w:val="22"/>
          <w:szCs w:val="22"/>
          <w:lang w:eastAsia="en-AU"/>
        </w:rPr>
        <w:t>, Briggs S</w:t>
      </w:r>
      <w:r>
        <w:rPr>
          <w:sz w:val="22"/>
          <w:szCs w:val="22"/>
          <w:lang w:eastAsia="en-AU"/>
        </w:rPr>
        <w:t>.</w:t>
      </w:r>
      <w:r w:rsidRPr="00686E4C">
        <w:rPr>
          <w:sz w:val="22"/>
          <w:szCs w:val="22"/>
          <w:lang w:eastAsia="en-AU"/>
        </w:rPr>
        <w:t xml:space="preserve">, </w:t>
      </w:r>
      <w:r w:rsidRPr="0077718C">
        <w:rPr>
          <w:bCs/>
          <w:sz w:val="22"/>
          <w:szCs w:val="22"/>
          <w:lang w:eastAsia="en-AU"/>
        </w:rPr>
        <w:t>Dyer F.</w:t>
      </w:r>
      <w:r w:rsidRPr="00686E4C">
        <w:rPr>
          <w:sz w:val="22"/>
          <w:szCs w:val="22"/>
          <w:lang w:eastAsia="en-AU"/>
        </w:rPr>
        <w:t xml:space="preserve"> (2018) Responses of nitre goosefoot (Chenopodium nitrariaceum) to simulated rainfall and depth and duration of experimental flooding. </w:t>
      </w:r>
      <w:r w:rsidRPr="00686E4C">
        <w:rPr>
          <w:i/>
          <w:sz w:val="22"/>
          <w:szCs w:val="22"/>
          <w:lang w:eastAsia="en-AU"/>
        </w:rPr>
        <w:t>Marine and Freshwater Research</w:t>
      </w:r>
      <w:r w:rsidR="00A01645">
        <w:rPr>
          <w:i/>
          <w:sz w:val="22"/>
          <w:szCs w:val="22"/>
          <w:lang w:eastAsia="en-AU"/>
        </w:rPr>
        <w:t xml:space="preserve"> </w:t>
      </w:r>
      <w:r w:rsidR="00A01645">
        <w:rPr>
          <w:iCs/>
          <w:sz w:val="22"/>
          <w:szCs w:val="22"/>
          <w:lang w:eastAsia="en-AU"/>
        </w:rPr>
        <w:t>69(8) 1268-1278</w:t>
      </w:r>
    </w:p>
    <w:p w14:paraId="53A9CFDE" w14:textId="763A9D39" w:rsidR="0077718C" w:rsidRDefault="0077718C" w:rsidP="00A01645">
      <w:pPr>
        <w:ind w:left="720"/>
        <w:rPr>
          <w:sz w:val="22"/>
          <w:szCs w:val="22"/>
        </w:rPr>
      </w:pPr>
      <w:r w:rsidRPr="00CF4C70">
        <w:rPr>
          <w:sz w:val="22"/>
          <w:szCs w:val="22"/>
        </w:rPr>
        <w:t xml:space="preserve">Higgisson, W., Briggs, S., </w:t>
      </w:r>
      <w:r w:rsidRPr="00A01645">
        <w:rPr>
          <w:bCs/>
          <w:sz w:val="22"/>
          <w:szCs w:val="22"/>
        </w:rPr>
        <w:t>Dyer, F.</w:t>
      </w:r>
      <w:r w:rsidRPr="00CF4C70">
        <w:rPr>
          <w:sz w:val="22"/>
          <w:szCs w:val="22"/>
        </w:rPr>
        <w:t xml:space="preserve"> (2018) Seed germination of tangled lignum (Duma florulenta) and nitre goosefoot (Chenopdoium nitrariaceum) under experimental hydrological regimes.  </w:t>
      </w:r>
      <w:r w:rsidRPr="00CF4C70">
        <w:rPr>
          <w:i/>
          <w:sz w:val="22"/>
          <w:szCs w:val="22"/>
        </w:rPr>
        <w:t>Marine and Freshwater Research</w:t>
      </w:r>
      <w:r w:rsidRPr="00CF4C70">
        <w:rPr>
          <w:sz w:val="22"/>
          <w:szCs w:val="22"/>
        </w:rPr>
        <w:t xml:space="preserve"> </w:t>
      </w:r>
      <w:r w:rsidR="00A01645">
        <w:rPr>
          <w:sz w:val="22"/>
          <w:szCs w:val="22"/>
        </w:rPr>
        <w:t>70(4) 493-503</w:t>
      </w:r>
      <w:r w:rsidRPr="00CF4C70">
        <w:rPr>
          <w:sz w:val="22"/>
          <w:szCs w:val="22"/>
        </w:rPr>
        <w:t xml:space="preserve"> DOI: 10.1071/MF17357</w:t>
      </w:r>
    </w:p>
    <w:p w14:paraId="01BC7F10" w14:textId="525BFA37" w:rsidR="00A01645" w:rsidRDefault="00A01645" w:rsidP="00A01645">
      <w:pPr>
        <w:ind w:left="720"/>
        <w:rPr>
          <w:sz w:val="22"/>
          <w:szCs w:val="22"/>
        </w:rPr>
      </w:pPr>
      <w:r w:rsidRPr="00A01645">
        <w:rPr>
          <w:sz w:val="22"/>
          <w:szCs w:val="22"/>
        </w:rPr>
        <w:t>Higgisson, W., Higgisson, B., Powell, M., Driver, P., &amp; Dyer, F.</w:t>
      </w:r>
      <w:r w:rsidR="00B378C0">
        <w:rPr>
          <w:sz w:val="22"/>
          <w:szCs w:val="22"/>
        </w:rPr>
        <w:t xml:space="preserve"> </w:t>
      </w:r>
      <w:r w:rsidRPr="00A01645">
        <w:rPr>
          <w:sz w:val="22"/>
          <w:szCs w:val="22"/>
        </w:rPr>
        <w:t>Impacts of water resource development on hydrological connectivity of different floodplain habitats in a highly variable system. </w:t>
      </w:r>
      <w:r w:rsidRPr="00A01645">
        <w:rPr>
          <w:i/>
          <w:iCs/>
          <w:sz w:val="22"/>
          <w:szCs w:val="22"/>
        </w:rPr>
        <w:t>River Research and Applications</w:t>
      </w:r>
      <w:r w:rsidRPr="00A01645">
        <w:rPr>
          <w:sz w:val="22"/>
          <w:szCs w:val="22"/>
        </w:rPr>
        <w:t>.</w:t>
      </w:r>
      <w:r w:rsidR="00B378C0">
        <w:rPr>
          <w:sz w:val="22"/>
          <w:szCs w:val="22"/>
        </w:rPr>
        <w:t xml:space="preserve"> </w:t>
      </w:r>
    </w:p>
    <w:p w14:paraId="448FD9EA" w14:textId="0DEA3AC9" w:rsidR="00A01645" w:rsidRDefault="00A01645" w:rsidP="00A01645">
      <w:r>
        <w:rPr>
          <w:sz w:val="22"/>
          <w:szCs w:val="22"/>
        </w:rPr>
        <w:t>Will’s study concluded that s</w:t>
      </w:r>
      <w:r>
        <w:t>emi-arid floodplains such as the floodplain of the lower Lachlan River are temporally and spatially dynamic and complex. The organisation of vegetation on the floodplain is strongly related to the hydrological regime and the requirements and tolerances of each species. The dependency of floodplain vegetation on flooding means hydrological changes are likely to affect floodplain vegetation by reducing opportunities for life history processes such as growth, dispersal, seed production, and seed germination. The results suggest changes to the flow regime will influence the distribution and abundance of species, genetic diversity and genetic structure, and the distribution of populations and communities across floodplains. To maintain the diversity of vegetation and habitat types on the floodplain, environmental flows must consider the life-history strategies of the plants.</w:t>
      </w:r>
    </w:p>
    <w:p w14:paraId="6178A2DF" w14:textId="134476D7" w:rsidR="00A01645" w:rsidRPr="00A01645" w:rsidRDefault="00A01645" w:rsidP="00A01645"/>
    <w:p w14:paraId="338E2A01" w14:textId="35378D6C" w:rsidR="0014669A" w:rsidRPr="00A01645" w:rsidRDefault="0014669A" w:rsidP="00A01645">
      <w:pPr>
        <w:pStyle w:val="ListParagraph"/>
        <w:numPr>
          <w:ilvl w:val="0"/>
          <w:numId w:val="44"/>
        </w:numPr>
        <w:rPr>
          <w:lang w:val="en-US" w:eastAsia="x-none"/>
        </w:rPr>
      </w:pPr>
      <w:r w:rsidRPr="00A01645">
        <w:rPr>
          <w:lang w:val="en-US" w:eastAsia="x-none"/>
        </w:rPr>
        <w:t>Foyez Shams</w:t>
      </w:r>
      <w:r w:rsidR="00A01645" w:rsidRPr="00A01645">
        <w:rPr>
          <w:lang w:val="en-US" w:eastAsia="x-none"/>
        </w:rPr>
        <w:t xml:space="preserve"> – PhD</w:t>
      </w:r>
      <w:r w:rsidR="00A01645">
        <w:rPr>
          <w:lang w:val="en-US" w:eastAsia="x-none"/>
        </w:rPr>
        <w:t xml:space="preserve"> continuing</w:t>
      </w:r>
      <w:r w:rsidR="00A01645" w:rsidRPr="00A01645">
        <w:rPr>
          <w:lang w:val="en-US" w:eastAsia="x-none"/>
        </w:rPr>
        <w:t xml:space="preserve"> – </w:t>
      </w:r>
      <w:r w:rsidR="00A01645">
        <w:t>Population Genetic Structure and Breeding Activity of Two Native Fish (Golden Perch and Murray Cod) From a Managed Catchment: A Case Study from Lachlan River</w:t>
      </w:r>
    </w:p>
    <w:p w14:paraId="5AA0E868" w14:textId="58B78CF6" w:rsidR="00BC5663" w:rsidRDefault="00A01645" w:rsidP="00BC5663">
      <w:pPr>
        <w:rPr>
          <w:lang w:val="en-US"/>
        </w:rPr>
      </w:pPr>
      <w:r>
        <w:rPr>
          <w:lang w:val="en-US"/>
        </w:rPr>
        <w:t xml:space="preserve">Foyez </w:t>
      </w:r>
      <w:r w:rsidR="00BC5663">
        <w:rPr>
          <w:lang w:val="en-US"/>
        </w:rPr>
        <w:t xml:space="preserve">is currently completing his PhD which is investigating the population genetic structure and breeding activity of golden perch and Murray cod from the Lachlan river using genetic tools and otolith microchemistry analysis. This research will help to address gaps in our understanding of stocked and wild spawning of golden perch in the Lachlan river system and the population genetic structure of the two species. He expects to complete in early 2020. </w:t>
      </w:r>
    </w:p>
    <w:p w14:paraId="2F393F61" w14:textId="37DAA962" w:rsidR="00A01645" w:rsidRDefault="00BC5663" w:rsidP="00BC5663">
      <w:pPr>
        <w:rPr>
          <w:lang w:val="en-US"/>
        </w:rPr>
      </w:pPr>
      <w:r>
        <w:rPr>
          <w:lang w:val="en-US"/>
        </w:rPr>
        <w:t xml:space="preserve">To date, he has one publication from his PhD thesis:  </w:t>
      </w:r>
    </w:p>
    <w:p w14:paraId="07395C2F" w14:textId="3E923737" w:rsidR="0077718C" w:rsidRPr="00A01645" w:rsidRDefault="0077718C" w:rsidP="00BC5663">
      <w:pPr>
        <w:ind w:left="720"/>
        <w:rPr>
          <w:sz w:val="22"/>
          <w:szCs w:val="22"/>
          <w:lang w:val="en-US" w:eastAsia="x-none"/>
        </w:rPr>
      </w:pPr>
      <w:r w:rsidRPr="00A01645">
        <w:rPr>
          <w:sz w:val="22"/>
          <w:szCs w:val="22"/>
          <w:lang w:eastAsia="en-AU"/>
        </w:rPr>
        <w:t xml:space="preserve">Shams, F., Dyer, F., Thompson, R., Duncan, R.P., Thiem, J.D., Majtanova, Z., Ezaz, T. (2019) </w:t>
      </w:r>
      <w:r w:rsidRPr="00A01645">
        <w:rPr>
          <w:sz w:val="22"/>
          <w:szCs w:val="22"/>
        </w:rPr>
        <w:t>Karyotypes and sex chromosomes in two Australian native freshwater fishes, golden perch (</w:t>
      </w:r>
      <w:r w:rsidRPr="001B0F9B">
        <w:rPr>
          <w:i/>
          <w:iCs/>
          <w:sz w:val="22"/>
          <w:szCs w:val="22"/>
        </w:rPr>
        <w:t>Macquaria ambigua</w:t>
      </w:r>
      <w:r w:rsidRPr="00A01645">
        <w:rPr>
          <w:sz w:val="22"/>
          <w:szCs w:val="22"/>
        </w:rPr>
        <w:t>) and Murray cod (</w:t>
      </w:r>
      <w:r w:rsidRPr="001B0F9B">
        <w:rPr>
          <w:i/>
          <w:iCs/>
          <w:sz w:val="22"/>
          <w:szCs w:val="22"/>
        </w:rPr>
        <w:t>Maccullochella peelii</w:t>
      </w:r>
      <w:r w:rsidRPr="00A01645">
        <w:rPr>
          <w:sz w:val="22"/>
          <w:szCs w:val="22"/>
        </w:rPr>
        <w:t xml:space="preserve">) (Percichthyidae). </w:t>
      </w:r>
      <w:r w:rsidRPr="00BC5663">
        <w:rPr>
          <w:i/>
          <w:iCs/>
          <w:sz w:val="22"/>
          <w:szCs w:val="22"/>
        </w:rPr>
        <w:t>International Journal of Molecular Sciences</w:t>
      </w:r>
      <w:r w:rsidRPr="00A01645">
        <w:rPr>
          <w:sz w:val="22"/>
          <w:szCs w:val="22"/>
        </w:rPr>
        <w:t xml:space="preserve"> 20 (17) 4244</w:t>
      </w:r>
    </w:p>
    <w:p w14:paraId="25A49C51" w14:textId="54F15672" w:rsidR="007526FD" w:rsidRDefault="007526FD" w:rsidP="007526FD">
      <w:pPr>
        <w:pStyle w:val="Heading4"/>
      </w:pPr>
      <w:r>
        <w:t>Identifying knowledge gaps</w:t>
      </w:r>
    </w:p>
    <w:p w14:paraId="33430C3A" w14:textId="60D921E6" w:rsidR="007074A3" w:rsidRDefault="007526FD" w:rsidP="00BC5663">
      <w:pPr>
        <w:rPr>
          <w:lang w:val="en-US" w:eastAsia="x-none"/>
        </w:rPr>
      </w:pPr>
      <w:r>
        <w:rPr>
          <w:lang w:val="en-US" w:eastAsia="x-none"/>
        </w:rPr>
        <w:t xml:space="preserve">Specific gaps in our understanding </w:t>
      </w:r>
      <w:r w:rsidR="00BF1331">
        <w:rPr>
          <w:lang w:val="en-US" w:eastAsia="x-none"/>
        </w:rPr>
        <w:t>that limit both the design of watering actions as well as our capacity to understand observed responses</w:t>
      </w:r>
      <w:r>
        <w:rPr>
          <w:lang w:val="en-US" w:eastAsia="x-none"/>
        </w:rPr>
        <w:t xml:space="preserve"> have been identified throughout the </w:t>
      </w:r>
      <w:r w:rsidR="00E05711">
        <w:rPr>
          <w:lang w:val="en-US" w:eastAsia="x-none"/>
        </w:rPr>
        <w:t>LTIM Project</w:t>
      </w:r>
      <w:r w:rsidR="00BF1331">
        <w:rPr>
          <w:lang w:val="en-US" w:eastAsia="x-none"/>
        </w:rPr>
        <w:t>.</w:t>
      </w:r>
      <w:r>
        <w:rPr>
          <w:lang w:val="en-US" w:eastAsia="x-none"/>
        </w:rPr>
        <w:t xml:space="preserve"> These have provided the foundation for the development of the research for the Monitoring, Evaluation and Research Program</w:t>
      </w:r>
      <w:r w:rsidR="00BC5663">
        <w:rPr>
          <w:lang w:val="en-US" w:eastAsia="x-none"/>
        </w:rPr>
        <w:t xml:space="preserve"> and a summary can be found in the Monitoring, Evaluation and Research Plan</w:t>
      </w:r>
      <w:r>
        <w:rPr>
          <w:lang w:val="en-US" w:eastAsia="x-none"/>
        </w:rPr>
        <w:t xml:space="preserve"> </w:t>
      </w:r>
      <w:r w:rsidR="004F03DB">
        <w:rPr>
          <w:lang w:val="en-US" w:eastAsia="x-none"/>
        </w:rPr>
        <w:fldChar w:fldCharType="begin"/>
      </w:r>
      <w:r w:rsidR="004F03DB">
        <w:rPr>
          <w:lang w:val="en-US" w:eastAsia="x-none"/>
        </w:rPr>
        <w:instrText xml:space="preserve"> ADDIN EN.CITE &lt;EndNote&gt;&lt;Cite&gt;&lt;Author&gt;Dyer&lt;/Author&gt;&lt;Year&gt;2019&lt;/Year&gt;&lt;RecNum&gt;393&lt;/RecNum&gt;&lt;DisplayText&gt;(Dyer et al. 2019)&lt;/DisplayText&gt;&lt;record&gt;&lt;rec-number&gt;393&lt;/rec-number&gt;&lt;foreign-keys&gt;&lt;key app="EN" db-id="0a0zttz0gewd9befav559p5osxw5sftwfpdv" timestamp="1573770945"&gt;393&lt;/key&gt;&lt;/foreign-keys&gt;&lt;ref-type name="Report"&gt;27&lt;/ref-type&gt;&lt;contributors&gt;&lt;authors&gt;&lt;author&gt;Dyer, F.&lt;/author&gt;&lt;author&gt;Broadhurst, B.&lt;/author&gt;&lt;author&gt;Tschierschke, A.&lt;/author&gt;&lt;author&gt;Thompson, R.&lt;/author&gt;&lt;author&gt;Clear, R.&lt;/author&gt;&lt;author&gt;Driver, P.&lt;/author&gt;&lt;author&gt;Bowen, S.&lt;/author&gt;&lt;author&gt;Lenehan, J.&lt;/author&gt;&lt;author&gt;Thomas, R.&lt;/author&gt;&lt;author&gt;Thurtell, L.&lt;/author&gt;&lt;author&gt;Packard, P.&lt;/author&gt;&lt;author&gt;Wright, D.&lt;/author&gt;&lt;author&gt;Thiem, J.&lt;/author&gt;&lt;author&gt;Brandis, K.&lt;/author&gt;&lt;/authors&gt;&lt;/contributors&gt;&lt;titles&gt;&lt;title&gt;Lachlan Selected Area Monitoring, Evaluation and Research Plan (2019-2022)&lt;/title&gt;&lt;/titles&gt;&lt;dates&gt;&lt;year&gt;2019&lt;/year&gt;&lt;/dates&gt;&lt;pub-location&gt;Canberra&lt;/pub-location&gt;&lt;publisher&gt;Commonwealth of Australia&lt;/publisher&gt;&lt;urls&gt;&lt;/urls&gt;&lt;/record&gt;&lt;/Cite&gt;&lt;/EndNote&gt;</w:instrText>
      </w:r>
      <w:r w:rsidR="004F03DB">
        <w:rPr>
          <w:lang w:val="en-US" w:eastAsia="x-none"/>
        </w:rPr>
        <w:fldChar w:fldCharType="separate"/>
      </w:r>
      <w:r w:rsidR="004F03DB">
        <w:rPr>
          <w:noProof/>
          <w:lang w:val="en-US" w:eastAsia="x-none"/>
        </w:rPr>
        <w:t>(Dyer et al. 2019)</w:t>
      </w:r>
      <w:r w:rsidR="004F03DB">
        <w:rPr>
          <w:lang w:val="en-US" w:eastAsia="x-none"/>
        </w:rPr>
        <w:fldChar w:fldCharType="end"/>
      </w:r>
      <w:r w:rsidR="004F03DB">
        <w:rPr>
          <w:lang w:val="en-US" w:eastAsia="x-none"/>
        </w:rPr>
        <w:t>.</w:t>
      </w:r>
    </w:p>
    <w:p w14:paraId="7A139086" w14:textId="77777777" w:rsidR="00BC5663" w:rsidRDefault="00BC5663">
      <w:pPr>
        <w:spacing w:before="0" w:after="0"/>
        <w:rPr>
          <w:lang w:val="en-GB" w:eastAsia="x-none"/>
        </w:rPr>
      </w:pPr>
      <w:r>
        <w:rPr>
          <w:b/>
          <w:bCs/>
          <w:caps/>
          <w:lang w:val="en-GB"/>
        </w:rPr>
        <w:br w:type="page"/>
      </w:r>
    </w:p>
    <w:p w14:paraId="66026F7F" w14:textId="63EADD4C" w:rsidR="00366CB9" w:rsidRDefault="007E117A" w:rsidP="007E117A">
      <w:pPr>
        <w:pStyle w:val="Heading1"/>
      </w:pPr>
      <w:bookmarkStart w:id="746" w:name="_Toc31985564"/>
      <w:r>
        <w:t>References</w:t>
      </w:r>
      <w:bookmarkEnd w:id="746"/>
    </w:p>
    <w:p w14:paraId="2C832603" w14:textId="77777777" w:rsidR="007E117A" w:rsidRDefault="007E117A" w:rsidP="00D71F42"/>
    <w:p w14:paraId="0433423B" w14:textId="77777777" w:rsidR="009538DA" w:rsidRPr="009538DA" w:rsidRDefault="007E117A" w:rsidP="009538DA">
      <w:pPr>
        <w:pStyle w:val="EndNoteBibliography"/>
        <w:spacing w:after="0"/>
        <w:ind w:left="720" w:hanging="720"/>
      </w:pPr>
      <w:r>
        <w:fldChar w:fldCharType="begin"/>
      </w:r>
      <w:r>
        <w:instrText xml:space="preserve"> ADDIN EN.REFLIST </w:instrText>
      </w:r>
      <w:r>
        <w:fldChar w:fldCharType="separate"/>
      </w:r>
      <w:r w:rsidR="009538DA" w:rsidRPr="009538DA">
        <w:t xml:space="preserve">Anderson, J. R., A. K. Morison, and D. J. Ray. 1992. Validation of the use of thin-sectioned Otoliths for determining the age and growth of Golden Perch, Macquaria ambigua (Perciformes: Percichthyidae), in the Lower Murray-Darling Basin, Australia. Australian Journal for Marine and Freshwater Research </w:t>
      </w:r>
      <w:r w:rsidR="009538DA" w:rsidRPr="009538DA">
        <w:rPr>
          <w:b/>
        </w:rPr>
        <w:t>43</w:t>
      </w:r>
      <w:r w:rsidR="009538DA" w:rsidRPr="009538DA">
        <w:t>:1103-1128.</w:t>
      </w:r>
    </w:p>
    <w:p w14:paraId="67AF8E86" w14:textId="77777777" w:rsidR="009538DA" w:rsidRPr="009538DA" w:rsidRDefault="009538DA" w:rsidP="009538DA">
      <w:pPr>
        <w:pStyle w:val="EndNoteBibliography"/>
        <w:spacing w:after="0"/>
        <w:ind w:left="720" w:hanging="720"/>
      </w:pPr>
      <w:r w:rsidRPr="009538DA">
        <w:t>Armstrong, J. L., R. T. Kingsford, and K. M. Jenkins. 2009. The effect of regulating the Lachlan River on the Booligal Wetlands - the floodplain red gum swamps. Wetlands and River, School of Earth and Environmental Sciences, University of New South Wales, Sydney.</w:t>
      </w:r>
    </w:p>
    <w:p w14:paraId="51D50DC5" w14:textId="77777777" w:rsidR="009538DA" w:rsidRPr="009538DA" w:rsidRDefault="009538DA" w:rsidP="009538DA">
      <w:pPr>
        <w:pStyle w:val="EndNoteBibliography"/>
        <w:spacing w:after="0"/>
        <w:ind w:left="720" w:hanging="720"/>
      </w:pPr>
      <w:r w:rsidRPr="009538DA">
        <w:t xml:space="preserve">Balcombe, S. R., A. H. Arthington, N. D. Foster, M. C. Thoms, G. G. Wilson, and S. E. Bunn. 2006. Fish assemblages of an Australian dryland river: abundance, assemblage structure and recruitment patterns in the Warrego River, Murray-Darling Basin. Marine and Freshwater Research </w:t>
      </w:r>
      <w:r w:rsidRPr="009538DA">
        <w:rPr>
          <w:b/>
        </w:rPr>
        <w:t>57</w:t>
      </w:r>
      <w:r w:rsidRPr="009538DA">
        <w:t>:619-633.</w:t>
      </w:r>
    </w:p>
    <w:p w14:paraId="2615B2EA" w14:textId="77777777" w:rsidR="009538DA" w:rsidRPr="009538DA" w:rsidRDefault="009538DA" w:rsidP="009538DA">
      <w:pPr>
        <w:pStyle w:val="EndNoteBibliography"/>
        <w:spacing w:after="0"/>
        <w:ind w:left="720" w:hanging="720"/>
      </w:pPr>
      <w:r w:rsidRPr="009538DA">
        <w:t xml:space="preserve">Baldwin, D. S., M. J. Colloff, S. M. Mitrovic, N. R. Bond, and B. Wolfenden. 2016. Restoring dissolved organic carbon subsidies from floodplains to lowland river food webs: a role for environmental flows? Marine and Freshwater Research </w:t>
      </w:r>
      <w:r w:rsidRPr="009538DA">
        <w:rPr>
          <w:b/>
        </w:rPr>
        <w:t>67</w:t>
      </w:r>
      <w:r w:rsidRPr="009538DA">
        <w:t>:1387-1399.</w:t>
      </w:r>
    </w:p>
    <w:p w14:paraId="34E0A881" w14:textId="77777777" w:rsidR="009538DA" w:rsidRPr="009538DA" w:rsidRDefault="009538DA" w:rsidP="009538DA">
      <w:pPr>
        <w:pStyle w:val="EndNoteBibliography"/>
        <w:spacing w:after="0"/>
        <w:ind w:left="720" w:hanging="720"/>
      </w:pPr>
      <w:r w:rsidRPr="009538DA">
        <w:t xml:space="preserve">Baumgartner, L. J., J. Conallin, I. Wooden, B. Campbell, R. Gee, W. A. Robinson, and M. Mallen-Cooper. 2014. Using flow guilds of freshwater fish in an adaptive management framework to simplify environmental flow delivery for semi-arid riverine systems. Fish and Fisheries </w:t>
      </w:r>
      <w:r w:rsidRPr="009538DA">
        <w:rPr>
          <w:b/>
        </w:rPr>
        <w:t>15</w:t>
      </w:r>
      <w:r w:rsidRPr="009538DA">
        <w:t>:410-427.</w:t>
      </w:r>
    </w:p>
    <w:p w14:paraId="2373907A" w14:textId="77777777" w:rsidR="009538DA" w:rsidRPr="009538DA" w:rsidRDefault="009538DA" w:rsidP="009538DA">
      <w:pPr>
        <w:pStyle w:val="EndNoteBibliography"/>
        <w:spacing w:after="0"/>
        <w:ind w:left="720" w:hanging="720"/>
      </w:pPr>
      <w:r w:rsidRPr="009538DA">
        <w:t xml:space="preserve">Beesley, L., A. J. King, F. Amtstaetter, J. D. Koehn, B. E. N. Gawne, A. Price, D. L. Nielsen, L. Vilizzi, and S. N. Meredith. 2012. Does flooding affect spatiotemporal variation of fish assemblages in temperate floodplain wetlands? Freshwater Biology </w:t>
      </w:r>
      <w:r w:rsidRPr="009538DA">
        <w:rPr>
          <w:b/>
        </w:rPr>
        <w:t>57</w:t>
      </w:r>
      <w:r w:rsidRPr="009538DA">
        <w:t>:2230-2246.</w:t>
      </w:r>
    </w:p>
    <w:p w14:paraId="2ED42E4F" w14:textId="77777777" w:rsidR="009538DA" w:rsidRPr="009538DA" w:rsidRDefault="009538DA" w:rsidP="009538DA">
      <w:pPr>
        <w:pStyle w:val="EndNoteBibliography"/>
        <w:spacing w:after="0"/>
        <w:ind w:left="720" w:hanging="720"/>
      </w:pPr>
      <w:r w:rsidRPr="009538DA">
        <w:t xml:space="preserve">Boulton, A. J., and P. S. Lake. 1992. Benthic organic matter and detritivorous macroinvertebrates in two intermittent streams in south-eastern Australia. Hydrobiologia </w:t>
      </w:r>
      <w:r w:rsidRPr="009538DA">
        <w:rPr>
          <w:b/>
        </w:rPr>
        <w:t>241</w:t>
      </w:r>
      <w:r w:rsidRPr="009538DA">
        <w:t>:107-118.</w:t>
      </w:r>
    </w:p>
    <w:p w14:paraId="428D076B" w14:textId="77777777" w:rsidR="009538DA" w:rsidRPr="009538DA" w:rsidRDefault="009538DA" w:rsidP="009538DA">
      <w:pPr>
        <w:pStyle w:val="EndNoteBibliography"/>
        <w:spacing w:after="0"/>
        <w:ind w:left="720" w:hanging="720"/>
      </w:pPr>
      <w:r w:rsidRPr="009538DA">
        <w:t>Bowen, S. 2013. NSW OEH Environmental Flow Monitoring Program: Methods for monitoring of flood-dependent vegetation communities., Water and Rivers Team, NSW Office of Environmental and Heritage, Sydney.</w:t>
      </w:r>
    </w:p>
    <w:p w14:paraId="5E88B8BB" w14:textId="77777777" w:rsidR="009538DA" w:rsidRPr="009538DA" w:rsidRDefault="009538DA" w:rsidP="009538DA">
      <w:pPr>
        <w:pStyle w:val="EndNoteBibliography"/>
        <w:spacing w:after="0"/>
        <w:ind w:left="720" w:hanging="720"/>
      </w:pPr>
      <w:r w:rsidRPr="009538DA">
        <w:t>Bowen, S., M. Powell, S. Cox, S. Simpson, and P. Childs. 2012. NSW Riverina river red gum reserves mapping program Stage 1: Murrumbidgee National Park (Yanga) 2008, Murray Valley National and Regional Parks (Millewa Forest) 2010 and Barmah National Park and Murray River Park (Barmah Forest) Victoria 2010. NSW Office of Environment and Heritage, Sydney.</w:t>
      </w:r>
    </w:p>
    <w:p w14:paraId="364D9222" w14:textId="77777777" w:rsidR="009538DA" w:rsidRPr="009538DA" w:rsidRDefault="009538DA" w:rsidP="009538DA">
      <w:pPr>
        <w:pStyle w:val="EndNoteBibliography"/>
        <w:spacing w:after="0"/>
        <w:ind w:left="720" w:hanging="720"/>
      </w:pPr>
      <w:r w:rsidRPr="009538DA">
        <w:t>Bowen, S., and S. L. Simpson. 2010. Changes in the extent and condition of the vegetation communities of the Macquarie Marshes and Floodplain 1991 – 2008. Final report to the NSW Wetland Recovery Program. NSW Department of Environment. Climate Change and Water, Sydney.</w:t>
      </w:r>
    </w:p>
    <w:p w14:paraId="6A5B5F47" w14:textId="77777777" w:rsidR="009538DA" w:rsidRPr="009538DA" w:rsidRDefault="009538DA" w:rsidP="009538DA">
      <w:pPr>
        <w:pStyle w:val="EndNoteBibliography"/>
        <w:spacing w:after="0"/>
        <w:ind w:left="720" w:hanging="720"/>
      </w:pPr>
      <w:r w:rsidRPr="009538DA">
        <w:t xml:space="preserve">Brock, M., D. L. Nielsen, R. J. Shiel, J. D. Green, and J. D. Langley. 2003. Drought and aquatic community resilience: the role of eggs and seeds in sediments of temporary wetlands. Freshwater Biology </w:t>
      </w:r>
      <w:r w:rsidRPr="009538DA">
        <w:rPr>
          <w:b/>
        </w:rPr>
        <w:t>48</w:t>
      </w:r>
      <w:r w:rsidRPr="009538DA">
        <w:t>:1207-1218.</w:t>
      </w:r>
    </w:p>
    <w:p w14:paraId="4B43A8AC" w14:textId="77777777" w:rsidR="009538DA" w:rsidRPr="009538DA" w:rsidRDefault="009538DA" w:rsidP="009538DA">
      <w:pPr>
        <w:pStyle w:val="EndNoteBibliography"/>
        <w:spacing w:after="0"/>
        <w:ind w:left="720" w:hanging="720"/>
      </w:pPr>
      <w:r w:rsidRPr="009538DA">
        <w:t xml:space="preserve">Brock, M. A. 2011. Persistence of seed banks in Australian temporary wetlands. Freshwater Biology </w:t>
      </w:r>
      <w:r w:rsidRPr="009538DA">
        <w:rPr>
          <w:b/>
        </w:rPr>
        <w:t>56</w:t>
      </w:r>
      <w:r w:rsidRPr="009538DA">
        <w:t>:1312-1327.</w:t>
      </w:r>
    </w:p>
    <w:p w14:paraId="1E2047A3" w14:textId="77777777" w:rsidR="009538DA" w:rsidRPr="009538DA" w:rsidRDefault="009538DA" w:rsidP="009538DA">
      <w:pPr>
        <w:pStyle w:val="EndNoteBibliography"/>
        <w:spacing w:after="0"/>
        <w:ind w:left="720" w:hanging="720"/>
      </w:pPr>
      <w:r w:rsidRPr="009538DA">
        <w:t xml:space="preserve">Brock, M. A., and M. Casanova. 1997. Plant life at the edge of wetlands: ecological responses to wetting and drying patterns. Pages 181–192 </w:t>
      </w:r>
      <w:r w:rsidRPr="009538DA">
        <w:rPr>
          <w:i/>
        </w:rPr>
        <w:t>in</w:t>
      </w:r>
      <w:r w:rsidRPr="009538DA">
        <w:t xml:space="preserve"> N. Klomp and I. Lunt, editors. Frontiers in ecology: building the links. Elsevier Science, Oxford.</w:t>
      </w:r>
    </w:p>
    <w:p w14:paraId="1B81C6A7" w14:textId="77777777" w:rsidR="009538DA" w:rsidRPr="009538DA" w:rsidRDefault="009538DA" w:rsidP="009538DA">
      <w:pPr>
        <w:pStyle w:val="EndNoteBibliography"/>
        <w:spacing w:after="0"/>
        <w:ind w:left="720" w:hanging="720"/>
      </w:pPr>
      <w:r w:rsidRPr="009538DA">
        <w:t xml:space="preserve">Brock, M. A., and K. Rogers. 1998. The regeneration potential of the seed bank of an ephemeral floodplain in South Africa. Aquatic Botany </w:t>
      </w:r>
      <w:r w:rsidRPr="009538DA">
        <w:rPr>
          <w:b/>
        </w:rPr>
        <w:t>61</w:t>
      </w:r>
      <w:r w:rsidRPr="009538DA">
        <w:t>:123-135.</w:t>
      </w:r>
    </w:p>
    <w:p w14:paraId="496877DD" w14:textId="77777777" w:rsidR="009538DA" w:rsidRPr="009538DA" w:rsidRDefault="009538DA" w:rsidP="009538DA">
      <w:pPr>
        <w:pStyle w:val="EndNoteBibliography"/>
        <w:spacing w:after="0"/>
        <w:ind w:left="720" w:hanging="720"/>
      </w:pPr>
      <w:r w:rsidRPr="009538DA">
        <w:t xml:space="preserve">Bunn, S. E., and A. H. Arthington. 2002. Basic Principles and Ecological Consequences of Altered Flow Regimes for Aquatic Biodiversity. Environmental Management </w:t>
      </w:r>
      <w:r w:rsidRPr="009538DA">
        <w:rPr>
          <w:b/>
        </w:rPr>
        <w:t>30</w:t>
      </w:r>
      <w:r w:rsidRPr="009538DA">
        <w:t>:492-507.</w:t>
      </w:r>
    </w:p>
    <w:p w14:paraId="07DE1CA5" w14:textId="77777777" w:rsidR="009538DA" w:rsidRPr="009538DA" w:rsidRDefault="009538DA" w:rsidP="009538DA">
      <w:pPr>
        <w:pStyle w:val="EndNoteBibliography"/>
        <w:spacing w:after="0"/>
        <w:ind w:left="720" w:hanging="720"/>
      </w:pPr>
      <w:r w:rsidRPr="009538DA">
        <w:t xml:space="preserve">Bunn, S. E., S. R. Balcombe, P. M. Davies, C. S. Fellows, and F. J. McKenzie-Smith. 2006. Aquatic productivity and food webs of desert river ecosystems. Pages 76-99 </w:t>
      </w:r>
      <w:r w:rsidRPr="009538DA">
        <w:rPr>
          <w:i/>
        </w:rPr>
        <w:t>in</w:t>
      </w:r>
      <w:r w:rsidRPr="009538DA">
        <w:t xml:space="preserve"> R. T. Kingsford, editor. Ecology of desert rivers. Cambridge University Press, Cambridge.</w:t>
      </w:r>
    </w:p>
    <w:p w14:paraId="0F5E4D4B" w14:textId="035795C9" w:rsidR="009538DA" w:rsidRPr="009538DA" w:rsidRDefault="009538DA" w:rsidP="009538DA">
      <w:pPr>
        <w:pStyle w:val="EndNoteBibliography"/>
        <w:spacing w:after="0"/>
        <w:ind w:left="720" w:hanging="720"/>
      </w:pPr>
      <w:r w:rsidRPr="009538DA">
        <w:t xml:space="preserve">Bureau of Meteorology. 2017. Climate statistics for Australian locations, Summary statistics Hillston Airport. </w:t>
      </w:r>
      <w:hyperlink r:id="rId207" w:history="1">
        <w:r w:rsidRPr="009538DA">
          <w:rPr>
            <w:rStyle w:val="Hyperlink"/>
            <w:rFonts w:cs="Calibri"/>
          </w:rPr>
          <w:t>http://www.bom.gov.au/climate/data/</w:t>
        </w:r>
      </w:hyperlink>
      <w:r w:rsidRPr="009538DA">
        <w:t>.</w:t>
      </w:r>
    </w:p>
    <w:p w14:paraId="3C771D2F" w14:textId="77777777" w:rsidR="009538DA" w:rsidRPr="009538DA" w:rsidRDefault="009538DA" w:rsidP="009538DA">
      <w:pPr>
        <w:pStyle w:val="EndNoteBibliography"/>
        <w:spacing w:after="0"/>
        <w:ind w:left="720" w:hanging="720"/>
      </w:pPr>
      <w:r w:rsidRPr="009538DA">
        <w:t xml:space="preserve">Busch, D. E., and S. D. Smith. 1995. Mechanisms associated with decline of woody species in riparian ecosystems of the Southwestern U.S. Ecological Monographs </w:t>
      </w:r>
      <w:r w:rsidRPr="009538DA">
        <w:rPr>
          <w:b/>
        </w:rPr>
        <w:t>65</w:t>
      </w:r>
      <w:r w:rsidRPr="009538DA">
        <w:t>:347-370.</w:t>
      </w:r>
    </w:p>
    <w:p w14:paraId="7330502B" w14:textId="77777777" w:rsidR="009538DA" w:rsidRPr="009538DA" w:rsidRDefault="009538DA" w:rsidP="009538DA">
      <w:pPr>
        <w:pStyle w:val="EndNoteBibliography"/>
        <w:spacing w:after="0"/>
        <w:ind w:left="720" w:hanging="720"/>
      </w:pPr>
      <w:r w:rsidRPr="009538DA">
        <w:t>Cadwallader, P. L. 1977. J.O. Langtry's 1949-50 Murray River Investigations. Fisheries and Wildlife Division, Victoria, Melbourne.</w:t>
      </w:r>
    </w:p>
    <w:p w14:paraId="366ED052" w14:textId="77777777" w:rsidR="009538DA" w:rsidRPr="009538DA" w:rsidRDefault="009538DA" w:rsidP="009538DA">
      <w:pPr>
        <w:pStyle w:val="EndNoteBibliography"/>
        <w:spacing w:after="0"/>
        <w:ind w:left="720" w:hanging="720"/>
      </w:pPr>
      <w:r w:rsidRPr="009538DA">
        <w:t xml:space="preserve">Campana, S. E. 2005. Otolith science entering the 21st century. Marine and Freshwater Research </w:t>
      </w:r>
      <w:r w:rsidRPr="009538DA">
        <w:rPr>
          <w:b/>
        </w:rPr>
        <w:t>56</w:t>
      </w:r>
      <w:r w:rsidRPr="009538DA">
        <w:t>:485-495.</w:t>
      </w:r>
    </w:p>
    <w:p w14:paraId="68DC523F" w14:textId="77777777" w:rsidR="009538DA" w:rsidRPr="009538DA" w:rsidRDefault="009538DA" w:rsidP="009538DA">
      <w:pPr>
        <w:pStyle w:val="EndNoteBibliography"/>
        <w:spacing w:after="0"/>
        <w:ind w:left="720" w:hanging="720"/>
      </w:pPr>
      <w:r w:rsidRPr="009538DA">
        <w:t xml:space="preserve">Campana, S. E., and S. R. Thorrold. 2001. Otoliths, increments, and elements: keys to a comprehensive understanding of fish populations? Canadian Journal of Fisheries and Aquatic Sciences </w:t>
      </w:r>
      <w:r w:rsidRPr="009538DA">
        <w:rPr>
          <w:b/>
        </w:rPr>
        <w:t>58</w:t>
      </w:r>
      <w:r w:rsidRPr="009538DA">
        <w:t>:30-38.</w:t>
      </w:r>
    </w:p>
    <w:p w14:paraId="5943868E" w14:textId="77777777" w:rsidR="009538DA" w:rsidRPr="009538DA" w:rsidRDefault="009538DA" w:rsidP="009538DA">
      <w:pPr>
        <w:pStyle w:val="EndNoteBibliography"/>
        <w:spacing w:after="0"/>
        <w:ind w:left="720" w:hanging="720"/>
      </w:pPr>
      <w:r w:rsidRPr="009538DA">
        <w:t xml:space="preserve">Capon, S. J. 2003. Plant community responses to wetting and drying in a large arid floodplain. River Research and Applications </w:t>
      </w:r>
      <w:r w:rsidRPr="009538DA">
        <w:rPr>
          <w:b/>
        </w:rPr>
        <w:t>19</w:t>
      </w:r>
      <w:r w:rsidRPr="009538DA">
        <w:t>:509-520.</w:t>
      </w:r>
    </w:p>
    <w:p w14:paraId="0614F76D" w14:textId="77777777" w:rsidR="009538DA" w:rsidRPr="009538DA" w:rsidRDefault="009538DA" w:rsidP="009538DA">
      <w:pPr>
        <w:pStyle w:val="EndNoteBibliography"/>
        <w:spacing w:after="0"/>
        <w:ind w:left="720" w:hanging="720"/>
      </w:pPr>
      <w:r w:rsidRPr="009538DA">
        <w:t xml:space="preserve">Capon, S. J., and M. A. Brock. 2006. Flooding, soil seed bank dynamics and vegetation resilience of a hydrologically variable desert floodplain. Freshwater Biology </w:t>
      </w:r>
      <w:r w:rsidRPr="009538DA">
        <w:rPr>
          <w:b/>
        </w:rPr>
        <w:t>51</w:t>
      </w:r>
      <w:r w:rsidRPr="009538DA">
        <w:t>:206-223.</w:t>
      </w:r>
    </w:p>
    <w:p w14:paraId="4D2D654C" w14:textId="77777777" w:rsidR="009538DA" w:rsidRPr="009538DA" w:rsidRDefault="009538DA" w:rsidP="009538DA">
      <w:pPr>
        <w:pStyle w:val="EndNoteBibliography"/>
        <w:spacing w:after="0"/>
        <w:ind w:left="720" w:hanging="720"/>
      </w:pPr>
      <w:r w:rsidRPr="009538DA">
        <w:t>Carter, S. 2012. Sustainable Rivers Audit 2: Metric Processing System. Environmental Dynamics for the Murray Darling Basin Authority, Canberra.</w:t>
      </w:r>
    </w:p>
    <w:p w14:paraId="523D1BCD" w14:textId="77777777" w:rsidR="009538DA" w:rsidRPr="009538DA" w:rsidRDefault="009538DA" w:rsidP="009538DA">
      <w:pPr>
        <w:pStyle w:val="EndNoteBibliography"/>
        <w:spacing w:after="0"/>
        <w:ind w:left="720" w:hanging="720"/>
      </w:pPr>
      <w:r w:rsidRPr="009538DA">
        <w:t xml:space="preserve">Casanova, M. T. 2011. Using water plant functional groups to investigate environmental water requirements. Freshwater Biology </w:t>
      </w:r>
      <w:r w:rsidRPr="009538DA">
        <w:rPr>
          <w:b/>
        </w:rPr>
        <w:t>56</w:t>
      </w:r>
      <w:r w:rsidRPr="009538DA">
        <w:t>:2637-2652.</w:t>
      </w:r>
    </w:p>
    <w:p w14:paraId="51D385C6" w14:textId="77777777" w:rsidR="009538DA" w:rsidRPr="009538DA" w:rsidRDefault="009538DA" w:rsidP="009538DA">
      <w:pPr>
        <w:pStyle w:val="EndNoteBibliography"/>
        <w:spacing w:after="0"/>
        <w:ind w:left="720" w:hanging="720"/>
      </w:pPr>
      <w:r w:rsidRPr="009538DA">
        <w:t xml:space="preserve">Casanova, M. T., and M. A. Brock. 2000. How do depth, duration and frequency of flooding influence the establishment of wetland plant communities? Plant Ecology </w:t>
      </w:r>
      <w:r w:rsidRPr="009538DA">
        <w:rPr>
          <w:b/>
        </w:rPr>
        <w:t>147</w:t>
      </w:r>
      <w:r w:rsidRPr="009538DA">
        <w:t>:237-250.</w:t>
      </w:r>
    </w:p>
    <w:p w14:paraId="70482B13" w14:textId="77777777" w:rsidR="009538DA" w:rsidRPr="009538DA" w:rsidRDefault="009538DA" w:rsidP="009538DA">
      <w:pPr>
        <w:pStyle w:val="EndNoteBibliography"/>
        <w:spacing w:after="0"/>
        <w:ind w:left="720" w:hanging="720"/>
      </w:pPr>
      <w:r w:rsidRPr="009538DA">
        <w:t xml:space="preserve">Catelotti, K., R. Kingsford, G. Bino, and P. Bacon. 2015. Inundation requirements for persistence and recovery of river red gums (Eucalyptus camaldulensis) in semi-arid Australia. Biological Conservation </w:t>
      </w:r>
      <w:r w:rsidRPr="009538DA">
        <w:rPr>
          <w:b/>
        </w:rPr>
        <w:t>184</w:t>
      </w:r>
      <w:r w:rsidRPr="009538DA">
        <w:t>:346-356.</w:t>
      </w:r>
    </w:p>
    <w:p w14:paraId="6A510AB1" w14:textId="77777777" w:rsidR="009538DA" w:rsidRPr="009538DA" w:rsidRDefault="009538DA" w:rsidP="009538DA">
      <w:pPr>
        <w:pStyle w:val="EndNoteBibliography"/>
        <w:spacing w:after="0"/>
        <w:ind w:left="720" w:hanging="720"/>
      </w:pPr>
      <w:r w:rsidRPr="009538DA">
        <w:t>Commonwealth of Australia. 2018. Commonwealth Environmental Water Portfolio Management Plan: Lachlan River Valley 2018-19.</w:t>
      </w:r>
    </w:p>
    <w:p w14:paraId="6B0AA2DD" w14:textId="77777777" w:rsidR="009538DA" w:rsidRPr="009538DA" w:rsidRDefault="009538DA" w:rsidP="009538DA">
      <w:pPr>
        <w:pStyle w:val="EndNoteBibliography"/>
        <w:spacing w:after="0"/>
        <w:ind w:left="720" w:hanging="720"/>
      </w:pPr>
      <w:r w:rsidRPr="009538DA">
        <w:t>Crook, D. A., D. J. O'Mahony, B. M. Gillanders, A. R. Munro, A. C. Sanger, S. Thurstan, and L. J. Baumgartner. 2016. Contribution of stocked fish to riverine populations of golden perch (</w:t>
      </w:r>
      <w:r w:rsidRPr="009538DA">
        <w:rPr>
          <w:i/>
        </w:rPr>
        <w:t>Macquaria ambigua</w:t>
      </w:r>
      <w:r w:rsidRPr="009538DA">
        <w:t xml:space="preserve">) in the Murray–Darling Basin, Australia. Marine and Freshwater Research </w:t>
      </w:r>
      <w:r w:rsidRPr="009538DA">
        <w:rPr>
          <w:b/>
        </w:rPr>
        <w:t>67</w:t>
      </w:r>
      <w:r w:rsidRPr="009538DA">
        <w:t>:1401-1409.</w:t>
      </w:r>
    </w:p>
    <w:p w14:paraId="1CA0254E" w14:textId="77777777" w:rsidR="009538DA" w:rsidRPr="009538DA" w:rsidRDefault="009538DA" w:rsidP="009538DA">
      <w:pPr>
        <w:pStyle w:val="EndNoteBibliography"/>
        <w:spacing w:after="0"/>
        <w:ind w:left="720" w:hanging="720"/>
      </w:pPr>
      <w:r w:rsidRPr="009538DA">
        <w:t xml:space="preserve">Cunningham, S. C., J. Read, J. Patrick, P. Baker, and R. Mac Nally. 2007. Quantitative assessment of stand condition and its relationship to physiological stress in stands of Eucalyptus camaldulensis (Myrtaceae). Australian Journal of Botany </w:t>
      </w:r>
      <w:r w:rsidRPr="009538DA">
        <w:rPr>
          <w:b/>
        </w:rPr>
        <w:t>55</w:t>
      </w:r>
      <w:r w:rsidRPr="009538DA">
        <w:t>:692-699.</w:t>
      </w:r>
    </w:p>
    <w:p w14:paraId="26C372EC" w14:textId="77777777" w:rsidR="009538DA" w:rsidRPr="009538DA" w:rsidRDefault="009538DA" w:rsidP="009538DA">
      <w:pPr>
        <w:pStyle w:val="EndNoteBibliography"/>
        <w:spacing w:after="0"/>
        <w:ind w:left="720" w:hanging="720"/>
      </w:pPr>
      <w:r w:rsidRPr="009538DA">
        <w:t xml:space="preserve">Davies, P. E., J. Harris, T. Hillman, and K. F. Walker. 2010. The Sustainable Rivers Audit: assessing river ecosystem health in the Murray-Darling Basin, Australia. (Special Issue: Peter Cullen's legacy: Integrating science, policy and management of rivers). Marine and Freshwater Research </w:t>
      </w:r>
      <w:r w:rsidRPr="009538DA">
        <w:rPr>
          <w:b/>
        </w:rPr>
        <w:t>61</w:t>
      </w:r>
      <w:r w:rsidRPr="009538DA">
        <w:t>:764-777.</w:t>
      </w:r>
    </w:p>
    <w:p w14:paraId="3BB0ECD6" w14:textId="77777777" w:rsidR="009538DA" w:rsidRPr="009538DA" w:rsidRDefault="009538DA" w:rsidP="009538DA">
      <w:pPr>
        <w:pStyle w:val="EndNoteBibliography"/>
        <w:spacing w:after="0"/>
        <w:ind w:left="720" w:hanging="720"/>
      </w:pPr>
      <w:r w:rsidRPr="009538DA">
        <w:t>Davies, P. E., J. H. Harris, T. J. Hillman, and K. F. Walker. 2008. Sustainable Rivers Audit 1: A report on the ecological health of Rivers in the Murray-Darling Basin, 2004-2007. Prepared by the Independent Sustainable Rivers Audit Group for the Murray–Darling Basin Ministerial Council. Murray Darling Basin Commission, Canberra.</w:t>
      </w:r>
    </w:p>
    <w:p w14:paraId="3D4EBB8A" w14:textId="77777777" w:rsidR="009538DA" w:rsidRPr="009538DA" w:rsidRDefault="009538DA" w:rsidP="009538DA">
      <w:pPr>
        <w:pStyle w:val="EndNoteBibliography"/>
        <w:spacing w:after="0"/>
        <w:ind w:left="720" w:hanging="720"/>
      </w:pPr>
      <w:r w:rsidRPr="009538DA">
        <w:t>Davies, P. E., M. Stewardson, T. Hillman, J. Roberts, and M. Thoms. 2012. Sustainable rivers audit 2: The ecological health of rivers in the Murray-Darling Basin at the end of the Millennium Drought (2008-2010). Murray-Darling Basin Authority, Canberra.</w:t>
      </w:r>
    </w:p>
    <w:p w14:paraId="0C3806C4" w14:textId="77777777" w:rsidR="009538DA" w:rsidRPr="009538DA" w:rsidRDefault="009538DA" w:rsidP="009538DA">
      <w:pPr>
        <w:pStyle w:val="EndNoteBibliography"/>
        <w:spacing w:after="0"/>
        <w:ind w:left="720" w:hanging="720"/>
      </w:pPr>
      <w:r w:rsidRPr="009538DA">
        <w:t xml:space="preserve">Davies, T. L. O. 1977. Age determination and growth of the freshwater catfish, Tandanus tandanus Mitchell, in the Gwydir River, Australia. Australian Journal for Marine and Freshwater Research </w:t>
      </w:r>
      <w:r w:rsidRPr="009538DA">
        <w:rPr>
          <w:b/>
        </w:rPr>
        <w:t>28</w:t>
      </w:r>
      <w:r w:rsidRPr="009538DA">
        <w:t>:119-137.</w:t>
      </w:r>
    </w:p>
    <w:p w14:paraId="02379E02" w14:textId="77777777" w:rsidR="009538DA" w:rsidRPr="009538DA" w:rsidRDefault="009538DA" w:rsidP="009538DA">
      <w:pPr>
        <w:pStyle w:val="EndNoteBibliography"/>
        <w:spacing w:after="0"/>
        <w:ind w:left="720" w:hanging="720"/>
      </w:pPr>
      <w:r w:rsidRPr="009538DA">
        <w:t xml:space="preserve">Doody, T. M., S. N. Benger, J. L. Pritchard, and I. C. Overton. 2014. Ecological response of Eucalyptus camaldulensis (river red gum) to extended drought and flooding along the River Murray, South Australia (1997–2011) and implications for environmental flow management. Marine and Freshwater Research </w:t>
      </w:r>
      <w:r w:rsidRPr="009538DA">
        <w:rPr>
          <w:b/>
        </w:rPr>
        <w:t>65</w:t>
      </w:r>
      <w:r w:rsidRPr="009538DA">
        <w:t>:1082-1093.</w:t>
      </w:r>
    </w:p>
    <w:p w14:paraId="3CF45BAC" w14:textId="77777777" w:rsidR="009538DA" w:rsidRPr="009538DA" w:rsidRDefault="009538DA" w:rsidP="009538DA">
      <w:pPr>
        <w:pStyle w:val="EndNoteBibliography"/>
        <w:spacing w:after="0"/>
        <w:ind w:left="720" w:hanging="720"/>
      </w:pPr>
      <w:r w:rsidRPr="009538DA">
        <w:t>Driver, P. D., E. Barbour, J. Lenehan, S. Kumar, W. Merritt, and N. Wise. 2013a. Lachlan wetland flow-response status – field observations, university research update and ecological condition assessment from the 18–22 February 2013 field trip for the Lachlan Riverine Working Group. State of NSW through the Department of Industry and Investment.</w:t>
      </w:r>
    </w:p>
    <w:p w14:paraId="0D748312" w14:textId="77777777" w:rsidR="009538DA" w:rsidRPr="009538DA" w:rsidRDefault="009538DA" w:rsidP="009538DA">
      <w:pPr>
        <w:pStyle w:val="EndNoteBibliography"/>
        <w:spacing w:after="0"/>
        <w:ind w:left="720" w:hanging="720"/>
      </w:pPr>
      <w:r w:rsidRPr="009538DA">
        <w:t xml:space="preserve">Driver, P. D., E. Barbour, and K. Michener. 2011. An integrated surface water, groundwater and wetland plant model of drought response and recovery for environmental water management. Pages 2444-2450 </w:t>
      </w:r>
      <w:r w:rsidRPr="009538DA">
        <w:rPr>
          <w:i/>
        </w:rPr>
        <w:t>in</w:t>
      </w:r>
      <w:r w:rsidRPr="009538DA">
        <w:t xml:space="preserve"> 19th International Congress on Modelling and Simulation. Modelling and Simulation Society of Australia and New Zealand.</w:t>
      </w:r>
    </w:p>
    <w:p w14:paraId="7890BF1F" w14:textId="77777777" w:rsidR="009538DA" w:rsidRPr="009538DA" w:rsidRDefault="009538DA" w:rsidP="009538DA">
      <w:pPr>
        <w:pStyle w:val="EndNoteBibliography"/>
        <w:spacing w:after="0"/>
        <w:ind w:left="720" w:hanging="720"/>
      </w:pPr>
      <w:r w:rsidRPr="009538DA">
        <w:t>Driver, P. D., J. Broadfoot, J. Lenehan, S. Davis, and P. Packard. 2013b. Lachlan Riverine Working Group–mid-Lachlan (Calare) environmental flow assessment. State of NSW through the Department of Industry and Investment.</w:t>
      </w:r>
    </w:p>
    <w:p w14:paraId="55ADBEAC" w14:textId="77777777" w:rsidR="009538DA" w:rsidRPr="009538DA" w:rsidRDefault="009538DA" w:rsidP="009538DA">
      <w:pPr>
        <w:pStyle w:val="EndNoteBibliography"/>
        <w:spacing w:after="0"/>
        <w:ind w:left="720" w:hanging="720"/>
      </w:pPr>
      <w:r w:rsidRPr="009538DA">
        <w:t>Driver, P. D., S. Chowdhury, T. Hameed, P. Lloyd-Jones, G. Raisin, C. Ribbons, G. Singh, and P. Wettin. 2004. Natural and modified flows of the Lachlan Valley wetlands. Resource Analysis Unit, Central West Region, NSW Department of Infrastructure, Planning and Natural Resources, Forbes.</w:t>
      </w:r>
    </w:p>
    <w:p w14:paraId="73213582" w14:textId="77777777" w:rsidR="009538DA" w:rsidRPr="009538DA" w:rsidRDefault="009538DA" w:rsidP="009538DA">
      <w:pPr>
        <w:pStyle w:val="EndNoteBibliography"/>
        <w:spacing w:after="0"/>
        <w:ind w:left="720" w:hanging="720"/>
      </w:pPr>
      <w:r w:rsidRPr="009538DA">
        <w:t>Driver, P. D., L. Hardwick, J. Maguire, and P. Lloyd-Jones. 2003. Vegetation Survey for Billabongs. New South Wales Department of Infrastructure, Planning and Natural Resources.</w:t>
      </w:r>
    </w:p>
    <w:p w14:paraId="1EEF389F" w14:textId="77777777" w:rsidR="009538DA" w:rsidRPr="009538DA" w:rsidRDefault="009538DA" w:rsidP="009538DA">
      <w:pPr>
        <w:pStyle w:val="EndNoteBibliography"/>
        <w:spacing w:after="0"/>
        <w:ind w:left="720" w:hanging="720"/>
      </w:pPr>
      <w:r w:rsidRPr="009538DA">
        <w:t>Dyer, F., B. Broadhurst, R. Thompson, K. M. Jenkins, P. D. Driver, N. Saintilan, S. Bowen, P. Packard, D. Gilligan, A. Thiem, M. Asmus, C. Amos, K. J. Brandis, F. Martin, A. Hall, and J. R. Lenehan. 2014. Long term intervention monitoring and evaluation plan: Lachlan river system. Commonwealth Environmental Water Office, Canberra.</w:t>
      </w:r>
    </w:p>
    <w:p w14:paraId="5F234173" w14:textId="77777777" w:rsidR="009538DA" w:rsidRPr="009538DA" w:rsidRDefault="009538DA" w:rsidP="009538DA">
      <w:pPr>
        <w:pStyle w:val="EndNoteBibliography"/>
        <w:spacing w:after="0"/>
        <w:ind w:left="720" w:hanging="720"/>
      </w:pPr>
      <w:r w:rsidRPr="009538DA">
        <w:t>Dyer, F., B. Broadhurst, A. Tschierschke, J. Thiem, R. Thompson, S. Bowen, M. Asmus, K. Brandis, M. Lyons, J. Spencer, C. Callaghan, P. D. Driver, and J. R. Lenehan. 2017. Commonwealth Environmental Water Office Long Term Intervention Monitoring Project: Lower Lachlan river system Selected Area 2016-17 Monitoring and Evaluation Synthesis Report. Canberra.</w:t>
      </w:r>
    </w:p>
    <w:p w14:paraId="0A52FED9" w14:textId="77777777" w:rsidR="009538DA" w:rsidRPr="009538DA" w:rsidRDefault="009538DA" w:rsidP="009538DA">
      <w:pPr>
        <w:pStyle w:val="EndNoteBibliography"/>
        <w:spacing w:after="0"/>
        <w:ind w:left="720" w:hanging="720"/>
      </w:pPr>
      <w:r w:rsidRPr="009538DA">
        <w:t>Dyer, F., B. Broadhurst, A. Tschierschke, J. Thiem, R. Thompson, P. Driver, and S. Bowen. 2018. Commonwealth Environmental Water Office Long Term Intervention Monitoring Project: Lower Lachlan river system Selected Area 2017-18 Monitoring and Evaluation Summary Report. Commonwealth of Australia.</w:t>
      </w:r>
    </w:p>
    <w:p w14:paraId="346C2461" w14:textId="77777777" w:rsidR="009538DA" w:rsidRPr="009538DA" w:rsidRDefault="009538DA" w:rsidP="009538DA">
      <w:pPr>
        <w:pStyle w:val="EndNoteBibliography"/>
        <w:spacing w:after="0"/>
        <w:ind w:left="720" w:hanging="720"/>
      </w:pPr>
      <w:r w:rsidRPr="009538DA">
        <w:t>Dyer, F., B. Broadhurst, A. Tschierschke, R. Thompson, R. Clear, P. Driver, S. Bowen, J. Lenehan, R. Thomas, L. Thurtell, P. Packard, D. Wright, J. Thiem, and K. Brandis. 2019. Lachlan Selected Area Monitoring, Evaluation and Research Plan (2019-2022). Commonwealth of Australia, Canberra.</w:t>
      </w:r>
    </w:p>
    <w:p w14:paraId="2B3DBCF4" w14:textId="77777777" w:rsidR="009538DA" w:rsidRPr="009538DA" w:rsidRDefault="009538DA" w:rsidP="009538DA">
      <w:pPr>
        <w:pStyle w:val="EndNoteBibliography"/>
        <w:spacing w:after="0"/>
        <w:ind w:left="720" w:hanging="720"/>
      </w:pPr>
      <w:r w:rsidRPr="009538DA">
        <w:t xml:space="preserve">Ebner, B. C., O. Scholz, and B. Gawne. 2009. Golden perch </w:t>
      </w:r>
      <w:r w:rsidRPr="009538DA">
        <w:rPr>
          <w:i/>
        </w:rPr>
        <w:t>Macquaria ambigua</w:t>
      </w:r>
      <w:r w:rsidRPr="009538DA">
        <w:t xml:space="preserve"> are flexible spawners in the Darling River, Australia. New Zealand Journal of Marine and Freshwater Research </w:t>
      </w:r>
      <w:r w:rsidRPr="009538DA">
        <w:rPr>
          <w:b/>
        </w:rPr>
        <w:t>43</w:t>
      </w:r>
      <w:r w:rsidRPr="009538DA">
        <w:t>:571-578.</w:t>
      </w:r>
    </w:p>
    <w:p w14:paraId="77772859" w14:textId="77777777" w:rsidR="009538DA" w:rsidRPr="009538DA" w:rsidRDefault="009538DA" w:rsidP="009538DA">
      <w:pPr>
        <w:pStyle w:val="EndNoteBibliography"/>
        <w:spacing w:after="0"/>
        <w:ind w:left="720" w:hanging="720"/>
      </w:pPr>
      <w:r w:rsidRPr="009538DA">
        <w:t>Ellis, I., K. Cheshire, A. Townsend, C. Copeland, K. Danaher, and L. Webb. 2016. Fish and Flows in the Murray River Catchment - A review of environmental water requirements for native fish in the Murray River Catchment. NSW Department of Primary Industries, Queanbeyan.</w:t>
      </w:r>
    </w:p>
    <w:p w14:paraId="1A062319" w14:textId="77777777" w:rsidR="009538DA" w:rsidRPr="009538DA" w:rsidRDefault="009538DA" w:rsidP="009538DA">
      <w:pPr>
        <w:pStyle w:val="EndNoteBibliography"/>
        <w:spacing w:after="0"/>
        <w:ind w:left="720" w:hanging="720"/>
      </w:pPr>
      <w:r w:rsidRPr="009538DA">
        <w:t>Forbes, J., R. J. Watts, W. A. Robinson, L. J. Baumgartner, P. McGuffie, L. M. Cameron, and D. A. Crook. 2016. Assessment of stocking effectiveness for Murray cod (</w:t>
      </w:r>
      <w:r w:rsidRPr="009538DA">
        <w:rPr>
          <w:i/>
        </w:rPr>
        <w:t>Maccullochella peelii</w:t>
      </w:r>
      <w:r w:rsidRPr="009538DA">
        <w:t>) and golden perch (</w:t>
      </w:r>
      <w:r w:rsidRPr="009538DA">
        <w:rPr>
          <w:i/>
        </w:rPr>
        <w:t>Macquaria ambigua</w:t>
      </w:r>
      <w:r w:rsidRPr="009538DA">
        <w:t>) in rivers and impoundments of south-eastern Australia. Marine and Freshwater Research:-.</w:t>
      </w:r>
    </w:p>
    <w:p w14:paraId="0CAE27AF" w14:textId="77777777" w:rsidR="009538DA" w:rsidRPr="009538DA" w:rsidRDefault="009538DA" w:rsidP="009538DA">
      <w:pPr>
        <w:pStyle w:val="EndNoteBibliography"/>
        <w:spacing w:after="0"/>
        <w:ind w:left="720" w:hanging="720"/>
      </w:pPr>
      <w:r w:rsidRPr="009538DA">
        <w:t xml:space="preserve">Gehrke, P. C., P. Brown, C. B. Schiller, D. B. Moffatt, and A. M. Bruce. 1995. River regulation and fish communities in the Murray-Darling river system, Australia. Regulated Rivers: Research &amp; Management </w:t>
      </w:r>
      <w:r w:rsidRPr="009538DA">
        <w:rPr>
          <w:b/>
        </w:rPr>
        <w:t>11</w:t>
      </w:r>
      <w:r w:rsidRPr="009538DA">
        <w:t>:363-375.</w:t>
      </w:r>
    </w:p>
    <w:p w14:paraId="39F87C74" w14:textId="77777777" w:rsidR="009538DA" w:rsidRPr="009538DA" w:rsidRDefault="009538DA" w:rsidP="009538DA">
      <w:pPr>
        <w:pStyle w:val="EndNoteBibliography"/>
        <w:spacing w:after="0"/>
        <w:ind w:left="720" w:hanging="720"/>
      </w:pPr>
      <w:r w:rsidRPr="009538DA">
        <w:t>Gilligan, D., L. Jess, G. McLean, M. Asmus, I. Wooden, D. Hartwell, C. McGregor, I. Stuart, A. Vey, M. Jefferies, B. Lewis, and K. Bell. 2010. Identifying and implementing targeted carp control options for the Lower Lachlan Catchment. Industry &amp; Investment NSW (now incorporating NSW Department of Primary Industries), Cronulla, NSW.</w:t>
      </w:r>
    </w:p>
    <w:p w14:paraId="320850C9" w14:textId="77777777" w:rsidR="009538DA" w:rsidRPr="009538DA" w:rsidRDefault="009538DA" w:rsidP="009538DA">
      <w:pPr>
        <w:pStyle w:val="EndNoteBibliography"/>
        <w:spacing w:after="0"/>
        <w:ind w:left="720" w:hanging="720"/>
      </w:pPr>
      <w:r w:rsidRPr="009538DA">
        <w:t xml:space="preserve">Grace, M. R., D. P. Giling, S. Hladyz, V. Caron, R. M. Thompson, and R. Mac Nally. 2015. Fast processing of diel oxygen curves: estimating stream metabolism with BASE (BAyesian Single-station Estimation). Limnology and Oceanography Methods </w:t>
      </w:r>
      <w:r w:rsidRPr="009538DA">
        <w:rPr>
          <w:b/>
        </w:rPr>
        <w:t>13</w:t>
      </w:r>
      <w:r w:rsidRPr="009538DA">
        <w:t>:103-114.</w:t>
      </w:r>
    </w:p>
    <w:p w14:paraId="6947C877" w14:textId="77777777" w:rsidR="009538DA" w:rsidRPr="009538DA" w:rsidRDefault="009538DA" w:rsidP="009538DA">
      <w:pPr>
        <w:pStyle w:val="EndNoteBibliography"/>
        <w:spacing w:after="0"/>
        <w:ind w:left="720" w:hanging="720"/>
      </w:pPr>
      <w:r w:rsidRPr="009538DA">
        <w:t>Hale, J., R. Stoffels, R. Butcher, M. Shackleton, S. Brooks, and B. Gawne. 2014. Commonwealth Environmental Water Office Long Term Intervention Monitoring Project – Standard Methods. Final Report prepared for the Commonwealth Environmental Water Office by The Murray-Darling Freshwater Research Centre. MDFRC Publication 29.2/2014.</w:t>
      </w:r>
    </w:p>
    <w:p w14:paraId="59EDAF3E" w14:textId="77777777" w:rsidR="009538DA" w:rsidRPr="009538DA" w:rsidRDefault="009538DA" w:rsidP="009538DA">
      <w:pPr>
        <w:pStyle w:val="EndNoteBibliography"/>
        <w:spacing w:after="0"/>
        <w:ind w:left="720" w:hanging="720"/>
      </w:pPr>
      <w:r w:rsidRPr="009538DA">
        <w:t>Hameed, T., and G. Podger. 2001. Use of the IQQM simulation model for planning and management of a regulated river system. IAHS PUBLICATION:83-90.</w:t>
      </w:r>
    </w:p>
    <w:p w14:paraId="660F5143" w14:textId="77777777" w:rsidR="009538DA" w:rsidRPr="009538DA" w:rsidRDefault="009538DA" w:rsidP="009538DA">
      <w:pPr>
        <w:pStyle w:val="EndNoteBibliography"/>
        <w:spacing w:after="0"/>
        <w:ind w:left="720" w:hanging="720"/>
      </w:pPr>
      <w:r w:rsidRPr="009538DA">
        <w:t xml:space="preserve">Harris, J. H. 1995. The use of fish in ecological assessments. Australian Journal of Ecology </w:t>
      </w:r>
      <w:r w:rsidRPr="009538DA">
        <w:rPr>
          <w:b/>
        </w:rPr>
        <w:t>20</w:t>
      </w:r>
      <w:r w:rsidRPr="009538DA">
        <w:t>:65-80.</w:t>
      </w:r>
    </w:p>
    <w:p w14:paraId="7D916A04" w14:textId="77777777" w:rsidR="009538DA" w:rsidRPr="009538DA" w:rsidRDefault="009538DA" w:rsidP="009538DA">
      <w:pPr>
        <w:pStyle w:val="EndNoteBibliography"/>
        <w:spacing w:after="0"/>
        <w:ind w:left="720" w:hanging="720"/>
      </w:pPr>
      <w:r w:rsidRPr="009538DA">
        <w:t xml:space="preserve">Heibo, E., C. Magnhagen, and L. A. Vøllestad. 2005. Latitudinal variation in life-history traits in Eurasian perch. Ecology </w:t>
      </w:r>
      <w:r w:rsidRPr="009538DA">
        <w:rPr>
          <w:b/>
        </w:rPr>
        <w:t>86</w:t>
      </w:r>
      <w:r w:rsidRPr="009538DA">
        <w:t>:3377-3386.</w:t>
      </w:r>
    </w:p>
    <w:p w14:paraId="61AEE77F" w14:textId="77777777" w:rsidR="009538DA" w:rsidRPr="009538DA" w:rsidRDefault="009538DA" w:rsidP="009538DA">
      <w:pPr>
        <w:pStyle w:val="EndNoteBibliography"/>
        <w:spacing w:after="0"/>
        <w:ind w:left="720" w:hanging="720"/>
      </w:pPr>
      <w:r w:rsidRPr="009538DA">
        <w:t>Higgisson, W., S. Briggs, and F. Dyer. 2018. Seed germination of tangled lignum (</w:t>
      </w:r>
      <w:r w:rsidRPr="009538DA">
        <w:rPr>
          <w:i/>
        </w:rPr>
        <w:t>Duma florulenta</w:t>
      </w:r>
      <w:r w:rsidRPr="009538DA">
        <w:t>) and nitre goosefoot (</w:t>
      </w:r>
      <w:r w:rsidRPr="009538DA">
        <w:rPr>
          <w:i/>
        </w:rPr>
        <w:t>Chenopodium nitrariaceum</w:t>
      </w:r>
      <w:r w:rsidRPr="009538DA">
        <w:t xml:space="preserve">) under experimental hydrological regimes. Marine and Freshwater Research </w:t>
      </w:r>
      <w:r w:rsidRPr="009538DA">
        <w:rPr>
          <w:b/>
        </w:rPr>
        <w:t>69</w:t>
      </w:r>
      <w:r w:rsidRPr="009538DA">
        <w:t>:1268-1278.</w:t>
      </w:r>
    </w:p>
    <w:p w14:paraId="0AD1E9DD" w14:textId="77777777" w:rsidR="009538DA" w:rsidRPr="009538DA" w:rsidRDefault="009538DA" w:rsidP="009538DA">
      <w:pPr>
        <w:pStyle w:val="EndNoteBibliography"/>
        <w:spacing w:after="0"/>
        <w:ind w:left="720" w:hanging="720"/>
      </w:pPr>
      <w:r w:rsidRPr="009538DA">
        <w:t>Higgisson, W., S. Briggs, and F. Dyer. 2019a. Responses of nitre goosefoot (</w:t>
      </w:r>
      <w:r w:rsidRPr="009538DA">
        <w:rPr>
          <w:i/>
        </w:rPr>
        <w:t>Chenopodium nitrariaceum</w:t>
      </w:r>
      <w:r w:rsidRPr="009538DA">
        <w:t xml:space="preserve">) to simulated rainfall and depth and duration of experimental flooding. Marine and Freshwater Research </w:t>
      </w:r>
      <w:r w:rsidRPr="009538DA">
        <w:rPr>
          <w:b/>
        </w:rPr>
        <w:t>70</w:t>
      </w:r>
      <w:r w:rsidRPr="009538DA">
        <w:t>:493-503.</w:t>
      </w:r>
    </w:p>
    <w:p w14:paraId="69925B60" w14:textId="77777777" w:rsidR="009538DA" w:rsidRPr="009538DA" w:rsidRDefault="009538DA" w:rsidP="009538DA">
      <w:pPr>
        <w:pStyle w:val="EndNoteBibliography"/>
        <w:spacing w:after="0"/>
        <w:ind w:left="720" w:hanging="720"/>
      </w:pPr>
      <w:r w:rsidRPr="009538DA">
        <w:t>Higgisson, W., B. Higgisson, M. Powell, P. Driver, and F. Dyer. 2019b. Impacts of water resource development on hydrological connectivity of different floodplain habitats in a highly variable system. River Research and Applications.</w:t>
      </w:r>
    </w:p>
    <w:p w14:paraId="569A2B4E" w14:textId="77777777" w:rsidR="009538DA" w:rsidRPr="009538DA" w:rsidRDefault="009538DA" w:rsidP="009538DA">
      <w:pPr>
        <w:pStyle w:val="EndNoteBibliography"/>
        <w:spacing w:after="0"/>
        <w:ind w:left="720" w:hanging="720"/>
      </w:pPr>
      <w:r w:rsidRPr="009538DA">
        <w:t xml:space="preserve">Hladyz, S., S. C. Watkins, K. L. Whitworth, and D. S. Baldwin. 2011. Flows and hypoxic blackwater events in managed ephemeral river channels. Journal of Hydrology </w:t>
      </w:r>
      <w:r w:rsidRPr="009538DA">
        <w:rPr>
          <w:b/>
        </w:rPr>
        <w:t>401</w:t>
      </w:r>
      <w:r w:rsidRPr="009538DA">
        <w:t>:117-125.</w:t>
      </w:r>
    </w:p>
    <w:p w14:paraId="7564D92B" w14:textId="77777777" w:rsidR="009538DA" w:rsidRPr="009538DA" w:rsidRDefault="009538DA" w:rsidP="009538DA">
      <w:pPr>
        <w:pStyle w:val="EndNoteBibliography"/>
        <w:spacing w:after="0"/>
        <w:ind w:left="720" w:hanging="720"/>
      </w:pPr>
      <w:r w:rsidRPr="009538DA">
        <w:t xml:space="preserve">Holland, K. L., A. H. Charles, I. D. Jolly, I. C. Overton, S. Gehrig, and C. T. Simmons. 2009. Effectiveness of artificial watering of a semi-arid saline wetland for managing riparian vegetation health. Hydrological Processes: An International Journal </w:t>
      </w:r>
      <w:r w:rsidRPr="009538DA">
        <w:rPr>
          <w:b/>
        </w:rPr>
        <w:t>23</w:t>
      </w:r>
      <w:r w:rsidRPr="009538DA">
        <w:t>:3474-3484.</w:t>
      </w:r>
    </w:p>
    <w:p w14:paraId="1590FDFA" w14:textId="77777777" w:rsidR="009538DA" w:rsidRPr="009538DA" w:rsidRDefault="009538DA" w:rsidP="009538DA">
      <w:pPr>
        <w:pStyle w:val="EndNoteBibliography"/>
        <w:spacing w:after="0"/>
        <w:ind w:left="720" w:hanging="720"/>
      </w:pPr>
      <w:r w:rsidRPr="009538DA">
        <w:t xml:space="preserve">Horner, G. J., P. J. Baker, R. MacNally, S. C. Cunningham, J. R. Thomson, and F. Hamilton. 2009. Mortality of developing floodplain forests subjected to a drying climate and water extraction. Global Change Biology </w:t>
      </w:r>
      <w:r w:rsidRPr="009538DA">
        <w:rPr>
          <w:b/>
        </w:rPr>
        <w:t>15</w:t>
      </w:r>
      <w:r w:rsidRPr="009538DA">
        <w:t>:2176-2186.</w:t>
      </w:r>
    </w:p>
    <w:p w14:paraId="592FA353" w14:textId="77777777" w:rsidR="009538DA" w:rsidRPr="009538DA" w:rsidRDefault="009538DA" w:rsidP="009538DA">
      <w:pPr>
        <w:pStyle w:val="EndNoteBibliography"/>
        <w:spacing w:after="0"/>
        <w:ind w:left="720" w:hanging="720"/>
      </w:pPr>
      <w:r w:rsidRPr="009538DA">
        <w:t>Humphries, P. 2005. Spawning time and early life history of Murray cod</w:t>
      </w:r>
      <w:r w:rsidRPr="009538DA">
        <w:rPr>
          <w:i/>
        </w:rPr>
        <w:t xml:space="preserve">, </w:t>
      </w:r>
      <w:r w:rsidRPr="009538DA">
        <w:t xml:space="preserve">Maccullochella peelii peelii (Mitchell) in an Australian River. Environmental Biology of Fishes </w:t>
      </w:r>
      <w:r w:rsidRPr="009538DA">
        <w:rPr>
          <w:b/>
        </w:rPr>
        <w:t>72</w:t>
      </w:r>
      <w:r w:rsidRPr="009538DA">
        <w:t>:393-407.</w:t>
      </w:r>
    </w:p>
    <w:p w14:paraId="580A282D" w14:textId="77777777" w:rsidR="009538DA" w:rsidRPr="009538DA" w:rsidRDefault="009538DA" w:rsidP="009538DA">
      <w:pPr>
        <w:pStyle w:val="EndNoteBibliography"/>
        <w:spacing w:after="0"/>
        <w:ind w:left="720" w:hanging="720"/>
      </w:pPr>
      <w:r w:rsidRPr="009538DA">
        <w:t xml:space="preserve">Humphries, P., A. J. King, and J. D. Koehn. 1999. Fish, flows and flood plains: links between freshwater fishes and their environment in the Murray-Darling River system, Australia. Environmental Biology of Fishes </w:t>
      </w:r>
      <w:r w:rsidRPr="009538DA">
        <w:rPr>
          <w:b/>
        </w:rPr>
        <w:t>56</w:t>
      </w:r>
      <w:r w:rsidRPr="009538DA">
        <w:t>:129-151.</w:t>
      </w:r>
    </w:p>
    <w:p w14:paraId="3270D2D1" w14:textId="77777777" w:rsidR="009538DA" w:rsidRPr="009538DA" w:rsidRDefault="009538DA" w:rsidP="009538DA">
      <w:pPr>
        <w:pStyle w:val="EndNoteBibliography"/>
        <w:spacing w:after="0"/>
        <w:ind w:left="720" w:hanging="720"/>
      </w:pPr>
      <w:r w:rsidRPr="009538DA">
        <w:t>Humphries, P., A. J. Richardson, G. G. Wilson, and T. Ellison. 2008. Impacts of Managed Flows on Fish Spawning and Recruitment. Report prepared for the Murray–darling Basin Commission. Murray-Darling Freshwater Research Centre, Wodonga.</w:t>
      </w:r>
    </w:p>
    <w:p w14:paraId="4DE6A3F8" w14:textId="77777777" w:rsidR="009538DA" w:rsidRPr="009538DA" w:rsidRDefault="009538DA" w:rsidP="009538DA">
      <w:pPr>
        <w:pStyle w:val="EndNoteBibliography"/>
        <w:spacing w:after="0"/>
        <w:ind w:left="720" w:hanging="720"/>
      </w:pPr>
      <w:r w:rsidRPr="009538DA">
        <w:t xml:space="preserve">Hunt, T. L., M. S. Allen, J. Douglas, and A. Gason. 2010. Evaluation of a Sport Fish Stocking Program in Lakes of the Southern Murray–Darling Basin, Australia. North American Journal of Fisheries Management </w:t>
      </w:r>
      <w:r w:rsidRPr="009538DA">
        <w:rPr>
          <w:b/>
        </w:rPr>
        <w:t>30</w:t>
      </w:r>
      <w:r w:rsidRPr="009538DA">
        <w:t>:805-811.</w:t>
      </w:r>
    </w:p>
    <w:p w14:paraId="7776E644" w14:textId="77777777" w:rsidR="009538DA" w:rsidRPr="009538DA" w:rsidRDefault="009538DA" w:rsidP="009538DA">
      <w:pPr>
        <w:pStyle w:val="EndNoteBibliography"/>
        <w:spacing w:after="0"/>
        <w:ind w:left="720" w:hanging="720"/>
      </w:pPr>
      <w:r w:rsidRPr="009538DA">
        <w:t xml:space="preserve">Junk, W. J., P. B. Bayley, and R. E. Sparks. 1989. The flood pulse concept in river-floodplain systems. Canadian Journal of Fisheries and Aquatic Sciences </w:t>
      </w:r>
      <w:r w:rsidRPr="009538DA">
        <w:rPr>
          <w:b/>
        </w:rPr>
        <w:t>106</w:t>
      </w:r>
      <w:r w:rsidRPr="009538DA">
        <w:t>:110-127.</w:t>
      </w:r>
    </w:p>
    <w:p w14:paraId="7276FF47" w14:textId="77777777" w:rsidR="009538DA" w:rsidRPr="009538DA" w:rsidRDefault="009538DA" w:rsidP="009538DA">
      <w:pPr>
        <w:pStyle w:val="EndNoteBibliography"/>
        <w:spacing w:after="0"/>
        <w:ind w:left="720" w:hanging="720"/>
      </w:pPr>
      <w:r w:rsidRPr="009538DA">
        <w:t>Kaminskas, S., and P. Humphries. 2009. Diet of Murray cod (</w:t>
      </w:r>
      <w:r w:rsidRPr="009538DA">
        <w:rPr>
          <w:i/>
        </w:rPr>
        <w:t>Maccullochella peelii peelii</w:t>
      </w:r>
      <w:r w:rsidRPr="009538DA">
        <w:t xml:space="preserve">) (Mitchell) larvae in an Australian lowland river in low flow and high flow years. Hydrobiologia </w:t>
      </w:r>
      <w:r w:rsidRPr="009538DA">
        <w:rPr>
          <w:b/>
        </w:rPr>
        <w:t>636</w:t>
      </w:r>
      <w:r w:rsidRPr="009538DA">
        <w:t>:449-461.</w:t>
      </w:r>
    </w:p>
    <w:p w14:paraId="4CB5C8CB" w14:textId="77777777" w:rsidR="009538DA" w:rsidRPr="009538DA" w:rsidRDefault="009538DA" w:rsidP="009538DA">
      <w:pPr>
        <w:pStyle w:val="EndNoteBibliography"/>
        <w:spacing w:after="0"/>
        <w:ind w:left="720" w:hanging="720"/>
      </w:pPr>
      <w:r w:rsidRPr="009538DA">
        <w:t xml:space="preserve">King, A. J., D. A. Crook, W. M. Koster, J. Mahoney, and Z. Tonkin. 2005. Comparison of larval fish drift in the Lower Goulburn and mid-Murray Rivers. Ecological Management and Restoration </w:t>
      </w:r>
      <w:r w:rsidRPr="009538DA">
        <w:rPr>
          <w:b/>
        </w:rPr>
        <w:t>6</w:t>
      </w:r>
      <w:r w:rsidRPr="009538DA">
        <w:t>:136-138.</w:t>
      </w:r>
    </w:p>
    <w:p w14:paraId="22CA16FC" w14:textId="77777777" w:rsidR="009538DA" w:rsidRPr="009538DA" w:rsidRDefault="009538DA" w:rsidP="009538DA">
      <w:pPr>
        <w:pStyle w:val="EndNoteBibliography"/>
        <w:spacing w:after="0"/>
        <w:ind w:left="720" w:hanging="720"/>
      </w:pPr>
      <w:r w:rsidRPr="009538DA">
        <w:t xml:space="preserve">King, A. J., P. Humphries, and P. S. Lake. 2003. Fish recruitment on floodplains: the roles of patterns of flooding and life history characteristics. Canadian Journal of Fisheries and Aquatic Sciences </w:t>
      </w:r>
      <w:r w:rsidRPr="009538DA">
        <w:rPr>
          <w:b/>
        </w:rPr>
        <w:t>60</w:t>
      </w:r>
      <w:r w:rsidRPr="009538DA">
        <w:t>:773–786.</w:t>
      </w:r>
    </w:p>
    <w:p w14:paraId="6857C8F1" w14:textId="77777777" w:rsidR="009538DA" w:rsidRPr="009538DA" w:rsidRDefault="009538DA" w:rsidP="009538DA">
      <w:pPr>
        <w:pStyle w:val="EndNoteBibliography"/>
        <w:spacing w:after="0"/>
        <w:ind w:left="720" w:hanging="720"/>
      </w:pPr>
      <w:r w:rsidRPr="009538DA">
        <w:t xml:space="preserve">King, A. J., Z. Tonkin, and J. Lieschke. 2012. Short-term effects of a prolonged blackwater event on aquatic fauna in the Murray River, Australia: considerations for future events. Marine and Freshwater Research </w:t>
      </w:r>
      <w:r w:rsidRPr="009538DA">
        <w:rPr>
          <w:b/>
        </w:rPr>
        <w:t>63</w:t>
      </w:r>
      <w:r w:rsidRPr="009538DA">
        <w:t>:576</w:t>
      </w:r>
      <w:r w:rsidRPr="009538DA">
        <w:rPr>
          <w:rFonts w:ascii="Symbol" w:hAnsi="Symbol"/>
        </w:rPr>
        <w:t>-</w:t>
      </w:r>
      <w:r w:rsidRPr="009538DA">
        <w:t>586.</w:t>
      </w:r>
    </w:p>
    <w:p w14:paraId="56B0BCFB" w14:textId="77777777" w:rsidR="009538DA" w:rsidRPr="009538DA" w:rsidRDefault="009538DA" w:rsidP="009538DA">
      <w:pPr>
        <w:pStyle w:val="EndNoteBibliography"/>
        <w:spacing w:after="0"/>
        <w:ind w:left="720" w:hanging="720"/>
      </w:pPr>
      <w:r w:rsidRPr="009538DA">
        <w:t xml:space="preserve">King, A. J., K. A. Ward, P. O'Connor, D. Green, Z. Tonkin, and J. Mahoney. 2010. Adaptive management of an environmental watering event to enhance native fish spawning and recruitment. Freshwater Biology </w:t>
      </w:r>
      <w:r w:rsidRPr="009538DA">
        <w:rPr>
          <w:b/>
        </w:rPr>
        <w:t>55</w:t>
      </w:r>
      <w:r w:rsidRPr="009538DA">
        <w:t>:17-31.</w:t>
      </w:r>
    </w:p>
    <w:p w14:paraId="3AFEB671" w14:textId="77777777" w:rsidR="009538DA" w:rsidRPr="009538DA" w:rsidRDefault="009538DA" w:rsidP="009538DA">
      <w:pPr>
        <w:pStyle w:val="EndNoteBibliography"/>
        <w:spacing w:after="0"/>
        <w:ind w:left="720" w:hanging="720"/>
      </w:pPr>
      <w:r w:rsidRPr="009538DA">
        <w:t xml:space="preserve">Kingsford, R. T. 2000. Ecological impacts of dams, water diversions and river management on floodplain wetlands in Australia. Austral Ecology </w:t>
      </w:r>
      <w:r w:rsidRPr="009538DA">
        <w:rPr>
          <w:b/>
        </w:rPr>
        <w:t>25</w:t>
      </w:r>
      <w:r w:rsidRPr="009538DA">
        <w:t>:109-127.</w:t>
      </w:r>
    </w:p>
    <w:p w14:paraId="6803C00D" w14:textId="77777777" w:rsidR="009538DA" w:rsidRPr="009538DA" w:rsidRDefault="009538DA" w:rsidP="009538DA">
      <w:pPr>
        <w:pStyle w:val="EndNoteBibliography"/>
        <w:spacing w:after="0"/>
        <w:ind w:left="720" w:hanging="720"/>
      </w:pPr>
      <w:r w:rsidRPr="009538DA">
        <w:t>Koehn, J. D., and D. J. Harrington. 2005. Collection and distribution of early life stages of the Murray cod (</w:t>
      </w:r>
      <w:r w:rsidRPr="009538DA">
        <w:rPr>
          <w:i/>
        </w:rPr>
        <w:t>Maccullochella peelii peelii</w:t>
      </w:r>
      <w:r w:rsidRPr="009538DA">
        <w:t xml:space="preserve">) in a regulated river. Australian Journal of Zoology </w:t>
      </w:r>
      <w:r w:rsidRPr="009538DA">
        <w:rPr>
          <w:b/>
        </w:rPr>
        <w:t>53</w:t>
      </w:r>
      <w:r w:rsidRPr="009538DA">
        <w:t>:137-144.</w:t>
      </w:r>
    </w:p>
    <w:p w14:paraId="0AE663EA" w14:textId="77777777" w:rsidR="009538DA" w:rsidRPr="009538DA" w:rsidRDefault="009538DA" w:rsidP="009538DA">
      <w:pPr>
        <w:pStyle w:val="EndNoteBibliography"/>
        <w:spacing w:after="0"/>
        <w:ind w:left="720" w:hanging="720"/>
      </w:pPr>
      <w:r w:rsidRPr="009538DA">
        <w:t xml:space="preserve">Koehn, J. D., and D. J. Harrington. 2006. Environmental conditions and timing for the spawning of Murray cod (Maccullochella peelii peelii) and the endangered trout cod (M. macquariensis) in southeastern Australian rivers. River Research and Applications </w:t>
      </w:r>
      <w:r w:rsidRPr="009538DA">
        <w:rPr>
          <w:b/>
        </w:rPr>
        <w:t>18</w:t>
      </w:r>
      <w:r w:rsidRPr="009538DA">
        <w:t>:327-342.</w:t>
      </w:r>
    </w:p>
    <w:p w14:paraId="6B5F98E6" w14:textId="77777777" w:rsidR="009538DA" w:rsidRPr="009538DA" w:rsidRDefault="009538DA" w:rsidP="009538DA">
      <w:pPr>
        <w:pStyle w:val="EndNoteBibliography"/>
        <w:spacing w:after="0"/>
        <w:ind w:left="720" w:hanging="720"/>
      </w:pPr>
      <w:r w:rsidRPr="009538DA">
        <w:t xml:space="preserve">Koehn, J. D., J. A. McKenzie, D. J. O'Mahony, S. J. Nicol, J. P. O'Connor, and W. G. O'Connor. 2009. Movements of Murray cod (Maccullochella peelii peelii) in a large Australian lowland river. Ecology of Freshwater Fish </w:t>
      </w:r>
      <w:r w:rsidRPr="009538DA">
        <w:rPr>
          <w:b/>
        </w:rPr>
        <w:t>18</w:t>
      </w:r>
      <w:r w:rsidRPr="009538DA">
        <w:t>:594-602.</w:t>
      </w:r>
    </w:p>
    <w:p w14:paraId="4D5619E2" w14:textId="77777777" w:rsidR="009538DA" w:rsidRPr="009538DA" w:rsidRDefault="009538DA" w:rsidP="009538DA">
      <w:pPr>
        <w:pStyle w:val="EndNoteBibliography"/>
        <w:spacing w:after="0"/>
        <w:ind w:left="720" w:hanging="720"/>
      </w:pPr>
      <w:r w:rsidRPr="009538DA">
        <w:t xml:space="preserve">Lake, J. S. 1967. Rearing experiments with five species of Australian freshwater fishes. I. Inducement to spawning. Australian Journal for Marine and Freshwater Research </w:t>
      </w:r>
      <w:r w:rsidRPr="009538DA">
        <w:rPr>
          <w:b/>
        </w:rPr>
        <w:t>18</w:t>
      </w:r>
      <w:r w:rsidRPr="009538DA">
        <w:t>:155-173.</w:t>
      </w:r>
    </w:p>
    <w:p w14:paraId="728EB377" w14:textId="77777777" w:rsidR="009538DA" w:rsidRPr="009538DA" w:rsidRDefault="009538DA" w:rsidP="009538DA">
      <w:pPr>
        <w:pStyle w:val="EndNoteBibliography"/>
        <w:spacing w:after="0"/>
        <w:ind w:left="720" w:hanging="720"/>
      </w:pPr>
      <w:r w:rsidRPr="009538DA">
        <w:t>Lintermans, M. 2007. Fishes of the Murray-Darling Basin: an introductory guide. Murray-Darling Basin Commission, Canberra.</w:t>
      </w:r>
    </w:p>
    <w:p w14:paraId="1F207F4A" w14:textId="77777777" w:rsidR="009538DA" w:rsidRPr="009538DA" w:rsidRDefault="009538DA" w:rsidP="009538DA">
      <w:pPr>
        <w:pStyle w:val="EndNoteBibliography"/>
        <w:spacing w:after="0"/>
        <w:ind w:left="720" w:hanging="720"/>
      </w:pPr>
      <w:r w:rsidRPr="009538DA">
        <w:t xml:space="preserve">Llewellyn, L. 2007. Spawning and development of the Flat-headed Gudgeon Philypnodon grandiceps (Krefft, 1864) (Teleostei:Eleotridae). Australian Zoologis </w:t>
      </w:r>
      <w:r w:rsidRPr="009538DA">
        <w:rPr>
          <w:b/>
        </w:rPr>
        <w:t>34</w:t>
      </w:r>
      <w:r w:rsidRPr="009538DA">
        <w:t>:1-21.</w:t>
      </w:r>
    </w:p>
    <w:p w14:paraId="43C0E664" w14:textId="77777777" w:rsidR="009538DA" w:rsidRPr="009538DA" w:rsidRDefault="009538DA" w:rsidP="009538DA">
      <w:pPr>
        <w:pStyle w:val="EndNoteBibliography"/>
        <w:spacing w:after="0"/>
        <w:ind w:left="720" w:hanging="720"/>
      </w:pPr>
      <w:r w:rsidRPr="009538DA">
        <w:t xml:space="preserve">Lorenzoni, M., M. Corboli, L. Ghetti, G. Pedicillo, and A. Carosi. 2007. Growth and reproduction of the goldfish Carassius auratus: a case study from Italy. Pages 259-273 </w:t>
      </w:r>
      <w:r w:rsidRPr="009538DA">
        <w:rPr>
          <w:i/>
        </w:rPr>
        <w:t>in</w:t>
      </w:r>
      <w:r w:rsidRPr="009538DA">
        <w:t xml:space="preserve"> F. Gherardi, editor. Biological invaders in inland waters: Profiles, distribution, and threats. Springer Netherlands, Dordrecht.</w:t>
      </w:r>
    </w:p>
    <w:p w14:paraId="4C61B55A" w14:textId="77777777" w:rsidR="009538DA" w:rsidRPr="009538DA" w:rsidRDefault="009538DA" w:rsidP="009538DA">
      <w:pPr>
        <w:pStyle w:val="EndNoteBibliography"/>
        <w:spacing w:after="0"/>
        <w:ind w:left="720" w:hanging="720"/>
      </w:pPr>
      <w:r w:rsidRPr="009538DA">
        <w:t>Maher, P. N. 1990. Bird survey of the Lachlan/Murrumbidgee conﬂuence wetlands.</w:t>
      </w:r>
    </w:p>
    <w:p w14:paraId="72030156" w14:textId="77777777" w:rsidR="009538DA" w:rsidRPr="009538DA" w:rsidRDefault="009538DA" w:rsidP="009538DA">
      <w:pPr>
        <w:pStyle w:val="EndNoteBibliography"/>
        <w:spacing w:after="0"/>
        <w:ind w:left="720" w:hanging="720"/>
      </w:pPr>
      <w:r w:rsidRPr="009538DA">
        <w:t>Mallen-Cooper, M. 1996. Fishways and Freshwater Fish Migration in South-Eastern Australia. PhD Thesis. University of Technology, Sydney.</w:t>
      </w:r>
    </w:p>
    <w:p w14:paraId="43E902D6" w14:textId="77777777" w:rsidR="009538DA" w:rsidRPr="009538DA" w:rsidRDefault="009538DA" w:rsidP="009538DA">
      <w:pPr>
        <w:pStyle w:val="EndNoteBibliography"/>
        <w:spacing w:after="0"/>
        <w:ind w:left="720" w:hanging="720"/>
      </w:pPr>
      <w:r w:rsidRPr="009538DA">
        <w:t xml:space="preserve">Mallen-Cooper, M., and B. P. Zampatti. 2018. History, hydrology and hydraulics: Rethinking the ecological management of large rivers. Ecohydrology </w:t>
      </w:r>
      <w:r w:rsidRPr="009538DA">
        <w:rPr>
          <w:b/>
        </w:rPr>
        <w:t>11</w:t>
      </w:r>
      <w:r w:rsidRPr="009538DA">
        <w:t>:23.</w:t>
      </w:r>
    </w:p>
    <w:p w14:paraId="58DC7AE5" w14:textId="77777777" w:rsidR="009538DA" w:rsidRPr="009538DA" w:rsidRDefault="009538DA" w:rsidP="009538DA">
      <w:pPr>
        <w:pStyle w:val="EndNoteBibliography"/>
        <w:spacing w:after="0"/>
        <w:ind w:left="720" w:hanging="720"/>
      </w:pPr>
      <w:r w:rsidRPr="009538DA">
        <w:t>Martino, J. C., A. J. Fowler, Z. A. Doubleday, G. L. Grammer, and B. M. Gillanders. 2019.</w:t>
      </w:r>
      <w:r w:rsidRPr="009538DA">
        <w:rPr>
          <w:rFonts w:hint="eastAsia"/>
        </w:rPr>
        <w:t xml:space="preserve"> Using otolith chronologies to understand long</w:t>
      </w:r>
      <w:r w:rsidRPr="009538DA">
        <w:rPr>
          <w:rFonts w:hint="eastAsia"/>
        </w:rPr>
        <w:t>‐</w:t>
      </w:r>
      <w:r w:rsidRPr="009538DA">
        <w:rPr>
          <w:rFonts w:hint="eastAsia"/>
        </w:rPr>
        <w:t xml:space="preserve">term trends and extrinsic drivers of growth in fisheries. Ecosphere </w:t>
      </w:r>
      <w:r w:rsidRPr="009538DA">
        <w:rPr>
          <w:rFonts w:hint="eastAsia"/>
          <w:b/>
        </w:rPr>
        <w:t>10</w:t>
      </w:r>
      <w:r w:rsidRPr="009538DA">
        <w:rPr>
          <w:rFonts w:hint="eastAsia"/>
        </w:rPr>
        <w:t>:e02553.</w:t>
      </w:r>
    </w:p>
    <w:p w14:paraId="13A2842B" w14:textId="77777777" w:rsidR="009538DA" w:rsidRPr="009538DA" w:rsidRDefault="009538DA" w:rsidP="009538DA">
      <w:pPr>
        <w:pStyle w:val="EndNoteBibliography"/>
        <w:spacing w:after="0"/>
        <w:ind w:left="720" w:hanging="720"/>
      </w:pPr>
      <w:r w:rsidRPr="009538DA">
        <w:t xml:space="preserve">McDowall, R. M. 1996. Family Poecilidae: livebearers. Pages 116-122 </w:t>
      </w:r>
      <w:r w:rsidRPr="009538DA">
        <w:rPr>
          <w:i/>
        </w:rPr>
        <w:t>in</w:t>
      </w:r>
      <w:r w:rsidRPr="009538DA">
        <w:t xml:space="preserve"> R. M. McDowall, editor. Freshwater Fishes of South-Eastern Australia. Reed Books, Sydney.</w:t>
      </w:r>
    </w:p>
    <w:p w14:paraId="2BB2F8B2" w14:textId="77777777" w:rsidR="009538DA" w:rsidRPr="009538DA" w:rsidRDefault="009538DA" w:rsidP="009538DA">
      <w:pPr>
        <w:pStyle w:val="EndNoteBibliography"/>
        <w:spacing w:after="0"/>
        <w:ind w:left="720" w:hanging="720"/>
      </w:pPr>
      <w:r w:rsidRPr="009538DA">
        <w:t>MDBA. 2012a. Assessment of environmental water requirements for the proposed Basin Plan: Great Cumbung Swamp. MBDA, Canberra.</w:t>
      </w:r>
    </w:p>
    <w:p w14:paraId="525BD360" w14:textId="77777777" w:rsidR="009538DA" w:rsidRPr="009538DA" w:rsidRDefault="009538DA" w:rsidP="009538DA">
      <w:pPr>
        <w:pStyle w:val="EndNoteBibliography"/>
        <w:spacing w:after="0"/>
        <w:ind w:left="720" w:hanging="720"/>
      </w:pPr>
      <w:r w:rsidRPr="009538DA">
        <w:t>MDBA. 2012b. Sustainable Rivers Audit 2: The ecological health of rivers in the Murray–Darling Basin at the end of the Millennium Drought (2008–2010). Summary. Murray-Darling Basin Authority, Canberra, Australia.</w:t>
      </w:r>
    </w:p>
    <w:p w14:paraId="63139B49" w14:textId="77777777" w:rsidR="009538DA" w:rsidRPr="009538DA" w:rsidRDefault="009538DA" w:rsidP="009538DA">
      <w:pPr>
        <w:pStyle w:val="EndNoteBibliography"/>
        <w:spacing w:after="0"/>
        <w:ind w:left="720" w:hanging="720"/>
      </w:pPr>
      <w:r w:rsidRPr="009538DA">
        <w:t>MDBA. 2014. Basin-wide enviromental watering strategy. Murray–Darling Basin Authority, Canberra, Australia.</w:t>
      </w:r>
    </w:p>
    <w:p w14:paraId="16FD19E8" w14:textId="77777777" w:rsidR="009538DA" w:rsidRPr="009538DA" w:rsidRDefault="009538DA" w:rsidP="009538DA">
      <w:pPr>
        <w:pStyle w:val="EndNoteBibliography"/>
        <w:spacing w:after="0"/>
        <w:ind w:left="720" w:hanging="720"/>
      </w:pPr>
      <w:r w:rsidRPr="009538DA">
        <w:t>MDBA. 2018. Basin environmental watering outlook for 2018-19. Murry Darling Basin Authority, Canberra, Australia.</w:t>
      </w:r>
    </w:p>
    <w:p w14:paraId="15318C4F" w14:textId="77777777" w:rsidR="009538DA" w:rsidRPr="009538DA" w:rsidRDefault="009538DA" w:rsidP="009538DA">
      <w:pPr>
        <w:pStyle w:val="EndNoteBibliography"/>
        <w:spacing w:after="0"/>
        <w:ind w:left="720" w:hanging="720"/>
      </w:pPr>
      <w:r w:rsidRPr="009538DA">
        <w:t>MDBC. 2004. Native Fish Strategy for the Murray-Darling Basin 2003-2013. Murray-Darling Basin Commission, Canberra.</w:t>
      </w:r>
    </w:p>
    <w:p w14:paraId="2A213266" w14:textId="77777777" w:rsidR="009538DA" w:rsidRPr="009538DA" w:rsidRDefault="009538DA" w:rsidP="009538DA">
      <w:pPr>
        <w:pStyle w:val="EndNoteBibliography"/>
        <w:spacing w:after="0"/>
        <w:ind w:left="720" w:hanging="720"/>
      </w:pPr>
      <w:r w:rsidRPr="009538DA">
        <w:t>MDFRC. 2013. Long-term Intervention Monitoring - Generic Cause and Effect Diagrams. Report prepared for the Commonwealth Environmental Water Office. Murray-Darling Freshwater Research Centre (MDFRC).</w:t>
      </w:r>
    </w:p>
    <w:p w14:paraId="514D188C" w14:textId="77777777" w:rsidR="009538DA" w:rsidRPr="009538DA" w:rsidRDefault="009538DA" w:rsidP="009538DA">
      <w:pPr>
        <w:pStyle w:val="EndNoteBibliography"/>
        <w:spacing w:after="0"/>
        <w:ind w:left="720" w:hanging="720"/>
      </w:pPr>
      <w:r w:rsidRPr="009538DA">
        <w:t>Merritt, D. M., M. L. Scott, N. L. R. Poff, G. T. Auble, and D. A. Lytle. 2010. Theory, methods and tools for d</w:t>
      </w:r>
      <w:r w:rsidRPr="009538DA">
        <w:rPr>
          <w:rFonts w:hint="eastAsia"/>
        </w:rPr>
        <w:t>etermining environmental flows for riparian vegetation: riparian vegetation</w:t>
      </w:r>
      <w:r w:rsidRPr="009538DA">
        <w:rPr>
          <w:rFonts w:hint="eastAsia"/>
        </w:rPr>
        <w:t>‐</w:t>
      </w:r>
      <w:r w:rsidRPr="009538DA">
        <w:rPr>
          <w:rFonts w:hint="eastAsia"/>
        </w:rPr>
        <w:t xml:space="preserve">flow response guilds. Freshwater Biology </w:t>
      </w:r>
      <w:r w:rsidRPr="009538DA">
        <w:rPr>
          <w:rFonts w:hint="eastAsia"/>
          <w:b/>
        </w:rPr>
        <w:t>55</w:t>
      </w:r>
      <w:r w:rsidRPr="009538DA">
        <w:rPr>
          <w:rFonts w:hint="eastAsia"/>
        </w:rPr>
        <w:t>:206-225.</w:t>
      </w:r>
    </w:p>
    <w:p w14:paraId="24256500" w14:textId="77777777" w:rsidR="009538DA" w:rsidRPr="009538DA" w:rsidRDefault="009538DA" w:rsidP="009538DA">
      <w:pPr>
        <w:pStyle w:val="EndNoteBibliography"/>
        <w:spacing w:after="0"/>
        <w:ind w:left="720" w:hanging="720"/>
      </w:pPr>
      <w:r w:rsidRPr="009538DA">
        <w:t>Muschal, M., E. Turak, D. Gilligan, J. Sayers, and M. Healey. 2010. Riverine ecosystems, Technical report series of the NSW Monitoring, Evaluation and Reporting Program. NSW Office of Water, Sydney.</w:t>
      </w:r>
    </w:p>
    <w:p w14:paraId="711C9FA9" w14:textId="77777777" w:rsidR="009538DA" w:rsidRPr="009538DA" w:rsidRDefault="009538DA" w:rsidP="009538DA">
      <w:pPr>
        <w:pStyle w:val="EndNoteBibliography"/>
        <w:spacing w:after="0"/>
        <w:ind w:left="720" w:hanging="720"/>
      </w:pPr>
      <w:r w:rsidRPr="009538DA">
        <w:t xml:space="preserve">Nicol, J. M., G. G. Ganf, and G. A. Pelton. 2003. Seed banks of a southern Australian wetland: the influence of water regime on the final floristic composition. Plant Ecology </w:t>
      </w:r>
      <w:r w:rsidRPr="009538DA">
        <w:rPr>
          <w:b/>
        </w:rPr>
        <w:t>168</w:t>
      </w:r>
      <w:r w:rsidRPr="009538DA">
        <w:t>:191-205.</w:t>
      </w:r>
    </w:p>
    <w:p w14:paraId="368EE7C0" w14:textId="77777777" w:rsidR="009538DA" w:rsidRPr="009538DA" w:rsidRDefault="009538DA" w:rsidP="009538DA">
      <w:pPr>
        <w:pStyle w:val="EndNoteBibliography"/>
        <w:spacing w:after="0"/>
        <w:ind w:left="720" w:hanging="720"/>
      </w:pPr>
      <w:r w:rsidRPr="009538DA">
        <w:t xml:space="preserve">Nielsen, D. L., K. Podnar, R. Watts, and A. Wilson. 2013. Empirical evidence linking increased hydrologic stability with decreased biotic diversity within wetlands. Hydrobiologia </w:t>
      </w:r>
      <w:r w:rsidRPr="009538DA">
        <w:rPr>
          <w:b/>
        </w:rPr>
        <w:t>708</w:t>
      </w:r>
      <w:r w:rsidRPr="009538DA">
        <w:t>:81-96.</w:t>
      </w:r>
    </w:p>
    <w:p w14:paraId="7F1CAAE8" w14:textId="77777777" w:rsidR="009538DA" w:rsidRPr="009538DA" w:rsidRDefault="009538DA" w:rsidP="009538DA">
      <w:pPr>
        <w:pStyle w:val="EndNoteBibliography"/>
        <w:spacing w:after="0"/>
        <w:ind w:left="720" w:hanging="720"/>
      </w:pPr>
      <w:r w:rsidRPr="009538DA">
        <w:t xml:space="preserve">Nilsson, C., and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w:t>
      </w:r>
      <w:r w:rsidRPr="009538DA">
        <w:rPr>
          <w:b/>
        </w:rPr>
        <w:t>50</w:t>
      </w:r>
      <w:r w:rsidRPr="009538DA">
        <w:t>:783-792.</w:t>
      </w:r>
    </w:p>
    <w:p w14:paraId="5CEEB350" w14:textId="77777777" w:rsidR="009538DA" w:rsidRPr="009538DA" w:rsidRDefault="009538DA" w:rsidP="009538DA">
      <w:pPr>
        <w:pStyle w:val="EndNoteBibliography"/>
        <w:spacing w:after="0"/>
        <w:ind w:left="720" w:hanging="720"/>
      </w:pPr>
      <w:r w:rsidRPr="009538DA">
        <w:t xml:space="preserve">Nilsson, C., and M. Svedmark. 2002. Basic Principles and Ecological Consequences of Changing Water Regimes: Riparian Plant Communities. Environmental Management </w:t>
      </w:r>
      <w:r w:rsidRPr="009538DA">
        <w:rPr>
          <w:b/>
        </w:rPr>
        <w:t>30</w:t>
      </w:r>
      <w:r w:rsidRPr="009538DA">
        <w:t>:468-480.</w:t>
      </w:r>
    </w:p>
    <w:p w14:paraId="2548C30E" w14:textId="77777777" w:rsidR="009538DA" w:rsidRPr="009538DA" w:rsidRDefault="009538DA" w:rsidP="009538DA">
      <w:pPr>
        <w:pStyle w:val="EndNoteBibliography"/>
        <w:spacing w:after="0"/>
        <w:ind w:left="720" w:hanging="720"/>
      </w:pPr>
      <w:r w:rsidRPr="009538DA">
        <w:t>OEH. 2018. Lachlan Long Term Water Plan Part A: Lachlan catchment. Office of Environment and Heritage, Sydney.</w:t>
      </w:r>
    </w:p>
    <w:p w14:paraId="6F95D007" w14:textId="7F87C13B" w:rsidR="009538DA" w:rsidRPr="009538DA" w:rsidRDefault="009538DA" w:rsidP="009538DA">
      <w:pPr>
        <w:pStyle w:val="EndNoteBibliography"/>
        <w:spacing w:after="0"/>
        <w:ind w:left="720" w:hanging="720"/>
      </w:pPr>
      <w:r w:rsidRPr="009538DA">
        <w:t xml:space="preserve">Oksanen, J., F. Guillaume Blanchet, M. Friendly, R. Kindt, P. Legendre, D. McGlinn, R. Peter, P. Minchin, R. B. O'Hara, G. L. Simpson, P. Solymos, M. Henry, H. Stevens, S. E., and H. Wagner. 2019. vegan: Community Ecology Package. Rpackage version 2.5-5. </w:t>
      </w:r>
      <w:hyperlink r:id="rId208" w:history="1">
        <w:r w:rsidRPr="009538DA">
          <w:rPr>
            <w:rStyle w:val="Hyperlink"/>
            <w:rFonts w:cs="Calibri"/>
          </w:rPr>
          <w:t>https://CRAN.R-project.org/package=vegan</w:t>
        </w:r>
      </w:hyperlink>
      <w:r w:rsidRPr="009538DA">
        <w:t>.</w:t>
      </w:r>
    </w:p>
    <w:p w14:paraId="69D7D8C1" w14:textId="77777777" w:rsidR="009538DA" w:rsidRPr="009538DA" w:rsidRDefault="009538DA" w:rsidP="009538DA">
      <w:pPr>
        <w:pStyle w:val="EndNoteBibliography"/>
        <w:spacing w:after="0"/>
        <w:ind w:left="720" w:hanging="720"/>
      </w:pPr>
      <w:r w:rsidRPr="009538DA">
        <w:t xml:space="preserve">Olden, J. D., and N. L. R. Poff. 2003. Redundancy and the choice of hydrologic indices for characterizing streamflow regimes. River Research and Applications </w:t>
      </w:r>
      <w:r w:rsidRPr="009538DA">
        <w:rPr>
          <w:b/>
        </w:rPr>
        <w:t>19</w:t>
      </w:r>
      <w:r w:rsidRPr="009538DA">
        <w:t>:101-121.</w:t>
      </w:r>
    </w:p>
    <w:p w14:paraId="72848E70" w14:textId="77777777" w:rsidR="009538DA" w:rsidRPr="009538DA" w:rsidRDefault="009538DA" w:rsidP="009538DA">
      <w:pPr>
        <w:pStyle w:val="EndNoteBibliography"/>
        <w:spacing w:after="0"/>
        <w:ind w:left="720" w:hanging="720"/>
      </w:pPr>
      <w:r w:rsidRPr="009538DA">
        <w:t xml:space="preserve">Poff, N. L. R., and J. C. Ward. 1989. Implications of streamflow variability and predictability for lotic community structure: a regional analysis of streamflow patterns. Canadian Journal of Fisheries and Aquatic Sciences </w:t>
      </w:r>
      <w:r w:rsidRPr="009538DA">
        <w:rPr>
          <w:b/>
        </w:rPr>
        <w:t>46</w:t>
      </w:r>
      <w:r w:rsidRPr="009538DA">
        <w:t>:1805-1818.</w:t>
      </w:r>
    </w:p>
    <w:p w14:paraId="455F79A2" w14:textId="77777777" w:rsidR="009538DA" w:rsidRPr="009538DA" w:rsidRDefault="009538DA" w:rsidP="009538DA">
      <w:pPr>
        <w:pStyle w:val="EndNoteBibliography"/>
        <w:spacing w:after="0"/>
        <w:ind w:left="720" w:hanging="720"/>
      </w:pPr>
      <w:r w:rsidRPr="009538DA">
        <w:t xml:space="preserve">Puckridge, J. T., and K. F. Walker. 1990. Reproductive biology and larval development of a gizzard shad, </w:t>
      </w:r>
      <w:r w:rsidRPr="009538DA">
        <w:rPr>
          <w:i/>
        </w:rPr>
        <w:t xml:space="preserve">Nematalosa erebi </w:t>
      </w:r>
      <w:r w:rsidRPr="009538DA">
        <w:t xml:space="preserve">(Günther) (Dorosomatinae: Teleostei), in the River Murray, South Australia. Australian Journal of Marine &amp; Freshwater Research </w:t>
      </w:r>
      <w:r w:rsidRPr="009538DA">
        <w:rPr>
          <w:b/>
        </w:rPr>
        <w:t>41</w:t>
      </w:r>
      <w:r w:rsidRPr="009538DA">
        <w:t>:695-712.</w:t>
      </w:r>
    </w:p>
    <w:p w14:paraId="189E4431" w14:textId="77777777" w:rsidR="009538DA" w:rsidRPr="009538DA" w:rsidRDefault="009538DA" w:rsidP="009538DA">
      <w:pPr>
        <w:pStyle w:val="EndNoteBibliography"/>
        <w:spacing w:after="0"/>
        <w:ind w:left="720" w:hanging="720"/>
      </w:pPr>
      <w:r w:rsidRPr="009538DA">
        <w:t>Pusey, B., M. Kennard, and A. Arthington. 2004. Freshwater fishes of north-eastern Australia. CSIRO publishing.</w:t>
      </w:r>
    </w:p>
    <w:p w14:paraId="3A82DD4C" w14:textId="77777777" w:rsidR="009538DA" w:rsidRPr="009538DA" w:rsidRDefault="009538DA" w:rsidP="009538DA">
      <w:pPr>
        <w:pStyle w:val="EndNoteBibliography"/>
        <w:spacing w:after="0"/>
        <w:ind w:left="720" w:hanging="720"/>
      </w:pPr>
      <w:r w:rsidRPr="009538DA">
        <w:t xml:space="preserve">Reid, M. A., M. C. Reid, and M. C. Thoms. 2016. Ecological significance of hydrological connectivity for wetland plant communities on a dryland floodplain river, MacIntyre River, Australia. Aquatic Sciences </w:t>
      </w:r>
      <w:r w:rsidRPr="009538DA">
        <w:rPr>
          <w:b/>
        </w:rPr>
        <w:t>78</w:t>
      </w:r>
      <w:r w:rsidRPr="009538DA">
        <w:t>:139-158.</w:t>
      </w:r>
    </w:p>
    <w:p w14:paraId="1DECB078" w14:textId="77777777" w:rsidR="009538DA" w:rsidRPr="009538DA" w:rsidRDefault="009538DA" w:rsidP="009538DA">
      <w:pPr>
        <w:pStyle w:val="EndNoteBibliography"/>
        <w:spacing w:after="0"/>
        <w:ind w:left="720" w:hanging="720"/>
      </w:pPr>
      <w:r w:rsidRPr="009538DA">
        <w:t>Roberts, D. T., L. J. Duivenvoorden, and I. G. Stuart. 2008. Factors influencing recruitment patterns of Golden Perch (</w:t>
      </w:r>
      <w:r w:rsidRPr="009538DA">
        <w:rPr>
          <w:i/>
        </w:rPr>
        <w:t>Macquaria ambigua oriens</w:t>
      </w:r>
      <w:r w:rsidRPr="009538DA">
        <w:t xml:space="preserve">) within a hydrologically variable and regulated Australian tropical river system. Ecology of Freshwater Fish </w:t>
      </w:r>
      <w:r w:rsidRPr="009538DA">
        <w:rPr>
          <w:b/>
        </w:rPr>
        <w:t>17</w:t>
      </w:r>
      <w:r w:rsidRPr="009538DA">
        <w:t>:577-589.</w:t>
      </w:r>
    </w:p>
    <w:p w14:paraId="1C16866D" w14:textId="77777777" w:rsidR="009538DA" w:rsidRPr="009538DA" w:rsidRDefault="009538DA" w:rsidP="009538DA">
      <w:pPr>
        <w:pStyle w:val="EndNoteBibliography"/>
        <w:spacing w:after="0"/>
        <w:ind w:left="720" w:hanging="720"/>
      </w:pPr>
      <w:r w:rsidRPr="009538DA">
        <w:rPr>
          <w:rFonts w:hint="eastAsia"/>
        </w:rPr>
        <w:t>Roberts, J., M. Colloff, and T. Doody. 2016. Riverine vegetation of inland south</w:t>
      </w:r>
      <w:r w:rsidRPr="009538DA">
        <w:rPr>
          <w:rFonts w:hint="eastAsia"/>
        </w:rPr>
        <w:t>‐</w:t>
      </w:r>
      <w:r w:rsidRPr="009538DA">
        <w:rPr>
          <w:rFonts w:hint="eastAsia"/>
        </w:rPr>
        <w:t xml:space="preserve">eastern Australia. Pages 177-199 </w:t>
      </w:r>
      <w:r w:rsidRPr="009538DA">
        <w:rPr>
          <w:rFonts w:hint="eastAsia"/>
          <w:i/>
        </w:rPr>
        <w:t>in</w:t>
      </w:r>
      <w:r w:rsidRPr="009538DA">
        <w:rPr>
          <w:rFonts w:hint="eastAsia"/>
        </w:rPr>
        <w:t xml:space="preserve"> S. Capon, C. James, and M. Reid, editors. Vegetation of Australian Rive</w:t>
      </w:r>
      <w:r w:rsidRPr="009538DA">
        <w:t>rine Landscapes: Biology, Ecology and Management. CSIRO, Melbourn.</w:t>
      </w:r>
    </w:p>
    <w:p w14:paraId="6C7546BC" w14:textId="77777777" w:rsidR="009538DA" w:rsidRPr="009538DA" w:rsidRDefault="009538DA" w:rsidP="009538DA">
      <w:pPr>
        <w:pStyle w:val="EndNoteBibliography"/>
        <w:spacing w:after="0"/>
        <w:ind w:left="720" w:hanging="720"/>
      </w:pPr>
      <w:r w:rsidRPr="009538DA">
        <w:t>Roberts, J., and F. Marston. 2011. Water regime for wetland and floodplain plants: a source book for the Murray-Darling Basin. National Water Commission Canberra.</w:t>
      </w:r>
    </w:p>
    <w:p w14:paraId="4929D7E3" w14:textId="77777777" w:rsidR="009538DA" w:rsidRPr="009538DA" w:rsidRDefault="009538DA" w:rsidP="009538DA">
      <w:pPr>
        <w:pStyle w:val="EndNoteBibliography"/>
        <w:spacing w:after="0"/>
        <w:ind w:left="720" w:hanging="720"/>
      </w:pPr>
      <w:r w:rsidRPr="009538DA">
        <w:t>Robinson, W. A. 2012. Calculating statistics, metrics, sub-indicators and the SRA Fish theme index. A Sustainable Rivers Audit Technical Report. Murray-Darling Basin Authority, Canberra.</w:t>
      </w:r>
    </w:p>
    <w:p w14:paraId="3B4BFAA8" w14:textId="77777777" w:rsidR="009538DA" w:rsidRPr="009538DA" w:rsidRDefault="009538DA" w:rsidP="009538DA">
      <w:pPr>
        <w:pStyle w:val="EndNoteBibliography"/>
        <w:spacing w:after="0"/>
        <w:ind w:left="720" w:hanging="720"/>
      </w:pPr>
      <w:r w:rsidRPr="009538DA">
        <w:t xml:space="preserve">Rowland, S. J. 1998. Aspects of the Reproductive Biology of Murray Cod, </w:t>
      </w:r>
      <w:r w:rsidRPr="009538DA">
        <w:rPr>
          <w:i/>
        </w:rPr>
        <w:t>Maccullochella peelii peelii</w:t>
      </w:r>
      <w:r w:rsidRPr="009538DA">
        <w:t xml:space="preserve">. Proceedings of the Linnean Society of New South Wales </w:t>
      </w:r>
      <w:r w:rsidRPr="009538DA">
        <w:rPr>
          <w:b/>
        </w:rPr>
        <w:t>120</w:t>
      </w:r>
      <w:r w:rsidRPr="009538DA">
        <w:t>:147-162.</w:t>
      </w:r>
    </w:p>
    <w:p w14:paraId="217649A7" w14:textId="77777777" w:rsidR="009538DA" w:rsidRPr="009538DA" w:rsidRDefault="009538DA" w:rsidP="009538DA">
      <w:pPr>
        <w:pStyle w:val="EndNoteBibliography"/>
        <w:spacing w:after="0"/>
        <w:ind w:left="720" w:hanging="720"/>
      </w:pPr>
      <w:r w:rsidRPr="009538DA">
        <w:t>Ryan, T., R. Lennie, and J. Lyon. 2003. Thermal rehabilitation of the southern Murray-Darling Basin. Arthur Rylayh Institute for Environmental Research, Victorian Department of Natural Resources and Environment.</w:t>
      </w:r>
    </w:p>
    <w:p w14:paraId="6667E9C1" w14:textId="77777777" w:rsidR="009538DA" w:rsidRPr="009538DA" w:rsidRDefault="009538DA" w:rsidP="009538DA">
      <w:pPr>
        <w:pStyle w:val="EndNoteBibliography"/>
        <w:spacing w:after="0"/>
        <w:ind w:left="720" w:hanging="720"/>
      </w:pPr>
      <w:r w:rsidRPr="009538DA">
        <w:t>Serafini, L. G., and P. Humphries. 2004. Preliminary Guide to the Identification of Larvae of Fish, with a bibliography of their studies, from the Murray-Darling Basin. Cooperative Centre for Freshwater Ecology, Thurgoona.</w:t>
      </w:r>
    </w:p>
    <w:p w14:paraId="25B1FC39" w14:textId="77777777" w:rsidR="009538DA" w:rsidRPr="009538DA" w:rsidRDefault="009538DA" w:rsidP="009538DA">
      <w:pPr>
        <w:pStyle w:val="EndNoteBibliography"/>
        <w:spacing w:after="0"/>
        <w:ind w:left="720" w:hanging="720"/>
      </w:pPr>
      <w:r w:rsidRPr="009538DA">
        <w:t xml:space="preserve">Small, K., R. K. Kopf, R. J. Watts, and J. A. Howitt. 2014. Hypoxia, Blackwater and Fish Kills: Experimental Lethal Oxygen Thresholds in Juvenile Predatory Lowland River Fishes. PLoS ONE </w:t>
      </w:r>
      <w:r w:rsidRPr="009538DA">
        <w:rPr>
          <w:b/>
        </w:rPr>
        <w:t>9</w:t>
      </w:r>
      <w:r w:rsidRPr="009538DA">
        <w:t>.</w:t>
      </w:r>
    </w:p>
    <w:p w14:paraId="568A2DE4" w14:textId="77777777" w:rsidR="009538DA" w:rsidRPr="009538DA" w:rsidRDefault="009538DA" w:rsidP="009538DA">
      <w:pPr>
        <w:pStyle w:val="EndNoteBibliography"/>
        <w:spacing w:after="0"/>
        <w:ind w:left="720" w:hanging="720"/>
      </w:pPr>
      <w:r w:rsidRPr="009538DA">
        <w:t>Stewardson, M. J., M. Jones, W. M. Koster, G. N. Rees, D. S. Skinner, R. M. Thompson, G. L. Vietz, and J. A. Webb. 2013. Monitoring of ecosystem responses to the delivery of environmental water in the lower Goulburn River and Broken Creek in 2012-13. The University of Melbourne for the Commonwealth Environmental Water Office. Commonwealth of Australia. Melbourne.</w:t>
      </w:r>
    </w:p>
    <w:p w14:paraId="0060A596" w14:textId="77777777" w:rsidR="009538DA" w:rsidRPr="009538DA" w:rsidRDefault="009538DA" w:rsidP="009538DA">
      <w:pPr>
        <w:pStyle w:val="EndNoteBibliography"/>
        <w:spacing w:after="0"/>
        <w:ind w:left="720" w:hanging="720"/>
      </w:pPr>
      <w:r w:rsidRPr="009538DA">
        <w:t>Stuart, I. G., and M. Jones. 2006. Large, regulated forest floodplain is an ideal recruitment zone for non-native common carp (</w:t>
      </w:r>
      <w:r w:rsidRPr="009538DA">
        <w:rPr>
          <w:i/>
        </w:rPr>
        <w:t>Cyprinus carpio</w:t>
      </w:r>
      <w:r w:rsidRPr="009538DA">
        <w:t xml:space="preserve"> L.). Marine and Freshwater Research </w:t>
      </w:r>
      <w:r w:rsidRPr="009538DA">
        <w:rPr>
          <w:b/>
        </w:rPr>
        <w:t>57</w:t>
      </w:r>
      <w:r w:rsidRPr="009538DA">
        <w:t>:333-347.</w:t>
      </w:r>
    </w:p>
    <w:p w14:paraId="1B799B30" w14:textId="77777777" w:rsidR="009538DA" w:rsidRPr="009538DA" w:rsidRDefault="009538DA" w:rsidP="009538DA">
      <w:pPr>
        <w:pStyle w:val="EndNoteBibliography"/>
        <w:spacing w:after="0"/>
        <w:ind w:left="720" w:hanging="720"/>
      </w:pPr>
      <w:r w:rsidRPr="009538DA">
        <w:t>Symes, L. 2017. Blackwater review: Environmental water used to moderate low dissolved oxygen levels in the southern Murray-Darling Basin during 2016/2017. Commonwealth Environmental Water Office, Canberra.</w:t>
      </w:r>
    </w:p>
    <w:p w14:paraId="01A0162E" w14:textId="77777777" w:rsidR="009538DA" w:rsidRPr="009538DA" w:rsidRDefault="009538DA" w:rsidP="009538DA">
      <w:pPr>
        <w:pStyle w:val="EndNoteBibliography"/>
        <w:spacing w:after="0"/>
        <w:ind w:left="720" w:hanging="720"/>
      </w:pPr>
      <w:r w:rsidRPr="009538DA">
        <w:t xml:space="preserve">Thiem, J. D., I. J. Wooden, L. J. Baumgartner, G. L. Butler, J. P. Forbes, and J. Conallin. 2017. Recovery from a fish kill in a semi-arid Australian river: Can stocking augment natural recruitment processes? Austral Ecology </w:t>
      </w:r>
      <w:r w:rsidRPr="009538DA">
        <w:rPr>
          <w:b/>
        </w:rPr>
        <w:t>42</w:t>
      </w:r>
      <w:r w:rsidRPr="009538DA">
        <w:t>:218-226.</w:t>
      </w:r>
    </w:p>
    <w:p w14:paraId="312B95F0" w14:textId="77777777" w:rsidR="009538DA" w:rsidRPr="009538DA" w:rsidRDefault="009538DA" w:rsidP="009538DA">
      <w:pPr>
        <w:pStyle w:val="EndNoteBibliography"/>
        <w:spacing w:after="0"/>
        <w:ind w:left="720" w:hanging="720"/>
      </w:pPr>
      <w:r w:rsidRPr="009538DA">
        <w:t>Thurtell, L., P. Wettin, Barma Water Resources, and Commonwealth Environmental Water (Australia). 2011. Environmental Water Delivery: Lachlan River. Canberra.</w:t>
      </w:r>
    </w:p>
    <w:p w14:paraId="063D4098" w14:textId="77777777" w:rsidR="009538DA" w:rsidRPr="009538DA" w:rsidRDefault="009538DA" w:rsidP="009538DA">
      <w:pPr>
        <w:pStyle w:val="EndNoteBibliography"/>
        <w:spacing w:after="0"/>
        <w:ind w:left="720" w:hanging="720"/>
      </w:pPr>
      <w:r w:rsidRPr="009538DA">
        <w:t xml:space="preserve">Tonkin, Z. D., A. J. King, and D. S. L. Ramsey. 2008a. Otolith increment width responses of juvenile Australian smelt </w:t>
      </w:r>
      <w:r w:rsidRPr="009538DA">
        <w:rPr>
          <w:i/>
        </w:rPr>
        <w:t>Retropinna semoni</w:t>
      </w:r>
      <w:r w:rsidRPr="009538DA">
        <w:t xml:space="preserve"> to sudden changes in food levels: the importance of feeding history. Journal of Fish Biology </w:t>
      </w:r>
      <w:r w:rsidRPr="009538DA">
        <w:rPr>
          <w:b/>
        </w:rPr>
        <w:t>73</w:t>
      </w:r>
      <w:r w:rsidRPr="009538DA">
        <w:t>:853-860.</w:t>
      </w:r>
    </w:p>
    <w:p w14:paraId="47C9A52F" w14:textId="77777777" w:rsidR="009538DA" w:rsidRPr="009538DA" w:rsidRDefault="009538DA" w:rsidP="009538DA">
      <w:pPr>
        <w:pStyle w:val="EndNoteBibliography"/>
        <w:spacing w:after="0"/>
        <w:ind w:left="720" w:hanging="720"/>
      </w:pPr>
      <w:r w:rsidRPr="009538DA">
        <w:t xml:space="preserve">Tonkin, Z. D., A. J. King, and A. I. Robertson. 2008b. Validation of daily increment formation and the effects of different temperatures and feeding regimes on short-term otolith growth in Australian smelt </w:t>
      </w:r>
      <w:r w:rsidRPr="009538DA">
        <w:rPr>
          <w:i/>
        </w:rPr>
        <w:t>Retropinna semoni</w:t>
      </w:r>
      <w:r w:rsidRPr="009538DA">
        <w:t xml:space="preserve">. Ecology of Freshwater Fish </w:t>
      </w:r>
      <w:r w:rsidRPr="009538DA">
        <w:rPr>
          <w:b/>
        </w:rPr>
        <w:t>17</w:t>
      </w:r>
      <w:r w:rsidRPr="009538DA">
        <w:t>:312-317.</w:t>
      </w:r>
    </w:p>
    <w:p w14:paraId="7A10A8CE" w14:textId="77777777" w:rsidR="009538DA" w:rsidRPr="009538DA" w:rsidRDefault="009538DA" w:rsidP="009538DA">
      <w:pPr>
        <w:pStyle w:val="EndNoteBibliography"/>
        <w:spacing w:after="0"/>
        <w:ind w:left="720" w:hanging="720"/>
      </w:pPr>
      <w:r w:rsidRPr="009538DA">
        <w:t xml:space="preserve">Tonkin, Z. D., D. S. L. Ramsey, and A. J. King. 2008c. Larval and juvenile Australian smelt Retropinna semoni somatic and otolith growth parameters–implications for growth interpretation of wild fish. Ecology of Freshwater Fish </w:t>
      </w:r>
      <w:r w:rsidRPr="009538DA">
        <w:rPr>
          <w:b/>
        </w:rPr>
        <w:t>17</w:t>
      </w:r>
      <w:r w:rsidRPr="009538DA">
        <w:t>:489-494.</w:t>
      </w:r>
    </w:p>
    <w:p w14:paraId="774886FB" w14:textId="77777777" w:rsidR="009538DA" w:rsidRPr="009538DA" w:rsidRDefault="009538DA" w:rsidP="009538DA">
      <w:pPr>
        <w:pStyle w:val="EndNoteBibliography"/>
        <w:spacing w:after="0"/>
        <w:ind w:left="720" w:hanging="720"/>
      </w:pPr>
      <w:r w:rsidRPr="009538DA">
        <w:t xml:space="preserve">Turak, E., and S. Linke. 2011. Freshwater conservation planning: an introduction. Freshwater Biology </w:t>
      </w:r>
      <w:r w:rsidRPr="009538DA">
        <w:rPr>
          <w:b/>
        </w:rPr>
        <w:t>56</w:t>
      </w:r>
      <w:r w:rsidRPr="009538DA">
        <w:t>:1-5.</w:t>
      </w:r>
    </w:p>
    <w:p w14:paraId="0AFE9192" w14:textId="77777777" w:rsidR="009538DA" w:rsidRPr="009538DA" w:rsidRDefault="009538DA" w:rsidP="009538DA">
      <w:pPr>
        <w:pStyle w:val="EndNoteBibliography"/>
        <w:spacing w:after="0"/>
        <w:ind w:left="720" w:hanging="720"/>
      </w:pPr>
      <w:r w:rsidRPr="009538DA">
        <w:t xml:space="preserve">Vilizzi, L., and K. F. Walker. 1999. Age and growth of the common carp, Cyprinus carpio, in the River Murray, Australia: validation, consistency of age interpretation, and growth models. Environmental Biology of Fishes </w:t>
      </w:r>
      <w:r w:rsidRPr="009538DA">
        <w:rPr>
          <w:b/>
        </w:rPr>
        <w:t>54</w:t>
      </w:r>
      <w:r w:rsidRPr="009538DA">
        <w:t>:77-106.</w:t>
      </w:r>
    </w:p>
    <w:p w14:paraId="36ADADF6" w14:textId="77777777" w:rsidR="009538DA" w:rsidRPr="009538DA" w:rsidRDefault="009538DA" w:rsidP="009538DA">
      <w:pPr>
        <w:pStyle w:val="EndNoteBibliography"/>
        <w:spacing w:after="0"/>
        <w:ind w:left="720" w:hanging="720"/>
      </w:pPr>
      <w:r w:rsidRPr="009538DA">
        <w:t xml:space="preserve">Walker, K. F., F. Sheldon, and J. T. Puckridge. 1995. A perspective on dryland river ecosystems. Regulated Rivers: Research &amp; Management </w:t>
      </w:r>
      <w:r w:rsidRPr="009538DA">
        <w:rPr>
          <w:b/>
        </w:rPr>
        <w:t>11</w:t>
      </w:r>
      <w:r w:rsidRPr="009538DA">
        <w:t>:85-104.</w:t>
      </w:r>
    </w:p>
    <w:p w14:paraId="184CE874" w14:textId="77777777" w:rsidR="009538DA" w:rsidRPr="009538DA" w:rsidRDefault="009538DA" w:rsidP="009538DA">
      <w:pPr>
        <w:pStyle w:val="EndNoteBibliography"/>
        <w:spacing w:after="0"/>
        <w:ind w:left="720" w:hanging="720"/>
      </w:pPr>
      <w:r w:rsidRPr="009538DA">
        <w:t xml:space="preserve">Walker, K. F., and M. C. Thoms. 1993. Environmental effects of flow regulation on the lower river Murray, Australia. Regulated Rivers: Research &amp; Management </w:t>
      </w:r>
      <w:r w:rsidRPr="009538DA">
        <w:rPr>
          <w:b/>
        </w:rPr>
        <w:t>8</w:t>
      </w:r>
      <w:r w:rsidRPr="009538DA">
        <w:t>:103-119.</w:t>
      </w:r>
    </w:p>
    <w:p w14:paraId="267A81DC" w14:textId="77777777" w:rsidR="009538DA" w:rsidRPr="009538DA" w:rsidRDefault="009538DA" w:rsidP="009538DA">
      <w:pPr>
        <w:pStyle w:val="EndNoteBibliography"/>
        <w:spacing w:after="0"/>
        <w:ind w:left="720" w:hanging="720"/>
      </w:pPr>
      <w:r w:rsidRPr="009538DA">
        <w:t>Wallace, T., and J. Bindokas. 2011. The impact of drought on water quality and fish communities within refuge pools in the Lachlan River.</w:t>
      </w:r>
    </w:p>
    <w:p w14:paraId="56351386" w14:textId="77777777" w:rsidR="009538DA" w:rsidRPr="009538DA" w:rsidRDefault="009538DA" w:rsidP="009538DA">
      <w:pPr>
        <w:pStyle w:val="EndNoteBibliography"/>
        <w:spacing w:after="0"/>
        <w:ind w:left="720" w:hanging="720"/>
      </w:pPr>
      <w:r w:rsidRPr="009538DA">
        <w:t xml:space="preserve">Wallace, T. A., and D. Furst. 2016. Open water metabolism and dissolved organic carbon in response to environmental watering in a lowland river–floodplain complex. Marine and Freshwater Research </w:t>
      </w:r>
      <w:r w:rsidRPr="009538DA">
        <w:rPr>
          <w:b/>
        </w:rPr>
        <w:t>67</w:t>
      </w:r>
      <w:r w:rsidRPr="009538DA">
        <w:t>:1346-1361.</w:t>
      </w:r>
    </w:p>
    <w:p w14:paraId="00C6E914" w14:textId="77777777" w:rsidR="009538DA" w:rsidRPr="009538DA" w:rsidRDefault="009538DA" w:rsidP="009538DA">
      <w:pPr>
        <w:pStyle w:val="EndNoteBibliography"/>
        <w:spacing w:after="0"/>
        <w:ind w:left="720" w:hanging="720"/>
      </w:pPr>
      <w:r w:rsidRPr="009538DA">
        <w:t>Wassens, S., J. Spencer, B. Wolfenden, J. Thiem, R. Thomas, K. Jenkins, A. Hall, J. Ocock, T. Kobayashi, G. Bino, T. Davis, J. Heath, W. Kuo, C. Amos, and D. Michael. 2018. Commonwealth Environmental Water Office Long-Term Intervention Monitoring project Murrumbidgee River system Selected Area technical report, 2014-18. Report prepared for Commonwealth Environmental Water. Albury, Institute for Land, Water and Society, Charles Sturt University.</w:t>
      </w:r>
    </w:p>
    <w:p w14:paraId="48EDB24A" w14:textId="77777777" w:rsidR="009538DA" w:rsidRPr="009538DA" w:rsidRDefault="009538DA" w:rsidP="009538DA">
      <w:pPr>
        <w:pStyle w:val="EndNoteBibliography"/>
        <w:spacing w:after="0"/>
        <w:ind w:left="720" w:hanging="720"/>
      </w:pPr>
      <w:r w:rsidRPr="009538DA">
        <w:t>Wassens, S., J. Thiem, J. Spencer, G. Bino, A. Hall, R. Thomas, K. Jenkins, B. Wolfenden, J. Ocock, E. Lenon, T. Kobayashi, J. Heath, and F. Cory. 2015. Long Term Intervention Monitoring Murrumbidgee Selected Area 2014-15 Technical report., Commonwealth of Australia.</w:t>
      </w:r>
    </w:p>
    <w:p w14:paraId="0E2E44B2" w14:textId="77777777" w:rsidR="009538DA" w:rsidRPr="009538DA" w:rsidRDefault="009538DA" w:rsidP="009538DA">
      <w:pPr>
        <w:pStyle w:val="EndNoteBibliography"/>
        <w:spacing w:after="0"/>
        <w:ind w:left="720" w:hanging="720"/>
      </w:pPr>
      <w:r w:rsidRPr="009538DA">
        <w:t xml:space="preserve">Whitworth, K. L., D. S. Baldwin, and J. L. Kerr. 2012. Drought, floods and water quality: Drivers of a severe hypoxic blackwater event in a major river system (the southern Murray–Darling Basin, Australia). Journal of Hydrology </w:t>
      </w:r>
      <w:r w:rsidRPr="009538DA">
        <w:rPr>
          <w:b/>
        </w:rPr>
        <w:t>450</w:t>
      </w:r>
      <w:r w:rsidRPr="009538DA">
        <w:t>:190-198.</w:t>
      </w:r>
    </w:p>
    <w:p w14:paraId="797B19E6" w14:textId="77777777" w:rsidR="009538DA" w:rsidRPr="009538DA" w:rsidRDefault="009538DA" w:rsidP="009538DA">
      <w:pPr>
        <w:pStyle w:val="EndNoteBibliography"/>
        <w:ind w:left="720" w:hanging="720"/>
      </w:pPr>
      <w:r w:rsidRPr="009538DA">
        <w:t xml:space="preserve">Yusoff, F. M., and C. D. McNabb. 1989. Effects of nutrient availability on primary productivity and fish production in fertilized tropical ponds. Aquaculture </w:t>
      </w:r>
      <w:r w:rsidRPr="009538DA">
        <w:rPr>
          <w:b/>
        </w:rPr>
        <w:t>78</w:t>
      </w:r>
      <w:r w:rsidRPr="009538DA">
        <w:t>:303-319.</w:t>
      </w:r>
    </w:p>
    <w:p w14:paraId="0F63BB48" w14:textId="55A36C35" w:rsidR="00BB0327" w:rsidRDefault="007E117A" w:rsidP="00CE2EDC">
      <w:r>
        <w:fldChar w:fldCharType="end"/>
      </w:r>
    </w:p>
    <w:sectPr w:rsidR="00BB0327" w:rsidSect="006E03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E238F8" w14:textId="77777777" w:rsidR="007F7607" w:rsidRDefault="007F7607" w:rsidP="00AD4BD6">
      <w:r>
        <w:separator/>
      </w:r>
    </w:p>
    <w:p w14:paraId="2AB065C0" w14:textId="77777777" w:rsidR="007F7607" w:rsidRDefault="007F7607"/>
  </w:endnote>
  <w:endnote w:type="continuationSeparator" w:id="0">
    <w:p w14:paraId="3E855E34" w14:textId="77777777" w:rsidR="007F7607" w:rsidRDefault="007F7607" w:rsidP="00AD4BD6">
      <w:r>
        <w:continuationSeparator/>
      </w:r>
    </w:p>
    <w:p w14:paraId="1D7BC9D5" w14:textId="77777777" w:rsidR="007F7607" w:rsidRDefault="007F76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00000003" w:usb1="00000000" w:usb2="00000000" w:usb3="00000000" w:csb0="00000001" w:csb1="00000000"/>
  </w:font>
  <w:font w:name="Khmer UI">
    <w:panose1 w:val="020B0502040204020203"/>
    <w:charset w:val="00"/>
    <w:family w:val="swiss"/>
    <w:pitch w:val="variable"/>
    <w:sig w:usb0="8000002F" w:usb1="0000204A" w:usb2="0001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Avenir Book">
    <w:altName w:val="Tw Cen MT"/>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10002FF" w:usb1="4000FCFF" w:usb2="00000009" w:usb3="00000000" w:csb0="0000019F" w:csb1="00000000"/>
  </w:font>
  <w:font w:name="Verlag Black">
    <w:altName w:val="Arial"/>
    <w:panose1 w:val="00000000000000000000"/>
    <w:charset w:val="00"/>
    <w:family w:val="modern"/>
    <w:notTrueType/>
    <w:pitch w:val="variable"/>
    <w:sig w:usb0="00000001" w:usb1="0000006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AECF1" w14:textId="77777777" w:rsidR="007F7607" w:rsidRDefault="007F7607" w:rsidP="003D0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C708934" w14:textId="77777777" w:rsidR="007F7607" w:rsidRDefault="007F7607" w:rsidP="003D0E73">
    <w:pPr>
      <w:pStyle w:val="Footer"/>
      <w:ind w:right="360"/>
      <w:rPr>
        <w:rStyle w:val="PageNumber"/>
      </w:rPr>
    </w:pPr>
  </w:p>
  <w:p w14:paraId="344C7DD0" w14:textId="77777777" w:rsidR="007F7607" w:rsidRDefault="007F7607" w:rsidP="00AD4B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0F2B1" w14:textId="77777777" w:rsidR="007F7607" w:rsidRDefault="007F7607" w:rsidP="009D0DB5">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sidR="00B42707">
      <w:rPr>
        <w:rStyle w:val="PageNumber"/>
        <w:b/>
        <w:noProof/>
        <w:sz w:val="20"/>
      </w:rPr>
      <w:t>21</w:t>
    </w:r>
    <w:r w:rsidRPr="00C2692D">
      <w:rPr>
        <w:rStyle w:val="PageNumbe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B3B12D" w14:textId="77777777" w:rsidR="007F7607" w:rsidRPr="00B45693" w:rsidRDefault="007F7607" w:rsidP="00885DB8">
    <w:pPr>
      <w:pStyle w:val="Footer"/>
      <w:tabs>
        <w:tab w:val="center" w:pos="3473"/>
        <w:tab w:val="right" w:pos="6946"/>
      </w:tabs>
      <w:rPr>
        <w:rFonts w:ascii="Verlag Black" w:hAnsi="Verlag Black"/>
        <w:color w:val="404040"/>
      </w:rPr>
    </w:pPr>
    <w:r w:rsidRPr="00B45693">
      <w:rPr>
        <w:rFonts w:ascii="Verlag Black" w:hAnsi="Verlag Black"/>
        <w:color w:val="404040"/>
      </w:rPr>
      <w:t>APPLIEDECOLOGY.EDU.AU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D7A7F" w14:textId="77777777" w:rsidR="007F7607" w:rsidRDefault="007F7607" w:rsidP="00E72DC8">
    <w:pPr>
      <w:pStyle w:val="Footer"/>
      <w:jc w:val="center"/>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Pr>
        <w:rStyle w:val="PageNumber"/>
        <w:b/>
        <w:noProof/>
        <w:sz w:val="20"/>
      </w:rPr>
      <w:t>22</w:t>
    </w:r>
    <w:r w:rsidRPr="00C2692D">
      <w:rPr>
        <w:rStyle w:val="PageNumbe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A73B50" w14:textId="77777777" w:rsidR="007F7607" w:rsidRDefault="007F7607" w:rsidP="00450F30">
    <w:pPr>
      <w:pStyle w:val="Footer"/>
      <w:jc w:val="center"/>
      <w:rPr>
        <w:noProof/>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E9356D" w14:textId="77777777" w:rsidR="007F7607" w:rsidRDefault="007F7607" w:rsidP="00AD4BD6">
      <w:r>
        <w:separator/>
      </w:r>
    </w:p>
    <w:p w14:paraId="01B34BBA" w14:textId="77777777" w:rsidR="007F7607" w:rsidRDefault="007F7607"/>
  </w:footnote>
  <w:footnote w:type="continuationSeparator" w:id="0">
    <w:p w14:paraId="2683D664" w14:textId="77777777" w:rsidR="007F7607" w:rsidRDefault="007F7607" w:rsidP="00AD4BD6">
      <w:r>
        <w:continuationSeparator/>
      </w:r>
    </w:p>
    <w:p w14:paraId="2AC48170" w14:textId="77777777" w:rsidR="007F7607" w:rsidRDefault="007F7607"/>
  </w:footnote>
  <w:footnote w:id="1">
    <w:p w14:paraId="040D3774" w14:textId="45EBF4F3" w:rsidR="007F7607" w:rsidRPr="007E0C85" w:rsidRDefault="007F7607" w:rsidP="007163E8">
      <w:pPr>
        <w:pStyle w:val="FootnoteText"/>
        <w:rPr>
          <w:lang w:val="en-US"/>
        </w:rPr>
      </w:pPr>
      <w:r>
        <w:rPr>
          <w:rStyle w:val="FootnoteReference"/>
        </w:rPr>
        <w:footnoteRef/>
      </w:r>
      <w:r>
        <w:t xml:space="preserve"> </w:t>
      </w:r>
      <w:r>
        <w:rPr>
          <w:lang w:val="en-US"/>
        </w:rPr>
        <w:t>Vegetation responses to watering actions in the mid Lachlan river system are not evaluated as part of the LTIM project.</w:t>
      </w:r>
    </w:p>
  </w:footnote>
  <w:footnote w:id="2">
    <w:p w14:paraId="0A150681" w14:textId="6AA4D248" w:rsidR="007F7607" w:rsidRDefault="007F7607" w:rsidP="00121F7D">
      <w:pPr>
        <w:spacing w:before="0" w:after="0"/>
      </w:pPr>
      <w:r>
        <w:rPr>
          <w:rStyle w:val="FootnoteReference"/>
        </w:rPr>
        <w:footnoteRef/>
      </w:r>
      <w:r w:rsidRPr="00682B8E">
        <w:rPr>
          <w:sz w:val="20"/>
          <w:szCs w:val="20"/>
        </w:rPr>
        <w:t>Lake Ita had originally been established as an optional site for vegetation monitoring (Dyer et al., 2014). With the cessation of access to Murrumbidgil Swamp, Lake Ita is now being monitored each year. As this is likely to continue to the end of the monitoring, a new riparian plot was established at Lake Ita to provide replication for the red gum tree community plots</w:t>
      </w:r>
      <w:r>
        <w:rPr>
          <w:sz w:val="20"/>
          <w:szCs w:val="20"/>
        </w:rPr>
        <w:t>.</w:t>
      </w:r>
    </w:p>
  </w:footnote>
  <w:footnote w:id="3">
    <w:p w14:paraId="10055E81" w14:textId="77777777" w:rsidR="007F7607" w:rsidRPr="00ED4163" w:rsidRDefault="007F7607" w:rsidP="000A1A24">
      <w:pPr>
        <w:rPr>
          <w:sz w:val="18"/>
          <w:szCs w:val="18"/>
        </w:rPr>
      </w:pPr>
      <w:r w:rsidRPr="00ED4163">
        <w:rPr>
          <w:rStyle w:val="FootnoteReference"/>
          <w:sz w:val="18"/>
          <w:szCs w:val="18"/>
        </w:rPr>
        <w:footnoteRef/>
      </w:r>
      <w:r w:rsidRPr="00ED4163">
        <w:rPr>
          <w:sz w:val="18"/>
          <w:szCs w:val="18"/>
        </w:rPr>
        <w:t xml:space="preserve"> Four species not identified in 2015-16 were identified in 2017 and are included here</w:t>
      </w:r>
    </w:p>
  </w:footnote>
  <w:footnote w:id="4">
    <w:p w14:paraId="226367B1" w14:textId="77777777" w:rsidR="007F7607" w:rsidRPr="00ED4163" w:rsidRDefault="007F7607" w:rsidP="007163E8">
      <w:pPr>
        <w:rPr>
          <w:lang w:val="en-GB"/>
        </w:rPr>
      </w:pPr>
      <w:r w:rsidRPr="00ED4163">
        <w:rPr>
          <w:rStyle w:val="FootnoteReference"/>
          <w:sz w:val="18"/>
          <w:szCs w:val="18"/>
        </w:rPr>
        <w:footnoteRef/>
      </w:r>
      <w:r w:rsidRPr="00ED4163">
        <w:rPr>
          <w:sz w:val="18"/>
          <w:szCs w:val="18"/>
        </w:rPr>
        <w:t xml:space="preserve"> </w:t>
      </w:r>
      <w:hyperlink r:id="rId1" w:history="1">
        <w:r w:rsidRPr="00ED4163">
          <w:rPr>
            <w:rStyle w:val="Hyperlink"/>
            <w:sz w:val="18"/>
            <w:szCs w:val="18"/>
          </w:rPr>
          <w:t>https://www.environment.nsw.gov.au/threatenedspeciesapp/profile.aspx?id=10106</w:t>
        </w:r>
      </w:hyperlink>
    </w:p>
  </w:footnote>
  <w:footnote w:id="5">
    <w:p w14:paraId="51ECBB4A" w14:textId="40F8F9DA" w:rsidR="007F7607" w:rsidRPr="00F358FA" w:rsidRDefault="007F7607">
      <w:pPr>
        <w:pStyle w:val="FootnoteText"/>
        <w:rPr>
          <w:lang w:val="en-US"/>
        </w:rPr>
      </w:pPr>
      <w:r>
        <w:rPr>
          <w:rStyle w:val="FootnoteReference"/>
        </w:rPr>
        <w:footnoteRef/>
      </w:r>
      <w:r>
        <w:t xml:space="preserve"> </w:t>
      </w:r>
      <w:r>
        <w:rPr>
          <w:rFonts w:cstheme="minorHAnsi"/>
        </w:rPr>
        <w:t xml:space="preserve">It should be noted that while the research has been conducted in association with the monitoring activities, none of the conference attendance was </w:t>
      </w:r>
      <w:r>
        <w:rPr>
          <w:rFonts w:cstheme="minorHAnsi"/>
          <w:lang w:val="en-US"/>
        </w:rPr>
        <w:t>paid for</w:t>
      </w:r>
      <w:r>
        <w:rPr>
          <w:rFonts w:cstheme="minorHAnsi"/>
        </w:rPr>
        <w:t xml:space="preserve"> by the LTIM project.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20391" w14:textId="77777777" w:rsidR="00B42707" w:rsidRDefault="00B4270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58C41" w14:textId="5CB49E4B" w:rsidR="007F7607" w:rsidRPr="00841CAB" w:rsidRDefault="007F7607" w:rsidP="00745D7E">
    <w:pPr>
      <w:tabs>
        <w:tab w:val="right" w:pos="9026"/>
      </w:tabs>
      <w:rPr>
        <w:sz w:val="20"/>
        <w:szCs w:val="20"/>
      </w:rPr>
    </w:pPr>
    <w:r w:rsidRPr="00841CAB">
      <w:rPr>
        <w:sz w:val="20"/>
        <w:szCs w:val="20"/>
      </w:rPr>
      <w:t>Long Term I</w:t>
    </w:r>
    <w:r>
      <w:rPr>
        <w:sz w:val="20"/>
        <w:szCs w:val="20"/>
      </w:rPr>
      <w:t>ntervention monitoring project:</w:t>
    </w:r>
    <w:r w:rsidRPr="00841CAB">
      <w:rPr>
        <w:sz w:val="20"/>
        <w:szCs w:val="20"/>
      </w:rPr>
      <w:t xml:space="preserve"> Lower Lachlan river system 201</w:t>
    </w:r>
    <w:r>
      <w:rPr>
        <w:sz w:val="20"/>
        <w:szCs w:val="20"/>
      </w:rPr>
      <w:t>8</w:t>
    </w:r>
    <w:r w:rsidRPr="00841CAB">
      <w:rPr>
        <w:sz w:val="20"/>
        <w:szCs w:val="20"/>
      </w:rPr>
      <w:t>-1</w:t>
    </w:r>
    <w:r>
      <w:rPr>
        <w:sz w:val="20"/>
        <w:szCs w:val="20"/>
      </w:rPr>
      <w:t>9</w:t>
    </w:r>
    <w:r w:rsidRPr="00841CAB">
      <w:rPr>
        <w:sz w:val="20"/>
        <w:szCs w:val="20"/>
      </w:rPr>
      <w:t xml:space="preserve"> Technical Reports</w:t>
    </w:r>
    <w:r>
      <w:rPr>
        <w:sz w:val="20"/>
        <w:szCs w:val="20"/>
      </w:rPr>
      <w:tab/>
    </w:r>
  </w:p>
  <w:p w14:paraId="09D2442D" w14:textId="77777777" w:rsidR="007F7607" w:rsidRPr="005B3215" w:rsidRDefault="007F7607" w:rsidP="000E0995">
    <w:pPr>
      <w:pStyle w:val="Header"/>
    </w:pPr>
    <w:r>
      <w:rPr>
        <w:noProof/>
        <w:lang w:eastAsia="en-AU"/>
      </w:rPr>
      <w:drawing>
        <wp:anchor distT="0" distB="0" distL="114300" distR="114300" simplePos="0" relativeHeight="251655680" behindDoc="1" locked="0" layoutInCell="1" allowOverlap="1" wp14:anchorId="162FDAA8" wp14:editId="3E85FAEE">
          <wp:simplePos x="0" y="0"/>
          <wp:positionH relativeFrom="column">
            <wp:posOffset>-540385</wp:posOffset>
          </wp:positionH>
          <wp:positionV relativeFrom="paragraph">
            <wp:posOffset>53975</wp:posOffset>
          </wp:positionV>
          <wp:extent cx="7529195" cy="107315"/>
          <wp:effectExtent l="0" t="0" r="0" b="6985"/>
          <wp:wrapNone/>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068282" w14:textId="77777777" w:rsidR="007F7607" w:rsidRPr="00FA2F18" w:rsidRDefault="007F7607" w:rsidP="000E4739">
    <w:pPr>
      <w:pStyle w:val="Heading1WHITE"/>
      <w:tabs>
        <w:tab w:val="left" w:pos="1050"/>
      </w:tabs>
    </w:pPr>
    <w:r>
      <w:rPr>
        <w:lang w:val="en-AU" w:eastAsia="en-AU"/>
      </w:rPr>
      <w:drawing>
        <wp:anchor distT="0" distB="0" distL="114300" distR="114300" simplePos="0" relativeHeight="251659776" behindDoc="0" locked="0" layoutInCell="1" allowOverlap="1" wp14:anchorId="7D1411FB" wp14:editId="34F8649D">
          <wp:simplePos x="0" y="0"/>
          <wp:positionH relativeFrom="column">
            <wp:posOffset>-236220</wp:posOffset>
          </wp:positionH>
          <wp:positionV relativeFrom="page">
            <wp:posOffset>542925</wp:posOffset>
          </wp:positionV>
          <wp:extent cx="3416300" cy="727075"/>
          <wp:effectExtent l="0" t="0" r="0" b="0"/>
          <wp:wrapNone/>
          <wp:docPr id="76" name="Picture 39"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650370.UCSTAFF\AppData\Local\Microsoft\Windows\Temporary Internet Files\Content.Word\CEWO_logo_inline_high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630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7728" behindDoc="0" locked="0" layoutInCell="1" allowOverlap="1" wp14:anchorId="33910FEC" wp14:editId="3838A0F2">
          <wp:simplePos x="0" y="0"/>
          <wp:positionH relativeFrom="column">
            <wp:posOffset>4083685</wp:posOffset>
          </wp:positionH>
          <wp:positionV relativeFrom="paragraph">
            <wp:posOffset>-95885</wp:posOffset>
          </wp:positionV>
          <wp:extent cx="2566670" cy="915670"/>
          <wp:effectExtent l="0" t="0" r="5080" b="0"/>
          <wp:wrapSquare wrapText="bothSides"/>
          <wp:docPr id="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6667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6704" behindDoc="1" locked="0" layoutInCell="1" allowOverlap="1" wp14:anchorId="65E8E7B1" wp14:editId="6F832972">
          <wp:simplePos x="0" y="0"/>
          <wp:positionH relativeFrom="column">
            <wp:posOffset>-546735</wp:posOffset>
          </wp:positionH>
          <wp:positionV relativeFrom="paragraph">
            <wp:posOffset>-1263015</wp:posOffset>
          </wp:positionV>
          <wp:extent cx="7574280" cy="3606800"/>
          <wp:effectExtent l="0" t="0" r="7620" b="0"/>
          <wp:wrapNone/>
          <wp:docPr id="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7428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5EFC51" w14:textId="77777777" w:rsidR="007F7607" w:rsidRPr="00D94C16" w:rsidRDefault="007F7607" w:rsidP="00F62FB7">
    <w:pPr>
      <w:rPr>
        <w:sz w:val="40"/>
      </w:rPr>
    </w:pPr>
    <w:r>
      <w:t>Long Term Intervention monitoring project:  Lower Lachlan river system</w:t>
    </w:r>
  </w:p>
  <w:p w14:paraId="52028033" w14:textId="77777777" w:rsidR="007F7607" w:rsidRPr="005B3215" w:rsidRDefault="007F7607" w:rsidP="00AD4BD6">
    <w:pPr>
      <w:pStyle w:val="Header"/>
    </w:pPr>
    <w:r>
      <w:rPr>
        <w:noProof/>
        <w:lang w:eastAsia="en-AU"/>
      </w:rPr>
      <w:drawing>
        <wp:anchor distT="0" distB="0" distL="114300" distR="114300" simplePos="0" relativeHeight="251658752" behindDoc="1" locked="0" layoutInCell="1" allowOverlap="1" wp14:anchorId="20505285" wp14:editId="6BAE6C96">
          <wp:simplePos x="0" y="0"/>
          <wp:positionH relativeFrom="column">
            <wp:posOffset>-540385</wp:posOffset>
          </wp:positionH>
          <wp:positionV relativeFrom="paragraph">
            <wp:posOffset>53975</wp:posOffset>
          </wp:positionV>
          <wp:extent cx="7529195" cy="107315"/>
          <wp:effectExtent l="0" t="0" r="0" b="6985"/>
          <wp:wrapNone/>
          <wp:docPr id="1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21AC2"/>
    <w:multiLevelType w:val="hybridMultilevel"/>
    <w:tmpl w:val="5B041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055B4E"/>
    <w:multiLevelType w:val="hybridMultilevel"/>
    <w:tmpl w:val="8730D6A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406405"/>
    <w:multiLevelType w:val="hybridMultilevel"/>
    <w:tmpl w:val="06D0B42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7630794"/>
    <w:multiLevelType w:val="hybridMultilevel"/>
    <w:tmpl w:val="352C55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2D5516"/>
    <w:multiLevelType w:val="hybridMultilevel"/>
    <w:tmpl w:val="192868AE"/>
    <w:lvl w:ilvl="0" w:tplc="B1E2B5DA">
      <w:start w:val="1"/>
      <w:numFmt w:val="bullet"/>
      <w:lvlText w:val="-"/>
      <w:lvlJc w:val="left"/>
      <w:pPr>
        <w:ind w:left="720" w:hanging="360"/>
      </w:pPr>
      <w:rPr>
        <w:rFonts w:ascii="Calibri" w:eastAsiaTheme="minorEastAs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106C96"/>
    <w:multiLevelType w:val="hybridMultilevel"/>
    <w:tmpl w:val="18CA5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BB3F23"/>
    <w:multiLevelType w:val="hybridMultilevel"/>
    <w:tmpl w:val="6700EEF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832901"/>
    <w:multiLevelType w:val="hybridMultilevel"/>
    <w:tmpl w:val="F406125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0C9A229C"/>
    <w:multiLevelType w:val="hybridMultilevel"/>
    <w:tmpl w:val="091496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2" w15:restartNumberingAfterBreak="0">
    <w:nsid w:val="1B6F29D7"/>
    <w:multiLevelType w:val="hybridMultilevel"/>
    <w:tmpl w:val="A4748CB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DF903AF"/>
    <w:multiLevelType w:val="hybridMultilevel"/>
    <w:tmpl w:val="EC0AF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E8E6342"/>
    <w:multiLevelType w:val="hybridMultilevel"/>
    <w:tmpl w:val="162E37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09B077A"/>
    <w:multiLevelType w:val="hybridMultilevel"/>
    <w:tmpl w:val="8730D6A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AF6519E"/>
    <w:multiLevelType w:val="hybridMultilevel"/>
    <w:tmpl w:val="A9AE2C12"/>
    <w:lvl w:ilvl="0" w:tplc="693A5DD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0D6877"/>
    <w:multiLevelType w:val="hybridMultilevel"/>
    <w:tmpl w:val="8BAE0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19" w15:restartNumberingAfterBreak="0">
    <w:nsid w:val="386827DD"/>
    <w:multiLevelType w:val="hybridMultilevel"/>
    <w:tmpl w:val="26A02DFC"/>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90B2958"/>
    <w:multiLevelType w:val="hybridMultilevel"/>
    <w:tmpl w:val="2D64A51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119850F6">
      <w:start w:val="1"/>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B6306C8"/>
    <w:multiLevelType w:val="hybridMultilevel"/>
    <w:tmpl w:val="11FC4F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C78162F"/>
    <w:multiLevelType w:val="hybridMultilevel"/>
    <w:tmpl w:val="66764F4E"/>
    <w:lvl w:ilvl="0" w:tplc="EFCC21F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643D4F"/>
    <w:multiLevelType w:val="hybridMultilevel"/>
    <w:tmpl w:val="07C6A418"/>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CE7275"/>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191267F"/>
    <w:multiLevelType w:val="multilevel"/>
    <w:tmpl w:val="F03A91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46020EA2"/>
    <w:multiLevelType w:val="hybridMultilevel"/>
    <w:tmpl w:val="FF867F56"/>
    <w:lvl w:ilvl="0" w:tplc="0C090011">
      <w:start w:val="1"/>
      <w:numFmt w:val="decimal"/>
      <w:lvlText w:val="%1)"/>
      <w:lvlJc w:val="left"/>
      <w:pPr>
        <w:tabs>
          <w:tab w:val="num" w:pos="720"/>
        </w:tabs>
        <w:ind w:left="720" w:hanging="360"/>
      </w:pPr>
      <w:rPr>
        <w:rFonts w:hint="default"/>
      </w:rPr>
    </w:lvl>
    <w:lvl w:ilvl="1" w:tplc="36585A3A">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637F6E"/>
    <w:multiLevelType w:val="hybridMultilevel"/>
    <w:tmpl w:val="D34CACE8"/>
    <w:lvl w:ilvl="0" w:tplc="66E03988">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81F1714"/>
    <w:multiLevelType w:val="hybridMultilevel"/>
    <w:tmpl w:val="2B7ED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9133264"/>
    <w:multiLevelType w:val="singleLevel"/>
    <w:tmpl w:val="216EDDC0"/>
    <w:lvl w:ilvl="0">
      <w:start w:val="1"/>
      <w:numFmt w:val="decimal"/>
      <w:pStyle w:val="references"/>
      <w:lvlText w:val="[%1]"/>
      <w:legacy w:legacy="1" w:legacySpace="0" w:legacyIndent="360"/>
      <w:lvlJc w:val="left"/>
      <w:pPr>
        <w:ind w:left="360" w:hanging="360"/>
      </w:pPr>
      <w:rPr>
        <w:rFonts w:ascii="Times New Roman" w:hAnsi="Times New Roman" w:hint="default"/>
        <w:b w:val="0"/>
        <w:i w:val="0"/>
        <w:sz w:val="20"/>
      </w:rPr>
    </w:lvl>
  </w:abstractNum>
  <w:abstractNum w:abstractNumId="31" w15:restartNumberingAfterBreak="0">
    <w:nsid w:val="4A2D6E99"/>
    <w:multiLevelType w:val="hybridMultilevel"/>
    <w:tmpl w:val="07C6A418"/>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B61435"/>
    <w:multiLevelType w:val="hybridMultilevel"/>
    <w:tmpl w:val="DAA69606"/>
    <w:lvl w:ilvl="0" w:tplc="57FCCE8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F581AC7"/>
    <w:multiLevelType w:val="hybridMultilevel"/>
    <w:tmpl w:val="87C8AAA8"/>
    <w:lvl w:ilvl="0" w:tplc="41C0DE1E">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57F34370"/>
    <w:multiLevelType w:val="hybridMultilevel"/>
    <w:tmpl w:val="E4B6C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810255E"/>
    <w:multiLevelType w:val="hybridMultilevel"/>
    <w:tmpl w:val="26A02DFC"/>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9F0163A"/>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BF21FE4"/>
    <w:multiLevelType w:val="hybridMultilevel"/>
    <w:tmpl w:val="6FFEF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E4A19F4"/>
    <w:multiLevelType w:val="hybridMultilevel"/>
    <w:tmpl w:val="970293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F115201"/>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5456429"/>
    <w:multiLevelType w:val="multilevel"/>
    <w:tmpl w:val="E898CC72"/>
    <w:numStyleLink w:val="KeyPoints"/>
  </w:abstractNum>
  <w:abstractNum w:abstractNumId="42" w15:restartNumberingAfterBreak="0">
    <w:nsid w:val="66B74964"/>
    <w:multiLevelType w:val="hybridMultilevel"/>
    <w:tmpl w:val="967CA3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71152A2"/>
    <w:multiLevelType w:val="hybridMultilevel"/>
    <w:tmpl w:val="8A9858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7AE4778"/>
    <w:multiLevelType w:val="hybridMultilevel"/>
    <w:tmpl w:val="C6400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8C81B82"/>
    <w:multiLevelType w:val="hybridMultilevel"/>
    <w:tmpl w:val="352C55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6B3F1906"/>
    <w:multiLevelType w:val="hybridMultilevel"/>
    <w:tmpl w:val="3E769E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7" w15:restartNumberingAfterBreak="0">
    <w:nsid w:val="6EE62F29"/>
    <w:multiLevelType w:val="hybridMultilevel"/>
    <w:tmpl w:val="26A02DFC"/>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49" w15:restartNumberingAfterBreak="0">
    <w:nsid w:val="71191AE0"/>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40A728A"/>
    <w:multiLevelType w:val="hybridMultilevel"/>
    <w:tmpl w:val="EED4E0C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2" w15:restartNumberingAfterBreak="0">
    <w:nsid w:val="763E7E7B"/>
    <w:multiLevelType w:val="hybridMultilevel"/>
    <w:tmpl w:val="07C6A418"/>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77F1DD5"/>
    <w:multiLevelType w:val="hybridMultilevel"/>
    <w:tmpl w:val="7506EC88"/>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7B0A093B"/>
    <w:multiLevelType w:val="hybridMultilevel"/>
    <w:tmpl w:val="AB32213E"/>
    <w:lvl w:ilvl="0" w:tplc="0C090015">
      <w:start w:val="1"/>
      <w:numFmt w:val="upperLetter"/>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E9B442A"/>
    <w:multiLevelType w:val="hybridMultilevel"/>
    <w:tmpl w:val="63820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2"/>
  </w:num>
  <w:num w:numId="2">
    <w:abstractNumId w:val="24"/>
  </w:num>
  <w:num w:numId="3">
    <w:abstractNumId w:val="26"/>
  </w:num>
  <w:num w:numId="4">
    <w:abstractNumId w:val="51"/>
  </w:num>
  <w:num w:numId="5">
    <w:abstractNumId w:val="41"/>
  </w:num>
  <w:num w:numId="6">
    <w:abstractNumId w:val="33"/>
  </w:num>
  <w:num w:numId="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10"/>
  </w:num>
  <w:num w:numId="12">
    <w:abstractNumId w:val="34"/>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8"/>
  </w:num>
  <w:num w:numId="15">
    <w:abstractNumId w:val="9"/>
  </w:num>
  <w:num w:numId="16">
    <w:abstractNumId w:val="11"/>
  </w:num>
  <w:num w:numId="17">
    <w:abstractNumId w:val="30"/>
  </w:num>
  <w:num w:numId="18">
    <w:abstractNumId w:val="39"/>
  </w:num>
  <w:num w:numId="19">
    <w:abstractNumId w:val="13"/>
  </w:num>
  <w:num w:numId="20">
    <w:abstractNumId w:val="17"/>
  </w:num>
  <w:num w:numId="21">
    <w:abstractNumId w:val="40"/>
  </w:num>
  <w:num w:numId="22">
    <w:abstractNumId w:val="23"/>
  </w:num>
  <w:num w:numId="23">
    <w:abstractNumId w:val="1"/>
  </w:num>
  <w:num w:numId="24">
    <w:abstractNumId w:val="15"/>
  </w:num>
  <w:num w:numId="25">
    <w:abstractNumId w:val="0"/>
  </w:num>
  <w:num w:numId="26">
    <w:abstractNumId w:val="46"/>
  </w:num>
  <w:num w:numId="27">
    <w:abstractNumId w:val="20"/>
  </w:num>
  <w:num w:numId="28">
    <w:abstractNumId w:val="43"/>
  </w:num>
  <w:num w:numId="29">
    <w:abstractNumId w:val="19"/>
  </w:num>
  <w:num w:numId="30">
    <w:abstractNumId w:val="28"/>
  </w:num>
  <w:num w:numId="31">
    <w:abstractNumId w:val="35"/>
  </w:num>
  <w:num w:numId="32">
    <w:abstractNumId w:val="49"/>
  </w:num>
  <w:num w:numId="33">
    <w:abstractNumId w:val="12"/>
  </w:num>
  <w:num w:numId="34">
    <w:abstractNumId w:val="3"/>
  </w:num>
  <w:num w:numId="35">
    <w:abstractNumId w:val="45"/>
  </w:num>
  <w:num w:numId="36">
    <w:abstractNumId w:val="50"/>
  </w:num>
  <w:num w:numId="37">
    <w:abstractNumId w:val="38"/>
  </w:num>
  <w:num w:numId="38">
    <w:abstractNumId w:val="8"/>
  </w:num>
  <w:num w:numId="39">
    <w:abstractNumId w:val="27"/>
  </w:num>
  <w:num w:numId="40">
    <w:abstractNumId w:val="36"/>
  </w:num>
  <w:num w:numId="41">
    <w:abstractNumId w:val="53"/>
  </w:num>
  <w:num w:numId="42">
    <w:abstractNumId w:val="32"/>
  </w:num>
  <w:num w:numId="43">
    <w:abstractNumId w:val="31"/>
  </w:num>
  <w:num w:numId="44">
    <w:abstractNumId w:val="42"/>
  </w:num>
  <w:num w:numId="45">
    <w:abstractNumId w:val="29"/>
  </w:num>
  <w:num w:numId="46">
    <w:abstractNumId w:val="52"/>
  </w:num>
  <w:num w:numId="47">
    <w:abstractNumId w:val="47"/>
  </w:num>
  <w:num w:numId="48">
    <w:abstractNumId w:val="21"/>
  </w:num>
  <w:num w:numId="49">
    <w:abstractNumId w:val="55"/>
  </w:num>
  <w:num w:numId="50">
    <w:abstractNumId w:val="14"/>
  </w:num>
  <w:num w:numId="51">
    <w:abstractNumId w:val="16"/>
  </w:num>
  <w:num w:numId="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
  </w:num>
  <w:num w:numId="54">
    <w:abstractNumId w:val="44"/>
  </w:num>
  <w:num w:numId="55">
    <w:abstractNumId w:val="6"/>
  </w:num>
  <w:num w:numId="56">
    <w:abstractNumId w:val="25"/>
  </w:num>
  <w:num w:numId="57">
    <w:abstractNumId w:val="5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20"/>
  <w:displayHorizontalDrawingGridEvery w:val="2"/>
  <w:characterSpacingControl w:val="doNotCompress"/>
  <w:hdrShapeDefaults>
    <o:shapedefaults v:ext="edit" spidmax="16385"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0zttz0gewd9befav559p5osxw5sftwfpdv&quot;&gt;Lachlan LTIM&lt;record-ids&gt;&lt;item&gt;21&lt;/item&gt;&lt;item&gt;23&lt;/item&gt;&lt;item&gt;25&lt;/item&gt;&lt;item&gt;26&lt;/item&gt;&lt;item&gt;27&lt;/item&gt;&lt;item&gt;28&lt;/item&gt;&lt;item&gt;29&lt;/item&gt;&lt;item&gt;40&lt;/item&gt;&lt;item&gt;43&lt;/item&gt;&lt;item&gt;62&lt;/item&gt;&lt;item&gt;63&lt;/item&gt;&lt;item&gt;68&lt;/item&gt;&lt;item&gt;77&lt;/item&gt;&lt;item&gt;78&lt;/item&gt;&lt;item&gt;79&lt;/item&gt;&lt;item&gt;82&lt;/item&gt;&lt;item&gt;83&lt;/item&gt;&lt;item&gt;84&lt;/item&gt;&lt;item&gt;100&lt;/item&gt;&lt;item&gt;102&lt;/item&gt;&lt;item&gt;103&lt;/item&gt;&lt;item&gt;105&lt;/item&gt;&lt;item&gt;110&lt;/item&gt;&lt;item&gt;111&lt;/item&gt;&lt;item&gt;112&lt;/item&gt;&lt;item&gt;113&lt;/item&gt;&lt;item&gt;114&lt;/item&gt;&lt;item&gt;115&lt;/item&gt;&lt;item&gt;116&lt;/item&gt;&lt;item&gt;117&lt;/item&gt;&lt;item&gt;118&lt;/item&gt;&lt;item&gt;120&lt;/item&gt;&lt;item&gt;121&lt;/item&gt;&lt;item&gt;122&lt;/item&gt;&lt;item&gt;123&lt;/item&gt;&lt;item&gt;125&lt;/item&gt;&lt;item&gt;126&lt;/item&gt;&lt;item&gt;127&lt;/item&gt;&lt;item&gt;128&lt;/item&gt;&lt;item&gt;129&lt;/item&gt;&lt;item&gt;130&lt;/item&gt;&lt;item&gt;131&lt;/item&gt;&lt;item&gt;132&lt;/item&gt;&lt;item&gt;140&lt;/item&gt;&lt;item&gt;144&lt;/item&gt;&lt;item&gt;147&lt;/item&gt;&lt;item&gt;148&lt;/item&gt;&lt;item&gt;149&lt;/item&gt;&lt;item&gt;151&lt;/item&gt;&lt;item&gt;156&lt;/item&gt;&lt;item&gt;158&lt;/item&gt;&lt;item&gt;161&lt;/item&gt;&lt;item&gt;162&lt;/item&gt;&lt;item&gt;163&lt;/item&gt;&lt;item&gt;164&lt;/item&gt;&lt;item&gt;165&lt;/item&gt;&lt;item&gt;167&lt;/item&gt;&lt;item&gt;168&lt;/item&gt;&lt;item&gt;171&lt;/item&gt;&lt;item&gt;174&lt;/item&gt;&lt;item&gt;188&lt;/item&gt;&lt;item&gt;189&lt;/item&gt;&lt;item&gt;192&lt;/item&gt;&lt;item&gt;193&lt;/item&gt;&lt;item&gt;194&lt;/item&gt;&lt;item&gt;196&lt;/item&gt;&lt;item&gt;205&lt;/item&gt;&lt;item&gt;210&lt;/item&gt;&lt;item&gt;212&lt;/item&gt;&lt;item&gt;213&lt;/item&gt;&lt;item&gt;214&lt;/item&gt;&lt;item&gt;215&lt;/item&gt;&lt;item&gt;232&lt;/item&gt;&lt;item&gt;235&lt;/item&gt;&lt;item&gt;236&lt;/item&gt;&lt;item&gt;238&lt;/item&gt;&lt;item&gt;239&lt;/item&gt;&lt;item&gt;242&lt;/item&gt;&lt;item&gt;243&lt;/item&gt;&lt;item&gt;244&lt;/item&gt;&lt;item&gt;245&lt;/item&gt;&lt;item&gt;246&lt;/item&gt;&lt;item&gt;248&lt;/item&gt;&lt;item&gt;250&lt;/item&gt;&lt;item&gt;251&lt;/item&gt;&lt;item&gt;254&lt;/item&gt;&lt;item&gt;256&lt;/item&gt;&lt;item&gt;258&lt;/item&gt;&lt;item&gt;260&lt;/item&gt;&lt;item&gt;279&lt;/item&gt;&lt;item&gt;280&lt;/item&gt;&lt;item&gt;282&lt;/item&gt;&lt;item&gt;330&lt;/item&gt;&lt;item&gt;363&lt;/item&gt;&lt;item&gt;364&lt;/item&gt;&lt;item&gt;365&lt;/item&gt;&lt;item&gt;366&lt;/item&gt;&lt;item&gt;367&lt;/item&gt;&lt;item&gt;368&lt;/item&gt;&lt;item&gt;369&lt;/item&gt;&lt;item&gt;370&lt;/item&gt;&lt;item&gt;371&lt;/item&gt;&lt;item&gt;372&lt;/item&gt;&lt;item&gt;373&lt;/item&gt;&lt;item&gt;374&lt;/item&gt;&lt;item&gt;375&lt;/item&gt;&lt;item&gt;377&lt;/item&gt;&lt;item&gt;378&lt;/item&gt;&lt;item&gt;379&lt;/item&gt;&lt;item&gt;380&lt;/item&gt;&lt;item&gt;381&lt;/item&gt;&lt;item&gt;382&lt;/item&gt;&lt;item&gt;383&lt;/item&gt;&lt;item&gt;384&lt;/item&gt;&lt;item&gt;385&lt;/item&gt;&lt;item&gt;387&lt;/item&gt;&lt;item&gt;388&lt;/item&gt;&lt;item&gt;389&lt;/item&gt;&lt;item&gt;391&lt;/item&gt;&lt;item&gt;392&lt;/item&gt;&lt;item&gt;393&lt;/item&gt;&lt;item&gt;394&lt;/item&gt;&lt;item&gt;396&lt;/item&gt;&lt;item&gt;398&lt;/item&gt;&lt;item&gt;399&lt;/item&gt;&lt;item&gt;400&lt;/item&gt;&lt;item&gt;401&lt;/item&gt;&lt;item&gt;402&lt;/item&gt;&lt;/record-ids&gt;&lt;/item&gt;&lt;/Libraries&gt;"/>
  </w:docVars>
  <w:rsids>
    <w:rsidRoot w:val="001D5FDB"/>
    <w:rsid w:val="00000CE1"/>
    <w:rsid w:val="00000DD1"/>
    <w:rsid w:val="00001414"/>
    <w:rsid w:val="0000209C"/>
    <w:rsid w:val="00002264"/>
    <w:rsid w:val="000031BF"/>
    <w:rsid w:val="0000347C"/>
    <w:rsid w:val="000036B5"/>
    <w:rsid w:val="00004997"/>
    <w:rsid w:val="00004B70"/>
    <w:rsid w:val="00005174"/>
    <w:rsid w:val="000051D3"/>
    <w:rsid w:val="00005507"/>
    <w:rsid w:val="00005DC0"/>
    <w:rsid w:val="00007586"/>
    <w:rsid w:val="00011616"/>
    <w:rsid w:val="00011959"/>
    <w:rsid w:val="000132A0"/>
    <w:rsid w:val="00014186"/>
    <w:rsid w:val="00016798"/>
    <w:rsid w:val="000179B5"/>
    <w:rsid w:val="000179EF"/>
    <w:rsid w:val="00021577"/>
    <w:rsid w:val="00024D47"/>
    <w:rsid w:val="00026FF2"/>
    <w:rsid w:val="000300B6"/>
    <w:rsid w:val="000325F7"/>
    <w:rsid w:val="00033DB8"/>
    <w:rsid w:val="000343FE"/>
    <w:rsid w:val="00034742"/>
    <w:rsid w:val="00034E40"/>
    <w:rsid w:val="00036F98"/>
    <w:rsid w:val="000407B1"/>
    <w:rsid w:val="000410FC"/>
    <w:rsid w:val="000421BB"/>
    <w:rsid w:val="00042BAA"/>
    <w:rsid w:val="00042C52"/>
    <w:rsid w:val="000432AD"/>
    <w:rsid w:val="00043F3A"/>
    <w:rsid w:val="00044F9F"/>
    <w:rsid w:val="0004527A"/>
    <w:rsid w:val="000456F2"/>
    <w:rsid w:val="00045D86"/>
    <w:rsid w:val="00045E7A"/>
    <w:rsid w:val="00046680"/>
    <w:rsid w:val="000505F6"/>
    <w:rsid w:val="00050741"/>
    <w:rsid w:val="00050AB2"/>
    <w:rsid w:val="00050BA8"/>
    <w:rsid w:val="000526DE"/>
    <w:rsid w:val="00054E06"/>
    <w:rsid w:val="0005595C"/>
    <w:rsid w:val="00056E6F"/>
    <w:rsid w:val="00057564"/>
    <w:rsid w:val="000575CE"/>
    <w:rsid w:val="00057630"/>
    <w:rsid w:val="00057B0B"/>
    <w:rsid w:val="00057D80"/>
    <w:rsid w:val="000619AE"/>
    <w:rsid w:val="000638ED"/>
    <w:rsid w:val="000643CA"/>
    <w:rsid w:val="00065039"/>
    <w:rsid w:val="00065AEF"/>
    <w:rsid w:val="00067A01"/>
    <w:rsid w:val="00070E83"/>
    <w:rsid w:val="000711CE"/>
    <w:rsid w:val="00072A5C"/>
    <w:rsid w:val="000738DC"/>
    <w:rsid w:val="00073EB3"/>
    <w:rsid w:val="00073FCC"/>
    <w:rsid w:val="00074099"/>
    <w:rsid w:val="0007470F"/>
    <w:rsid w:val="000762EB"/>
    <w:rsid w:val="00076458"/>
    <w:rsid w:val="0007654C"/>
    <w:rsid w:val="000770EB"/>
    <w:rsid w:val="00077AD0"/>
    <w:rsid w:val="00080207"/>
    <w:rsid w:val="00080D61"/>
    <w:rsid w:val="00081458"/>
    <w:rsid w:val="00081A93"/>
    <w:rsid w:val="00082967"/>
    <w:rsid w:val="00083AFA"/>
    <w:rsid w:val="00083E63"/>
    <w:rsid w:val="00084C30"/>
    <w:rsid w:val="00084C93"/>
    <w:rsid w:val="00084E4D"/>
    <w:rsid w:val="00084F11"/>
    <w:rsid w:val="000856C9"/>
    <w:rsid w:val="00085CE6"/>
    <w:rsid w:val="000868FF"/>
    <w:rsid w:val="00086E45"/>
    <w:rsid w:val="00092C2F"/>
    <w:rsid w:val="000935AD"/>
    <w:rsid w:val="000A0D67"/>
    <w:rsid w:val="000A1A24"/>
    <w:rsid w:val="000A3633"/>
    <w:rsid w:val="000A54FA"/>
    <w:rsid w:val="000A5B33"/>
    <w:rsid w:val="000A630A"/>
    <w:rsid w:val="000A6BF6"/>
    <w:rsid w:val="000A6CF5"/>
    <w:rsid w:val="000A7034"/>
    <w:rsid w:val="000A7517"/>
    <w:rsid w:val="000A7C8F"/>
    <w:rsid w:val="000B1968"/>
    <w:rsid w:val="000B24AE"/>
    <w:rsid w:val="000B46E2"/>
    <w:rsid w:val="000B5C7E"/>
    <w:rsid w:val="000B6048"/>
    <w:rsid w:val="000C016A"/>
    <w:rsid w:val="000C02FB"/>
    <w:rsid w:val="000C0C6D"/>
    <w:rsid w:val="000C13A2"/>
    <w:rsid w:val="000C2FFA"/>
    <w:rsid w:val="000C393B"/>
    <w:rsid w:val="000C418B"/>
    <w:rsid w:val="000C42B2"/>
    <w:rsid w:val="000C5320"/>
    <w:rsid w:val="000C57D9"/>
    <w:rsid w:val="000C7819"/>
    <w:rsid w:val="000D3150"/>
    <w:rsid w:val="000D31F3"/>
    <w:rsid w:val="000D5E26"/>
    <w:rsid w:val="000D5E64"/>
    <w:rsid w:val="000D7189"/>
    <w:rsid w:val="000D7622"/>
    <w:rsid w:val="000D7BD8"/>
    <w:rsid w:val="000E0520"/>
    <w:rsid w:val="000E0995"/>
    <w:rsid w:val="000E3F9D"/>
    <w:rsid w:val="000E4739"/>
    <w:rsid w:val="000E4E29"/>
    <w:rsid w:val="000E5F02"/>
    <w:rsid w:val="000E6368"/>
    <w:rsid w:val="000E63AB"/>
    <w:rsid w:val="000E6F7F"/>
    <w:rsid w:val="000E6FF5"/>
    <w:rsid w:val="000F1682"/>
    <w:rsid w:val="000F1A1E"/>
    <w:rsid w:val="000F1E7B"/>
    <w:rsid w:val="000F2B1A"/>
    <w:rsid w:val="000F2C01"/>
    <w:rsid w:val="000F2F6C"/>
    <w:rsid w:val="000F3D5E"/>
    <w:rsid w:val="000F3EAF"/>
    <w:rsid w:val="000F42CE"/>
    <w:rsid w:val="000F48B3"/>
    <w:rsid w:val="000F5E27"/>
    <w:rsid w:val="000F78BC"/>
    <w:rsid w:val="000F79CD"/>
    <w:rsid w:val="001000F3"/>
    <w:rsid w:val="00100E9E"/>
    <w:rsid w:val="0010158A"/>
    <w:rsid w:val="00101ABE"/>
    <w:rsid w:val="00102207"/>
    <w:rsid w:val="00102868"/>
    <w:rsid w:val="001033DF"/>
    <w:rsid w:val="00103C83"/>
    <w:rsid w:val="0010431F"/>
    <w:rsid w:val="00105370"/>
    <w:rsid w:val="00105AD7"/>
    <w:rsid w:val="00105D31"/>
    <w:rsid w:val="001064C4"/>
    <w:rsid w:val="00107FDD"/>
    <w:rsid w:val="0011001E"/>
    <w:rsid w:val="00111E52"/>
    <w:rsid w:val="0011227E"/>
    <w:rsid w:val="00112571"/>
    <w:rsid w:val="00112A38"/>
    <w:rsid w:val="0011446C"/>
    <w:rsid w:val="001161A0"/>
    <w:rsid w:val="00116905"/>
    <w:rsid w:val="0011706D"/>
    <w:rsid w:val="0012028A"/>
    <w:rsid w:val="0012042D"/>
    <w:rsid w:val="001205C3"/>
    <w:rsid w:val="001209FF"/>
    <w:rsid w:val="00120F91"/>
    <w:rsid w:val="0012166B"/>
    <w:rsid w:val="00121A80"/>
    <w:rsid w:val="00121F7D"/>
    <w:rsid w:val="001238BB"/>
    <w:rsid w:val="00123A84"/>
    <w:rsid w:val="00123BBF"/>
    <w:rsid w:val="0012533A"/>
    <w:rsid w:val="001265DF"/>
    <w:rsid w:val="00126A64"/>
    <w:rsid w:val="00126D6D"/>
    <w:rsid w:val="00126EAD"/>
    <w:rsid w:val="001303E5"/>
    <w:rsid w:val="00131F12"/>
    <w:rsid w:val="001326EA"/>
    <w:rsid w:val="00134250"/>
    <w:rsid w:val="00134E3D"/>
    <w:rsid w:val="001351E6"/>
    <w:rsid w:val="001355D3"/>
    <w:rsid w:val="001356C6"/>
    <w:rsid w:val="00135CFC"/>
    <w:rsid w:val="00135D86"/>
    <w:rsid w:val="001407B4"/>
    <w:rsid w:val="0014139B"/>
    <w:rsid w:val="0014255A"/>
    <w:rsid w:val="00143634"/>
    <w:rsid w:val="00143A2F"/>
    <w:rsid w:val="00144085"/>
    <w:rsid w:val="00144162"/>
    <w:rsid w:val="001456A1"/>
    <w:rsid w:val="0014669A"/>
    <w:rsid w:val="00146882"/>
    <w:rsid w:val="001478AC"/>
    <w:rsid w:val="001502A1"/>
    <w:rsid w:val="0015069C"/>
    <w:rsid w:val="00150D36"/>
    <w:rsid w:val="00150D4E"/>
    <w:rsid w:val="00151BA6"/>
    <w:rsid w:val="00151E28"/>
    <w:rsid w:val="00151E5D"/>
    <w:rsid w:val="00153407"/>
    <w:rsid w:val="0015508F"/>
    <w:rsid w:val="0015696A"/>
    <w:rsid w:val="00156C0B"/>
    <w:rsid w:val="00157C69"/>
    <w:rsid w:val="00161037"/>
    <w:rsid w:val="001613C3"/>
    <w:rsid w:val="00162361"/>
    <w:rsid w:val="00162657"/>
    <w:rsid w:val="00163243"/>
    <w:rsid w:val="00163E9B"/>
    <w:rsid w:val="00165230"/>
    <w:rsid w:val="00167F42"/>
    <w:rsid w:val="00170307"/>
    <w:rsid w:val="001720B5"/>
    <w:rsid w:val="001728CF"/>
    <w:rsid w:val="00174722"/>
    <w:rsid w:val="00174A47"/>
    <w:rsid w:val="00180A59"/>
    <w:rsid w:val="00180D83"/>
    <w:rsid w:val="00182F5F"/>
    <w:rsid w:val="00184489"/>
    <w:rsid w:val="001848EE"/>
    <w:rsid w:val="00184C11"/>
    <w:rsid w:val="0018521F"/>
    <w:rsid w:val="001857E4"/>
    <w:rsid w:val="00186674"/>
    <w:rsid w:val="0018699C"/>
    <w:rsid w:val="00190095"/>
    <w:rsid w:val="0019009E"/>
    <w:rsid w:val="001908BB"/>
    <w:rsid w:val="00190A04"/>
    <w:rsid w:val="00190AAA"/>
    <w:rsid w:val="001911DB"/>
    <w:rsid w:val="001918A7"/>
    <w:rsid w:val="00192B19"/>
    <w:rsid w:val="001957B1"/>
    <w:rsid w:val="00195E81"/>
    <w:rsid w:val="00196FF0"/>
    <w:rsid w:val="00197908"/>
    <w:rsid w:val="001A0492"/>
    <w:rsid w:val="001A0FE2"/>
    <w:rsid w:val="001A181C"/>
    <w:rsid w:val="001A2168"/>
    <w:rsid w:val="001A2C60"/>
    <w:rsid w:val="001A362D"/>
    <w:rsid w:val="001A4743"/>
    <w:rsid w:val="001A48D7"/>
    <w:rsid w:val="001A4B6D"/>
    <w:rsid w:val="001A63A8"/>
    <w:rsid w:val="001A72D4"/>
    <w:rsid w:val="001A773E"/>
    <w:rsid w:val="001A7FA4"/>
    <w:rsid w:val="001B02AF"/>
    <w:rsid w:val="001B0F9B"/>
    <w:rsid w:val="001B0FC1"/>
    <w:rsid w:val="001B1FDD"/>
    <w:rsid w:val="001B3693"/>
    <w:rsid w:val="001B5499"/>
    <w:rsid w:val="001B7550"/>
    <w:rsid w:val="001C0449"/>
    <w:rsid w:val="001C0575"/>
    <w:rsid w:val="001C081F"/>
    <w:rsid w:val="001C1C31"/>
    <w:rsid w:val="001C1E20"/>
    <w:rsid w:val="001C2BCD"/>
    <w:rsid w:val="001C307A"/>
    <w:rsid w:val="001C3903"/>
    <w:rsid w:val="001C394D"/>
    <w:rsid w:val="001C42FD"/>
    <w:rsid w:val="001C44B8"/>
    <w:rsid w:val="001C5AC8"/>
    <w:rsid w:val="001C5F3D"/>
    <w:rsid w:val="001C75C1"/>
    <w:rsid w:val="001D041C"/>
    <w:rsid w:val="001D0BB0"/>
    <w:rsid w:val="001D18F0"/>
    <w:rsid w:val="001D20AD"/>
    <w:rsid w:val="001D2214"/>
    <w:rsid w:val="001D2B89"/>
    <w:rsid w:val="001D51E8"/>
    <w:rsid w:val="001D5A8F"/>
    <w:rsid w:val="001D5FDB"/>
    <w:rsid w:val="001D72AA"/>
    <w:rsid w:val="001E1656"/>
    <w:rsid w:val="001E19CE"/>
    <w:rsid w:val="001E2E3C"/>
    <w:rsid w:val="001E386A"/>
    <w:rsid w:val="001E627E"/>
    <w:rsid w:val="001E679E"/>
    <w:rsid w:val="001E6A43"/>
    <w:rsid w:val="001E6BDC"/>
    <w:rsid w:val="001E6F5E"/>
    <w:rsid w:val="001F2460"/>
    <w:rsid w:val="001F37D9"/>
    <w:rsid w:val="001F4037"/>
    <w:rsid w:val="001F4C8E"/>
    <w:rsid w:val="001F53D7"/>
    <w:rsid w:val="001F5A73"/>
    <w:rsid w:val="001F65C8"/>
    <w:rsid w:val="002010FC"/>
    <w:rsid w:val="002022F1"/>
    <w:rsid w:val="002023AB"/>
    <w:rsid w:val="002027FB"/>
    <w:rsid w:val="00204686"/>
    <w:rsid w:val="002053E5"/>
    <w:rsid w:val="00207366"/>
    <w:rsid w:val="002079A8"/>
    <w:rsid w:val="00207C6F"/>
    <w:rsid w:val="002110E6"/>
    <w:rsid w:val="00213387"/>
    <w:rsid w:val="0021421E"/>
    <w:rsid w:val="00215F69"/>
    <w:rsid w:val="00216215"/>
    <w:rsid w:val="0021631B"/>
    <w:rsid w:val="002166EB"/>
    <w:rsid w:val="0021784F"/>
    <w:rsid w:val="00217E1F"/>
    <w:rsid w:val="00223067"/>
    <w:rsid w:val="002256BE"/>
    <w:rsid w:val="00227E27"/>
    <w:rsid w:val="002311A9"/>
    <w:rsid w:val="002329C2"/>
    <w:rsid w:val="00232C31"/>
    <w:rsid w:val="00232E52"/>
    <w:rsid w:val="0023308B"/>
    <w:rsid w:val="00233224"/>
    <w:rsid w:val="00233857"/>
    <w:rsid w:val="0023399C"/>
    <w:rsid w:val="002347CF"/>
    <w:rsid w:val="00235373"/>
    <w:rsid w:val="00235753"/>
    <w:rsid w:val="002358E6"/>
    <w:rsid w:val="0023691F"/>
    <w:rsid w:val="00237612"/>
    <w:rsid w:val="002378D4"/>
    <w:rsid w:val="002427E0"/>
    <w:rsid w:val="002435C1"/>
    <w:rsid w:val="00250F77"/>
    <w:rsid w:val="00252003"/>
    <w:rsid w:val="002520F5"/>
    <w:rsid w:val="0025324B"/>
    <w:rsid w:val="00253EEF"/>
    <w:rsid w:val="00254264"/>
    <w:rsid w:val="002564A9"/>
    <w:rsid w:val="002572F0"/>
    <w:rsid w:val="0026097E"/>
    <w:rsid w:val="00260C93"/>
    <w:rsid w:val="00260EE2"/>
    <w:rsid w:val="002615E6"/>
    <w:rsid w:val="00261B05"/>
    <w:rsid w:val="0026283B"/>
    <w:rsid w:val="002651FE"/>
    <w:rsid w:val="00265CEE"/>
    <w:rsid w:val="00266067"/>
    <w:rsid w:val="00266550"/>
    <w:rsid w:val="00266C96"/>
    <w:rsid w:val="00267005"/>
    <w:rsid w:val="002671D1"/>
    <w:rsid w:val="00267229"/>
    <w:rsid w:val="00267747"/>
    <w:rsid w:val="00267F8F"/>
    <w:rsid w:val="00272966"/>
    <w:rsid w:val="00272975"/>
    <w:rsid w:val="00273C65"/>
    <w:rsid w:val="00274B77"/>
    <w:rsid w:val="00275F65"/>
    <w:rsid w:val="00276B5A"/>
    <w:rsid w:val="00276BA2"/>
    <w:rsid w:val="00276EB7"/>
    <w:rsid w:val="002774D6"/>
    <w:rsid w:val="00277FAE"/>
    <w:rsid w:val="00280274"/>
    <w:rsid w:val="00280AF2"/>
    <w:rsid w:val="00281678"/>
    <w:rsid w:val="00282A39"/>
    <w:rsid w:val="00282E26"/>
    <w:rsid w:val="00282F6C"/>
    <w:rsid w:val="00284121"/>
    <w:rsid w:val="0028432D"/>
    <w:rsid w:val="00284D5B"/>
    <w:rsid w:val="00285A1A"/>
    <w:rsid w:val="00287400"/>
    <w:rsid w:val="002914A3"/>
    <w:rsid w:val="002924CE"/>
    <w:rsid w:val="00292CAD"/>
    <w:rsid w:val="00293E73"/>
    <w:rsid w:val="00295647"/>
    <w:rsid w:val="00295AF3"/>
    <w:rsid w:val="00296705"/>
    <w:rsid w:val="002A080D"/>
    <w:rsid w:val="002A1EBC"/>
    <w:rsid w:val="002A2292"/>
    <w:rsid w:val="002A328E"/>
    <w:rsid w:val="002A3B40"/>
    <w:rsid w:val="002A4751"/>
    <w:rsid w:val="002A4AF7"/>
    <w:rsid w:val="002A5162"/>
    <w:rsid w:val="002A59AE"/>
    <w:rsid w:val="002A6527"/>
    <w:rsid w:val="002A6C84"/>
    <w:rsid w:val="002B0AB0"/>
    <w:rsid w:val="002B0F64"/>
    <w:rsid w:val="002B170F"/>
    <w:rsid w:val="002B23DB"/>
    <w:rsid w:val="002B2ECC"/>
    <w:rsid w:val="002B39BB"/>
    <w:rsid w:val="002B5DCD"/>
    <w:rsid w:val="002C0771"/>
    <w:rsid w:val="002C11E5"/>
    <w:rsid w:val="002C1A3B"/>
    <w:rsid w:val="002C2C16"/>
    <w:rsid w:val="002C302A"/>
    <w:rsid w:val="002C33F1"/>
    <w:rsid w:val="002C3FDB"/>
    <w:rsid w:val="002C62DA"/>
    <w:rsid w:val="002C63BD"/>
    <w:rsid w:val="002C7626"/>
    <w:rsid w:val="002C7E44"/>
    <w:rsid w:val="002D2187"/>
    <w:rsid w:val="002D228E"/>
    <w:rsid w:val="002D22E1"/>
    <w:rsid w:val="002D31F6"/>
    <w:rsid w:val="002D3207"/>
    <w:rsid w:val="002D358A"/>
    <w:rsid w:val="002D3991"/>
    <w:rsid w:val="002D7DA6"/>
    <w:rsid w:val="002E0631"/>
    <w:rsid w:val="002E117F"/>
    <w:rsid w:val="002E2279"/>
    <w:rsid w:val="002E2386"/>
    <w:rsid w:val="002E2E3B"/>
    <w:rsid w:val="002E375F"/>
    <w:rsid w:val="002E3CFA"/>
    <w:rsid w:val="002E4E6B"/>
    <w:rsid w:val="002E5756"/>
    <w:rsid w:val="002E6686"/>
    <w:rsid w:val="002E745D"/>
    <w:rsid w:val="002E75C6"/>
    <w:rsid w:val="002E77CF"/>
    <w:rsid w:val="002E7CAA"/>
    <w:rsid w:val="002E7E42"/>
    <w:rsid w:val="002F0393"/>
    <w:rsid w:val="002F2CFD"/>
    <w:rsid w:val="002F334E"/>
    <w:rsid w:val="002F3E50"/>
    <w:rsid w:val="002F4962"/>
    <w:rsid w:val="002F5580"/>
    <w:rsid w:val="002F5687"/>
    <w:rsid w:val="002F5D07"/>
    <w:rsid w:val="00300882"/>
    <w:rsid w:val="0030124A"/>
    <w:rsid w:val="0030169D"/>
    <w:rsid w:val="00301D68"/>
    <w:rsid w:val="003029E2"/>
    <w:rsid w:val="00303623"/>
    <w:rsid w:val="00303E1A"/>
    <w:rsid w:val="003042FE"/>
    <w:rsid w:val="0030591C"/>
    <w:rsid w:val="00305E53"/>
    <w:rsid w:val="00306B37"/>
    <w:rsid w:val="00310943"/>
    <w:rsid w:val="00310EFC"/>
    <w:rsid w:val="003115A3"/>
    <w:rsid w:val="0031364D"/>
    <w:rsid w:val="00313E17"/>
    <w:rsid w:val="00314389"/>
    <w:rsid w:val="003147B2"/>
    <w:rsid w:val="00314C35"/>
    <w:rsid w:val="00314E91"/>
    <w:rsid w:val="0031553B"/>
    <w:rsid w:val="0031565D"/>
    <w:rsid w:val="00316C7F"/>
    <w:rsid w:val="00316D38"/>
    <w:rsid w:val="003172CB"/>
    <w:rsid w:val="0031757C"/>
    <w:rsid w:val="00320188"/>
    <w:rsid w:val="0032128D"/>
    <w:rsid w:val="003215CF"/>
    <w:rsid w:val="00321AF1"/>
    <w:rsid w:val="003226B7"/>
    <w:rsid w:val="00325075"/>
    <w:rsid w:val="00326021"/>
    <w:rsid w:val="00326634"/>
    <w:rsid w:val="00326C4F"/>
    <w:rsid w:val="0032722B"/>
    <w:rsid w:val="00327A1D"/>
    <w:rsid w:val="00330D60"/>
    <w:rsid w:val="00332B62"/>
    <w:rsid w:val="00333CDB"/>
    <w:rsid w:val="003358DE"/>
    <w:rsid w:val="00336D0C"/>
    <w:rsid w:val="00337508"/>
    <w:rsid w:val="003377F9"/>
    <w:rsid w:val="00337A29"/>
    <w:rsid w:val="0034023D"/>
    <w:rsid w:val="00340C89"/>
    <w:rsid w:val="00342741"/>
    <w:rsid w:val="00343254"/>
    <w:rsid w:val="00343B20"/>
    <w:rsid w:val="0034435C"/>
    <w:rsid w:val="0034495A"/>
    <w:rsid w:val="00346F53"/>
    <w:rsid w:val="00346FAB"/>
    <w:rsid w:val="003540EB"/>
    <w:rsid w:val="00355402"/>
    <w:rsid w:val="00355D31"/>
    <w:rsid w:val="00356685"/>
    <w:rsid w:val="003570C6"/>
    <w:rsid w:val="003572D4"/>
    <w:rsid w:val="003608BA"/>
    <w:rsid w:val="003644F8"/>
    <w:rsid w:val="00364C0F"/>
    <w:rsid w:val="00364EE8"/>
    <w:rsid w:val="003656EA"/>
    <w:rsid w:val="00365B8F"/>
    <w:rsid w:val="00365E8A"/>
    <w:rsid w:val="00366B7E"/>
    <w:rsid w:val="00366CB9"/>
    <w:rsid w:val="00367904"/>
    <w:rsid w:val="00370A04"/>
    <w:rsid w:val="003712CD"/>
    <w:rsid w:val="00371730"/>
    <w:rsid w:val="00372EED"/>
    <w:rsid w:val="00373C7A"/>
    <w:rsid w:val="0037521D"/>
    <w:rsid w:val="00376378"/>
    <w:rsid w:val="00376DF8"/>
    <w:rsid w:val="00376E60"/>
    <w:rsid w:val="00377233"/>
    <w:rsid w:val="003819B6"/>
    <w:rsid w:val="00382392"/>
    <w:rsid w:val="0038388D"/>
    <w:rsid w:val="003845C1"/>
    <w:rsid w:val="00386799"/>
    <w:rsid w:val="003874C9"/>
    <w:rsid w:val="00387D30"/>
    <w:rsid w:val="00390098"/>
    <w:rsid w:val="00390AF6"/>
    <w:rsid w:val="00391EFC"/>
    <w:rsid w:val="003947B1"/>
    <w:rsid w:val="00394E22"/>
    <w:rsid w:val="0039549C"/>
    <w:rsid w:val="003A18D3"/>
    <w:rsid w:val="003A1C2F"/>
    <w:rsid w:val="003A313D"/>
    <w:rsid w:val="003A3187"/>
    <w:rsid w:val="003A544D"/>
    <w:rsid w:val="003A5F9A"/>
    <w:rsid w:val="003A6BDD"/>
    <w:rsid w:val="003B0B99"/>
    <w:rsid w:val="003B3E5D"/>
    <w:rsid w:val="003B6C39"/>
    <w:rsid w:val="003B7337"/>
    <w:rsid w:val="003C140D"/>
    <w:rsid w:val="003C1511"/>
    <w:rsid w:val="003C1AFD"/>
    <w:rsid w:val="003C21A9"/>
    <w:rsid w:val="003C2A87"/>
    <w:rsid w:val="003C3232"/>
    <w:rsid w:val="003D0B18"/>
    <w:rsid w:val="003D0E73"/>
    <w:rsid w:val="003D0F84"/>
    <w:rsid w:val="003D1E14"/>
    <w:rsid w:val="003D1FEA"/>
    <w:rsid w:val="003D23B7"/>
    <w:rsid w:val="003D2FCF"/>
    <w:rsid w:val="003D31F1"/>
    <w:rsid w:val="003D369E"/>
    <w:rsid w:val="003D5985"/>
    <w:rsid w:val="003D6127"/>
    <w:rsid w:val="003D6162"/>
    <w:rsid w:val="003D65A0"/>
    <w:rsid w:val="003E03C8"/>
    <w:rsid w:val="003E0499"/>
    <w:rsid w:val="003E0E3E"/>
    <w:rsid w:val="003E10DC"/>
    <w:rsid w:val="003E18FB"/>
    <w:rsid w:val="003E25F0"/>
    <w:rsid w:val="003E5444"/>
    <w:rsid w:val="003E6CCB"/>
    <w:rsid w:val="003F299C"/>
    <w:rsid w:val="003F2E11"/>
    <w:rsid w:val="003F2F95"/>
    <w:rsid w:val="003F32A4"/>
    <w:rsid w:val="003F33E2"/>
    <w:rsid w:val="003F4080"/>
    <w:rsid w:val="003F6D7C"/>
    <w:rsid w:val="003F7996"/>
    <w:rsid w:val="004006C1"/>
    <w:rsid w:val="00401570"/>
    <w:rsid w:val="00404171"/>
    <w:rsid w:val="0040576C"/>
    <w:rsid w:val="004075F7"/>
    <w:rsid w:val="00410ACD"/>
    <w:rsid w:val="00415D22"/>
    <w:rsid w:val="00416631"/>
    <w:rsid w:val="004174D9"/>
    <w:rsid w:val="00417A59"/>
    <w:rsid w:val="0042228C"/>
    <w:rsid w:val="004234A6"/>
    <w:rsid w:val="00423850"/>
    <w:rsid w:val="00423EE8"/>
    <w:rsid w:val="00424123"/>
    <w:rsid w:val="00424965"/>
    <w:rsid w:val="00425DB7"/>
    <w:rsid w:val="0042641C"/>
    <w:rsid w:val="00426CF3"/>
    <w:rsid w:val="004270BE"/>
    <w:rsid w:val="004279BA"/>
    <w:rsid w:val="00427EB4"/>
    <w:rsid w:val="00427F82"/>
    <w:rsid w:val="00430AC3"/>
    <w:rsid w:val="00434525"/>
    <w:rsid w:val="00435C4A"/>
    <w:rsid w:val="00435FAC"/>
    <w:rsid w:val="00436E88"/>
    <w:rsid w:val="004375D8"/>
    <w:rsid w:val="00437AA7"/>
    <w:rsid w:val="004416D2"/>
    <w:rsid w:val="004444E8"/>
    <w:rsid w:val="00444E35"/>
    <w:rsid w:val="00445885"/>
    <w:rsid w:val="0044777C"/>
    <w:rsid w:val="00450462"/>
    <w:rsid w:val="004506BE"/>
    <w:rsid w:val="00450F30"/>
    <w:rsid w:val="00451E04"/>
    <w:rsid w:val="00453B44"/>
    <w:rsid w:val="0045410A"/>
    <w:rsid w:val="00454406"/>
    <w:rsid w:val="00454C5A"/>
    <w:rsid w:val="00455FA8"/>
    <w:rsid w:val="00456556"/>
    <w:rsid w:val="0046137D"/>
    <w:rsid w:val="0046151C"/>
    <w:rsid w:val="00461BD7"/>
    <w:rsid w:val="00462099"/>
    <w:rsid w:val="0046225C"/>
    <w:rsid w:val="00464A18"/>
    <w:rsid w:val="00465688"/>
    <w:rsid w:val="00466DC9"/>
    <w:rsid w:val="00466FE2"/>
    <w:rsid w:val="004714EB"/>
    <w:rsid w:val="004729E8"/>
    <w:rsid w:val="0047373A"/>
    <w:rsid w:val="0047378B"/>
    <w:rsid w:val="00473895"/>
    <w:rsid w:val="00473FA2"/>
    <w:rsid w:val="00474E27"/>
    <w:rsid w:val="0047522C"/>
    <w:rsid w:val="00475B04"/>
    <w:rsid w:val="0047621C"/>
    <w:rsid w:val="0047781D"/>
    <w:rsid w:val="004807E3"/>
    <w:rsid w:val="00481104"/>
    <w:rsid w:val="004827CA"/>
    <w:rsid w:val="00482D60"/>
    <w:rsid w:val="00483098"/>
    <w:rsid w:val="00483254"/>
    <w:rsid w:val="00483D98"/>
    <w:rsid w:val="00485C51"/>
    <w:rsid w:val="004865D5"/>
    <w:rsid w:val="00486856"/>
    <w:rsid w:val="00487199"/>
    <w:rsid w:val="00487422"/>
    <w:rsid w:val="00487A5A"/>
    <w:rsid w:val="00490367"/>
    <w:rsid w:val="00492D02"/>
    <w:rsid w:val="00492F88"/>
    <w:rsid w:val="00493A4F"/>
    <w:rsid w:val="00493B75"/>
    <w:rsid w:val="00495604"/>
    <w:rsid w:val="00497462"/>
    <w:rsid w:val="004A0E65"/>
    <w:rsid w:val="004A27F7"/>
    <w:rsid w:val="004A40D2"/>
    <w:rsid w:val="004A45D6"/>
    <w:rsid w:val="004A4CAE"/>
    <w:rsid w:val="004A58D3"/>
    <w:rsid w:val="004A75A0"/>
    <w:rsid w:val="004B0768"/>
    <w:rsid w:val="004B088E"/>
    <w:rsid w:val="004B25ED"/>
    <w:rsid w:val="004B3F60"/>
    <w:rsid w:val="004B3F8B"/>
    <w:rsid w:val="004B4C67"/>
    <w:rsid w:val="004B5CDB"/>
    <w:rsid w:val="004B6153"/>
    <w:rsid w:val="004C0D44"/>
    <w:rsid w:val="004C3970"/>
    <w:rsid w:val="004C749B"/>
    <w:rsid w:val="004D1BB9"/>
    <w:rsid w:val="004D2157"/>
    <w:rsid w:val="004D376F"/>
    <w:rsid w:val="004D3AC7"/>
    <w:rsid w:val="004D5893"/>
    <w:rsid w:val="004D5C5C"/>
    <w:rsid w:val="004D7E00"/>
    <w:rsid w:val="004D7F9D"/>
    <w:rsid w:val="004E1BB3"/>
    <w:rsid w:val="004E25F8"/>
    <w:rsid w:val="004E4519"/>
    <w:rsid w:val="004E46A5"/>
    <w:rsid w:val="004E5B7F"/>
    <w:rsid w:val="004E631C"/>
    <w:rsid w:val="004E69F3"/>
    <w:rsid w:val="004E7E93"/>
    <w:rsid w:val="004F020D"/>
    <w:rsid w:val="004F03DB"/>
    <w:rsid w:val="004F269C"/>
    <w:rsid w:val="004F2A88"/>
    <w:rsid w:val="004F2CAD"/>
    <w:rsid w:val="004F2E59"/>
    <w:rsid w:val="004F38EC"/>
    <w:rsid w:val="004F3BA9"/>
    <w:rsid w:val="004F4859"/>
    <w:rsid w:val="004F594F"/>
    <w:rsid w:val="004F5CDC"/>
    <w:rsid w:val="004F6917"/>
    <w:rsid w:val="004F6F93"/>
    <w:rsid w:val="004F7AB5"/>
    <w:rsid w:val="004F7D77"/>
    <w:rsid w:val="0050034A"/>
    <w:rsid w:val="00500567"/>
    <w:rsid w:val="005016C6"/>
    <w:rsid w:val="00502D3F"/>
    <w:rsid w:val="00502E24"/>
    <w:rsid w:val="00505684"/>
    <w:rsid w:val="00505E02"/>
    <w:rsid w:val="00506653"/>
    <w:rsid w:val="00506791"/>
    <w:rsid w:val="00506BD0"/>
    <w:rsid w:val="0050764C"/>
    <w:rsid w:val="00507E37"/>
    <w:rsid w:val="005102CD"/>
    <w:rsid w:val="0051087B"/>
    <w:rsid w:val="005111A6"/>
    <w:rsid w:val="00513225"/>
    <w:rsid w:val="00513B9B"/>
    <w:rsid w:val="00513FD5"/>
    <w:rsid w:val="005142EF"/>
    <w:rsid w:val="00514593"/>
    <w:rsid w:val="0051472C"/>
    <w:rsid w:val="005159CC"/>
    <w:rsid w:val="00515A47"/>
    <w:rsid w:val="00520647"/>
    <w:rsid w:val="005219CD"/>
    <w:rsid w:val="005224A5"/>
    <w:rsid w:val="005228A8"/>
    <w:rsid w:val="00526E1C"/>
    <w:rsid w:val="00527BFE"/>
    <w:rsid w:val="00527FCC"/>
    <w:rsid w:val="00530435"/>
    <w:rsid w:val="00530860"/>
    <w:rsid w:val="00531E46"/>
    <w:rsid w:val="00532472"/>
    <w:rsid w:val="005329BD"/>
    <w:rsid w:val="005340C3"/>
    <w:rsid w:val="00534427"/>
    <w:rsid w:val="00535000"/>
    <w:rsid w:val="005353D9"/>
    <w:rsid w:val="00535F48"/>
    <w:rsid w:val="0053669E"/>
    <w:rsid w:val="00542361"/>
    <w:rsid w:val="00542C1E"/>
    <w:rsid w:val="0054495E"/>
    <w:rsid w:val="005478D5"/>
    <w:rsid w:val="00551012"/>
    <w:rsid w:val="00552059"/>
    <w:rsid w:val="00552819"/>
    <w:rsid w:val="00553349"/>
    <w:rsid w:val="00553A23"/>
    <w:rsid w:val="00553DDB"/>
    <w:rsid w:val="0055581E"/>
    <w:rsid w:val="00560B41"/>
    <w:rsid w:val="005617C8"/>
    <w:rsid w:val="00561A66"/>
    <w:rsid w:val="00562235"/>
    <w:rsid w:val="00562372"/>
    <w:rsid w:val="00565110"/>
    <w:rsid w:val="005653C3"/>
    <w:rsid w:val="00565B61"/>
    <w:rsid w:val="005661AA"/>
    <w:rsid w:val="0056724E"/>
    <w:rsid w:val="00570CB6"/>
    <w:rsid w:val="005721AA"/>
    <w:rsid w:val="00572208"/>
    <w:rsid w:val="00572730"/>
    <w:rsid w:val="00572D86"/>
    <w:rsid w:val="00575533"/>
    <w:rsid w:val="00575800"/>
    <w:rsid w:val="00582386"/>
    <w:rsid w:val="00582AAD"/>
    <w:rsid w:val="00582D3A"/>
    <w:rsid w:val="00583D49"/>
    <w:rsid w:val="00585CB4"/>
    <w:rsid w:val="00585DD9"/>
    <w:rsid w:val="00586679"/>
    <w:rsid w:val="00586CDB"/>
    <w:rsid w:val="00587B6A"/>
    <w:rsid w:val="005900B3"/>
    <w:rsid w:val="005903A0"/>
    <w:rsid w:val="00590533"/>
    <w:rsid w:val="00591DA7"/>
    <w:rsid w:val="00592610"/>
    <w:rsid w:val="005927F4"/>
    <w:rsid w:val="00592FAA"/>
    <w:rsid w:val="005937F2"/>
    <w:rsid w:val="005945AD"/>
    <w:rsid w:val="00594925"/>
    <w:rsid w:val="00594FBD"/>
    <w:rsid w:val="00595913"/>
    <w:rsid w:val="005959DD"/>
    <w:rsid w:val="00595E59"/>
    <w:rsid w:val="005A04CE"/>
    <w:rsid w:val="005A179E"/>
    <w:rsid w:val="005A1B9E"/>
    <w:rsid w:val="005A248E"/>
    <w:rsid w:val="005A25C2"/>
    <w:rsid w:val="005A6B49"/>
    <w:rsid w:val="005A727E"/>
    <w:rsid w:val="005B2058"/>
    <w:rsid w:val="005B245E"/>
    <w:rsid w:val="005B2ECF"/>
    <w:rsid w:val="005B3215"/>
    <w:rsid w:val="005B3312"/>
    <w:rsid w:val="005B3DAA"/>
    <w:rsid w:val="005B4A51"/>
    <w:rsid w:val="005B556D"/>
    <w:rsid w:val="005B5A1F"/>
    <w:rsid w:val="005B5A60"/>
    <w:rsid w:val="005B62B6"/>
    <w:rsid w:val="005C0B99"/>
    <w:rsid w:val="005C1F31"/>
    <w:rsid w:val="005C2055"/>
    <w:rsid w:val="005C29FF"/>
    <w:rsid w:val="005C2FEA"/>
    <w:rsid w:val="005C3CF3"/>
    <w:rsid w:val="005C4992"/>
    <w:rsid w:val="005C519A"/>
    <w:rsid w:val="005C5B70"/>
    <w:rsid w:val="005C65D5"/>
    <w:rsid w:val="005C684B"/>
    <w:rsid w:val="005C6EF1"/>
    <w:rsid w:val="005C6EFE"/>
    <w:rsid w:val="005C7271"/>
    <w:rsid w:val="005C7308"/>
    <w:rsid w:val="005D1023"/>
    <w:rsid w:val="005D1F1E"/>
    <w:rsid w:val="005D37B0"/>
    <w:rsid w:val="005D4E80"/>
    <w:rsid w:val="005D5957"/>
    <w:rsid w:val="005D6A06"/>
    <w:rsid w:val="005D7799"/>
    <w:rsid w:val="005E0D08"/>
    <w:rsid w:val="005E109E"/>
    <w:rsid w:val="005E4686"/>
    <w:rsid w:val="005E4880"/>
    <w:rsid w:val="005E4C1A"/>
    <w:rsid w:val="005E70AA"/>
    <w:rsid w:val="005F05E6"/>
    <w:rsid w:val="005F128B"/>
    <w:rsid w:val="005F35AF"/>
    <w:rsid w:val="005F3B87"/>
    <w:rsid w:val="005F5093"/>
    <w:rsid w:val="005F5190"/>
    <w:rsid w:val="005F6948"/>
    <w:rsid w:val="005F7471"/>
    <w:rsid w:val="005F77AC"/>
    <w:rsid w:val="005F7B25"/>
    <w:rsid w:val="006003FE"/>
    <w:rsid w:val="00600445"/>
    <w:rsid w:val="0060054D"/>
    <w:rsid w:val="00600555"/>
    <w:rsid w:val="0060057A"/>
    <w:rsid w:val="006019FF"/>
    <w:rsid w:val="00602691"/>
    <w:rsid w:val="00604012"/>
    <w:rsid w:val="00604F3E"/>
    <w:rsid w:val="00605CDA"/>
    <w:rsid w:val="006064A1"/>
    <w:rsid w:val="00607006"/>
    <w:rsid w:val="00611883"/>
    <w:rsid w:val="00612261"/>
    <w:rsid w:val="00612728"/>
    <w:rsid w:val="00612E0D"/>
    <w:rsid w:val="00614518"/>
    <w:rsid w:val="006159C2"/>
    <w:rsid w:val="00616079"/>
    <w:rsid w:val="00616E66"/>
    <w:rsid w:val="00617178"/>
    <w:rsid w:val="0061764E"/>
    <w:rsid w:val="00617FB3"/>
    <w:rsid w:val="00620302"/>
    <w:rsid w:val="00621F81"/>
    <w:rsid w:val="00622950"/>
    <w:rsid w:val="00622F45"/>
    <w:rsid w:val="006231AA"/>
    <w:rsid w:val="006238B3"/>
    <w:rsid w:val="006242FF"/>
    <w:rsid w:val="00625A40"/>
    <w:rsid w:val="00626071"/>
    <w:rsid w:val="006266E5"/>
    <w:rsid w:val="00627A12"/>
    <w:rsid w:val="00627CAD"/>
    <w:rsid w:val="006307CC"/>
    <w:rsid w:val="00630B57"/>
    <w:rsid w:val="00631850"/>
    <w:rsid w:val="0063219B"/>
    <w:rsid w:val="00633478"/>
    <w:rsid w:val="00633672"/>
    <w:rsid w:val="006340F8"/>
    <w:rsid w:val="00634567"/>
    <w:rsid w:val="0063492B"/>
    <w:rsid w:val="00635764"/>
    <w:rsid w:val="00637921"/>
    <w:rsid w:val="00637C01"/>
    <w:rsid w:val="006408ED"/>
    <w:rsid w:val="00640B2A"/>
    <w:rsid w:val="00642D90"/>
    <w:rsid w:val="006433FE"/>
    <w:rsid w:val="00643D38"/>
    <w:rsid w:val="00643EC9"/>
    <w:rsid w:val="00644CE8"/>
    <w:rsid w:val="006455DB"/>
    <w:rsid w:val="00645B80"/>
    <w:rsid w:val="00647E86"/>
    <w:rsid w:val="00650685"/>
    <w:rsid w:val="00652739"/>
    <w:rsid w:val="006529C2"/>
    <w:rsid w:val="006540F5"/>
    <w:rsid w:val="00657AE0"/>
    <w:rsid w:val="0066152A"/>
    <w:rsid w:val="0066191E"/>
    <w:rsid w:val="00661C48"/>
    <w:rsid w:val="00663692"/>
    <w:rsid w:val="00665982"/>
    <w:rsid w:val="00666B3B"/>
    <w:rsid w:val="006673AF"/>
    <w:rsid w:val="00667986"/>
    <w:rsid w:val="00667A16"/>
    <w:rsid w:val="00667B28"/>
    <w:rsid w:val="00667C86"/>
    <w:rsid w:val="0067277F"/>
    <w:rsid w:val="00673DBD"/>
    <w:rsid w:val="00680428"/>
    <w:rsid w:val="006814FC"/>
    <w:rsid w:val="00682988"/>
    <w:rsid w:val="00682B8E"/>
    <w:rsid w:val="00684CC9"/>
    <w:rsid w:val="0068594C"/>
    <w:rsid w:val="00685996"/>
    <w:rsid w:val="00685E95"/>
    <w:rsid w:val="00686252"/>
    <w:rsid w:val="00686CAB"/>
    <w:rsid w:val="00691B2D"/>
    <w:rsid w:val="00691C4A"/>
    <w:rsid w:val="0069287B"/>
    <w:rsid w:val="006960F2"/>
    <w:rsid w:val="00696351"/>
    <w:rsid w:val="00696475"/>
    <w:rsid w:val="006965D5"/>
    <w:rsid w:val="00696847"/>
    <w:rsid w:val="00696CED"/>
    <w:rsid w:val="00696E7D"/>
    <w:rsid w:val="0069729A"/>
    <w:rsid w:val="006A26DC"/>
    <w:rsid w:val="006A3123"/>
    <w:rsid w:val="006A4A06"/>
    <w:rsid w:val="006A5834"/>
    <w:rsid w:val="006A5CCE"/>
    <w:rsid w:val="006A7A70"/>
    <w:rsid w:val="006B0F69"/>
    <w:rsid w:val="006B2FF2"/>
    <w:rsid w:val="006B5043"/>
    <w:rsid w:val="006B5174"/>
    <w:rsid w:val="006B742F"/>
    <w:rsid w:val="006C11BF"/>
    <w:rsid w:val="006C1676"/>
    <w:rsid w:val="006C26E2"/>
    <w:rsid w:val="006C63FC"/>
    <w:rsid w:val="006D098D"/>
    <w:rsid w:val="006D1691"/>
    <w:rsid w:val="006D3343"/>
    <w:rsid w:val="006D62E4"/>
    <w:rsid w:val="006D6335"/>
    <w:rsid w:val="006D7301"/>
    <w:rsid w:val="006E02D8"/>
    <w:rsid w:val="006E0321"/>
    <w:rsid w:val="006E10CF"/>
    <w:rsid w:val="006E259B"/>
    <w:rsid w:val="006E2B12"/>
    <w:rsid w:val="006E2E3D"/>
    <w:rsid w:val="006E3BB7"/>
    <w:rsid w:val="006E719F"/>
    <w:rsid w:val="006E77B7"/>
    <w:rsid w:val="006E7A25"/>
    <w:rsid w:val="006E7B59"/>
    <w:rsid w:val="006F004D"/>
    <w:rsid w:val="006F045F"/>
    <w:rsid w:val="006F0E7F"/>
    <w:rsid w:val="006F121C"/>
    <w:rsid w:val="006F3516"/>
    <w:rsid w:val="006F4EEE"/>
    <w:rsid w:val="006F5020"/>
    <w:rsid w:val="0070111B"/>
    <w:rsid w:val="00702AE3"/>
    <w:rsid w:val="00703A88"/>
    <w:rsid w:val="00704188"/>
    <w:rsid w:val="00704B2B"/>
    <w:rsid w:val="00704E28"/>
    <w:rsid w:val="007058EF"/>
    <w:rsid w:val="007074A3"/>
    <w:rsid w:val="00707848"/>
    <w:rsid w:val="007116E8"/>
    <w:rsid w:val="007122FA"/>
    <w:rsid w:val="00712853"/>
    <w:rsid w:val="00713FAF"/>
    <w:rsid w:val="00714160"/>
    <w:rsid w:val="0071446F"/>
    <w:rsid w:val="00715950"/>
    <w:rsid w:val="007163E5"/>
    <w:rsid w:val="007163E8"/>
    <w:rsid w:val="007167D4"/>
    <w:rsid w:val="00717570"/>
    <w:rsid w:val="007179BC"/>
    <w:rsid w:val="00717B7D"/>
    <w:rsid w:val="00720A6F"/>
    <w:rsid w:val="00721230"/>
    <w:rsid w:val="0072148B"/>
    <w:rsid w:val="007216C0"/>
    <w:rsid w:val="00722321"/>
    <w:rsid w:val="007230BC"/>
    <w:rsid w:val="00723334"/>
    <w:rsid w:val="0072504D"/>
    <w:rsid w:val="00726993"/>
    <w:rsid w:val="00726EB9"/>
    <w:rsid w:val="00727169"/>
    <w:rsid w:val="00730098"/>
    <w:rsid w:val="0073278C"/>
    <w:rsid w:val="007329FF"/>
    <w:rsid w:val="007342D7"/>
    <w:rsid w:val="00734675"/>
    <w:rsid w:val="00734D78"/>
    <w:rsid w:val="0073572F"/>
    <w:rsid w:val="00735BA6"/>
    <w:rsid w:val="007376A7"/>
    <w:rsid w:val="00737ACE"/>
    <w:rsid w:val="00740557"/>
    <w:rsid w:val="00740C39"/>
    <w:rsid w:val="0074134D"/>
    <w:rsid w:val="00742F65"/>
    <w:rsid w:val="0074311C"/>
    <w:rsid w:val="0074437A"/>
    <w:rsid w:val="00745C4C"/>
    <w:rsid w:val="00745D7E"/>
    <w:rsid w:val="0074605D"/>
    <w:rsid w:val="00747352"/>
    <w:rsid w:val="00750F7E"/>
    <w:rsid w:val="007526FD"/>
    <w:rsid w:val="00752E98"/>
    <w:rsid w:val="00753727"/>
    <w:rsid w:val="00754B14"/>
    <w:rsid w:val="007571E1"/>
    <w:rsid w:val="00762AA2"/>
    <w:rsid w:val="00763E3E"/>
    <w:rsid w:val="00763ED4"/>
    <w:rsid w:val="0076431E"/>
    <w:rsid w:val="00767525"/>
    <w:rsid w:val="00767A6A"/>
    <w:rsid w:val="00770546"/>
    <w:rsid w:val="00770E35"/>
    <w:rsid w:val="0077227F"/>
    <w:rsid w:val="007725CD"/>
    <w:rsid w:val="00772C20"/>
    <w:rsid w:val="00772E4A"/>
    <w:rsid w:val="00773719"/>
    <w:rsid w:val="00776A3D"/>
    <w:rsid w:val="0077718C"/>
    <w:rsid w:val="00777B1C"/>
    <w:rsid w:val="007829E7"/>
    <w:rsid w:val="00782AEC"/>
    <w:rsid w:val="00782B3B"/>
    <w:rsid w:val="00785597"/>
    <w:rsid w:val="0078642B"/>
    <w:rsid w:val="00787261"/>
    <w:rsid w:val="00791579"/>
    <w:rsid w:val="0079179E"/>
    <w:rsid w:val="00792017"/>
    <w:rsid w:val="007925EA"/>
    <w:rsid w:val="00792A11"/>
    <w:rsid w:val="00795092"/>
    <w:rsid w:val="007950D1"/>
    <w:rsid w:val="00795252"/>
    <w:rsid w:val="0079551E"/>
    <w:rsid w:val="00796BDC"/>
    <w:rsid w:val="00796C4E"/>
    <w:rsid w:val="00796FC5"/>
    <w:rsid w:val="00797094"/>
    <w:rsid w:val="00797BCC"/>
    <w:rsid w:val="007A0930"/>
    <w:rsid w:val="007A21DE"/>
    <w:rsid w:val="007A2587"/>
    <w:rsid w:val="007A47FF"/>
    <w:rsid w:val="007A50F8"/>
    <w:rsid w:val="007A5737"/>
    <w:rsid w:val="007A66E7"/>
    <w:rsid w:val="007A73F9"/>
    <w:rsid w:val="007A7A46"/>
    <w:rsid w:val="007B0854"/>
    <w:rsid w:val="007B089E"/>
    <w:rsid w:val="007B1A29"/>
    <w:rsid w:val="007B1C87"/>
    <w:rsid w:val="007B2686"/>
    <w:rsid w:val="007B29D5"/>
    <w:rsid w:val="007B38C1"/>
    <w:rsid w:val="007B3C8D"/>
    <w:rsid w:val="007B7176"/>
    <w:rsid w:val="007B74FC"/>
    <w:rsid w:val="007B77B0"/>
    <w:rsid w:val="007B7FC3"/>
    <w:rsid w:val="007C00D5"/>
    <w:rsid w:val="007C075B"/>
    <w:rsid w:val="007C3335"/>
    <w:rsid w:val="007C3FF8"/>
    <w:rsid w:val="007C4A09"/>
    <w:rsid w:val="007C59DF"/>
    <w:rsid w:val="007C6610"/>
    <w:rsid w:val="007C7DE3"/>
    <w:rsid w:val="007D0D6B"/>
    <w:rsid w:val="007D1A13"/>
    <w:rsid w:val="007D221C"/>
    <w:rsid w:val="007D22B1"/>
    <w:rsid w:val="007D3398"/>
    <w:rsid w:val="007D4477"/>
    <w:rsid w:val="007D466E"/>
    <w:rsid w:val="007D4F48"/>
    <w:rsid w:val="007D6724"/>
    <w:rsid w:val="007E0ECC"/>
    <w:rsid w:val="007E117A"/>
    <w:rsid w:val="007E16DA"/>
    <w:rsid w:val="007E1FDA"/>
    <w:rsid w:val="007E4169"/>
    <w:rsid w:val="007E48C5"/>
    <w:rsid w:val="007E5275"/>
    <w:rsid w:val="007E55F2"/>
    <w:rsid w:val="007E6FC0"/>
    <w:rsid w:val="007F185D"/>
    <w:rsid w:val="007F19B8"/>
    <w:rsid w:val="007F2DD0"/>
    <w:rsid w:val="007F2E1C"/>
    <w:rsid w:val="007F2F70"/>
    <w:rsid w:val="007F3066"/>
    <w:rsid w:val="007F4061"/>
    <w:rsid w:val="007F43FA"/>
    <w:rsid w:val="007F45AC"/>
    <w:rsid w:val="007F4CAD"/>
    <w:rsid w:val="007F5B39"/>
    <w:rsid w:val="007F7607"/>
    <w:rsid w:val="007F77F0"/>
    <w:rsid w:val="00800388"/>
    <w:rsid w:val="00800AC6"/>
    <w:rsid w:val="00802306"/>
    <w:rsid w:val="008026F0"/>
    <w:rsid w:val="0080347B"/>
    <w:rsid w:val="0080416F"/>
    <w:rsid w:val="008049B8"/>
    <w:rsid w:val="008049E0"/>
    <w:rsid w:val="00804C1C"/>
    <w:rsid w:val="00810699"/>
    <w:rsid w:val="00810A0F"/>
    <w:rsid w:val="00810C31"/>
    <w:rsid w:val="00811034"/>
    <w:rsid w:val="00811101"/>
    <w:rsid w:val="0081141B"/>
    <w:rsid w:val="00813063"/>
    <w:rsid w:val="008131EB"/>
    <w:rsid w:val="00813FFC"/>
    <w:rsid w:val="00814967"/>
    <w:rsid w:val="00815809"/>
    <w:rsid w:val="008158BD"/>
    <w:rsid w:val="00815B96"/>
    <w:rsid w:val="008166F6"/>
    <w:rsid w:val="0081715F"/>
    <w:rsid w:val="0081739C"/>
    <w:rsid w:val="00817878"/>
    <w:rsid w:val="0082015E"/>
    <w:rsid w:val="00821A45"/>
    <w:rsid w:val="00823365"/>
    <w:rsid w:val="008233B2"/>
    <w:rsid w:val="00823C3A"/>
    <w:rsid w:val="008251AE"/>
    <w:rsid w:val="008260C9"/>
    <w:rsid w:val="008267AF"/>
    <w:rsid w:val="00827B3E"/>
    <w:rsid w:val="008307D6"/>
    <w:rsid w:val="00830EB9"/>
    <w:rsid w:val="0083139E"/>
    <w:rsid w:val="00832649"/>
    <w:rsid w:val="00832929"/>
    <w:rsid w:val="00832A0A"/>
    <w:rsid w:val="00833110"/>
    <w:rsid w:val="00834030"/>
    <w:rsid w:val="00834045"/>
    <w:rsid w:val="008358B8"/>
    <w:rsid w:val="00836356"/>
    <w:rsid w:val="0083679A"/>
    <w:rsid w:val="00840225"/>
    <w:rsid w:val="008403A9"/>
    <w:rsid w:val="00841CAB"/>
    <w:rsid w:val="008421A5"/>
    <w:rsid w:val="00842A03"/>
    <w:rsid w:val="00842BAF"/>
    <w:rsid w:val="008434C1"/>
    <w:rsid w:val="00843865"/>
    <w:rsid w:val="00843F24"/>
    <w:rsid w:val="008448C2"/>
    <w:rsid w:val="008451AA"/>
    <w:rsid w:val="00845738"/>
    <w:rsid w:val="0084713A"/>
    <w:rsid w:val="0085126A"/>
    <w:rsid w:val="008524F0"/>
    <w:rsid w:val="00852B72"/>
    <w:rsid w:val="00855C36"/>
    <w:rsid w:val="00856A60"/>
    <w:rsid w:val="008574F2"/>
    <w:rsid w:val="00857958"/>
    <w:rsid w:val="00860291"/>
    <w:rsid w:val="00861B9D"/>
    <w:rsid w:val="00861F53"/>
    <w:rsid w:val="00862970"/>
    <w:rsid w:val="0086435C"/>
    <w:rsid w:val="0086621E"/>
    <w:rsid w:val="0086693B"/>
    <w:rsid w:val="00866AEB"/>
    <w:rsid w:val="008712DB"/>
    <w:rsid w:val="00871EFA"/>
    <w:rsid w:val="00872715"/>
    <w:rsid w:val="00872A84"/>
    <w:rsid w:val="00872F64"/>
    <w:rsid w:val="00874962"/>
    <w:rsid w:val="00874E2B"/>
    <w:rsid w:val="008763B7"/>
    <w:rsid w:val="0087779F"/>
    <w:rsid w:val="0087797C"/>
    <w:rsid w:val="00880157"/>
    <w:rsid w:val="00880453"/>
    <w:rsid w:val="0088078D"/>
    <w:rsid w:val="00881B65"/>
    <w:rsid w:val="00881B94"/>
    <w:rsid w:val="00882358"/>
    <w:rsid w:val="00882698"/>
    <w:rsid w:val="00883321"/>
    <w:rsid w:val="00883D4B"/>
    <w:rsid w:val="00884D38"/>
    <w:rsid w:val="00885DB8"/>
    <w:rsid w:val="008910C6"/>
    <w:rsid w:val="00891682"/>
    <w:rsid w:val="00891B32"/>
    <w:rsid w:val="00892FCF"/>
    <w:rsid w:val="0089340F"/>
    <w:rsid w:val="00893EB7"/>
    <w:rsid w:val="00894BC9"/>
    <w:rsid w:val="00894EED"/>
    <w:rsid w:val="0089583E"/>
    <w:rsid w:val="00895A29"/>
    <w:rsid w:val="00897E10"/>
    <w:rsid w:val="008A06B3"/>
    <w:rsid w:val="008A2ED2"/>
    <w:rsid w:val="008A4B89"/>
    <w:rsid w:val="008A7A61"/>
    <w:rsid w:val="008A7BE3"/>
    <w:rsid w:val="008B0E35"/>
    <w:rsid w:val="008B1876"/>
    <w:rsid w:val="008B2D7A"/>
    <w:rsid w:val="008B38DF"/>
    <w:rsid w:val="008B3A82"/>
    <w:rsid w:val="008B3C73"/>
    <w:rsid w:val="008B49DD"/>
    <w:rsid w:val="008C0392"/>
    <w:rsid w:val="008C056E"/>
    <w:rsid w:val="008C19D5"/>
    <w:rsid w:val="008C1B40"/>
    <w:rsid w:val="008C5BB7"/>
    <w:rsid w:val="008C629B"/>
    <w:rsid w:val="008C6760"/>
    <w:rsid w:val="008C7F8F"/>
    <w:rsid w:val="008D1C75"/>
    <w:rsid w:val="008D57B7"/>
    <w:rsid w:val="008D6235"/>
    <w:rsid w:val="008D653F"/>
    <w:rsid w:val="008D69D7"/>
    <w:rsid w:val="008D7BA7"/>
    <w:rsid w:val="008E1074"/>
    <w:rsid w:val="008E187B"/>
    <w:rsid w:val="008E3111"/>
    <w:rsid w:val="008E3558"/>
    <w:rsid w:val="008E44CC"/>
    <w:rsid w:val="008E4DBD"/>
    <w:rsid w:val="008E5390"/>
    <w:rsid w:val="008E58DF"/>
    <w:rsid w:val="008E6B47"/>
    <w:rsid w:val="008E7CE4"/>
    <w:rsid w:val="008F1614"/>
    <w:rsid w:val="008F238F"/>
    <w:rsid w:val="008F245F"/>
    <w:rsid w:val="008F2885"/>
    <w:rsid w:val="008F3E65"/>
    <w:rsid w:val="008F4405"/>
    <w:rsid w:val="008F49E0"/>
    <w:rsid w:val="008F503D"/>
    <w:rsid w:val="008F511C"/>
    <w:rsid w:val="008F70D9"/>
    <w:rsid w:val="008F7874"/>
    <w:rsid w:val="008F7B5C"/>
    <w:rsid w:val="00901A3A"/>
    <w:rsid w:val="00902D29"/>
    <w:rsid w:val="00903C96"/>
    <w:rsid w:val="00903E0C"/>
    <w:rsid w:val="00903FE6"/>
    <w:rsid w:val="00905DCD"/>
    <w:rsid w:val="00905E68"/>
    <w:rsid w:val="00905F54"/>
    <w:rsid w:val="00906E15"/>
    <w:rsid w:val="00911CDC"/>
    <w:rsid w:val="00911F61"/>
    <w:rsid w:val="009122E9"/>
    <w:rsid w:val="00915BD2"/>
    <w:rsid w:val="00917631"/>
    <w:rsid w:val="00921823"/>
    <w:rsid w:val="009221F6"/>
    <w:rsid w:val="00923CA6"/>
    <w:rsid w:val="00924476"/>
    <w:rsid w:val="00924CD8"/>
    <w:rsid w:val="0092626A"/>
    <w:rsid w:val="00927569"/>
    <w:rsid w:val="00927A99"/>
    <w:rsid w:val="009302A4"/>
    <w:rsid w:val="0093044B"/>
    <w:rsid w:val="0093065F"/>
    <w:rsid w:val="00931D2D"/>
    <w:rsid w:val="00935A74"/>
    <w:rsid w:val="00940008"/>
    <w:rsid w:val="00941C0D"/>
    <w:rsid w:val="00941FFD"/>
    <w:rsid w:val="00942FEA"/>
    <w:rsid w:val="00944A9F"/>
    <w:rsid w:val="00944D4E"/>
    <w:rsid w:val="0094556C"/>
    <w:rsid w:val="00945896"/>
    <w:rsid w:val="00946648"/>
    <w:rsid w:val="00946792"/>
    <w:rsid w:val="00946CF4"/>
    <w:rsid w:val="00947C81"/>
    <w:rsid w:val="00947CF8"/>
    <w:rsid w:val="009504A1"/>
    <w:rsid w:val="009517B8"/>
    <w:rsid w:val="00952C6B"/>
    <w:rsid w:val="00953089"/>
    <w:rsid w:val="00953690"/>
    <w:rsid w:val="009538DA"/>
    <w:rsid w:val="00953C9E"/>
    <w:rsid w:val="00953E2F"/>
    <w:rsid w:val="009543E9"/>
    <w:rsid w:val="00957647"/>
    <w:rsid w:val="00960FE7"/>
    <w:rsid w:val="00961625"/>
    <w:rsid w:val="00961FEF"/>
    <w:rsid w:val="00962111"/>
    <w:rsid w:val="00962663"/>
    <w:rsid w:val="00965198"/>
    <w:rsid w:val="009657F4"/>
    <w:rsid w:val="00966455"/>
    <w:rsid w:val="00967022"/>
    <w:rsid w:val="0096732A"/>
    <w:rsid w:val="009704DC"/>
    <w:rsid w:val="00970C16"/>
    <w:rsid w:val="009720F3"/>
    <w:rsid w:val="009721C5"/>
    <w:rsid w:val="00972A65"/>
    <w:rsid w:val="00973586"/>
    <w:rsid w:val="00974211"/>
    <w:rsid w:val="00974911"/>
    <w:rsid w:val="0097581A"/>
    <w:rsid w:val="00976B17"/>
    <w:rsid w:val="00976BFE"/>
    <w:rsid w:val="00982F79"/>
    <w:rsid w:val="00983620"/>
    <w:rsid w:val="00983AF8"/>
    <w:rsid w:val="00985659"/>
    <w:rsid w:val="0098619A"/>
    <w:rsid w:val="00986706"/>
    <w:rsid w:val="00986C7C"/>
    <w:rsid w:val="0099218C"/>
    <w:rsid w:val="00993C35"/>
    <w:rsid w:val="009947CE"/>
    <w:rsid w:val="00996862"/>
    <w:rsid w:val="00996A50"/>
    <w:rsid w:val="009A17A6"/>
    <w:rsid w:val="009A196B"/>
    <w:rsid w:val="009A2F49"/>
    <w:rsid w:val="009A31AA"/>
    <w:rsid w:val="009A40E1"/>
    <w:rsid w:val="009A4CB2"/>
    <w:rsid w:val="009A5A82"/>
    <w:rsid w:val="009A7DCC"/>
    <w:rsid w:val="009A7E93"/>
    <w:rsid w:val="009B084F"/>
    <w:rsid w:val="009B1B85"/>
    <w:rsid w:val="009B22CC"/>
    <w:rsid w:val="009B3C99"/>
    <w:rsid w:val="009B44E9"/>
    <w:rsid w:val="009B4645"/>
    <w:rsid w:val="009B4A05"/>
    <w:rsid w:val="009B4DEF"/>
    <w:rsid w:val="009B508B"/>
    <w:rsid w:val="009B5E43"/>
    <w:rsid w:val="009B70EE"/>
    <w:rsid w:val="009B78E8"/>
    <w:rsid w:val="009B796C"/>
    <w:rsid w:val="009C3A7E"/>
    <w:rsid w:val="009C3BB6"/>
    <w:rsid w:val="009C454E"/>
    <w:rsid w:val="009C4790"/>
    <w:rsid w:val="009C492B"/>
    <w:rsid w:val="009C66BE"/>
    <w:rsid w:val="009D0DB5"/>
    <w:rsid w:val="009D25F1"/>
    <w:rsid w:val="009D2C27"/>
    <w:rsid w:val="009D34C9"/>
    <w:rsid w:val="009D5450"/>
    <w:rsid w:val="009E0883"/>
    <w:rsid w:val="009E08B1"/>
    <w:rsid w:val="009E0CAD"/>
    <w:rsid w:val="009E24B3"/>
    <w:rsid w:val="009E2A9C"/>
    <w:rsid w:val="009E3FC0"/>
    <w:rsid w:val="009E4C67"/>
    <w:rsid w:val="009E5590"/>
    <w:rsid w:val="009F0A1A"/>
    <w:rsid w:val="009F1788"/>
    <w:rsid w:val="009F19D3"/>
    <w:rsid w:val="009F4091"/>
    <w:rsid w:val="009F4551"/>
    <w:rsid w:val="009F470A"/>
    <w:rsid w:val="009F5C77"/>
    <w:rsid w:val="009F61F4"/>
    <w:rsid w:val="009F693E"/>
    <w:rsid w:val="009F7545"/>
    <w:rsid w:val="00A00086"/>
    <w:rsid w:val="00A00D58"/>
    <w:rsid w:val="00A01645"/>
    <w:rsid w:val="00A028EA"/>
    <w:rsid w:val="00A02E02"/>
    <w:rsid w:val="00A03B00"/>
    <w:rsid w:val="00A04344"/>
    <w:rsid w:val="00A053AF"/>
    <w:rsid w:val="00A05893"/>
    <w:rsid w:val="00A07EE6"/>
    <w:rsid w:val="00A10B61"/>
    <w:rsid w:val="00A10D28"/>
    <w:rsid w:val="00A11F96"/>
    <w:rsid w:val="00A1271E"/>
    <w:rsid w:val="00A133E8"/>
    <w:rsid w:val="00A149FE"/>
    <w:rsid w:val="00A15059"/>
    <w:rsid w:val="00A1689F"/>
    <w:rsid w:val="00A16BAE"/>
    <w:rsid w:val="00A175D8"/>
    <w:rsid w:val="00A22265"/>
    <w:rsid w:val="00A22C79"/>
    <w:rsid w:val="00A22D5D"/>
    <w:rsid w:val="00A23760"/>
    <w:rsid w:val="00A243D3"/>
    <w:rsid w:val="00A25998"/>
    <w:rsid w:val="00A25D64"/>
    <w:rsid w:val="00A3055E"/>
    <w:rsid w:val="00A30560"/>
    <w:rsid w:val="00A32AA5"/>
    <w:rsid w:val="00A32B40"/>
    <w:rsid w:val="00A34333"/>
    <w:rsid w:val="00A355BA"/>
    <w:rsid w:val="00A36056"/>
    <w:rsid w:val="00A370F4"/>
    <w:rsid w:val="00A418D3"/>
    <w:rsid w:val="00A42001"/>
    <w:rsid w:val="00A42246"/>
    <w:rsid w:val="00A424FF"/>
    <w:rsid w:val="00A42938"/>
    <w:rsid w:val="00A43D2B"/>
    <w:rsid w:val="00A43F09"/>
    <w:rsid w:val="00A443A0"/>
    <w:rsid w:val="00A46068"/>
    <w:rsid w:val="00A46307"/>
    <w:rsid w:val="00A46F68"/>
    <w:rsid w:val="00A47EA9"/>
    <w:rsid w:val="00A50D63"/>
    <w:rsid w:val="00A50E39"/>
    <w:rsid w:val="00A51A5D"/>
    <w:rsid w:val="00A53396"/>
    <w:rsid w:val="00A538EB"/>
    <w:rsid w:val="00A544F8"/>
    <w:rsid w:val="00A557BF"/>
    <w:rsid w:val="00A5584E"/>
    <w:rsid w:val="00A56F38"/>
    <w:rsid w:val="00A57B46"/>
    <w:rsid w:val="00A61579"/>
    <w:rsid w:val="00A63555"/>
    <w:rsid w:val="00A636F5"/>
    <w:rsid w:val="00A64087"/>
    <w:rsid w:val="00A64A36"/>
    <w:rsid w:val="00A64D46"/>
    <w:rsid w:val="00A64E88"/>
    <w:rsid w:val="00A653E8"/>
    <w:rsid w:val="00A65673"/>
    <w:rsid w:val="00A6573D"/>
    <w:rsid w:val="00A65A45"/>
    <w:rsid w:val="00A660C2"/>
    <w:rsid w:val="00A7073A"/>
    <w:rsid w:val="00A713E5"/>
    <w:rsid w:val="00A71956"/>
    <w:rsid w:val="00A71EE1"/>
    <w:rsid w:val="00A722FF"/>
    <w:rsid w:val="00A732A9"/>
    <w:rsid w:val="00A7352B"/>
    <w:rsid w:val="00A739E3"/>
    <w:rsid w:val="00A73CAF"/>
    <w:rsid w:val="00A75CAB"/>
    <w:rsid w:val="00A75CDD"/>
    <w:rsid w:val="00A75DE9"/>
    <w:rsid w:val="00A76C75"/>
    <w:rsid w:val="00A77400"/>
    <w:rsid w:val="00A80178"/>
    <w:rsid w:val="00A8077E"/>
    <w:rsid w:val="00A80E6F"/>
    <w:rsid w:val="00A81100"/>
    <w:rsid w:val="00A813C3"/>
    <w:rsid w:val="00A818CE"/>
    <w:rsid w:val="00A8239B"/>
    <w:rsid w:val="00A8276E"/>
    <w:rsid w:val="00A82CF3"/>
    <w:rsid w:val="00A82F5C"/>
    <w:rsid w:val="00A834CF"/>
    <w:rsid w:val="00A83FF1"/>
    <w:rsid w:val="00A84731"/>
    <w:rsid w:val="00A84BE5"/>
    <w:rsid w:val="00A860D2"/>
    <w:rsid w:val="00A86191"/>
    <w:rsid w:val="00A863EB"/>
    <w:rsid w:val="00A8653F"/>
    <w:rsid w:val="00A86D5F"/>
    <w:rsid w:val="00A91C12"/>
    <w:rsid w:val="00A930B3"/>
    <w:rsid w:val="00A930EF"/>
    <w:rsid w:val="00A93627"/>
    <w:rsid w:val="00A93BF3"/>
    <w:rsid w:val="00A93E61"/>
    <w:rsid w:val="00A93FB0"/>
    <w:rsid w:val="00A94F8F"/>
    <w:rsid w:val="00A9634D"/>
    <w:rsid w:val="00A976EE"/>
    <w:rsid w:val="00A97CF7"/>
    <w:rsid w:val="00AA0C71"/>
    <w:rsid w:val="00AA193E"/>
    <w:rsid w:val="00AA2021"/>
    <w:rsid w:val="00AA27AE"/>
    <w:rsid w:val="00AA5884"/>
    <w:rsid w:val="00AA7AFE"/>
    <w:rsid w:val="00AB0FBE"/>
    <w:rsid w:val="00AB17C9"/>
    <w:rsid w:val="00AB2270"/>
    <w:rsid w:val="00AB22D8"/>
    <w:rsid w:val="00AB30DD"/>
    <w:rsid w:val="00AB3460"/>
    <w:rsid w:val="00AB79AD"/>
    <w:rsid w:val="00AB7F90"/>
    <w:rsid w:val="00AC0A72"/>
    <w:rsid w:val="00AC2555"/>
    <w:rsid w:val="00AC2988"/>
    <w:rsid w:val="00AC47C1"/>
    <w:rsid w:val="00AC4BB6"/>
    <w:rsid w:val="00AC4FB2"/>
    <w:rsid w:val="00AC5AC9"/>
    <w:rsid w:val="00AC5C53"/>
    <w:rsid w:val="00AC5FE2"/>
    <w:rsid w:val="00AC609A"/>
    <w:rsid w:val="00AC695E"/>
    <w:rsid w:val="00AC7D8A"/>
    <w:rsid w:val="00AD08CD"/>
    <w:rsid w:val="00AD0D41"/>
    <w:rsid w:val="00AD1191"/>
    <w:rsid w:val="00AD2168"/>
    <w:rsid w:val="00AD220D"/>
    <w:rsid w:val="00AD2FFB"/>
    <w:rsid w:val="00AD4BD6"/>
    <w:rsid w:val="00AD544A"/>
    <w:rsid w:val="00AD5ABD"/>
    <w:rsid w:val="00AE1770"/>
    <w:rsid w:val="00AE250E"/>
    <w:rsid w:val="00AE2D26"/>
    <w:rsid w:val="00AE4998"/>
    <w:rsid w:val="00AE4BFE"/>
    <w:rsid w:val="00AE4C87"/>
    <w:rsid w:val="00AE5A6A"/>
    <w:rsid w:val="00AE6C6A"/>
    <w:rsid w:val="00AE6D79"/>
    <w:rsid w:val="00AE7094"/>
    <w:rsid w:val="00AE78C4"/>
    <w:rsid w:val="00AE7B76"/>
    <w:rsid w:val="00AF0378"/>
    <w:rsid w:val="00AF105B"/>
    <w:rsid w:val="00AF1789"/>
    <w:rsid w:val="00AF1C1F"/>
    <w:rsid w:val="00AF4765"/>
    <w:rsid w:val="00AF600A"/>
    <w:rsid w:val="00AF6021"/>
    <w:rsid w:val="00AF6E38"/>
    <w:rsid w:val="00AF7378"/>
    <w:rsid w:val="00B00D0E"/>
    <w:rsid w:val="00B0101A"/>
    <w:rsid w:val="00B0117A"/>
    <w:rsid w:val="00B01180"/>
    <w:rsid w:val="00B0260A"/>
    <w:rsid w:val="00B026A4"/>
    <w:rsid w:val="00B02E7A"/>
    <w:rsid w:val="00B04462"/>
    <w:rsid w:val="00B04728"/>
    <w:rsid w:val="00B04FC6"/>
    <w:rsid w:val="00B052A0"/>
    <w:rsid w:val="00B05359"/>
    <w:rsid w:val="00B11CE2"/>
    <w:rsid w:val="00B13EEF"/>
    <w:rsid w:val="00B16702"/>
    <w:rsid w:val="00B2047A"/>
    <w:rsid w:val="00B23073"/>
    <w:rsid w:val="00B23EF9"/>
    <w:rsid w:val="00B23F41"/>
    <w:rsid w:val="00B24D74"/>
    <w:rsid w:val="00B254B4"/>
    <w:rsid w:val="00B26052"/>
    <w:rsid w:val="00B26A2D"/>
    <w:rsid w:val="00B26E60"/>
    <w:rsid w:val="00B27556"/>
    <w:rsid w:val="00B277DA"/>
    <w:rsid w:val="00B27EA5"/>
    <w:rsid w:val="00B30017"/>
    <w:rsid w:val="00B30B5A"/>
    <w:rsid w:val="00B310BF"/>
    <w:rsid w:val="00B31F80"/>
    <w:rsid w:val="00B33294"/>
    <w:rsid w:val="00B339F0"/>
    <w:rsid w:val="00B33C46"/>
    <w:rsid w:val="00B33FF1"/>
    <w:rsid w:val="00B36A0A"/>
    <w:rsid w:val="00B36ABF"/>
    <w:rsid w:val="00B378C0"/>
    <w:rsid w:val="00B42707"/>
    <w:rsid w:val="00B440FC"/>
    <w:rsid w:val="00B45693"/>
    <w:rsid w:val="00B467F2"/>
    <w:rsid w:val="00B46C5C"/>
    <w:rsid w:val="00B46F64"/>
    <w:rsid w:val="00B475D4"/>
    <w:rsid w:val="00B51329"/>
    <w:rsid w:val="00B51A24"/>
    <w:rsid w:val="00B53355"/>
    <w:rsid w:val="00B53A79"/>
    <w:rsid w:val="00B542C5"/>
    <w:rsid w:val="00B549F7"/>
    <w:rsid w:val="00B55D99"/>
    <w:rsid w:val="00B566A7"/>
    <w:rsid w:val="00B5771B"/>
    <w:rsid w:val="00B578C3"/>
    <w:rsid w:val="00B633F3"/>
    <w:rsid w:val="00B635DF"/>
    <w:rsid w:val="00B66DE7"/>
    <w:rsid w:val="00B72407"/>
    <w:rsid w:val="00B7254B"/>
    <w:rsid w:val="00B728DF"/>
    <w:rsid w:val="00B72BF7"/>
    <w:rsid w:val="00B73E24"/>
    <w:rsid w:val="00B74608"/>
    <w:rsid w:val="00B74B9F"/>
    <w:rsid w:val="00B75C8A"/>
    <w:rsid w:val="00B7606F"/>
    <w:rsid w:val="00B76788"/>
    <w:rsid w:val="00B76908"/>
    <w:rsid w:val="00B801C0"/>
    <w:rsid w:val="00B8042B"/>
    <w:rsid w:val="00B81AD2"/>
    <w:rsid w:val="00B81E3B"/>
    <w:rsid w:val="00B8320F"/>
    <w:rsid w:val="00B838A4"/>
    <w:rsid w:val="00B83CB0"/>
    <w:rsid w:val="00B83E40"/>
    <w:rsid w:val="00B8476E"/>
    <w:rsid w:val="00B84CCC"/>
    <w:rsid w:val="00B86AFE"/>
    <w:rsid w:val="00B86CA2"/>
    <w:rsid w:val="00B86D30"/>
    <w:rsid w:val="00B86F9A"/>
    <w:rsid w:val="00B87D1E"/>
    <w:rsid w:val="00B90AD4"/>
    <w:rsid w:val="00B910ED"/>
    <w:rsid w:val="00B911F4"/>
    <w:rsid w:val="00B917CD"/>
    <w:rsid w:val="00B92239"/>
    <w:rsid w:val="00B92616"/>
    <w:rsid w:val="00B928C3"/>
    <w:rsid w:val="00B92B03"/>
    <w:rsid w:val="00B94098"/>
    <w:rsid w:val="00B9469E"/>
    <w:rsid w:val="00B94988"/>
    <w:rsid w:val="00B9755D"/>
    <w:rsid w:val="00B977A9"/>
    <w:rsid w:val="00BA04E6"/>
    <w:rsid w:val="00BA1021"/>
    <w:rsid w:val="00BA1B9B"/>
    <w:rsid w:val="00BA2845"/>
    <w:rsid w:val="00BA29B7"/>
    <w:rsid w:val="00BA42F5"/>
    <w:rsid w:val="00BA4839"/>
    <w:rsid w:val="00BA5186"/>
    <w:rsid w:val="00BA5A98"/>
    <w:rsid w:val="00BA7B69"/>
    <w:rsid w:val="00BB0327"/>
    <w:rsid w:val="00BB0976"/>
    <w:rsid w:val="00BB0DD6"/>
    <w:rsid w:val="00BB1E93"/>
    <w:rsid w:val="00BB4780"/>
    <w:rsid w:val="00BB5F37"/>
    <w:rsid w:val="00BB60E5"/>
    <w:rsid w:val="00BC0360"/>
    <w:rsid w:val="00BC0E99"/>
    <w:rsid w:val="00BC1C92"/>
    <w:rsid w:val="00BC2933"/>
    <w:rsid w:val="00BC2ECB"/>
    <w:rsid w:val="00BC45A3"/>
    <w:rsid w:val="00BC48A5"/>
    <w:rsid w:val="00BC4D7C"/>
    <w:rsid w:val="00BC5663"/>
    <w:rsid w:val="00BD19AC"/>
    <w:rsid w:val="00BD30CE"/>
    <w:rsid w:val="00BD31AD"/>
    <w:rsid w:val="00BD4B58"/>
    <w:rsid w:val="00BD6DDF"/>
    <w:rsid w:val="00BD70E9"/>
    <w:rsid w:val="00BD733F"/>
    <w:rsid w:val="00BD7CDE"/>
    <w:rsid w:val="00BE049B"/>
    <w:rsid w:val="00BE0E11"/>
    <w:rsid w:val="00BE2F36"/>
    <w:rsid w:val="00BE54B0"/>
    <w:rsid w:val="00BE65AA"/>
    <w:rsid w:val="00BE6C3E"/>
    <w:rsid w:val="00BE7F11"/>
    <w:rsid w:val="00BF0B11"/>
    <w:rsid w:val="00BF1331"/>
    <w:rsid w:val="00BF1FC9"/>
    <w:rsid w:val="00BF2CB9"/>
    <w:rsid w:val="00BF3382"/>
    <w:rsid w:val="00BF3A66"/>
    <w:rsid w:val="00BF7021"/>
    <w:rsid w:val="00BF75BF"/>
    <w:rsid w:val="00BF7689"/>
    <w:rsid w:val="00C01376"/>
    <w:rsid w:val="00C02BD2"/>
    <w:rsid w:val="00C046EB"/>
    <w:rsid w:val="00C048B9"/>
    <w:rsid w:val="00C04B0E"/>
    <w:rsid w:val="00C054FC"/>
    <w:rsid w:val="00C05960"/>
    <w:rsid w:val="00C069A0"/>
    <w:rsid w:val="00C0721E"/>
    <w:rsid w:val="00C07626"/>
    <w:rsid w:val="00C102D0"/>
    <w:rsid w:val="00C10DB3"/>
    <w:rsid w:val="00C11D35"/>
    <w:rsid w:val="00C121A2"/>
    <w:rsid w:val="00C14037"/>
    <w:rsid w:val="00C14BC2"/>
    <w:rsid w:val="00C17614"/>
    <w:rsid w:val="00C17B4B"/>
    <w:rsid w:val="00C17C7D"/>
    <w:rsid w:val="00C20A5F"/>
    <w:rsid w:val="00C22620"/>
    <w:rsid w:val="00C22832"/>
    <w:rsid w:val="00C233C4"/>
    <w:rsid w:val="00C237DB"/>
    <w:rsid w:val="00C2438E"/>
    <w:rsid w:val="00C24D24"/>
    <w:rsid w:val="00C25691"/>
    <w:rsid w:val="00C267C9"/>
    <w:rsid w:val="00C2684E"/>
    <w:rsid w:val="00C2692D"/>
    <w:rsid w:val="00C26F8A"/>
    <w:rsid w:val="00C30785"/>
    <w:rsid w:val="00C3409D"/>
    <w:rsid w:val="00C371B8"/>
    <w:rsid w:val="00C42E08"/>
    <w:rsid w:val="00C442FC"/>
    <w:rsid w:val="00C44EF6"/>
    <w:rsid w:val="00C453F6"/>
    <w:rsid w:val="00C46EBF"/>
    <w:rsid w:val="00C50256"/>
    <w:rsid w:val="00C51CC8"/>
    <w:rsid w:val="00C54F83"/>
    <w:rsid w:val="00C5516C"/>
    <w:rsid w:val="00C57FF9"/>
    <w:rsid w:val="00C60F98"/>
    <w:rsid w:val="00C60FD8"/>
    <w:rsid w:val="00C6184D"/>
    <w:rsid w:val="00C61D25"/>
    <w:rsid w:val="00C626B0"/>
    <w:rsid w:val="00C6351C"/>
    <w:rsid w:val="00C64B3B"/>
    <w:rsid w:val="00C65195"/>
    <w:rsid w:val="00C65EBC"/>
    <w:rsid w:val="00C667F2"/>
    <w:rsid w:val="00C675FB"/>
    <w:rsid w:val="00C67F7F"/>
    <w:rsid w:val="00C701C5"/>
    <w:rsid w:val="00C7098B"/>
    <w:rsid w:val="00C70AB2"/>
    <w:rsid w:val="00C723A7"/>
    <w:rsid w:val="00C73E28"/>
    <w:rsid w:val="00C7551A"/>
    <w:rsid w:val="00C75A1F"/>
    <w:rsid w:val="00C75F6E"/>
    <w:rsid w:val="00C765D6"/>
    <w:rsid w:val="00C8080D"/>
    <w:rsid w:val="00C80ADE"/>
    <w:rsid w:val="00C832F3"/>
    <w:rsid w:val="00C83879"/>
    <w:rsid w:val="00C85503"/>
    <w:rsid w:val="00C85EEF"/>
    <w:rsid w:val="00C86FC0"/>
    <w:rsid w:val="00C90683"/>
    <w:rsid w:val="00C921EC"/>
    <w:rsid w:val="00C92705"/>
    <w:rsid w:val="00C93F08"/>
    <w:rsid w:val="00C95224"/>
    <w:rsid w:val="00C95492"/>
    <w:rsid w:val="00C97437"/>
    <w:rsid w:val="00CA0177"/>
    <w:rsid w:val="00CA0C0B"/>
    <w:rsid w:val="00CA3A93"/>
    <w:rsid w:val="00CA4B0D"/>
    <w:rsid w:val="00CA4C1E"/>
    <w:rsid w:val="00CA5512"/>
    <w:rsid w:val="00CB10E8"/>
    <w:rsid w:val="00CB14D7"/>
    <w:rsid w:val="00CB1658"/>
    <w:rsid w:val="00CB2C4A"/>
    <w:rsid w:val="00CB2FBB"/>
    <w:rsid w:val="00CB3460"/>
    <w:rsid w:val="00CB36E3"/>
    <w:rsid w:val="00CB4F29"/>
    <w:rsid w:val="00CB5F36"/>
    <w:rsid w:val="00CB72CC"/>
    <w:rsid w:val="00CB7AED"/>
    <w:rsid w:val="00CB7B30"/>
    <w:rsid w:val="00CC0D27"/>
    <w:rsid w:val="00CC199D"/>
    <w:rsid w:val="00CC1CC1"/>
    <w:rsid w:val="00CC33AC"/>
    <w:rsid w:val="00CC3657"/>
    <w:rsid w:val="00CC46CF"/>
    <w:rsid w:val="00CC4BE8"/>
    <w:rsid w:val="00CC4CEC"/>
    <w:rsid w:val="00CC7059"/>
    <w:rsid w:val="00CC7F3A"/>
    <w:rsid w:val="00CC7F48"/>
    <w:rsid w:val="00CD34D0"/>
    <w:rsid w:val="00CD48E3"/>
    <w:rsid w:val="00CD4DB2"/>
    <w:rsid w:val="00CD4E83"/>
    <w:rsid w:val="00CD54E5"/>
    <w:rsid w:val="00CD5A94"/>
    <w:rsid w:val="00CD62F3"/>
    <w:rsid w:val="00CD63D6"/>
    <w:rsid w:val="00CD6411"/>
    <w:rsid w:val="00CD6EDA"/>
    <w:rsid w:val="00CD74E5"/>
    <w:rsid w:val="00CE08BC"/>
    <w:rsid w:val="00CE0F58"/>
    <w:rsid w:val="00CE0FE5"/>
    <w:rsid w:val="00CE1232"/>
    <w:rsid w:val="00CE2EDC"/>
    <w:rsid w:val="00CE3A4E"/>
    <w:rsid w:val="00CE4800"/>
    <w:rsid w:val="00CE49A3"/>
    <w:rsid w:val="00CE4C9D"/>
    <w:rsid w:val="00CE5057"/>
    <w:rsid w:val="00CE55E9"/>
    <w:rsid w:val="00CE5FA2"/>
    <w:rsid w:val="00CE7BAF"/>
    <w:rsid w:val="00CF23BA"/>
    <w:rsid w:val="00CF310C"/>
    <w:rsid w:val="00CF41AE"/>
    <w:rsid w:val="00CF483E"/>
    <w:rsid w:val="00CF525B"/>
    <w:rsid w:val="00D0093A"/>
    <w:rsid w:val="00D024BE"/>
    <w:rsid w:val="00D0269B"/>
    <w:rsid w:val="00D02F10"/>
    <w:rsid w:val="00D03A26"/>
    <w:rsid w:val="00D04223"/>
    <w:rsid w:val="00D050E4"/>
    <w:rsid w:val="00D05E09"/>
    <w:rsid w:val="00D05E48"/>
    <w:rsid w:val="00D06679"/>
    <w:rsid w:val="00D077A5"/>
    <w:rsid w:val="00D077F1"/>
    <w:rsid w:val="00D07A76"/>
    <w:rsid w:val="00D07B92"/>
    <w:rsid w:val="00D11E50"/>
    <w:rsid w:val="00D11F63"/>
    <w:rsid w:val="00D1437D"/>
    <w:rsid w:val="00D14CEE"/>
    <w:rsid w:val="00D15DDC"/>
    <w:rsid w:val="00D15E14"/>
    <w:rsid w:val="00D16F44"/>
    <w:rsid w:val="00D17BAA"/>
    <w:rsid w:val="00D205C9"/>
    <w:rsid w:val="00D208CA"/>
    <w:rsid w:val="00D20F94"/>
    <w:rsid w:val="00D22A7D"/>
    <w:rsid w:val="00D22ACB"/>
    <w:rsid w:val="00D23429"/>
    <w:rsid w:val="00D238FD"/>
    <w:rsid w:val="00D25C17"/>
    <w:rsid w:val="00D266CE"/>
    <w:rsid w:val="00D267ED"/>
    <w:rsid w:val="00D271BC"/>
    <w:rsid w:val="00D275DE"/>
    <w:rsid w:val="00D314D6"/>
    <w:rsid w:val="00D31D5C"/>
    <w:rsid w:val="00D31E38"/>
    <w:rsid w:val="00D325E8"/>
    <w:rsid w:val="00D32A57"/>
    <w:rsid w:val="00D332CC"/>
    <w:rsid w:val="00D35804"/>
    <w:rsid w:val="00D40B70"/>
    <w:rsid w:val="00D40E7E"/>
    <w:rsid w:val="00D4158D"/>
    <w:rsid w:val="00D41C23"/>
    <w:rsid w:val="00D423BE"/>
    <w:rsid w:val="00D42A8E"/>
    <w:rsid w:val="00D42AD3"/>
    <w:rsid w:val="00D42C59"/>
    <w:rsid w:val="00D437E3"/>
    <w:rsid w:val="00D4407D"/>
    <w:rsid w:val="00D446F4"/>
    <w:rsid w:val="00D457D7"/>
    <w:rsid w:val="00D45FFF"/>
    <w:rsid w:val="00D46AD5"/>
    <w:rsid w:val="00D471E7"/>
    <w:rsid w:val="00D50CA5"/>
    <w:rsid w:val="00D51290"/>
    <w:rsid w:val="00D5202A"/>
    <w:rsid w:val="00D53850"/>
    <w:rsid w:val="00D539E1"/>
    <w:rsid w:val="00D53C8A"/>
    <w:rsid w:val="00D5486A"/>
    <w:rsid w:val="00D5505A"/>
    <w:rsid w:val="00D55ABE"/>
    <w:rsid w:val="00D570DE"/>
    <w:rsid w:val="00D577C6"/>
    <w:rsid w:val="00D608DA"/>
    <w:rsid w:val="00D611F3"/>
    <w:rsid w:val="00D615C1"/>
    <w:rsid w:val="00D62A30"/>
    <w:rsid w:val="00D6303A"/>
    <w:rsid w:val="00D642F7"/>
    <w:rsid w:val="00D648DF"/>
    <w:rsid w:val="00D65FEC"/>
    <w:rsid w:val="00D6611C"/>
    <w:rsid w:val="00D6619F"/>
    <w:rsid w:val="00D70596"/>
    <w:rsid w:val="00D71D69"/>
    <w:rsid w:val="00D71F42"/>
    <w:rsid w:val="00D73134"/>
    <w:rsid w:val="00D73870"/>
    <w:rsid w:val="00D73902"/>
    <w:rsid w:val="00D74FF2"/>
    <w:rsid w:val="00D75F45"/>
    <w:rsid w:val="00D7769A"/>
    <w:rsid w:val="00D80DCF"/>
    <w:rsid w:val="00D81251"/>
    <w:rsid w:val="00D81C0B"/>
    <w:rsid w:val="00D81CEC"/>
    <w:rsid w:val="00D83473"/>
    <w:rsid w:val="00D845B2"/>
    <w:rsid w:val="00D87503"/>
    <w:rsid w:val="00D87D77"/>
    <w:rsid w:val="00D900FB"/>
    <w:rsid w:val="00D916F9"/>
    <w:rsid w:val="00D917C5"/>
    <w:rsid w:val="00D922F0"/>
    <w:rsid w:val="00D92729"/>
    <w:rsid w:val="00D93F34"/>
    <w:rsid w:val="00D94357"/>
    <w:rsid w:val="00D94C16"/>
    <w:rsid w:val="00D95F38"/>
    <w:rsid w:val="00D96FBF"/>
    <w:rsid w:val="00DA1C92"/>
    <w:rsid w:val="00DA362A"/>
    <w:rsid w:val="00DA522F"/>
    <w:rsid w:val="00DA5439"/>
    <w:rsid w:val="00DA6387"/>
    <w:rsid w:val="00DA68A4"/>
    <w:rsid w:val="00DA7020"/>
    <w:rsid w:val="00DB07D6"/>
    <w:rsid w:val="00DB1A35"/>
    <w:rsid w:val="00DB4E54"/>
    <w:rsid w:val="00DB521C"/>
    <w:rsid w:val="00DB6655"/>
    <w:rsid w:val="00DB6CDC"/>
    <w:rsid w:val="00DB7932"/>
    <w:rsid w:val="00DB7B95"/>
    <w:rsid w:val="00DB7FFD"/>
    <w:rsid w:val="00DC0891"/>
    <w:rsid w:val="00DC0894"/>
    <w:rsid w:val="00DC1005"/>
    <w:rsid w:val="00DC189C"/>
    <w:rsid w:val="00DC1A9D"/>
    <w:rsid w:val="00DC2864"/>
    <w:rsid w:val="00DC2D9F"/>
    <w:rsid w:val="00DC2F74"/>
    <w:rsid w:val="00DC31B2"/>
    <w:rsid w:val="00DC35E0"/>
    <w:rsid w:val="00DC3D5F"/>
    <w:rsid w:val="00DC4DFB"/>
    <w:rsid w:val="00DC4F64"/>
    <w:rsid w:val="00DC5DC5"/>
    <w:rsid w:val="00DC5E5E"/>
    <w:rsid w:val="00DC7877"/>
    <w:rsid w:val="00DD07E6"/>
    <w:rsid w:val="00DD23A4"/>
    <w:rsid w:val="00DD313F"/>
    <w:rsid w:val="00DD323A"/>
    <w:rsid w:val="00DD4166"/>
    <w:rsid w:val="00DD599A"/>
    <w:rsid w:val="00DD5C45"/>
    <w:rsid w:val="00DD63A6"/>
    <w:rsid w:val="00DE448B"/>
    <w:rsid w:val="00DE5506"/>
    <w:rsid w:val="00DE5AAE"/>
    <w:rsid w:val="00DE6409"/>
    <w:rsid w:val="00DE7200"/>
    <w:rsid w:val="00DF2630"/>
    <w:rsid w:val="00DF26F8"/>
    <w:rsid w:val="00DF2B7F"/>
    <w:rsid w:val="00DF37D2"/>
    <w:rsid w:val="00DF4D8A"/>
    <w:rsid w:val="00DF4FDA"/>
    <w:rsid w:val="00DF6E54"/>
    <w:rsid w:val="00E00757"/>
    <w:rsid w:val="00E01A03"/>
    <w:rsid w:val="00E02EA8"/>
    <w:rsid w:val="00E03E6B"/>
    <w:rsid w:val="00E05711"/>
    <w:rsid w:val="00E05735"/>
    <w:rsid w:val="00E05ED4"/>
    <w:rsid w:val="00E0635B"/>
    <w:rsid w:val="00E07DC1"/>
    <w:rsid w:val="00E108A3"/>
    <w:rsid w:val="00E11442"/>
    <w:rsid w:val="00E12DBE"/>
    <w:rsid w:val="00E12E95"/>
    <w:rsid w:val="00E1375E"/>
    <w:rsid w:val="00E14E19"/>
    <w:rsid w:val="00E14FB5"/>
    <w:rsid w:val="00E15640"/>
    <w:rsid w:val="00E15695"/>
    <w:rsid w:val="00E16647"/>
    <w:rsid w:val="00E16876"/>
    <w:rsid w:val="00E20838"/>
    <w:rsid w:val="00E219FB"/>
    <w:rsid w:val="00E21E77"/>
    <w:rsid w:val="00E225ED"/>
    <w:rsid w:val="00E23707"/>
    <w:rsid w:val="00E2377C"/>
    <w:rsid w:val="00E23E6D"/>
    <w:rsid w:val="00E25726"/>
    <w:rsid w:val="00E26693"/>
    <w:rsid w:val="00E26E39"/>
    <w:rsid w:val="00E26F92"/>
    <w:rsid w:val="00E304C5"/>
    <w:rsid w:val="00E30739"/>
    <w:rsid w:val="00E31D4E"/>
    <w:rsid w:val="00E332DD"/>
    <w:rsid w:val="00E3379C"/>
    <w:rsid w:val="00E36F26"/>
    <w:rsid w:val="00E4019D"/>
    <w:rsid w:val="00E404AD"/>
    <w:rsid w:val="00E42782"/>
    <w:rsid w:val="00E4429E"/>
    <w:rsid w:val="00E45952"/>
    <w:rsid w:val="00E46F91"/>
    <w:rsid w:val="00E50B06"/>
    <w:rsid w:val="00E51FE6"/>
    <w:rsid w:val="00E52824"/>
    <w:rsid w:val="00E544CD"/>
    <w:rsid w:val="00E54940"/>
    <w:rsid w:val="00E55081"/>
    <w:rsid w:val="00E56C2A"/>
    <w:rsid w:val="00E6063D"/>
    <w:rsid w:val="00E606AD"/>
    <w:rsid w:val="00E60765"/>
    <w:rsid w:val="00E61696"/>
    <w:rsid w:val="00E6248C"/>
    <w:rsid w:val="00E669F8"/>
    <w:rsid w:val="00E67481"/>
    <w:rsid w:val="00E714D5"/>
    <w:rsid w:val="00E71626"/>
    <w:rsid w:val="00E7194B"/>
    <w:rsid w:val="00E72B12"/>
    <w:rsid w:val="00E72DC8"/>
    <w:rsid w:val="00E72FB9"/>
    <w:rsid w:val="00E74AF0"/>
    <w:rsid w:val="00E75F46"/>
    <w:rsid w:val="00E80323"/>
    <w:rsid w:val="00E8389E"/>
    <w:rsid w:val="00E83E9B"/>
    <w:rsid w:val="00E84A71"/>
    <w:rsid w:val="00E85080"/>
    <w:rsid w:val="00E851B0"/>
    <w:rsid w:val="00E852E5"/>
    <w:rsid w:val="00E85E7C"/>
    <w:rsid w:val="00E861F8"/>
    <w:rsid w:val="00E86BD4"/>
    <w:rsid w:val="00E87559"/>
    <w:rsid w:val="00E87F11"/>
    <w:rsid w:val="00E90573"/>
    <w:rsid w:val="00E90B34"/>
    <w:rsid w:val="00E90C1A"/>
    <w:rsid w:val="00E920BC"/>
    <w:rsid w:val="00E929C1"/>
    <w:rsid w:val="00E92AD3"/>
    <w:rsid w:val="00E92CD9"/>
    <w:rsid w:val="00E93C3C"/>
    <w:rsid w:val="00E93F99"/>
    <w:rsid w:val="00E948CD"/>
    <w:rsid w:val="00E94912"/>
    <w:rsid w:val="00E94CAE"/>
    <w:rsid w:val="00E96509"/>
    <w:rsid w:val="00E96AA6"/>
    <w:rsid w:val="00E96BED"/>
    <w:rsid w:val="00E977FC"/>
    <w:rsid w:val="00EA1C7C"/>
    <w:rsid w:val="00EA27B9"/>
    <w:rsid w:val="00EA3246"/>
    <w:rsid w:val="00EA3B2B"/>
    <w:rsid w:val="00EA4DCE"/>
    <w:rsid w:val="00EA5E6D"/>
    <w:rsid w:val="00EA5FD7"/>
    <w:rsid w:val="00EA6F1C"/>
    <w:rsid w:val="00EB0253"/>
    <w:rsid w:val="00EB06F3"/>
    <w:rsid w:val="00EB339B"/>
    <w:rsid w:val="00EB4719"/>
    <w:rsid w:val="00EB4AB8"/>
    <w:rsid w:val="00EB768B"/>
    <w:rsid w:val="00EB77C1"/>
    <w:rsid w:val="00EC0398"/>
    <w:rsid w:val="00EC2331"/>
    <w:rsid w:val="00EC4005"/>
    <w:rsid w:val="00EC4BAD"/>
    <w:rsid w:val="00EC4D3A"/>
    <w:rsid w:val="00EC50CE"/>
    <w:rsid w:val="00EC5215"/>
    <w:rsid w:val="00ED0B60"/>
    <w:rsid w:val="00ED1B62"/>
    <w:rsid w:val="00ED236E"/>
    <w:rsid w:val="00ED2C4C"/>
    <w:rsid w:val="00ED387C"/>
    <w:rsid w:val="00ED60CC"/>
    <w:rsid w:val="00ED6129"/>
    <w:rsid w:val="00ED69E9"/>
    <w:rsid w:val="00ED6A02"/>
    <w:rsid w:val="00ED6F33"/>
    <w:rsid w:val="00ED7157"/>
    <w:rsid w:val="00ED7831"/>
    <w:rsid w:val="00ED7FC4"/>
    <w:rsid w:val="00EE02C7"/>
    <w:rsid w:val="00EE2A70"/>
    <w:rsid w:val="00EE55B9"/>
    <w:rsid w:val="00EE61BE"/>
    <w:rsid w:val="00EE694B"/>
    <w:rsid w:val="00EF03C4"/>
    <w:rsid w:val="00EF0DB4"/>
    <w:rsid w:val="00EF2428"/>
    <w:rsid w:val="00EF501A"/>
    <w:rsid w:val="00EF52B9"/>
    <w:rsid w:val="00EF734C"/>
    <w:rsid w:val="00F01BA5"/>
    <w:rsid w:val="00F02B1E"/>
    <w:rsid w:val="00F04D1A"/>
    <w:rsid w:val="00F05BC7"/>
    <w:rsid w:val="00F06A3C"/>
    <w:rsid w:val="00F07206"/>
    <w:rsid w:val="00F1034E"/>
    <w:rsid w:val="00F10576"/>
    <w:rsid w:val="00F1065B"/>
    <w:rsid w:val="00F1347B"/>
    <w:rsid w:val="00F139F5"/>
    <w:rsid w:val="00F14A52"/>
    <w:rsid w:val="00F15960"/>
    <w:rsid w:val="00F16D42"/>
    <w:rsid w:val="00F17664"/>
    <w:rsid w:val="00F200CA"/>
    <w:rsid w:val="00F205EF"/>
    <w:rsid w:val="00F21473"/>
    <w:rsid w:val="00F2267E"/>
    <w:rsid w:val="00F22FEB"/>
    <w:rsid w:val="00F247FA"/>
    <w:rsid w:val="00F24F7F"/>
    <w:rsid w:val="00F25295"/>
    <w:rsid w:val="00F25622"/>
    <w:rsid w:val="00F276D2"/>
    <w:rsid w:val="00F31CE3"/>
    <w:rsid w:val="00F328D1"/>
    <w:rsid w:val="00F32976"/>
    <w:rsid w:val="00F3362B"/>
    <w:rsid w:val="00F34FBE"/>
    <w:rsid w:val="00F3540C"/>
    <w:rsid w:val="00F35589"/>
    <w:rsid w:val="00F358FA"/>
    <w:rsid w:val="00F3609E"/>
    <w:rsid w:val="00F36522"/>
    <w:rsid w:val="00F37043"/>
    <w:rsid w:val="00F42406"/>
    <w:rsid w:val="00F42E92"/>
    <w:rsid w:val="00F4352E"/>
    <w:rsid w:val="00F438AF"/>
    <w:rsid w:val="00F43A7C"/>
    <w:rsid w:val="00F4587D"/>
    <w:rsid w:val="00F46C4C"/>
    <w:rsid w:val="00F474E6"/>
    <w:rsid w:val="00F47ADA"/>
    <w:rsid w:val="00F5000A"/>
    <w:rsid w:val="00F5001D"/>
    <w:rsid w:val="00F50A00"/>
    <w:rsid w:val="00F50BED"/>
    <w:rsid w:val="00F514EA"/>
    <w:rsid w:val="00F52B26"/>
    <w:rsid w:val="00F5334C"/>
    <w:rsid w:val="00F54179"/>
    <w:rsid w:val="00F545B9"/>
    <w:rsid w:val="00F54C8E"/>
    <w:rsid w:val="00F563B9"/>
    <w:rsid w:val="00F576EB"/>
    <w:rsid w:val="00F57FFA"/>
    <w:rsid w:val="00F62FB7"/>
    <w:rsid w:val="00F63429"/>
    <w:rsid w:val="00F6361C"/>
    <w:rsid w:val="00F64D8F"/>
    <w:rsid w:val="00F655DC"/>
    <w:rsid w:val="00F65A30"/>
    <w:rsid w:val="00F65BA8"/>
    <w:rsid w:val="00F66C20"/>
    <w:rsid w:val="00F67CAF"/>
    <w:rsid w:val="00F70E69"/>
    <w:rsid w:val="00F72497"/>
    <w:rsid w:val="00F724F4"/>
    <w:rsid w:val="00F72D1B"/>
    <w:rsid w:val="00F73A05"/>
    <w:rsid w:val="00F80DF2"/>
    <w:rsid w:val="00F847BA"/>
    <w:rsid w:val="00F852A3"/>
    <w:rsid w:val="00F868B7"/>
    <w:rsid w:val="00F86CB9"/>
    <w:rsid w:val="00F87329"/>
    <w:rsid w:val="00F87364"/>
    <w:rsid w:val="00F879AD"/>
    <w:rsid w:val="00F90A13"/>
    <w:rsid w:val="00F95C82"/>
    <w:rsid w:val="00FA1B10"/>
    <w:rsid w:val="00FA1D03"/>
    <w:rsid w:val="00FA2F18"/>
    <w:rsid w:val="00FA3D51"/>
    <w:rsid w:val="00FA4F4A"/>
    <w:rsid w:val="00FA517A"/>
    <w:rsid w:val="00FA54EC"/>
    <w:rsid w:val="00FA5845"/>
    <w:rsid w:val="00FA666E"/>
    <w:rsid w:val="00FA74C1"/>
    <w:rsid w:val="00FA7E2B"/>
    <w:rsid w:val="00FB0DF8"/>
    <w:rsid w:val="00FB2064"/>
    <w:rsid w:val="00FB3455"/>
    <w:rsid w:val="00FB37C2"/>
    <w:rsid w:val="00FB59D6"/>
    <w:rsid w:val="00FB69E7"/>
    <w:rsid w:val="00FB7DA7"/>
    <w:rsid w:val="00FC060D"/>
    <w:rsid w:val="00FC139C"/>
    <w:rsid w:val="00FC13A5"/>
    <w:rsid w:val="00FC2925"/>
    <w:rsid w:val="00FC2C3B"/>
    <w:rsid w:val="00FC2F0A"/>
    <w:rsid w:val="00FC31CD"/>
    <w:rsid w:val="00FC3FFF"/>
    <w:rsid w:val="00FC6747"/>
    <w:rsid w:val="00FC700D"/>
    <w:rsid w:val="00FC70EE"/>
    <w:rsid w:val="00FC78D0"/>
    <w:rsid w:val="00FC7EDC"/>
    <w:rsid w:val="00FD12FB"/>
    <w:rsid w:val="00FD5683"/>
    <w:rsid w:val="00FD572F"/>
    <w:rsid w:val="00FD5AA6"/>
    <w:rsid w:val="00FD6775"/>
    <w:rsid w:val="00FD7687"/>
    <w:rsid w:val="00FD78D6"/>
    <w:rsid w:val="00FD7CC9"/>
    <w:rsid w:val="00FE08EB"/>
    <w:rsid w:val="00FE102B"/>
    <w:rsid w:val="00FE16FB"/>
    <w:rsid w:val="00FE2477"/>
    <w:rsid w:val="00FE391B"/>
    <w:rsid w:val="00FE3CF0"/>
    <w:rsid w:val="00FE4620"/>
    <w:rsid w:val="00FE4E42"/>
    <w:rsid w:val="00FE6ED8"/>
    <w:rsid w:val="00FE734C"/>
    <w:rsid w:val="00FF0903"/>
    <w:rsid w:val="00FF150F"/>
    <w:rsid w:val="00FF4403"/>
    <w:rsid w:val="00FF451B"/>
    <w:rsid w:val="00FF4713"/>
    <w:rsid w:val="00FF5F78"/>
    <w:rsid w:val="00FF65A8"/>
    <w:rsid w:val="00FF69DF"/>
    <w:rsid w:val="00FF6A57"/>
    <w:rsid w:val="00FF6B6E"/>
    <w:rsid w:val="00FF71F4"/>
    <w:rsid w:val="00FF7857"/>
    <w:rsid w:val="6FE206D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style="mso-position-vertical-relative:line" fill="f" fillcolor="white" stroke="f">
      <v:fill color="white" on="f"/>
      <v:stroke on="f"/>
    </o:shapedefaults>
    <o:shapelayout v:ext="edit">
      <o:idmap v:ext="edit" data="1"/>
    </o:shapelayout>
  </w:shapeDefaults>
  <w:decimalSymbol w:val="."/>
  <w:listSeparator w:val=","/>
  <w14:docId w14:val="33E762A0"/>
  <w15:docId w15:val="{DD51C8E7-D867-4E91-8B80-5C11113D7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23A4"/>
    <w:pPr>
      <w:spacing w:before="120" w:after="120"/>
    </w:pPr>
    <w:rPr>
      <w:rFonts w:ascii="Calibri" w:hAnsi="Calibri"/>
      <w:sz w:val="24"/>
      <w:szCs w:val="24"/>
      <w:lang w:eastAsia="en-US"/>
    </w:rPr>
  </w:style>
  <w:style w:type="paragraph" w:styleId="Heading1">
    <w:name w:val="heading 1"/>
    <w:basedOn w:val="Normal"/>
    <w:next w:val="Normal"/>
    <w:link w:val="Heading1Char"/>
    <w:qFormat/>
    <w:rsid w:val="00F62FB7"/>
    <w:pPr>
      <w:keepNext/>
      <w:keepLines/>
      <w:numPr>
        <w:numId w:val="3"/>
      </w:numPr>
      <w:spacing w:before="0"/>
      <w:outlineLvl w:val="0"/>
    </w:pPr>
    <w:rPr>
      <w:rFonts w:eastAsia="Times New Roman"/>
      <w:b/>
      <w:bCs/>
      <w:caps/>
      <w:noProof/>
      <w:color w:val="5F7D23"/>
      <w:sz w:val="32"/>
      <w:szCs w:val="32"/>
      <w:lang w:val="x-none" w:eastAsia="x-none"/>
    </w:rPr>
  </w:style>
  <w:style w:type="paragraph" w:styleId="Heading2">
    <w:name w:val="heading 2"/>
    <w:aliases w:val="H2"/>
    <w:basedOn w:val="Normal"/>
    <w:next w:val="Normal"/>
    <w:link w:val="Heading2Char"/>
    <w:uiPriority w:val="99"/>
    <w:unhideWhenUsed/>
    <w:qFormat/>
    <w:rsid w:val="00143A2F"/>
    <w:pPr>
      <w:keepNext/>
      <w:keepLines/>
      <w:numPr>
        <w:ilvl w:val="1"/>
        <w:numId w:val="3"/>
      </w:numPr>
      <w:spacing w:before="200" w:after="0" w:line="280" w:lineRule="exact"/>
      <w:outlineLvl w:val="1"/>
    </w:pPr>
    <w:rPr>
      <w:rFonts w:eastAsia="MS Gothic"/>
      <w:b/>
      <w:bCs/>
      <w:caps/>
      <w:color w:val="59595B"/>
      <w:sz w:val="28"/>
      <w:szCs w:val="28"/>
      <w:lang w:val="x-none" w:eastAsia="x-none"/>
    </w:rPr>
  </w:style>
  <w:style w:type="paragraph" w:styleId="Heading3">
    <w:name w:val="heading 3"/>
    <w:basedOn w:val="Normal"/>
    <w:next w:val="Normal"/>
    <w:link w:val="Heading3Char"/>
    <w:uiPriority w:val="9"/>
    <w:unhideWhenUsed/>
    <w:qFormat/>
    <w:rsid w:val="00320188"/>
    <w:pPr>
      <w:keepNext/>
      <w:keepLines/>
      <w:numPr>
        <w:ilvl w:val="2"/>
        <w:numId w:val="3"/>
      </w:numPr>
      <w:spacing w:before="200" w:after="0"/>
      <w:outlineLvl w:val="2"/>
    </w:pPr>
    <w:rPr>
      <w:rFonts w:eastAsia="Times New Roman"/>
      <w:caps/>
      <w:color w:val="59595B"/>
      <w:szCs w:val="20"/>
      <w:lang w:val="x-none" w:eastAsia="x-none"/>
    </w:rPr>
  </w:style>
  <w:style w:type="paragraph" w:styleId="Heading4">
    <w:name w:val="heading 4"/>
    <w:basedOn w:val="Normal"/>
    <w:next w:val="Normal"/>
    <w:link w:val="Heading4Char"/>
    <w:unhideWhenUsed/>
    <w:qFormat/>
    <w:rsid w:val="00604012"/>
    <w:pPr>
      <w:keepNext/>
      <w:keepLines/>
      <w:numPr>
        <w:ilvl w:val="3"/>
        <w:numId w:val="3"/>
      </w:numPr>
      <w:spacing w:before="200" w:after="0"/>
      <w:outlineLvl w:val="3"/>
    </w:pPr>
    <w:rPr>
      <w:rFonts w:eastAsia="Times New Roman"/>
      <w:b/>
      <w:i/>
      <w:iCs/>
      <w:color w:val="5F7D23"/>
      <w:szCs w:val="22"/>
      <w:lang w:val="x-none" w:eastAsia="x-none"/>
    </w:rPr>
  </w:style>
  <w:style w:type="paragraph" w:styleId="Heading5">
    <w:name w:val="heading 5"/>
    <w:basedOn w:val="Normal"/>
    <w:next w:val="Normal"/>
    <w:link w:val="Heading5Char"/>
    <w:unhideWhenUsed/>
    <w:qFormat/>
    <w:rsid w:val="00CC33AC"/>
    <w:pPr>
      <w:keepNext/>
      <w:keepLines/>
      <w:numPr>
        <w:ilvl w:val="4"/>
        <w:numId w:val="3"/>
      </w:numPr>
      <w:spacing w:before="200" w:after="0"/>
      <w:outlineLvl w:val="4"/>
    </w:pPr>
    <w:rPr>
      <w:rFonts w:eastAsia="Times New Roman"/>
      <w:color w:val="5F7D23"/>
      <w:sz w:val="20"/>
      <w:szCs w:val="20"/>
      <w:lang w:val="x-none" w:eastAsia="x-none"/>
    </w:rPr>
  </w:style>
  <w:style w:type="paragraph" w:styleId="Heading6">
    <w:name w:val="heading 6"/>
    <w:basedOn w:val="Normal"/>
    <w:next w:val="Normal"/>
    <w:link w:val="Heading6Char"/>
    <w:semiHidden/>
    <w:unhideWhenUsed/>
    <w:qFormat/>
    <w:rsid w:val="0081739C"/>
    <w:pPr>
      <w:keepNext/>
      <w:keepLines/>
      <w:numPr>
        <w:ilvl w:val="5"/>
        <w:numId w:val="3"/>
      </w:numPr>
      <w:spacing w:before="200" w:after="0"/>
      <w:outlineLvl w:val="5"/>
    </w:pPr>
    <w:rPr>
      <w:rFonts w:eastAsia="MS Gothic"/>
      <w:i/>
      <w:iCs/>
      <w:color w:val="009EDD"/>
      <w:sz w:val="20"/>
      <w:szCs w:val="20"/>
      <w:lang w:val="x-none" w:eastAsia="x-none"/>
    </w:rPr>
  </w:style>
  <w:style w:type="paragraph" w:styleId="Heading7">
    <w:name w:val="heading 7"/>
    <w:basedOn w:val="Normal"/>
    <w:next w:val="Normal"/>
    <w:link w:val="Heading7Char"/>
    <w:semiHidden/>
    <w:unhideWhenUsed/>
    <w:qFormat/>
    <w:rsid w:val="00111E52"/>
    <w:pPr>
      <w:numPr>
        <w:ilvl w:val="6"/>
        <w:numId w:val="3"/>
      </w:numPr>
      <w:spacing w:before="240" w:after="60"/>
      <w:outlineLvl w:val="6"/>
    </w:pPr>
    <w:rPr>
      <w:rFonts w:eastAsia="Times New Roman"/>
    </w:rPr>
  </w:style>
  <w:style w:type="paragraph" w:styleId="Heading8">
    <w:name w:val="heading 8"/>
    <w:basedOn w:val="Normal"/>
    <w:next w:val="Normal"/>
    <w:link w:val="Heading8Char"/>
    <w:semiHidden/>
    <w:unhideWhenUsed/>
    <w:qFormat/>
    <w:rsid w:val="00111E52"/>
    <w:pPr>
      <w:numPr>
        <w:ilvl w:val="7"/>
        <w:numId w:val="3"/>
      </w:numPr>
      <w:spacing w:before="240" w:after="60"/>
      <w:outlineLvl w:val="7"/>
    </w:pPr>
    <w:rPr>
      <w:rFonts w:eastAsia="Times New Roman"/>
      <w:i/>
      <w:iCs/>
    </w:rPr>
  </w:style>
  <w:style w:type="paragraph" w:styleId="Heading9">
    <w:name w:val="heading 9"/>
    <w:basedOn w:val="Normal"/>
    <w:next w:val="Normal"/>
    <w:link w:val="Heading9Char"/>
    <w:semiHidden/>
    <w:unhideWhenUsed/>
    <w:qFormat/>
    <w:rsid w:val="00111E52"/>
    <w:pPr>
      <w:numPr>
        <w:ilvl w:val="8"/>
        <w:numId w:val="3"/>
      </w:num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2FB7"/>
    <w:rPr>
      <w:rFonts w:ascii="Calibri" w:eastAsia="Times New Roman" w:hAnsi="Calibri"/>
      <w:b/>
      <w:bCs/>
      <w:caps/>
      <w:noProof/>
      <w:color w:val="5F7D23"/>
      <w:sz w:val="32"/>
      <w:szCs w:val="32"/>
      <w:lang w:val="x-none" w:eastAsia="x-none"/>
    </w:rPr>
  </w:style>
  <w:style w:type="character" w:customStyle="1" w:styleId="Heading2Char">
    <w:name w:val="Heading 2 Char"/>
    <w:aliases w:val="H2 Char"/>
    <w:link w:val="Heading2"/>
    <w:uiPriority w:val="99"/>
    <w:rsid w:val="00143A2F"/>
    <w:rPr>
      <w:rFonts w:ascii="Calibri" w:eastAsia="MS Gothic" w:hAnsi="Calibri"/>
      <w:b/>
      <w:bCs/>
      <w:caps/>
      <w:color w:val="59595B"/>
      <w:sz w:val="28"/>
      <w:szCs w:val="28"/>
      <w:lang w:val="x-none" w:eastAsia="x-none"/>
    </w:rPr>
  </w:style>
  <w:style w:type="character" w:customStyle="1" w:styleId="Heading3Char">
    <w:name w:val="Heading 3 Char"/>
    <w:link w:val="Heading3"/>
    <w:uiPriority w:val="9"/>
    <w:rsid w:val="00320188"/>
    <w:rPr>
      <w:rFonts w:ascii="Calibri" w:eastAsia="Times New Roman" w:hAnsi="Calibri"/>
      <w:caps/>
      <w:color w:val="59595B"/>
      <w:sz w:val="24"/>
      <w:lang w:val="x-none" w:eastAsia="x-none"/>
    </w:rPr>
  </w:style>
  <w:style w:type="character" w:customStyle="1" w:styleId="Heading4Char">
    <w:name w:val="Heading 4 Char"/>
    <w:link w:val="Heading4"/>
    <w:rsid w:val="00604012"/>
    <w:rPr>
      <w:rFonts w:ascii="Calibri" w:eastAsia="Times New Roman" w:hAnsi="Calibri"/>
      <w:b/>
      <w:i/>
      <w:iCs/>
      <w:color w:val="5F7D23"/>
      <w:sz w:val="24"/>
      <w:szCs w:val="22"/>
      <w:lang w:val="x-none" w:eastAsia="x-none"/>
    </w:rPr>
  </w:style>
  <w:style w:type="character" w:customStyle="1" w:styleId="Heading5Char">
    <w:name w:val="Heading 5 Char"/>
    <w:link w:val="Heading5"/>
    <w:rsid w:val="00CC33AC"/>
    <w:rPr>
      <w:rFonts w:ascii="Calibri" w:eastAsia="Times New Roman" w:hAnsi="Calibri"/>
      <w:color w:val="5F7D23"/>
      <w:lang w:val="x-none" w:eastAsia="x-none"/>
    </w:rPr>
  </w:style>
  <w:style w:type="character" w:customStyle="1" w:styleId="Heading6Char">
    <w:name w:val="Heading 6 Char"/>
    <w:link w:val="Heading6"/>
    <w:semiHidden/>
    <w:rsid w:val="0081739C"/>
    <w:rPr>
      <w:rFonts w:ascii="Calibri" w:eastAsia="MS Gothic" w:hAnsi="Calibri"/>
      <w:i/>
      <w:iCs/>
      <w:color w:val="009EDD"/>
      <w:lang w:val="x-none" w:eastAsia="x-none"/>
    </w:rPr>
  </w:style>
  <w:style w:type="paragraph" w:styleId="Header">
    <w:name w:val="header"/>
    <w:basedOn w:val="Normal"/>
    <w:link w:val="HeaderChar"/>
    <w:uiPriority w:val="99"/>
    <w:unhideWhenUsed/>
    <w:rsid w:val="001A63A8"/>
    <w:pPr>
      <w:tabs>
        <w:tab w:val="center" w:pos="4320"/>
        <w:tab w:val="right" w:pos="8640"/>
      </w:tabs>
    </w:pPr>
  </w:style>
  <w:style w:type="character" w:customStyle="1" w:styleId="HeaderChar">
    <w:name w:val="Header Char"/>
    <w:basedOn w:val="DefaultParagraphFont"/>
    <w:link w:val="Header"/>
    <w:uiPriority w:val="99"/>
    <w:rsid w:val="001A63A8"/>
  </w:style>
  <w:style w:type="paragraph" w:styleId="Footer">
    <w:name w:val="footer"/>
    <w:basedOn w:val="Normal"/>
    <w:link w:val="FooterChar"/>
    <w:uiPriority w:val="99"/>
    <w:unhideWhenUsed/>
    <w:rsid w:val="001A63A8"/>
    <w:pPr>
      <w:tabs>
        <w:tab w:val="center" w:pos="4320"/>
        <w:tab w:val="right" w:pos="8640"/>
      </w:tabs>
    </w:pPr>
  </w:style>
  <w:style w:type="character" w:customStyle="1" w:styleId="FooterChar">
    <w:name w:val="Footer Char"/>
    <w:basedOn w:val="DefaultParagraphFont"/>
    <w:link w:val="Footer"/>
    <w:uiPriority w:val="99"/>
    <w:rsid w:val="001A63A8"/>
  </w:style>
  <w:style w:type="paragraph" w:styleId="BalloonText">
    <w:name w:val="Balloon Text"/>
    <w:basedOn w:val="Normal"/>
    <w:link w:val="BalloonTextChar"/>
    <w:uiPriority w:val="99"/>
    <w:unhideWhenUsed/>
    <w:rsid w:val="007E117A"/>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7E117A"/>
    <w:rPr>
      <w:rFonts w:ascii="Segoe UI" w:hAnsi="Segoe UI" w:cs="Segoe UI"/>
      <w:sz w:val="18"/>
      <w:szCs w:val="18"/>
      <w:lang w:eastAsia="en-US"/>
    </w:rPr>
  </w:style>
  <w:style w:type="paragraph" w:customStyle="1" w:styleId="Heading1WHITE">
    <w:name w:val="Heading 1 WHITE"/>
    <w:basedOn w:val="Heading1"/>
    <w:uiPriority w:val="99"/>
    <w:qFormat/>
    <w:rsid w:val="00F46C4C"/>
    <w:rPr>
      <w:caps w:val="0"/>
      <w:color w:val="FFFFFF"/>
      <w:sz w:val="72"/>
      <w:szCs w:val="72"/>
    </w:rPr>
  </w:style>
  <w:style w:type="paragraph" w:styleId="NormalWeb">
    <w:name w:val="Normal (Web)"/>
    <w:basedOn w:val="Normal"/>
    <w:uiPriority w:val="99"/>
    <w:unhideWhenUsed/>
    <w:rsid w:val="00A93627"/>
    <w:pPr>
      <w:spacing w:before="100" w:beforeAutospacing="1" w:after="100" w:afterAutospacing="1"/>
    </w:pPr>
    <w:rPr>
      <w:rFonts w:ascii="Times" w:hAnsi="Times"/>
      <w:sz w:val="20"/>
      <w:szCs w:val="20"/>
    </w:rPr>
  </w:style>
  <w:style w:type="character" w:styleId="PageNumber">
    <w:name w:val="page number"/>
    <w:basedOn w:val="DefaultParagraphFont"/>
    <w:unhideWhenUsed/>
    <w:rsid w:val="005B3215"/>
  </w:style>
  <w:style w:type="paragraph" w:styleId="TOCHeading">
    <w:name w:val="TOC Heading"/>
    <w:basedOn w:val="Heading1"/>
    <w:next w:val="Normal"/>
    <w:uiPriority w:val="39"/>
    <w:unhideWhenUsed/>
    <w:qFormat/>
    <w:rsid w:val="00F62FB7"/>
    <w:pPr>
      <w:numPr>
        <w:numId w:val="0"/>
      </w:numPr>
      <w:spacing w:after="0" w:line="276" w:lineRule="auto"/>
      <w:outlineLvl w:val="9"/>
    </w:pPr>
    <w:rPr>
      <w:caps w:val="0"/>
      <w:szCs w:val="28"/>
    </w:rPr>
  </w:style>
  <w:style w:type="paragraph" w:styleId="TOC1">
    <w:name w:val="toc 1"/>
    <w:basedOn w:val="Normal"/>
    <w:next w:val="Normal"/>
    <w:autoRedefine/>
    <w:uiPriority w:val="39"/>
    <w:unhideWhenUsed/>
    <w:rsid w:val="00F34FBE"/>
    <w:pPr>
      <w:tabs>
        <w:tab w:val="left" w:pos="480"/>
        <w:tab w:val="right" w:leader="dot" w:pos="7371"/>
      </w:tabs>
      <w:spacing w:after="0"/>
    </w:pPr>
    <w:rPr>
      <w:b/>
      <w:noProof/>
      <w:color w:val="5F7D23"/>
    </w:rPr>
  </w:style>
  <w:style w:type="paragraph" w:styleId="TOC2">
    <w:name w:val="toc 2"/>
    <w:basedOn w:val="Normal"/>
    <w:next w:val="Normal"/>
    <w:autoRedefine/>
    <w:uiPriority w:val="39"/>
    <w:unhideWhenUsed/>
    <w:rsid w:val="002A1EBC"/>
    <w:pPr>
      <w:spacing w:before="0" w:after="0"/>
    </w:pPr>
    <w:rPr>
      <w:sz w:val="22"/>
      <w:szCs w:val="22"/>
    </w:rPr>
  </w:style>
  <w:style w:type="paragraph" w:styleId="TOC3">
    <w:name w:val="toc 3"/>
    <w:basedOn w:val="Normal"/>
    <w:next w:val="Normal"/>
    <w:autoRedefine/>
    <w:uiPriority w:val="39"/>
    <w:unhideWhenUsed/>
    <w:rsid w:val="002A1EBC"/>
    <w:pPr>
      <w:spacing w:before="0" w:after="0"/>
      <w:ind w:left="240"/>
    </w:pPr>
    <w:rPr>
      <w:i/>
      <w:sz w:val="22"/>
      <w:szCs w:val="22"/>
    </w:rPr>
  </w:style>
  <w:style w:type="paragraph" w:styleId="TOC4">
    <w:name w:val="toc 4"/>
    <w:basedOn w:val="Normal"/>
    <w:next w:val="Normal"/>
    <w:autoRedefine/>
    <w:uiPriority w:val="39"/>
    <w:unhideWhenUsed/>
    <w:rsid w:val="005F7471"/>
    <w:pPr>
      <w:spacing w:before="0" w:after="0"/>
      <w:ind w:left="480"/>
    </w:pPr>
    <w:rPr>
      <w:sz w:val="20"/>
      <w:szCs w:val="20"/>
    </w:rPr>
  </w:style>
  <w:style w:type="paragraph" w:styleId="TOC5">
    <w:name w:val="toc 5"/>
    <w:basedOn w:val="Normal"/>
    <w:next w:val="Normal"/>
    <w:autoRedefine/>
    <w:uiPriority w:val="39"/>
    <w:unhideWhenUsed/>
    <w:rsid w:val="002A1EBC"/>
    <w:pPr>
      <w:pBdr>
        <w:between w:val="double" w:sz="6" w:space="0" w:color="auto"/>
      </w:pBdr>
      <w:spacing w:before="0" w:after="0"/>
      <w:ind w:left="720"/>
    </w:pPr>
    <w:rPr>
      <w:sz w:val="20"/>
      <w:szCs w:val="20"/>
    </w:rPr>
  </w:style>
  <w:style w:type="paragraph" w:styleId="TOC6">
    <w:name w:val="toc 6"/>
    <w:basedOn w:val="Normal"/>
    <w:next w:val="Normal"/>
    <w:autoRedefine/>
    <w:uiPriority w:val="39"/>
    <w:unhideWhenUsed/>
    <w:rsid w:val="002A1EBC"/>
    <w:pPr>
      <w:pBdr>
        <w:between w:val="double" w:sz="6" w:space="0" w:color="auto"/>
      </w:pBdr>
      <w:spacing w:before="0" w:after="0"/>
      <w:ind w:left="960"/>
    </w:pPr>
    <w:rPr>
      <w:sz w:val="20"/>
      <w:szCs w:val="20"/>
    </w:rPr>
  </w:style>
  <w:style w:type="paragraph" w:styleId="TOC7">
    <w:name w:val="toc 7"/>
    <w:basedOn w:val="Normal"/>
    <w:next w:val="Normal"/>
    <w:autoRedefine/>
    <w:uiPriority w:val="39"/>
    <w:unhideWhenUsed/>
    <w:rsid w:val="002A1EBC"/>
    <w:pPr>
      <w:pBdr>
        <w:between w:val="double" w:sz="6" w:space="0" w:color="auto"/>
      </w:pBdr>
      <w:spacing w:before="0" w:after="0"/>
      <w:ind w:left="1200"/>
    </w:pPr>
    <w:rPr>
      <w:sz w:val="20"/>
      <w:szCs w:val="20"/>
    </w:rPr>
  </w:style>
  <w:style w:type="paragraph" w:styleId="TOC8">
    <w:name w:val="toc 8"/>
    <w:basedOn w:val="Normal"/>
    <w:next w:val="Normal"/>
    <w:autoRedefine/>
    <w:uiPriority w:val="39"/>
    <w:unhideWhenUsed/>
    <w:rsid w:val="002A1EBC"/>
    <w:pPr>
      <w:pBdr>
        <w:between w:val="double" w:sz="6" w:space="0" w:color="auto"/>
      </w:pBdr>
      <w:spacing w:before="0" w:after="0"/>
      <w:ind w:left="1440"/>
    </w:pPr>
    <w:rPr>
      <w:sz w:val="20"/>
      <w:szCs w:val="20"/>
    </w:rPr>
  </w:style>
  <w:style w:type="paragraph" w:styleId="TOC9">
    <w:name w:val="toc 9"/>
    <w:basedOn w:val="Normal"/>
    <w:next w:val="Normal"/>
    <w:autoRedefine/>
    <w:uiPriority w:val="39"/>
    <w:unhideWhenUsed/>
    <w:rsid w:val="002A1EBC"/>
    <w:pPr>
      <w:pBdr>
        <w:between w:val="double" w:sz="6" w:space="0" w:color="auto"/>
      </w:pBdr>
      <w:spacing w:before="0" w:after="0"/>
      <w:ind w:left="1680"/>
    </w:pPr>
    <w:rPr>
      <w:sz w:val="20"/>
      <w:szCs w:val="20"/>
    </w:rPr>
  </w:style>
  <w:style w:type="paragraph" w:styleId="ListParagraph">
    <w:name w:val="List Paragraph"/>
    <w:aliases w:val="table text,ch,Bullet 1,Bullet list"/>
    <w:basedOn w:val="Normal"/>
    <w:link w:val="ListParagraphChar"/>
    <w:uiPriority w:val="34"/>
    <w:qFormat/>
    <w:rsid w:val="00FA3D51"/>
    <w:pPr>
      <w:numPr>
        <w:numId w:val="1"/>
      </w:numPr>
      <w:spacing w:before="0" w:after="280"/>
      <w:contextualSpacing/>
    </w:pPr>
  </w:style>
  <w:style w:type="paragraph" w:styleId="FootnoteText">
    <w:name w:val="footnote text"/>
    <w:basedOn w:val="Normal"/>
    <w:link w:val="FootnoteTextChar"/>
    <w:uiPriority w:val="99"/>
    <w:unhideWhenUsed/>
    <w:rsid w:val="00E96BED"/>
    <w:pPr>
      <w:spacing w:before="0" w:after="0"/>
    </w:pPr>
    <w:rPr>
      <w:sz w:val="20"/>
      <w:szCs w:val="20"/>
      <w:lang w:val="x-none" w:eastAsia="x-none"/>
    </w:rPr>
  </w:style>
  <w:style w:type="character" w:customStyle="1" w:styleId="FootnoteTextChar">
    <w:name w:val="Footnote Text Char"/>
    <w:link w:val="FootnoteText"/>
    <w:uiPriority w:val="99"/>
    <w:rsid w:val="00E96BED"/>
    <w:rPr>
      <w:rFonts w:ascii="Calibri" w:hAnsi="Calibri"/>
    </w:rPr>
  </w:style>
  <w:style w:type="character" w:styleId="FootnoteReference">
    <w:name w:val="footnote reference"/>
    <w:uiPriority w:val="99"/>
    <w:unhideWhenUsed/>
    <w:rsid w:val="00E96BED"/>
    <w:rPr>
      <w:vertAlign w:val="superscript"/>
    </w:rPr>
  </w:style>
  <w:style w:type="paragraph" w:customStyle="1" w:styleId="Footnote">
    <w:name w:val="Footnote"/>
    <w:basedOn w:val="Normal"/>
    <w:uiPriority w:val="99"/>
    <w:qFormat/>
    <w:rsid w:val="00435FAC"/>
    <w:rPr>
      <w:rFonts w:eastAsia="Times New Roman"/>
      <w:color w:val="000000"/>
      <w:sz w:val="21"/>
      <w:szCs w:val="21"/>
      <w:shd w:val="clear" w:color="auto" w:fill="FFFFFF"/>
    </w:rPr>
  </w:style>
  <w:style w:type="paragraph" w:customStyle="1" w:styleId="BulletList">
    <w:name w:val="Bullet List"/>
    <w:basedOn w:val="Normal"/>
    <w:qFormat/>
    <w:rsid w:val="006E2E3D"/>
    <w:pPr>
      <w:numPr>
        <w:numId w:val="2"/>
      </w:numPr>
      <w:spacing w:before="100" w:beforeAutospacing="1" w:after="100" w:afterAutospacing="1"/>
    </w:pPr>
    <w:rPr>
      <w:rFonts w:eastAsia="Times New Roman"/>
    </w:rPr>
  </w:style>
  <w:style w:type="paragraph" w:customStyle="1" w:styleId="Heading1IAE">
    <w:name w:val="Heading 1 IAE"/>
    <w:link w:val="Heading1IAEChar"/>
    <w:qFormat/>
    <w:rsid w:val="00CC33AC"/>
    <w:rPr>
      <w:rFonts w:ascii="Calibri" w:eastAsia="MS Gothic" w:hAnsi="Calibri"/>
      <w:b/>
      <w:bCs/>
      <w:caps/>
      <w:noProof/>
      <w:color w:val="5F7D23"/>
      <w:sz w:val="48"/>
      <w:szCs w:val="48"/>
      <w:lang w:val="en-US" w:eastAsia="en-US"/>
    </w:rPr>
  </w:style>
  <w:style w:type="table" w:styleId="TableGrid">
    <w:name w:val="Table Grid"/>
    <w:basedOn w:val="TableNormal"/>
    <w:uiPriority w:val="39"/>
    <w:rsid w:val="00A16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tion">
    <w:name w:val="Description"/>
    <w:basedOn w:val="Normal"/>
    <w:uiPriority w:val="99"/>
    <w:qFormat/>
    <w:rsid w:val="00A1689F"/>
    <w:pPr>
      <w:spacing w:before="40" w:after="0"/>
    </w:pPr>
    <w:rPr>
      <w:i/>
      <w:color w:val="000000"/>
      <w:sz w:val="20"/>
      <w:szCs w:val="20"/>
    </w:rPr>
  </w:style>
  <w:style w:type="paragraph" w:customStyle="1" w:styleId="NOTES">
    <w:name w:val="NOTES"/>
    <w:basedOn w:val="Normal"/>
    <w:uiPriority w:val="99"/>
    <w:qFormat/>
    <w:rsid w:val="007571E1"/>
    <w:rPr>
      <w:b/>
      <w:color w:val="FF0000"/>
    </w:rPr>
  </w:style>
  <w:style w:type="paragraph" w:customStyle="1" w:styleId="H1TITLE">
    <w:name w:val="H1 TITLE"/>
    <w:basedOn w:val="Heading1IAE"/>
    <w:link w:val="H1TITLEChar"/>
    <w:qFormat/>
    <w:rsid w:val="00CC33AC"/>
    <w:rPr>
      <w:sz w:val="72"/>
      <w:szCs w:val="72"/>
    </w:rPr>
  </w:style>
  <w:style w:type="paragraph" w:customStyle="1" w:styleId="HeaderH1">
    <w:name w:val="Header H1"/>
    <w:basedOn w:val="Heading1"/>
    <w:qFormat/>
    <w:rsid w:val="001848EE"/>
  </w:style>
  <w:style w:type="paragraph" w:customStyle="1" w:styleId="DocTitleFooter">
    <w:name w:val="Doc Title Footer"/>
    <w:basedOn w:val="Footer"/>
    <w:uiPriority w:val="99"/>
    <w:qFormat/>
    <w:rsid w:val="00016798"/>
    <w:pPr>
      <w:jc w:val="right"/>
    </w:pPr>
    <w:rPr>
      <w:i/>
      <w:sz w:val="20"/>
      <w:szCs w:val="20"/>
    </w:rPr>
  </w:style>
  <w:style w:type="character" w:styleId="IntenseReference">
    <w:name w:val="Intense Reference"/>
    <w:uiPriority w:val="32"/>
    <w:qFormat/>
    <w:rsid w:val="0074311C"/>
    <w:rPr>
      <w:b/>
      <w:bCs/>
      <w:smallCaps/>
      <w:color w:val="5BCBF5"/>
      <w:spacing w:val="5"/>
      <w:u w:val="single"/>
    </w:rPr>
  </w:style>
  <w:style w:type="character" w:styleId="SubtleReference">
    <w:name w:val="Subtle Reference"/>
    <w:uiPriority w:val="31"/>
    <w:qFormat/>
    <w:rsid w:val="0074311C"/>
    <w:rPr>
      <w:smallCaps/>
      <w:color w:val="5BCBF5"/>
      <w:u w:val="single"/>
    </w:rPr>
  </w:style>
  <w:style w:type="character" w:styleId="Hyperlink">
    <w:name w:val="Hyperlink"/>
    <w:uiPriority w:val="99"/>
    <w:rsid w:val="006E719F"/>
    <w:rPr>
      <w:rFonts w:cs="Times New Roman"/>
      <w:color w:val="0000FF"/>
      <w:u w:val="single"/>
    </w:rPr>
  </w:style>
  <w:style w:type="table" w:styleId="LightList-Accent1">
    <w:name w:val="Light List Accent 1"/>
    <w:basedOn w:val="TableNormal"/>
    <w:uiPriority w:val="61"/>
    <w:rsid w:val="006E719F"/>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uiPriority w:val="61"/>
    <w:rsid w:val="006E719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CommentReference">
    <w:name w:val="annotation reference"/>
    <w:uiPriority w:val="99"/>
    <w:unhideWhenUsed/>
    <w:rsid w:val="006E719F"/>
    <w:rPr>
      <w:sz w:val="16"/>
      <w:szCs w:val="16"/>
    </w:rPr>
  </w:style>
  <w:style w:type="paragraph" w:styleId="CommentText">
    <w:name w:val="annotation text"/>
    <w:basedOn w:val="Normal"/>
    <w:link w:val="CommentTextChar"/>
    <w:uiPriority w:val="99"/>
    <w:unhideWhenUsed/>
    <w:rsid w:val="006E719F"/>
    <w:rPr>
      <w:sz w:val="20"/>
      <w:szCs w:val="20"/>
      <w:lang w:val="x-none" w:eastAsia="x-none"/>
    </w:rPr>
  </w:style>
  <w:style w:type="character" w:customStyle="1" w:styleId="CommentTextChar">
    <w:name w:val="Comment Text Char"/>
    <w:link w:val="CommentText"/>
    <w:uiPriority w:val="99"/>
    <w:rsid w:val="006E719F"/>
    <w:rPr>
      <w:rFonts w:ascii="Calibri" w:hAnsi="Calibri"/>
      <w:sz w:val="20"/>
      <w:szCs w:val="20"/>
    </w:rPr>
  </w:style>
  <w:style w:type="paragraph" w:styleId="CommentSubject">
    <w:name w:val="annotation subject"/>
    <w:basedOn w:val="CommentText"/>
    <w:next w:val="CommentText"/>
    <w:link w:val="CommentSubjectChar"/>
    <w:uiPriority w:val="99"/>
    <w:unhideWhenUsed/>
    <w:rsid w:val="006E719F"/>
    <w:rPr>
      <w:b/>
      <w:bCs/>
    </w:rPr>
  </w:style>
  <w:style w:type="character" w:customStyle="1" w:styleId="CommentSubjectChar">
    <w:name w:val="Comment Subject Char"/>
    <w:link w:val="CommentSubject"/>
    <w:uiPriority w:val="99"/>
    <w:rsid w:val="006E719F"/>
    <w:rPr>
      <w:rFonts w:ascii="Calibri" w:hAnsi="Calibri"/>
      <w:b/>
      <w:bCs/>
      <w:sz w:val="20"/>
      <w:szCs w:val="20"/>
    </w:rPr>
  </w:style>
  <w:style w:type="paragraph" w:styleId="Caption">
    <w:name w:val="caption"/>
    <w:aliases w:val="Figure,CDM B/Caption,Table Caption,TABLE,Char,Item"/>
    <w:basedOn w:val="Normal"/>
    <w:next w:val="Normal"/>
    <w:link w:val="CaptionChar"/>
    <w:uiPriority w:val="35"/>
    <w:qFormat/>
    <w:rsid w:val="00102207"/>
    <w:pPr>
      <w:keepNext/>
      <w:spacing w:before="0" w:after="0"/>
    </w:pPr>
    <w:rPr>
      <w:rFonts w:eastAsia="Times New Roman" w:cs="Khmer UI"/>
      <w:bCs/>
      <w:i/>
      <w:sz w:val="22"/>
      <w:szCs w:val="22"/>
    </w:rPr>
  </w:style>
  <w:style w:type="paragraph" w:customStyle="1" w:styleId="xl29">
    <w:name w:val="xl29"/>
    <w:basedOn w:val="Normal"/>
    <w:uiPriority w:val="99"/>
    <w:rsid w:val="00924476"/>
    <w:pPr>
      <w:spacing w:before="100" w:beforeAutospacing="1" w:after="100" w:afterAutospacing="1" w:line="276" w:lineRule="auto"/>
      <w:jc w:val="center"/>
    </w:pPr>
    <w:rPr>
      <w:rFonts w:ascii="Arial Unicode MS" w:eastAsia="Arial Unicode MS" w:hAnsi="Arial Unicode MS" w:cs="Arial Unicode MS"/>
    </w:rPr>
  </w:style>
  <w:style w:type="paragraph" w:styleId="TableofFigures">
    <w:name w:val="table of figures"/>
    <w:basedOn w:val="Normal"/>
    <w:next w:val="Normal"/>
    <w:uiPriority w:val="99"/>
    <w:unhideWhenUsed/>
    <w:rsid w:val="00885DB8"/>
    <w:pPr>
      <w:spacing w:after="0"/>
    </w:pPr>
  </w:style>
  <w:style w:type="table" w:styleId="MediumShading1-Accent3">
    <w:name w:val="Medium Shading 1 Accent 3"/>
    <w:basedOn w:val="TableNormal"/>
    <w:uiPriority w:val="63"/>
    <w:rsid w:val="00E72DC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3">
    <w:name w:val="Light Shading Accent 3"/>
    <w:basedOn w:val="TableNormal"/>
    <w:uiPriority w:val="60"/>
    <w:rsid w:val="00E72DC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Emphasis">
    <w:name w:val="Emphasis"/>
    <w:uiPriority w:val="20"/>
    <w:qFormat/>
    <w:rsid w:val="00E71626"/>
    <w:rPr>
      <w:i/>
      <w:iCs/>
    </w:rPr>
  </w:style>
  <w:style w:type="character" w:styleId="PlaceholderText">
    <w:name w:val="Placeholder Text"/>
    <w:uiPriority w:val="99"/>
    <w:semiHidden/>
    <w:rsid w:val="00C11D35"/>
    <w:rPr>
      <w:color w:val="808080"/>
    </w:rPr>
  </w:style>
  <w:style w:type="table" w:styleId="MediumGrid3-Accent3">
    <w:name w:val="Medium Grid 3 Accent 3"/>
    <w:basedOn w:val="TableNormal"/>
    <w:uiPriority w:val="69"/>
    <w:rsid w:val="002E7C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DefaultParagraphFont"/>
    <w:rsid w:val="00924476"/>
  </w:style>
  <w:style w:type="numbering" w:customStyle="1" w:styleId="NoList1">
    <w:name w:val="No List1"/>
    <w:next w:val="NoList"/>
    <w:uiPriority w:val="99"/>
    <w:semiHidden/>
    <w:unhideWhenUsed/>
    <w:rsid w:val="002D3991"/>
  </w:style>
  <w:style w:type="character" w:styleId="FollowedHyperlink">
    <w:name w:val="FollowedHyperlink"/>
    <w:uiPriority w:val="99"/>
    <w:semiHidden/>
    <w:unhideWhenUsed/>
    <w:rsid w:val="00BD19AC"/>
    <w:rPr>
      <w:color w:val="800080"/>
      <w:u w:val="single"/>
    </w:rPr>
  </w:style>
  <w:style w:type="character" w:styleId="IntenseEmphasis">
    <w:name w:val="Intense Emphasis"/>
    <w:qFormat/>
    <w:rsid w:val="00B87D1E"/>
    <w:rPr>
      <w:b/>
      <w:bCs/>
      <w:i/>
      <w:iCs/>
      <w:color w:val="4F81BD"/>
      <w:sz w:val="22"/>
      <w:szCs w:val="22"/>
    </w:rPr>
  </w:style>
  <w:style w:type="paragraph" w:customStyle="1" w:styleId="BodyText1">
    <w:name w:val="Body Text1"/>
    <w:basedOn w:val="Normal"/>
    <w:uiPriority w:val="99"/>
    <w:qFormat/>
    <w:rsid w:val="00924476"/>
    <w:pPr>
      <w:tabs>
        <w:tab w:val="left" w:pos="851"/>
      </w:tabs>
      <w:spacing w:line="360" w:lineRule="auto"/>
      <w:jc w:val="both"/>
    </w:pPr>
    <w:rPr>
      <w:rFonts w:ascii="Century Gothic" w:eastAsia="Times New Roman" w:hAnsi="Century Gothic" w:cs="Angsana New"/>
      <w:sz w:val="22"/>
      <w:szCs w:val="22"/>
      <w:lang w:eastAsia="zh-CN" w:bidi="th-TH"/>
    </w:rPr>
  </w:style>
  <w:style w:type="table" w:styleId="MediumGrid3-Accent1">
    <w:name w:val="Medium Grid 3 Accent 1"/>
    <w:basedOn w:val="TableNormal"/>
    <w:uiPriority w:val="69"/>
    <w:rsid w:val="00B87D1E"/>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F62FB7"/>
    <w:pPr>
      <w:autoSpaceDE w:val="0"/>
      <w:autoSpaceDN w:val="0"/>
      <w:adjustRightInd w:val="0"/>
    </w:pPr>
    <w:rPr>
      <w:rFonts w:ascii="Calibri" w:eastAsia="Times New Roman" w:hAnsi="Calibri" w:cs="Calibri"/>
      <w:color w:val="000000"/>
      <w:sz w:val="24"/>
      <w:szCs w:val="24"/>
    </w:rPr>
  </w:style>
  <w:style w:type="character" w:customStyle="1" w:styleId="Heading7Char">
    <w:name w:val="Heading 7 Char"/>
    <w:link w:val="Heading7"/>
    <w:semiHidden/>
    <w:rsid w:val="00111E52"/>
    <w:rPr>
      <w:rFonts w:ascii="Calibri" w:eastAsia="Times New Roman" w:hAnsi="Calibri"/>
      <w:sz w:val="24"/>
      <w:szCs w:val="24"/>
      <w:lang w:eastAsia="en-US"/>
    </w:rPr>
  </w:style>
  <w:style w:type="character" w:customStyle="1" w:styleId="Heading8Char">
    <w:name w:val="Heading 8 Char"/>
    <w:link w:val="Heading8"/>
    <w:semiHidden/>
    <w:rsid w:val="00111E52"/>
    <w:rPr>
      <w:rFonts w:ascii="Calibri" w:eastAsia="Times New Roman" w:hAnsi="Calibri"/>
      <w:i/>
      <w:iCs/>
      <w:sz w:val="24"/>
      <w:szCs w:val="24"/>
      <w:lang w:eastAsia="en-US"/>
    </w:rPr>
  </w:style>
  <w:style w:type="character" w:customStyle="1" w:styleId="Heading9Char">
    <w:name w:val="Heading 9 Char"/>
    <w:link w:val="Heading9"/>
    <w:semiHidden/>
    <w:rsid w:val="00111E52"/>
    <w:rPr>
      <w:rFonts w:eastAsia="Times New Roman"/>
      <w:sz w:val="22"/>
      <w:szCs w:val="22"/>
      <w:lang w:eastAsia="en-US"/>
    </w:rPr>
  </w:style>
  <w:style w:type="paragraph" w:customStyle="1" w:styleId="IAEHeading1">
    <w:name w:val="IAE Heading 1"/>
    <w:basedOn w:val="Heading1"/>
    <w:next w:val="Normal"/>
    <w:uiPriority w:val="99"/>
    <w:qFormat/>
    <w:rsid w:val="00924476"/>
    <w:pPr>
      <w:numPr>
        <w:numId w:val="0"/>
      </w:numPr>
      <w:shd w:val="clear" w:color="auto" w:fill="B6DDE8"/>
      <w:tabs>
        <w:tab w:val="left" w:pos="284"/>
      </w:tabs>
      <w:spacing w:before="170" w:after="113" w:line="260" w:lineRule="atLeast"/>
      <w:ind w:left="720" w:hanging="360"/>
    </w:pPr>
    <w:rPr>
      <w:b w:val="0"/>
      <w:bCs w:val="0"/>
      <w:caps w:val="0"/>
      <w:noProof w:val="0"/>
      <w:color w:val="215868"/>
      <w:kern w:val="32"/>
      <w:sz w:val="36"/>
      <w:lang w:val="en-AU" w:eastAsia="en-US"/>
    </w:rPr>
  </w:style>
  <w:style w:type="paragraph" w:customStyle="1" w:styleId="IAEHeading2">
    <w:name w:val="IAE Heading 2"/>
    <w:basedOn w:val="Normal"/>
    <w:next w:val="Normal"/>
    <w:uiPriority w:val="99"/>
    <w:qFormat/>
    <w:rsid w:val="00924476"/>
    <w:pPr>
      <w:widowControl w:val="0"/>
      <w:suppressAutoHyphens/>
      <w:autoSpaceDE w:val="0"/>
      <w:autoSpaceDN w:val="0"/>
      <w:adjustRightInd w:val="0"/>
      <w:spacing w:before="170" w:after="113" w:line="260" w:lineRule="atLeast"/>
      <w:ind w:left="860" w:hanging="576"/>
      <w:textAlignment w:val="center"/>
      <w:outlineLvl w:val="1"/>
    </w:pPr>
    <w:rPr>
      <w:rFonts w:eastAsia="Cambria" w:cs="MyriadPro-Bold"/>
      <w:b/>
      <w:bCs/>
      <w:color w:val="215868"/>
      <w:sz w:val="28"/>
      <w:szCs w:val="28"/>
      <w:lang w:val="en-GB"/>
    </w:rPr>
  </w:style>
  <w:style w:type="paragraph" w:customStyle="1" w:styleId="IAEHeading3">
    <w:name w:val="IAE Heading 3"/>
    <w:basedOn w:val="IAEHeading2"/>
    <w:next w:val="Normal"/>
    <w:uiPriority w:val="99"/>
    <w:qFormat/>
    <w:rsid w:val="00924476"/>
    <w:pPr>
      <w:ind w:left="2160" w:hanging="360"/>
    </w:pPr>
    <w:rPr>
      <w:sz w:val="24"/>
      <w:szCs w:val="24"/>
    </w:rPr>
  </w:style>
  <w:style w:type="character" w:customStyle="1" w:styleId="ListParagraphChar">
    <w:name w:val="List Paragraph Char"/>
    <w:aliases w:val="table text Char,ch Char,Bullet 1 Char,Bullet list Char"/>
    <w:link w:val="ListParagraph"/>
    <w:uiPriority w:val="34"/>
    <w:locked/>
    <w:rsid w:val="0019009E"/>
    <w:rPr>
      <w:rFonts w:ascii="Calibri" w:hAnsi="Calibri"/>
      <w:sz w:val="24"/>
      <w:szCs w:val="24"/>
      <w:lang w:eastAsia="en-US"/>
    </w:rPr>
  </w:style>
  <w:style w:type="character" w:customStyle="1" w:styleId="CaptionChar">
    <w:name w:val="Caption Char"/>
    <w:aliases w:val="Figure Char,CDM B/Caption Char,Table Caption Char,TABLE Char,Char Char,Item Char"/>
    <w:link w:val="Caption"/>
    <w:uiPriority w:val="35"/>
    <w:locked/>
    <w:rsid w:val="00102207"/>
    <w:rPr>
      <w:rFonts w:ascii="Calibri" w:eastAsia="Times New Roman" w:hAnsi="Calibri" w:cs="Khmer UI"/>
      <w:bCs/>
      <w:i/>
      <w:sz w:val="22"/>
      <w:szCs w:val="22"/>
      <w:lang w:eastAsia="en-US"/>
    </w:rPr>
  </w:style>
  <w:style w:type="paragraph" w:customStyle="1" w:styleId="IAECaptionFigTable">
    <w:name w:val="IAE Caption Fig Table"/>
    <w:basedOn w:val="Caption"/>
    <w:uiPriority w:val="99"/>
    <w:qFormat/>
    <w:rsid w:val="00924476"/>
    <w:pPr>
      <w:spacing w:after="80"/>
    </w:pPr>
    <w:rPr>
      <w:rFonts w:cs="Times New Roman"/>
      <w:i w:val="0"/>
      <w:color w:val="004990"/>
      <w:sz w:val="18"/>
      <w:szCs w:val="18"/>
    </w:rPr>
  </w:style>
  <w:style w:type="paragraph" w:customStyle="1" w:styleId="IAEtextCalibri">
    <w:name w:val="IAE text Calibri"/>
    <w:basedOn w:val="Normal"/>
    <w:qFormat/>
    <w:rsid w:val="00924476"/>
    <w:pPr>
      <w:spacing w:before="0" w:after="240" w:line="260" w:lineRule="exact"/>
    </w:pPr>
    <w:rPr>
      <w:rFonts w:eastAsia="Cambria"/>
      <w:sz w:val="20"/>
      <w:szCs w:val="20"/>
      <w:lang w:eastAsia="en-AU"/>
    </w:rPr>
  </w:style>
  <w:style w:type="numbering" w:customStyle="1" w:styleId="KeyPoints">
    <w:name w:val="Key Points"/>
    <w:basedOn w:val="NoList"/>
    <w:uiPriority w:val="99"/>
    <w:rsid w:val="00585CB4"/>
    <w:pPr>
      <w:numPr>
        <w:numId w:val="4"/>
      </w:numPr>
    </w:pPr>
  </w:style>
  <w:style w:type="paragraph" w:styleId="ListNumber">
    <w:name w:val="List Number"/>
    <w:basedOn w:val="Normal"/>
    <w:uiPriority w:val="99"/>
    <w:qFormat/>
    <w:rsid w:val="00585CB4"/>
    <w:pPr>
      <w:numPr>
        <w:numId w:val="5"/>
      </w:numPr>
      <w:snapToGrid w:val="0"/>
      <w:spacing w:before="0" w:after="60"/>
    </w:pPr>
    <w:rPr>
      <w:rFonts w:ascii="Arial" w:eastAsia="Times New Roman" w:hAnsi="Arial" w:cs="Arial"/>
      <w:sz w:val="22"/>
      <w:szCs w:val="22"/>
      <w:lang w:val="en-GB" w:eastAsia="en-AU"/>
    </w:rPr>
  </w:style>
  <w:style w:type="paragraph" w:styleId="ListNumber2">
    <w:name w:val="List Number 2"/>
    <w:basedOn w:val="Normal"/>
    <w:uiPriority w:val="99"/>
    <w:rsid w:val="00585CB4"/>
    <w:pPr>
      <w:numPr>
        <w:ilvl w:val="1"/>
        <w:numId w:val="5"/>
      </w:numPr>
      <w:snapToGrid w:val="0"/>
      <w:spacing w:before="0" w:after="60"/>
    </w:pPr>
    <w:rPr>
      <w:rFonts w:ascii="Arial" w:eastAsia="Times New Roman" w:hAnsi="Arial" w:cs="Arial"/>
      <w:sz w:val="22"/>
      <w:szCs w:val="22"/>
      <w:lang w:val="en-GB" w:eastAsia="en-AU"/>
    </w:rPr>
  </w:style>
  <w:style w:type="paragraph" w:styleId="ListNumber3">
    <w:name w:val="List Number 3"/>
    <w:basedOn w:val="Normal"/>
    <w:uiPriority w:val="99"/>
    <w:rsid w:val="00585CB4"/>
    <w:pPr>
      <w:numPr>
        <w:ilvl w:val="2"/>
        <w:numId w:val="5"/>
      </w:numPr>
      <w:snapToGrid w:val="0"/>
      <w:spacing w:before="0" w:after="60"/>
    </w:pPr>
    <w:rPr>
      <w:rFonts w:ascii="Arial" w:eastAsia="Times New Roman" w:hAnsi="Arial" w:cs="Arial"/>
      <w:sz w:val="22"/>
      <w:szCs w:val="22"/>
      <w:lang w:val="en-GB" w:eastAsia="en-AU"/>
    </w:rPr>
  </w:style>
  <w:style w:type="paragraph" w:styleId="ListNumber4">
    <w:name w:val="List Number 4"/>
    <w:basedOn w:val="Normal"/>
    <w:uiPriority w:val="99"/>
    <w:rsid w:val="00585CB4"/>
    <w:pPr>
      <w:numPr>
        <w:ilvl w:val="3"/>
        <w:numId w:val="5"/>
      </w:numPr>
      <w:snapToGrid w:val="0"/>
      <w:spacing w:before="0" w:after="60"/>
    </w:pPr>
    <w:rPr>
      <w:rFonts w:ascii="Arial" w:eastAsia="Times New Roman" w:hAnsi="Arial" w:cs="Arial"/>
      <w:sz w:val="22"/>
      <w:szCs w:val="22"/>
      <w:lang w:val="en-GB" w:eastAsia="en-AU"/>
    </w:rPr>
  </w:style>
  <w:style w:type="paragraph" w:styleId="ListNumber5">
    <w:name w:val="List Number 5"/>
    <w:basedOn w:val="Normal"/>
    <w:uiPriority w:val="99"/>
    <w:rsid w:val="00585CB4"/>
    <w:pPr>
      <w:numPr>
        <w:ilvl w:val="4"/>
        <w:numId w:val="5"/>
      </w:numPr>
      <w:snapToGrid w:val="0"/>
      <w:spacing w:before="0" w:after="60"/>
    </w:pPr>
    <w:rPr>
      <w:rFonts w:ascii="Arial" w:eastAsia="Times New Roman" w:hAnsi="Arial" w:cs="Arial"/>
      <w:sz w:val="22"/>
      <w:szCs w:val="22"/>
      <w:lang w:val="en-GB" w:eastAsia="en-AU"/>
    </w:rPr>
  </w:style>
  <w:style w:type="paragraph" w:customStyle="1" w:styleId="EndNoteBibliographyTitle">
    <w:name w:val="EndNote Bibliography Title"/>
    <w:basedOn w:val="Normal"/>
    <w:link w:val="EndNoteBibliographyTitleChar"/>
    <w:rsid w:val="00A65A45"/>
    <w:pPr>
      <w:spacing w:after="0"/>
      <w:jc w:val="center"/>
    </w:pPr>
    <w:rPr>
      <w:rFonts w:cs="Calibri"/>
      <w:noProof/>
      <w:lang w:val="en-US"/>
    </w:rPr>
  </w:style>
  <w:style w:type="character" w:customStyle="1" w:styleId="Heading1IAEChar">
    <w:name w:val="Heading 1 IAE Char"/>
    <w:link w:val="Heading1IAE"/>
    <w:rsid w:val="00A65A45"/>
    <w:rPr>
      <w:rFonts w:ascii="Calibri" w:eastAsia="MS Gothic" w:hAnsi="Calibri"/>
      <w:b/>
      <w:bCs/>
      <w:caps/>
      <w:noProof/>
      <w:color w:val="5F7D23"/>
      <w:sz w:val="48"/>
      <w:szCs w:val="48"/>
      <w:lang w:val="en-US" w:eastAsia="en-US"/>
    </w:rPr>
  </w:style>
  <w:style w:type="character" w:customStyle="1" w:styleId="H1TITLEChar">
    <w:name w:val="H1 TITLE Char"/>
    <w:link w:val="H1TITLE"/>
    <w:rsid w:val="00A65A45"/>
    <w:rPr>
      <w:rFonts w:ascii="Calibri" w:eastAsia="MS Gothic" w:hAnsi="Calibri"/>
      <w:b/>
      <w:bCs/>
      <w:caps/>
      <w:noProof/>
      <w:color w:val="5F7D23"/>
      <w:sz w:val="72"/>
      <w:szCs w:val="72"/>
      <w:lang w:val="en-US" w:eastAsia="en-US"/>
    </w:rPr>
  </w:style>
  <w:style w:type="character" w:customStyle="1" w:styleId="EndNoteBibliographyTitleChar">
    <w:name w:val="EndNote Bibliography Title Char"/>
    <w:link w:val="EndNoteBibliographyTitle"/>
    <w:rsid w:val="00A65A45"/>
    <w:rPr>
      <w:rFonts w:ascii="Calibri" w:hAnsi="Calibri" w:cs="Calibri"/>
      <w:noProof/>
      <w:sz w:val="24"/>
      <w:szCs w:val="24"/>
      <w:lang w:val="en-US" w:eastAsia="en-US"/>
    </w:rPr>
  </w:style>
  <w:style w:type="paragraph" w:customStyle="1" w:styleId="EndNoteBibliography">
    <w:name w:val="EndNote Bibliography"/>
    <w:basedOn w:val="Normal"/>
    <w:link w:val="EndNoteBibliographyChar"/>
    <w:rsid w:val="00A65A45"/>
    <w:rPr>
      <w:rFonts w:cs="Calibri"/>
      <w:noProof/>
      <w:lang w:val="en-US"/>
    </w:rPr>
  </w:style>
  <w:style w:type="character" w:customStyle="1" w:styleId="EndNoteBibliographyChar">
    <w:name w:val="EndNote Bibliography Char"/>
    <w:link w:val="EndNoteBibliography"/>
    <w:rsid w:val="00A65A45"/>
    <w:rPr>
      <w:rFonts w:ascii="Calibri" w:hAnsi="Calibri" w:cs="Calibri"/>
      <w:noProof/>
      <w:sz w:val="24"/>
      <w:szCs w:val="24"/>
      <w:lang w:val="en-US" w:eastAsia="en-US"/>
    </w:rPr>
  </w:style>
  <w:style w:type="paragraph" w:customStyle="1" w:styleId="IAEtextdotpoints">
    <w:name w:val="IAE text dot points"/>
    <w:basedOn w:val="IAEtextCalibri"/>
    <w:uiPriority w:val="99"/>
    <w:qFormat/>
    <w:rsid w:val="00924476"/>
    <w:pPr>
      <w:widowControl w:val="0"/>
      <w:tabs>
        <w:tab w:val="left" w:pos="284"/>
      </w:tabs>
      <w:suppressAutoHyphens/>
      <w:autoSpaceDE w:val="0"/>
      <w:autoSpaceDN w:val="0"/>
      <w:adjustRightInd w:val="0"/>
      <w:spacing w:after="120" w:line="240" w:lineRule="auto"/>
      <w:ind w:left="1212" w:hanging="360"/>
      <w:textAlignment w:val="center"/>
    </w:pPr>
    <w:rPr>
      <w:rFonts w:cs="MyriadPro-Regular"/>
      <w:color w:val="000000"/>
      <w:lang w:val="en-GB"/>
    </w:rPr>
  </w:style>
  <w:style w:type="paragraph" w:styleId="ListBullet">
    <w:name w:val="List Bullet"/>
    <w:basedOn w:val="ListParagraph"/>
    <w:uiPriority w:val="22"/>
    <w:unhideWhenUsed/>
    <w:qFormat/>
    <w:rsid w:val="00AC695E"/>
    <w:pPr>
      <w:numPr>
        <w:numId w:val="6"/>
      </w:numPr>
      <w:spacing w:after="160"/>
    </w:pPr>
    <w:rPr>
      <w:rFonts w:eastAsia="Times New Roman" w:cs="Arial"/>
      <w:color w:val="000000"/>
      <w:kern w:val="28"/>
    </w:rPr>
  </w:style>
  <w:style w:type="paragraph" w:customStyle="1" w:styleId="BusName">
    <w:name w:val="BusName"/>
    <w:basedOn w:val="Footer"/>
    <w:uiPriority w:val="99"/>
    <w:rsid w:val="00DF6E54"/>
    <w:pPr>
      <w:tabs>
        <w:tab w:val="clear" w:pos="4320"/>
        <w:tab w:val="clear" w:pos="8640"/>
        <w:tab w:val="right" w:pos="8647"/>
      </w:tabs>
      <w:spacing w:before="0" w:after="220"/>
    </w:pPr>
    <w:rPr>
      <w:rFonts w:ascii="Arial Narrow" w:eastAsia="Times New Roman" w:hAnsi="Arial Narrow"/>
      <w:b/>
      <w:noProof/>
      <w:color w:val="000000"/>
      <w:sz w:val="16"/>
      <w:szCs w:val="20"/>
      <w:lang w:val="en-GB"/>
    </w:rPr>
  </w:style>
  <w:style w:type="paragraph" w:styleId="Revision">
    <w:name w:val="Revision"/>
    <w:hidden/>
    <w:uiPriority w:val="99"/>
    <w:semiHidden/>
    <w:rsid w:val="00D83473"/>
    <w:rPr>
      <w:rFonts w:ascii="Calibri" w:hAnsi="Calibri"/>
      <w:sz w:val="24"/>
      <w:szCs w:val="24"/>
      <w:lang w:eastAsia="en-US"/>
    </w:rPr>
  </w:style>
  <w:style w:type="paragraph" w:styleId="EndnoteText">
    <w:name w:val="endnote text"/>
    <w:basedOn w:val="Normal"/>
    <w:link w:val="EndnoteTextChar"/>
    <w:uiPriority w:val="99"/>
    <w:semiHidden/>
    <w:unhideWhenUsed/>
    <w:rsid w:val="00A04344"/>
    <w:rPr>
      <w:sz w:val="20"/>
      <w:szCs w:val="20"/>
    </w:rPr>
  </w:style>
  <w:style w:type="character" w:customStyle="1" w:styleId="EndnoteTextChar">
    <w:name w:val="Endnote Text Char"/>
    <w:link w:val="EndnoteText"/>
    <w:uiPriority w:val="99"/>
    <w:semiHidden/>
    <w:rsid w:val="00A04344"/>
    <w:rPr>
      <w:rFonts w:ascii="Calibri" w:hAnsi="Calibri"/>
      <w:lang w:eastAsia="en-US"/>
    </w:rPr>
  </w:style>
  <w:style w:type="character" w:styleId="EndnoteReference">
    <w:name w:val="endnote reference"/>
    <w:uiPriority w:val="99"/>
    <w:semiHidden/>
    <w:unhideWhenUsed/>
    <w:rsid w:val="00A04344"/>
    <w:rPr>
      <w:vertAlign w:val="superscript"/>
    </w:rPr>
  </w:style>
  <w:style w:type="paragraph" w:styleId="PlainText">
    <w:name w:val="Plain Text"/>
    <w:basedOn w:val="Normal"/>
    <w:link w:val="PlainTextChar"/>
    <w:uiPriority w:val="99"/>
    <w:unhideWhenUsed/>
    <w:rsid w:val="006159C2"/>
    <w:pPr>
      <w:spacing w:before="0" w:after="0"/>
    </w:pPr>
    <w:rPr>
      <w:rFonts w:eastAsia="Calibri"/>
      <w:sz w:val="22"/>
      <w:szCs w:val="21"/>
    </w:rPr>
  </w:style>
  <w:style w:type="character" w:customStyle="1" w:styleId="PlainTextChar">
    <w:name w:val="Plain Text Char"/>
    <w:link w:val="PlainText"/>
    <w:uiPriority w:val="99"/>
    <w:rsid w:val="006159C2"/>
    <w:rPr>
      <w:rFonts w:ascii="Calibri" w:eastAsia="Calibri" w:hAnsi="Calibri"/>
      <w:sz w:val="22"/>
      <w:szCs w:val="21"/>
      <w:lang w:eastAsia="en-US"/>
    </w:rPr>
  </w:style>
  <w:style w:type="paragraph" w:styleId="BodyText">
    <w:name w:val="Body Text"/>
    <w:basedOn w:val="Normal"/>
    <w:link w:val="BodyTextChar"/>
    <w:uiPriority w:val="99"/>
    <w:rsid w:val="00924476"/>
    <w:pPr>
      <w:spacing w:before="0" w:line="260" w:lineRule="exact"/>
    </w:pPr>
    <w:rPr>
      <w:rFonts w:eastAsia="Cambria"/>
      <w:sz w:val="20"/>
      <w:szCs w:val="20"/>
    </w:rPr>
  </w:style>
  <w:style w:type="character" w:customStyle="1" w:styleId="BodyTextChar">
    <w:name w:val="Body Text Char"/>
    <w:basedOn w:val="DefaultParagraphFont"/>
    <w:link w:val="BodyText"/>
    <w:uiPriority w:val="99"/>
    <w:rsid w:val="00924476"/>
    <w:rPr>
      <w:rFonts w:ascii="Calibri" w:eastAsia="Cambria" w:hAnsi="Calibri"/>
      <w:lang w:eastAsia="en-US"/>
    </w:rPr>
  </w:style>
  <w:style w:type="paragraph" w:customStyle="1" w:styleId="IAEHeading4">
    <w:name w:val="IAE Heading 4"/>
    <w:basedOn w:val="Heading4"/>
    <w:next w:val="IAEtextCalibri"/>
    <w:qFormat/>
    <w:rsid w:val="00924476"/>
    <w:pPr>
      <w:numPr>
        <w:ilvl w:val="0"/>
        <w:numId w:val="0"/>
      </w:numPr>
      <w:tabs>
        <w:tab w:val="num" w:pos="360"/>
      </w:tabs>
      <w:spacing w:line="276" w:lineRule="auto"/>
      <w:ind w:left="576" w:hanging="576"/>
    </w:pPr>
    <w:rPr>
      <w:bCs/>
      <w:i w:val="0"/>
      <w:color w:val="4F81BD"/>
      <w:sz w:val="22"/>
      <w:lang w:val="en-AU" w:eastAsia="en-US"/>
    </w:rPr>
  </w:style>
  <w:style w:type="paragraph" w:customStyle="1" w:styleId="Para0">
    <w:name w:val="Para 0"/>
    <w:basedOn w:val="Normal"/>
    <w:link w:val="Para0Char"/>
    <w:qFormat/>
    <w:rsid w:val="00924476"/>
    <w:pPr>
      <w:spacing w:before="0" w:after="220" w:line="300" w:lineRule="auto"/>
      <w:jc w:val="both"/>
    </w:pPr>
    <w:rPr>
      <w:rFonts w:ascii="Arial" w:eastAsia="Times New Roman" w:hAnsi="Arial"/>
      <w:color w:val="000000"/>
      <w:sz w:val="20"/>
      <w:szCs w:val="20"/>
      <w:lang w:val="en-GB"/>
    </w:rPr>
  </w:style>
  <w:style w:type="character" w:customStyle="1" w:styleId="Para0Char">
    <w:name w:val="Para 0 Char"/>
    <w:link w:val="Para0"/>
    <w:locked/>
    <w:rsid w:val="00924476"/>
    <w:rPr>
      <w:rFonts w:ascii="Arial" w:eastAsia="Times New Roman" w:hAnsi="Arial"/>
      <w:color w:val="000000"/>
      <w:lang w:val="en-GB" w:eastAsia="en-US"/>
    </w:rPr>
  </w:style>
  <w:style w:type="paragraph" w:styleId="Quote">
    <w:name w:val="Quote"/>
    <w:basedOn w:val="Normal"/>
    <w:next w:val="Normal"/>
    <w:link w:val="QuoteChar"/>
    <w:uiPriority w:val="29"/>
    <w:qFormat/>
    <w:rsid w:val="008A2ED2"/>
    <w:rPr>
      <w:i/>
      <w:iCs/>
      <w:color w:val="000000" w:themeColor="text1"/>
    </w:rPr>
  </w:style>
  <w:style w:type="character" w:customStyle="1" w:styleId="QuoteChar">
    <w:name w:val="Quote Char"/>
    <w:basedOn w:val="DefaultParagraphFont"/>
    <w:link w:val="Quote"/>
    <w:uiPriority w:val="29"/>
    <w:rsid w:val="008A2ED2"/>
    <w:rPr>
      <w:rFonts w:ascii="Calibri" w:hAnsi="Calibri"/>
      <w:i/>
      <w:iCs/>
      <w:color w:val="000000" w:themeColor="text1"/>
      <w:sz w:val="24"/>
      <w:szCs w:val="24"/>
      <w:lang w:eastAsia="en-US"/>
    </w:rPr>
  </w:style>
  <w:style w:type="paragraph" w:customStyle="1" w:styleId="Normalnote">
    <w:name w:val="Normal note"/>
    <w:basedOn w:val="Normal"/>
    <w:qFormat/>
    <w:rsid w:val="003F32A4"/>
    <w:pPr>
      <w:spacing w:after="0" w:line="220" w:lineRule="atLeast"/>
    </w:pPr>
    <w:rPr>
      <w:rFonts w:ascii="Arial" w:eastAsia="Times New Roman" w:hAnsi="Arial"/>
      <w:sz w:val="18"/>
      <w:lang w:eastAsia="en-AU"/>
    </w:rPr>
  </w:style>
  <w:style w:type="table" w:customStyle="1" w:styleId="GridTable5Dark-Accent31">
    <w:name w:val="Grid Table 5 Dark - Accent 31"/>
    <w:basedOn w:val="TableNormal"/>
    <w:uiPriority w:val="50"/>
    <w:rsid w:val="007E55F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fontweightbold1">
    <w:name w:val="fontweightbold1"/>
    <w:basedOn w:val="DefaultParagraphFont"/>
    <w:rsid w:val="005B5A60"/>
    <w:rPr>
      <w:b/>
      <w:bCs/>
    </w:rPr>
  </w:style>
  <w:style w:type="paragraph" w:customStyle="1" w:styleId="IAETABLEHead">
    <w:name w:val="IAE TABLE Head"/>
    <w:basedOn w:val="Normal"/>
    <w:uiPriority w:val="99"/>
    <w:qFormat/>
    <w:rsid w:val="00924476"/>
    <w:pPr>
      <w:framePr w:hSpace="180" w:wrap="around" w:vAnchor="text" w:hAnchor="page" w:x="944" w:y="247"/>
      <w:widowControl w:val="0"/>
      <w:tabs>
        <w:tab w:val="left" w:pos="284"/>
      </w:tabs>
      <w:suppressAutoHyphens/>
      <w:autoSpaceDE w:val="0"/>
      <w:autoSpaceDN w:val="0"/>
      <w:adjustRightInd w:val="0"/>
      <w:spacing w:before="0" w:after="0" w:line="260" w:lineRule="atLeast"/>
      <w:textAlignment w:val="center"/>
    </w:pPr>
    <w:rPr>
      <w:rFonts w:eastAsia="Cambria" w:cs="MyriadPro-Regular"/>
      <w:b/>
      <w:caps/>
      <w:color w:val="FFFFFF"/>
      <w:sz w:val="20"/>
      <w:szCs w:val="20"/>
      <w:lang w:val="en-GB"/>
    </w:rPr>
  </w:style>
  <w:style w:type="paragraph" w:customStyle="1" w:styleId="IAETABLEColHead">
    <w:name w:val="IAE TABLE Col Head"/>
    <w:basedOn w:val="IAETABLEHead"/>
    <w:uiPriority w:val="99"/>
    <w:qFormat/>
    <w:rsid w:val="00924476"/>
    <w:pPr>
      <w:framePr w:wrap="around"/>
    </w:pPr>
    <w:rPr>
      <w:b w:val="0"/>
      <w:bCs/>
      <w:color w:val="0B3066"/>
    </w:rPr>
  </w:style>
  <w:style w:type="paragraph" w:customStyle="1" w:styleId="iAETableCol1">
    <w:name w:val="iAE Table Col 1"/>
    <w:basedOn w:val="Normal"/>
    <w:uiPriority w:val="99"/>
    <w:qFormat/>
    <w:rsid w:val="00924476"/>
    <w:pPr>
      <w:framePr w:hSpace="180" w:wrap="around" w:vAnchor="text" w:hAnchor="page" w:x="944" w:y="247"/>
      <w:widowControl w:val="0"/>
      <w:tabs>
        <w:tab w:val="left" w:pos="284"/>
      </w:tabs>
      <w:suppressAutoHyphens/>
      <w:autoSpaceDE w:val="0"/>
      <w:autoSpaceDN w:val="0"/>
      <w:adjustRightInd w:val="0"/>
      <w:spacing w:before="0" w:after="113" w:line="260" w:lineRule="atLeast"/>
      <w:textAlignment w:val="center"/>
    </w:pPr>
    <w:rPr>
      <w:rFonts w:eastAsia="Cambria" w:cs="MyriadPro-Regular"/>
      <w:color w:val="FFFFFF"/>
      <w:sz w:val="20"/>
      <w:szCs w:val="20"/>
      <w:lang w:val="en-GB"/>
    </w:rPr>
  </w:style>
  <w:style w:type="paragraph" w:customStyle="1" w:styleId="IAECVName">
    <w:name w:val="IAE CV Name"/>
    <w:basedOn w:val="Normal"/>
    <w:uiPriority w:val="99"/>
    <w:rsid w:val="00924476"/>
    <w:pPr>
      <w:widowControl w:val="0"/>
      <w:suppressAutoHyphens/>
      <w:autoSpaceDE w:val="0"/>
      <w:autoSpaceDN w:val="0"/>
      <w:adjustRightInd w:val="0"/>
      <w:spacing w:before="0" w:after="0" w:line="288" w:lineRule="auto"/>
      <w:textAlignment w:val="center"/>
    </w:pPr>
    <w:rPr>
      <w:rFonts w:ascii="MyriadPro-Bold" w:eastAsia="Cambria" w:hAnsi="MyriadPro-Bold" w:cs="MyriadPro-Bold"/>
      <w:b/>
      <w:bCs/>
      <w:color w:val="004990"/>
      <w:sz w:val="36"/>
      <w:szCs w:val="36"/>
      <w:lang w:val="en-GB"/>
    </w:rPr>
  </w:style>
  <w:style w:type="paragraph" w:customStyle="1" w:styleId="IAECVTitle">
    <w:name w:val="IAE CV Title"/>
    <w:basedOn w:val="Normal"/>
    <w:uiPriority w:val="99"/>
    <w:rsid w:val="00924476"/>
    <w:pPr>
      <w:widowControl w:val="0"/>
      <w:suppressAutoHyphens/>
      <w:autoSpaceDE w:val="0"/>
      <w:autoSpaceDN w:val="0"/>
      <w:adjustRightInd w:val="0"/>
      <w:spacing w:before="0" w:after="0" w:line="288" w:lineRule="auto"/>
      <w:textAlignment w:val="center"/>
    </w:pPr>
    <w:rPr>
      <w:rFonts w:ascii="MyriadPro-Regular" w:eastAsia="Cambria" w:hAnsi="MyriadPro-Regular" w:cs="MyriadPro-Regular"/>
      <w:color w:val="897966"/>
      <w:sz w:val="20"/>
      <w:szCs w:val="20"/>
      <w:lang w:val="en-GB"/>
    </w:rPr>
  </w:style>
  <w:style w:type="paragraph" w:customStyle="1" w:styleId="IAEProjectPartner">
    <w:name w:val="IAE Project &amp; Partner"/>
    <w:basedOn w:val="BasicParagraph"/>
    <w:uiPriority w:val="99"/>
    <w:qFormat/>
    <w:rsid w:val="00924476"/>
    <w:pPr>
      <w:suppressAutoHyphens/>
      <w:spacing w:after="113"/>
    </w:pPr>
    <w:rPr>
      <w:rFonts w:ascii="MyriadPro-Regular" w:hAnsi="MyriadPro-Regular" w:cs="MyriadPro-Regular"/>
      <w:sz w:val="18"/>
      <w:szCs w:val="18"/>
    </w:rPr>
  </w:style>
  <w:style w:type="table" w:customStyle="1" w:styleId="MDBAsimpletable">
    <w:name w:val="MDBA simple table"/>
    <w:basedOn w:val="TableNormal"/>
    <w:uiPriority w:val="99"/>
    <w:rsid w:val="00F04D1A"/>
    <w:rPr>
      <w:rFonts w:ascii="Arial" w:eastAsiaTheme="minorHAnsi" w:hAnsi="Arial"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paragraph" w:styleId="Title">
    <w:name w:val="Title"/>
    <w:aliases w:val="HEAD1"/>
    <w:basedOn w:val="Normal"/>
    <w:next w:val="Normal"/>
    <w:link w:val="TitleChar"/>
    <w:autoRedefine/>
    <w:uiPriority w:val="10"/>
    <w:qFormat/>
    <w:rsid w:val="00696E7D"/>
    <w:pPr>
      <w:spacing w:after="240"/>
      <w:contextualSpacing/>
    </w:pPr>
    <w:rPr>
      <w:rFonts w:ascii="Times New Roman" w:eastAsiaTheme="majorEastAsia" w:hAnsi="Times New Roman" w:cstheme="majorBidi"/>
      <w:b/>
      <w:spacing w:val="5"/>
      <w:kern w:val="28"/>
      <w:sz w:val="28"/>
      <w:szCs w:val="52"/>
      <w:lang w:eastAsia="en-AU"/>
    </w:rPr>
  </w:style>
  <w:style w:type="character" w:customStyle="1" w:styleId="TitleChar">
    <w:name w:val="Title Char"/>
    <w:aliases w:val="HEAD1 Char"/>
    <w:basedOn w:val="DefaultParagraphFont"/>
    <w:link w:val="Title"/>
    <w:uiPriority w:val="10"/>
    <w:rsid w:val="00696E7D"/>
    <w:rPr>
      <w:rFonts w:ascii="Times New Roman" w:eastAsiaTheme="majorEastAsia" w:hAnsi="Times New Roman" w:cstheme="majorBidi"/>
      <w:b/>
      <w:spacing w:val="5"/>
      <w:kern w:val="28"/>
      <w:sz w:val="28"/>
      <w:szCs w:val="52"/>
    </w:rPr>
  </w:style>
  <w:style w:type="paragraph" w:styleId="Subtitle">
    <w:name w:val="Subtitle"/>
    <w:aliases w:val="HEAD2"/>
    <w:basedOn w:val="Normal"/>
    <w:next w:val="Normal"/>
    <w:link w:val="SubtitleChar"/>
    <w:uiPriority w:val="11"/>
    <w:qFormat/>
    <w:rsid w:val="00696E7D"/>
    <w:pPr>
      <w:numPr>
        <w:ilvl w:val="1"/>
      </w:numPr>
      <w:spacing w:before="0"/>
    </w:pPr>
    <w:rPr>
      <w:rFonts w:ascii="Times New Roman" w:eastAsiaTheme="majorEastAsia" w:hAnsi="Times New Roman" w:cstheme="majorBidi"/>
      <w:b/>
      <w:iCs/>
      <w:spacing w:val="15"/>
      <w:lang w:eastAsia="en-AU"/>
    </w:rPr>
  </w:style>
  <w:style w:type="character" w:customStyle="1" w:styleId="SubtitleChar">
    <w:name w:val="Subtitle Char"/>
    <w:aliases w:val="HEAD2 Char"/>
    <w:basedOn w:val="DefaultParagraphFont"/>
    <w:link w:val="Subtitle"/>
    <w:uiPriority w:val="11"/>
    <w:rsid w:val="00696E7D"/>
    <w:rPr>
      <w:rFonts w:ascii="Times New Roman" w:eastAsiaTheme="majorEastAsia" w:hAnsi="Times New Roman" w:cstheme="majorBidi"/>
      <w:b/>
      <w:iCs/>
      <w:spacing w:val="15"/>
      <w:sz w:val="24"/>
      <w:szCs w:val="24"/>
    </w:rPr>
  </w:style>
  <w:style w:type="paragraph" w:customStyle="1" w:styleId="IAEEcoSolutions">
    <w:name w:val="IAE Eco Solutions"/>
    <w:uiPriority w:val="99"/>
    <w:qFormat/>
    <w:rsid w:val="00924476"/>
    <w:pPr>
      <w:spacing w:after="208"/>
    </w:pPr>
    <w:rPr>
      <w:rFonts w:ascii="MyriadPro-Regular" w:eastAsia="Cambria" w:hAnsi="MyriadPro-Regular" w:cs="MyriadPro-Regular"/>
      <w:color w:val="00467E"/>
      <w:sz w:val="28"/>
      <w:szCs w:val="28"/>
      <w:lang w:eastAsia="en-US"/>
    </w:rPr>
  </w:style>
  <w:style w:type="character" w:styleId="Strong">
    <w:name w:val="Strong"/>
    <w:basedOn w:val="DefaultParagraphFont"/>
    <w:uiPriority w:val="22"/>
    <w:qFormat/>
    <w:rsid w:val="00696E7D"/>
    <w:rPr>
      <w:b/>
      <w:bCs/>
    </w:rPr>
  </w:style>
  <w:style w:type="paragraph" w:customStyle="1" w:styleId="IAECAPHeading">
    <w:name w:val="IAE CAP Heading"/>
    <w:basedOn w:val="Normal"/>
    <w:uiPriority w:val="99"/>
    <w:rsid w:val="00924476"/>
    <w:pPr>
      <w:widowControl w:val="0"/>
      <w:suppressAutoHyphens/>
      <w:autoSpaceDE w:val="0"/>
      <w:autoSpaceDN w:val="0"/>
      <w:adjustRightInd w:val="0"/>
      <w:spacing w:before="0" w:after="162" w:line="940" w:lineRule="atLeast"/>
      <w:textAlignment w:val="center"/>
    </w:pPr>
    <w:rPr>
      <w:rFonts w:ascii="MyriadPro-Regular" w:eastAsia="Cambria" w:hAnsi="MyriadPro-Regular" w:cs="MyriadPro-Regular"/>
      <w:color w:val="FFFFFF"/>
      <w:sz w:val="60"/>
      <w:szCs w:val="60"/>
    </w:rPr>
  </w:style>
  <w:style w:type="character" w:styleId="HTMLAcronym">
    <w:name w:val="HTML Acronym"/>
    <w:basedOn w:val="DefaultParagraphFont"/>
    <w:uiPriority w:val="99"/>
    <w:rsid w:val="00696E7D"/>
    <w:rPr>
      <w:rFonts w:cs="Times New Roman"/>
    </w:rPr>
  </w:style>
  <w:style w:type="paragraph" w:customStyle="1" w:styleId="Header1Numbering">
    <w:name w:val="Header 1 Numbering"/>
    <w:basedOn w:val="Normal"/>
    <w:next w:val="Normal"/>
    <w:uiPriority w:val="99"/>
    <w:rsid w:val="00696E7D"/>
    <w:pPr>
      <w:numPr>
        <w:numId w:val="11"/>
      </w:numPr>
      <w:tabs>
        <w:tab w:val="clear" w:pos="720"/>
        <w:tab w:val="left" w:pos="709"/>
      </w:tabs>
      <w:spacing w:before="240"/>
    </w:pPr>
    <w:rPr>
      <w:rFonts w:ascii="Arial" w:eastAsia="Arial Unicode MS" w:hAnsi="Arial"/>
      <w:b/>
    </w:rPr>
  </w:style>
  <w:style w:type="paragraph" w:customStyle="1" w:styleId="Header2Numbering">
    <w:name w:val="Header 2 Numbering"/>
    <w:basedOn w:val="Normal"/>
    <w:next w:val="Normal"/>
    <w:uiPriority w:val="99"/>
    <w:rsid w:val="00696E7D"/>
    <w:pPr>
      <w:numPr>
        <w:ilvl w:val="1"/>
        <w:numId w:val="11"/>
      </w:numPr>
      <w:tabs>
        <w:tab w:val="left" w:pos="709"/>
      </w:tabs>
      <w:spacing w:before="240"/>
    </w:pPr>
    <w:rPr>
      <w:rFonts w:ascii="Arial" w:eastAsia="Arial Unicode MS" w:hAnsi="Arial"/>
      <w:b/>
      <w:i/>
      <w:sz w:val="22"/>
      <w:szCs w:val="20"/>
    </w:rPr>
  </w:style>
  <w:style w:type="paragraph" w:customStyle="1" w:styleId="Header3Numbering">
    <w:name w:val="Header 3 Numbering"/>
    <w:basedOn w:val="Normal"/>
    <w:next w:val="Normal"/>
    <w:uiPriority w:val="99"/>
    <w:rsid w:val="00696E7D"/>
    <w:pPr>
      <w:numPr>
        <w:ilvl w:val="2"/>
        <w:numId w:val="11"/>
      </w:numPr>
      <w:tabs>
        <w:tab w:val="left" w:pos="709"/>
      </w:tabs>
      <w:ind w:left="709" w:hanging="709"/>
    </w:pPr>
    <w:rPr>
      <w:rFonts w:ascii="Arial" w:eastAsia="Arial Unicode MS" w:hAnsi="Arial"/>
      <w:sz w:val="22"/>
      <w:szCs w:val="20"/>
    </w:rPr>
  </w:style>
  <w:style w:type="table" w:customStyle="1" w:styleId="TableGrid1">
    <w:name w:val="Table Grid1"/>
    <w:basedOn w:val="TableNormal"/>
    <w:next w:val="TableGrid"/>
    <w:uiPriority w:val="59"/>
    <w:rsid w:val="00696E7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basedOn w:val="DefaultParagraphFont"/>
    <w:rsid w:val="00696E7D"/>
  </w:style>
  <w:style w:type="character" w:customStyle="1" w:styleId="expand-control-text">
    <w:name w:val="expand-control-text"/>
    <w:basedOn w:val="DefaultParagraphFont"/>
    <w:rsid w:val="00696E7D"/>
  </w:style>
  <w:style w:type="paragraph" w:customStyle="1" w:styleId="IAEProposal">
    <w:name w:val="IAE Proposal"/>
    <w:basedOn w:val="Normal"/>
    <w:uiPriority w:val="99"/>
    <w:rsid w:val="00924476"/>
    <w:pPr>
      <w:widowControl w:val="0"/>
      <w:suppressAutoHyphens/>
      <w:autoSpaceDE w:val="0"/>
      <w:autoSpaceDN w:val="0"/>
      <w:adjustRightInd w:val="0"/>
      <w:spacing w:before="0" w:after="170" w:line="480" w:lineRule="atLeast"/>
      <w:textAlignment w:val="center"/>
    </w:pPr>
    <w:rPr>
      <w:rFonts w:ascii="MyriadPro-Regular" w:eastAsia="Cambria" w:hAnsi="MyriadPro-Regular" w:cs="MyriadPro-Regular"/>
      <w:color w:val="FFFFFF"/>
      <w:sz w:val="36"/>
      <w:szCs w:val="36"/>
    </w:rPr>
  </w:style>
  <w:style w:type="paragraph" w:customStyle="1" w:styleId="IAEToFrom">
    <w:name w:val="IAE To &amp; From"/>
    <w:basedOn w:val="IAEProposal"/>
    <w:uiPriority w:val="99"/>
    <w:rsid w:val="00924476"/>
    <w:pPr>
      <w:spacing w:after="0"/>
    </w:pPr>
    <w:rPr>
      <w:rFonts w:ascii="Calibri" w:hAnsi="Calibri"/>
      <w:color w:val="897966"/>
    </w:rPr>
  </w:style>
  <w:style w:type="paragraph" w:customStyle="1" w:styleId="IAEProposalTitle">
    <w:name w:val="IAE Proposal Title"/>
    <w:basedOn w:val="Normal"/>
    <w:uiPriority w:val="99"/>
    <w:rsid w:val="00924476"/>
    <w:pPr>
      <w:widowControl w:val="0"/>
      <w:suppressAutoHyphens/>
      <w:autoSpaceDE w:val="0"/>
      <w:autoSpaceDN w:val="0"/>
      <w:adjustRightInd w:val="0"/>
      <w:spacing w:before="0" w:after="162" w:line="840" w:lineRule="atLeast"/>
      <w:textAlignment w:val="center"/>
    </w:pPr>
    <w:rPr>
      <w:rFonts w:eastAsia="Cambria" w:cs="MyriadPro-Regular"/>
      <w:color w:val="004990"/>
      <w:sz w:val="60"/>
      <w:szCs w:val="60"/>
    </w:rPr>
  </w:style>
  <w:style w:type="paragraph" w:customStyle="1" w:styleId="Bullet">
    <w:name w:val="Bullet"/>
    <w:basedOn w:val="Normal"/>
    <w:link w:val="BulletChar"/>
    <w:uiPriority w:val="99"/>
    <w:rsid w:val="00696E7D"/>
    <w:pPr>
      <w:numPr>
        <w:numId w:val="12"/>
      </w:numPr>
      <w:spacing w:before="0" w:after="113" w:line="276" w:lineRule="auto"/>
    </w:pPr>
    <w:rPr>
      <w:rFonts w:ascii="Verdana" w:eastAsia="Calibri" w:hAnsi="Verdana"/>
      <w:sz w:val="22"/>
      <w:szCs w:val="20"/>
    </w:rPr>
  </w:style>
  <w:style w:type="character" w:customStyle="1" w:styleId="BulletChar">
    <w:name w:val="Bullet Char"/>
    <w:link w:val="Bullet"/>
    <w:uiPriority w:val="99"/>
    <w:rsid w:val="00696E7D"/>
    <w:rPr>
      <w:rFonts w:ascii="Verdana" w:eastAsia="Calibri" w:hAnsi="Verdana"/>
      <w:sz w:val="22"/>
      <w:lang w:eastAsia="en-US"/>
    </w:rPr>
  </w:style>
  <w:style w:type="paragraph" w:customStyle="1" w:styleId="IAEHeading5">
    <w:name w:val="IAE Heading 5"/>
    <w:basedOn w:val="IAEHeading4"/>
    <w:next w:val="IAEtextCalibri"/>
    <w:uiPriority w:val="99"/>
    <w:qFormat/>
    <w:rsid w:val="00924476"/>
    <w:pPr>
      <w:tabs>
        <w:tab w:val="clear" w:pos="360"/>
      </w:tabs>
      <w:ind w:firstLine="0"/>
    </w:pPr>
    <w:rPr>
      <w:b w:val="0"/>
      <w:bCs w:val="0"/>
      <w:caps/>
      <w:sz w:val="20"/>
      <w:szCs w:val="20"/>
    </w:rPr>
  </w:style>
  <w:style w:type="paragraph" w:customStyle="1" w:styleId="IAEtextinfooter">
    <w:name w:val="IAE text in footer"/>
    <w:basedOn w:val="Normal"/>
    <w:uiPriority w:val="99"/>
    <w:qFormat/>
    <w:rsid w:val="00924476"/>
    <w:pPr>
      <w:widowControl w:val="0"/>
      <w:autoSpaceDE w:val="0"/>
      <w:autoSpaceDN w:val="0"/>
      <w:adjustRightInd w:val="0"/>
      <w:spacing w:before="0" w:after="0"/>
    </w:pPr>
    <w:rPr>
      <w:rFonts w:eastAsia="Cambria"/>
      <w:color w:val="00467E"/>
      <w:sz w:val="28"/>
      <w:szCs w:val="28"/>
      <w:lang w:val="en-US"/>
    </w:rPr>
  </w:style>
  <w:style w:type="paragraph" w:customStyle="1" w:styleId="BasicParagraph">
    <w:name w:val="[Basic Paragraph]"/>
    <w:basedOn w:val="Normal"/>
    <w:uiPriority w:val="99"/>
    <w:rsid w:val="00696E7D"/>
    <w:pPr>
      <w:widowControl w:val="0"/>
      <w:autoSpaceDE w:val="0"/>
      <w:autoSpaceDN w:val="0"/>
      <w:adjustRightInd w:val="0"/>
      <w:spacing w:before="0" w:after="0" w:line="288" w:lineRule="auto"/>
      <w:textAlignment w:val="center"/>
    </w:pPr>
    <w:rPr>
      <w:rFonts w:ascii="Times-Roman" w:eastAsia="Cambria" w:hAnsi="Times-Roman" w:cs="Times-Roman"/>
      <w:color w:val="000000"/>
      <w:sz w:val="20"/>
      <w:szCs w:val="20"/>
      <w:lang w:val="en-GB"/>
    </w:rPr>
  </w:style>
  <w:style w:type="paragraph" w:customStyle="1" w:styleId="LegalTemplateBodyText1">
    <w:name w:val="Legal Template Body Text 1"/>
    <w:basedOn w:val="BodyText"/>
    <w:uiPriority w:val="99"/>
    <w:rsid w:val="00924476"/>
    <w:pPr>
      <w:spacing w:before="120" w:line="240" w:lineRule="auto"/>
    </w:pPr>
    <w:rPr>
      <w:rFonts w:ascii="Arial" w:eastAsia="Calibri" w:hAnsi="Arial" w:cs="Arial"/>
      <w:sz w:val="22"/>
      <w:szCs w:val="22"/>
    </w:rPr>
  </w:style>
  <w:style w:type="paragraph" w:customStyle="1" w:styleId="LegalClauseLevel1">
    <w:name w:val="Legal Clause Level 1"/>
    <w:basedOn w:val="ListParagraph"/>
    <w:uiPriority w:val="99"/>
    <w:rsid w:val="00924476"/>
    <w:pPr>
      <w:numPr>
        <w:numId w:val="0"/>
      </w:numPr>
      <w:tabs>
        <w:tab w:val="num" w:pos="360"/>
      </w:tabs>
      <w:spacing w:before="240" w:after="240"/>
      <w:ind w:left="720"/>
      <w:contextualSpacing w:val="0"/>
    </w:pPr>
    <w:rPr>
      <w:rFonts w:ascii="Arial" w:eastAsia="Calibri" w:hAnsi="Arial" w:cs="Arial"/>
      <w:b/>
      <w:sz w:val="32"/>
      <w:szCs w:val="32"/>
    </w:rPr>
  </w:style>
  <w:style w:type="paragraph" w:customStyle="1" w:styleId="LegalClauseLevel2">
    <w:name w:val="Legal Clause Level 2"/>
    <w:basedOn w:val="Normal"/>
    <w:uiPriority w:val="99"/>
    <w:rsid w:val="00924476"/>
    <w:pPr>
      <w:keepNext/>
      <w:keepLines/>
      <w:tabs>
        <w:tab w:val="num" w:pos="851"/>
      </w:tabs>
      <w:spacing w:before="60" w:after="60" w:line="280" w:lineRule="exact"/>
      <w:ind w:left="851" w:hanging="851"/>
      <w:outlineLvl w:val="2"/>
    </w:pPr>
    <w:rPr>
      <w:rFonts w:ascii="Arial" w:eastAsia="Times New Roman" w:hAnsi="Arial" w:cs="Arial"/>
      <w:b/>
      <w:bCs/>
      <w:w w:val="95"/>
      <w:lang w:eastAsia="zh-CN" w:bidi="th-TH"/>
    </w:rPr>
  </w:style>
  <w:style w:type="paragraph" w:customStyle="1" w:styleId="LegalHeading3">
    <w:name w:val="Legal Heading 3"/>
    <w:basedOn w:val="Normal"/>
    <w:next w:val="Normal"/>
    <w:uiPriority w:val="99"/>
    <w:rsid w:val="00924476"/>
    <w:pPr>
      <w:keepNext/>
      <w:keepLines/>
      <w:pBdr>
        <w:bottom w:val="single" w:sz="4" w:space="1" w:color="auto"/>
      </w:pBdr>
      <w:spacing w:before="200" w:after="0"/>
      <w:outlineLvl w:val="2"/>
    </w:pPr>
    <w:rPr>
      <w:rFonts w:ascii="Arial" w:eastAsia="Times New Roman" w:hAnsi="Arial" w:cs="Arial"/>
      <w:bCs/>
      <w:sz w:val="42"/>
      <w:szCs w:val="42"/>
    </w:rPr>
  </w:style>
  <w:style w:type="paragraph" w:customStyle="1" w:styleId="LegalNote">
    <w:name w:val="Legal Note"/>
    <w:basedOn w:val="Normal"/>
    <w:uiPriority w:val="99"/>
    <w:rsid w:val="00924476"/>
    <w:pPr>
      <w:pBdr>
        <w:top w:val="single" w:sz="4" w:space="1" w:color="auto"/>
        <w:left w:val="single" w:sz="4" w:space="4" w:color="auto"/>
        <w:bottom w:val="single" w:sz="4" w:space="1" w:color="auto"/>
        <w:right w:val="single" w:sz="4" w:space="4" w:color="auto"/>
      </w:pBdr>
      <w:shd w:val="clear" w:color="auto" w:fill="548DD4"/>
      <w:tabs>
        <w:tab w:val="left" w:pos="851"/>
      </w:tabs>
      <w:ind w:left="851"/>
    </w:pPr>
    <w:rPr>
      <w:rFonts w:ascii="Arial" w:eastAsia="Calibri" w:hAnsi="Arial"/>
      <w:b/>
      <w:i/>
      <w:color w:val="FFFFFF"/>
      <w:sz w:val="22"/>
      <w:szCs w:val="22"/>
    </w:rPr>
  </w:style>
  <w:style w:type="paragraph" w:customStyle="1" w:styleId="LegalScheduleLevel1">
    <w:name w:val="Legal Schedule Level 1"/>
    <w:basedOn w:val="LegalClauseLevel1"/>
    <w:uiPriority w:val="99"/>
    <w:qFormat/>
    <w:rsid w:val="00924476"/>
  </w:style>
  <w:style w:type="paragraph" w:customStyle="1" w:styleId="LegalScheduleLevel2">
    <w:name w:val="Legal Schedule Level 2"/>
    <w:basedOn w:val="LegalClauseLevel2"/>
    <w:uiPriority w:val="99"/>
    <w:qFormat/>
    <w:rsid w:val="00924476"/>
  </w:style>
  <w:style w:type="paragraph" w:customStyle="1" w:styleId="LegalScheduleLevel3">
    <w:name w:val="Legal Schedule Level 3"/>
    <w:basedOn w:val="Normal"/>
    <w:uiPriority w:val="99"/>
    <w:qFormat/>
    <w:rsid w:val="00924476"/>
    <w:pPr>
      <w:spacing w:before="0" w:after="140" w:line="280" w:lineRule="atLeast"/>
      <w:outlineLvl w:val="3"/>
    </w:pPr>
    <w:rPr>
      <w:rFonts w:ascii="Arial" w:eastAsia="Times New Roman" w:hAnsi="Arial" w:cs="Arial"/>
      <w:sz w:val="22"/>
      <w:szCs w:val="22"/>
      <w:lang w:eastAsia="zh-CN" w:bidi="th-TH"/>
    </w:rPr>
  </w:style>
  <w:style w:type="paragraph" w:customStyle="1" w:styleId="LegalScheduleLevel4">
    <w:name w:val="Legal Schedule Level 4"/>
    <w:basedOn w:val="Normal"/>
    <w:uiPriority w:val="99"/>
    <w:qFormat/>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LegalScheduleLevel5">
    <w:name w:val="Legal Schedule Level 5"/>
    <w:basedOn w:val="Normal"/>
    <w:uiPriority w:val="99"/>
    <w:qFormat/>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ClauseLevel1">
    <w:name w:val="Clause Level 1"/>
    <w:next w:val="ClauseLevel2"/>
    <w:uiPriority w:val="99"/>
    <w:rsid w:val="00924476"/>
    <w:pPr>
      <w:keepNext/>
      <w:pBdr>
        <w:bottom w:val="single" w:sz="2" w:space="0" w:color="auto"/>
      </w:pBdr>
      <w:tabs>
        <w:tab w:val="num" w:pos="1134"/>
      </w:tabs>
      <w:spacing w:before="200" w:line="280" w:lineRule="atLeast"/>
      <w:ind w:left="1134" w:hanging="1134"/>
      <w:outlineLvl w:val="0"/>
    </w:pPr>
    <w:rPr>
      <w:rFonts w:ascii="Arial" w:eastAsia="Times New Roman" w:hAnsi="Arial" w:cs="Arial"/>
      <w:b/>
      <w:sz w:val="22"/>
      <w:szCs w:val="22"/>
    </w:rPr>
  </w:style>
  <w:style w:type="paragraph" w:customStyle="1" w:styleId="PlainParagraph">
    <w:name w:val="Plain Paragraph"/>
    <w:basedOn w:val="Normal"/>
    <w:link w:val="PlainParagraphChar"/>
    <w:rsid w:val="00924476"/>
    <w:pPr>
      <w:spacing w:before="140" w:after="140" w:line="280" w:lineRule="atLeast"/>
      <w:ind w:left="1134"/>
    </w:pPr>
    <w:rPr>
      <w:rFonts w:ascii="Arial" w:eastAsia="Times New Roman" w:hAnsi="Arial" w:cs="Arial"/>
      <w:sz w:val="22"/>
      <w:szCs w:val="22"/>
      <w:lang w:eastAsia="en-AU"/>
    </w:rPr>
  </w:style>
  <w:style w:type="character" w:customStyle="1" w:styleId="PlainParagraphChar">
    <w:name w:val="Plain Paragraph Char"/>
    <w:link w:val="PlainParagraph"/>
    <w:locked/>
    <w:rsid w:val="00924476"/>
    <w:rPr>
      <w:rFonts w:ascii="Arial" w:eastAsia="Times New Roman" w:hAnsi="Arial" w:cs="Arial"/>
      <w:sz w:val="22"/>
      <w:szCs w:val="22"/>
    </w:rPr>
  </w:style>
  <w:style w:type="paragraph" w:customStyle="1" w:styleId="ClauseLevel2">
    <w:name w:val="Clause Level 2"/>
    <w:next w:val="ClauseLevel3"/>
    <w:uiPriority w:val="99"/>
    <w:rsid w:val="00696E7D"/>
    <w:pPr>
      <w:keepNext/>
      <w:numPr>
        <w:ilvl w:val="1"/>
        <w:numId w:val="13"/>
      </w:numPr>
      <w:spacing w:before="200" w:line="280" w:lineRule="atLeast"/>
      <w:outlineLvl w:val="1"/>
    </w:pPr>
    <w:rPr>
      <w:rFonts w:ascii="Arial" w:eastAsia="Times New Roman" w:hAnsi="Arial" w:cs="Arial"/>
      <w:b/>
      <w:sz w:val="22"/>
      <w:szCs w:val="22"/>
    </w:rPr>
  </w:style>
  <w:style w:type="paragraph" w:customStyle="1" w:styleId="ClauseLevel3">
    <w:name w:val="Clause Level 3"/>
    <w:link w:val="ClauseLevel3Char"/>
    <w:uiPriority w:val="99"/>
    <w:rsid w:val="00696E7D"/>
    <w:pPr>
      <w:numPr>
        <w:ilvl w:val="2"/>
        <w:numId w:val="13"/>
      </w:numPr>
      <w:spacing w:before="140" w:after="140" w:line="280" w:lineRule="atLeast"/>
      <w:outlineLvl w:val="2"/>
    </w:pPr>
    <w:rPr>
      <w:rFonts w:ascii="Arial" w:eastAsia="Times New Roman" w:hAnsi="Arial" w:cs="Arial"/>
      <w:sz w:val="22"/>
      <w:szCs w:val="22"/>
    </w:rPr>
  </w:style>
  <w:style w:type="character" w:customStyle="1" w:styleId="ClauseLevel3Char">
    <w:name w:val="Clause Level 3 Char"/>
    <w:link w:val="ClauseLevel3"/>
    <w:uiPriority w:val="99"/>
    <w:locked/>
    <w:rsid w:val="00696E7D"/>
    <w:rPr>
      <w:rFonts w:ascii="Arial" w:eastAsia="Times New Roman" w:hAnsi="Arial" w:cs="Arial"/>
      <w:sz w:val="22"/>
      <w:szCs w:val="22"/>
    </w:rPr>
  </w:style>
  <w:style w:type="paragraph" w:customStyle="1" w:styleId="LegalParties">
    <w:name w:val="Legal Parties"/>
    <w:basedOn w:val="LegalScheduleLevel1"/>
    <w:uiPriority w:val="99"/>
    <w:rsid w:val="00924476"/>
    <w:pPr>
      <w:tabs>
        <w:tab w:val="clear" w:pos="360"/>
        <w:tab w:val="left" w:pos="851"/>
      </w:tabs>
      <w:spacing w:before="120" w:after="120"/>
      <w:ind w:left="851" w:hanging="851"/>
    </w:pPr>
    <w:rPr>
      <w:b w:val="0"/>
      <w:sz w:val="22"/>
    </w:rPr>
  </w:style>
  <w:style w:type="paragraph" w:customStyle="1" w:styleId="ClauseLevel4">
    <w:name w:val="Clause Level 4"/>
    <w:uiPriority w:val="99"/>
    <w:rsid w:val="00696E7D"/>
    <w:pPr>
      <w:numPr>
        <w:ilvl w:val="3"/>
        <w:numId w:val="13"/>
      </w:numPr>
      <w:spacing w:after="140" w:line="280" w:lineRule="atLeast"/>
      <w:outlineLvl w:val="3"/>
    </w:pPr>
    <w:rPr>
      <w:rFonts w:ascii="Arial" w:eastAsia="Times New Roman" w:hAnsi="Arial" w:cs="Arial"/>
      <w:sz w:val="22"/>
      <w:szCs w:val="22"/>
    </w:rPr>
  </w:style>
  <w:style w:type="paragraph" w:customStyle="1" w:styleId="ClauseLevel5">
    <w:name w:val="Clause Level 5"/>
    <w:uiPriority w:val="99"/>
    <w:rsid w:val="00696E7D"/>
    <w:pPr>
      <w:numPr>
        <w:ilvl w:val="4"/>
        <w:numId w:val="13"/>
      </w:numPr>
      <w:spacing w:after="140" w:line="280" w:lineRule="atLeast"/>
      <w:ind w:left="1984" w:hanging="425"/>
      <w:outlineLvl w:val="4"/>
    </w:pPr>
    <w:rPr>
      <w:rFonts w:ascii="Arial" w:eastAsia="Times New Roman" w:hAnsi="Arial" w:cs="Arial"/>
      <w:sz w:val="22"/>
      <w:szCs w:val="22"/>
    </w:rPr>
  </w:style>
  <w:style w:type="paragraph" w:customStyle="1" w:styleId="ClauseLevel6">
    <w:name w:val="Clause Level 6"/>
    <w:uiPriority w:val="99"/>
    <w:rsid w:val="00696E7D"/>
    <w:pPr>
      <w:numPr>
        <w:ilvl w:val="5"/>
        <w:numId w:val="13"/>
      </w:numPr>
      <w:spacing w:after="140" w:line="280" w:lineRule="atLeast"/>
    </w:pPr>
    <w:rPr>
      <w:rFonts w:ascii="Arial" w:eastAsia="Times New Roman" w:hAnsi="Arial" w:cs="Arial"/>
      <w:sz w:val="22"/>
      <w:szCs w:val="22"/>
    </w:rPr>
  </w:style>
  <w:style w:type="paragraph" w:customStyle="1" w:styleId="ClauseLevel7">
    <w:name w:val="Clause Level 7"/>
    <w:basedOn w:val="ClauseLevel4"/>
    <w:next w:val="ClauseLevel5"/>
    <w:uiPriority w:val="99"/>
    <w:rsid w:val="00696E7D"/>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uiPriority w:val="99"/>
    <w:rsid w:val="00696E7D"/>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uiPriority w:val="99"/>
    <w:rsid w:val="00696E7D"/>
    <w:pPr>
      <w:numPr>
        <w:ilvl w:val="8"/>
      </w:numPr>
      <w:tabs>
        <w:tab w:val="clear" w:pos="1985"/>
        <w:tab w:val="num" w:pos="360"/>
        <w:tab w:val="num" w:pos="680"/>
      </w:tabs>
      <w:ind w:left="680" w:hanging="680"/>
    </w:pPr>
  </w:style>
  <w:style w:type="paragraph" w:customStyle="1" w:styleId="ScheduleLevel1">
    <w:name w:val="Schedule Level 1"/>
    <w:next w:val="ScheduleLevel2"/>
    <w:uiPriority w:val="99"/>
    <w:rsid w:val="00696E7D"/>
    <w:pPr>
      <w:keepNext/>
      <w:numPr>
        <w:ilvl w:val="1"/>
        <w:numId w:val="14"/>
      </w:numPr>
      <w:pBdr>
        <w:bottom w:val="single" w:sz="2" w:space="1" w:color="auto"/>
      </w:pBdr>
      <w:spacing w:before="200" w:line="280" w:lineRule="atLeast"/>
      <w:outlineLvl w:val="1"/>
    </w:pPr>
    <w:rPr>
      <w:rFonts w:ascii="Arial" w:eastAsia="Times New Roman" w:hAnsi="Arial" w:cs="Arial"/>
      <w:b/>
      <w:sz w:val="22"/>
      <w:szCs w:val="22"/>
      <w:lang w:val="en-US"/>
    </w:rPr>
  </w:style>
  <w:style w:type="paragraph" w:customStyle="1" w:styleId="ScheduleLevel2">
    <w:name w:val="Schedule Level 2"/>
    <w:next w:val="ScheduleLevel3"/>
    <w:uiPriority w:val="99"/>
    <w:rsid w:val="00696E7D"/>
    <w:pPr>
      <w:tabs>
        <w:tab w:val="num" w:pos="1134"/>
      </w:tabs>
      <w:spacing w:before="200" w:line="280" w:lineRule="atLeast"/>
      <w:ind w:left="1134" w:hanging="1134"/>
      <w:outlineLvl w:val="2"/>
    </w:pPr>
    <w:rPr>
      <w:rFonts w:ascii="Arial" w:eastAsia="Times New Roman" w:hAnsi="Arial" w:cs="Arial"/>
      <w:b/>
      <w:sz w:val="22"/>
      <w:szCs w:val="22"/>
      <w:lang w:val="en-US"/>
    </w:rPr>
  </w:style>
  <w:style w:type="paragraph" w:customStyle="1" w:styleId="ScheduleLevel3">
    <w:name w:val="Schedule Level 3"/>
    <w:uiPriority w:val="99"/>
    <w:rsid w:val="00696E7D"/>
    <w:pPr>
      <w:tabs>
        <w:tab w:val="num" w:pos="1134"/>
      </w:tabs>
      <w:spacing w:before="140" w:after="140" w:line="280" w:lineRule="atLeast"/>
      <w:ind w:left="1134" w:hanging="1134"/>
    </w:pPr>
    <w:rPr>
      <w:rFonts w:ascii="Arial" w:eastAsia="Times New Roman" w:hAnsi="Arial" w:cs="Arial"/>
      <w:sz w:val="22"/>
      <w:szCs w:val="22"/>
      <w:lang w:val="en-US"/>
    </w:rPr>
  </w:style>
  <w:style w:type="paragraph" w:customStyle="1" w:styleId="ScheduleHeading">
    <w:name w:val="Schedule Heading"/>
    <w:next w:val="ScheduleLevel1"/>
    <w:uiPriority w:val="99"/>
    <w:rsid w:val="00696E7D"/>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lang w:val="en-US"/>
    </w:rPr>
  </w:style>
  <w:style w:type="paragraph" w:customStyle="1" w:styleId="ScheduleLevel4">
    <w:name w:val="Schedule Level 4"/>
    <w:uiPriority w:val="99"/>
    <w:rsid w:val="00696E7D"/>
    <w:pPr>
      <w:numPr>
        <w:ilvl w:val="4"/>
        <w:numId w:val="14"/>
      </w:numPr>
      <w:spacing w:after="140" w:line="280" w:lineRule="atLeast"/>
    </w:pPr>
    <w:rPr>
      <w:rFonts w:ascii="Arial" w:eastAsia="Times New Roman" w:hAnsi="Arial" w:cs="Arial"/>
      <w:sz w:val="22"/>
      <w:szCs w:val="22"/>
      <w:lang w:val="en-US"/>
    </w:rPr>
  </w:style>
  <w:style w:type="paragraph" w:customStyle="1" w:styleId="ScheduleLevel5">
    <w:name w:val="Schedule Level 5"/>
    <w:uiPriority w:val="99"/>
    <w:rsid w:val="00696E7D"/>
    <w:pPr>
      <w:numPr>
        <w:ilvl w:val="5"/>
        <w:numId w:val="14"/>
      </w:numPr>
      <w:spacing w:after="140" w:line="280" w:lineRule="atLeast"/>
    </w:pPr>
    <w:rPr>
      <w:rFonts w:ascii="Arial" w:eastAsia="Times New Roman" w:hAnsi="Arial" w:cs="Arial"/>
      <w:sz w:val="22"/>
      <w:szCs w:val="22"/>
      <w:lang w:val="en-US"/>
    </w:rPr>
  </w:style>
  <w:style w:type="paragraph" w:customStyle="1" w:styleId="ScheduleLevel6">
    <w:name w:val="Schedule Level 6"/>
    <w:uiPriority w:val="99"/>
    <w:rsid w:val="00696E7D"/>
    <w:pPr>
      <w:numPr>
        <w:ilvl w:val="6"/>
        <w:numId w:val="14"/>
      </w:numPr>
      <w:spacing w:after="140" w:line="280" w:lineRule="atLeast"/>
    </w:pPr>
    <w:rPr>
      <w:rFonts w:ascii="Arial" w:eastAsia="Times New Roman" w:hAnsi="Arial" w:cs="Arial"/>
      <w:sz w:val="22"/>
      <w:szCs w:val="22"/>
      <w:lang w:val="en-US"/>
    </w:rPr>
  </w:style>
  <w:style w:type="paragraph" w:customStyle="1" w:styleId="ScheduleLevel7">
    <w:name w:val="Schedule Level 7"/>
    <w:uiPriority w:val="99"/>
    <w:semiHidden/>
    <w:rsid w:val="00696E7D"/>
    <w:pPr>
      <w:numPr>
        <w:ilvl w:val="7"/>
        <w:numId w:val="14"/>
      </w:numPr>
      <w:spacing w:after="140" w:line="280" w:lineRule="atLeast"/>
    </w:pPr>
    <w:rPr>
      <w:rFonts w:ascii="Arial" w:eastAsia="Times New Roman" w:hAnsi="Arial" w:cs="Arial"/>
      <w:sz w:val="22"/>
      <w:szCs w:val="22"/>
      <w:lang w:val="en-US"/>
    </w:rPr>
  </w:style>
  <w:style w:type="paragraph" w:customStyle="1" w:styleId="ScheduleLevel8">
    <w:name w:val="Schedule Level 8"/>
    <w:uiPriority w:val="99"/>
    <w:semiHidden/>
    <w:rsid w:val="00696E7D"/>
    <w:pPr>
      <w:numPr>
        <w:ilvl w:val="8"/>
        <w:numId w:val="14"/>
      </w:numPr>
      <w:spacing w:after="140" w:line="280" w:lineRule="atLeast"/>
    </w:pPr>
    <w:rPr>
      <w:rFonts w:ascii="Arial" w:eastAsia="Times New Roman" w:hAnsi="Arial" w:cs="Arial"/>
      <w:sz w:val="22"/>
      <w:szCs w:val="22"/>
      <w:lang w:val="en-US"/>
    </w:rPr>
  </w:style>
  <w:style w:type="paragraph" w:customStyle="1" w:styleId="LegalClauseLevel3">
    <w:name w:val="Legal Clause Level 3"/>
    <w:basedOn w:val="Normal"/>
    <w:uiPriority w:val="99"/>
    <w:rsid w:val="00924476"/>
    <w:pPr>
      <w:tabs>
        <w:tab w:val="num" w:pos="1418"/>
      </w:tabs>
      <w:spacing w:before="0" w:after="140" w:line="280" w:lineRule="atLeast"/>
      <w:ind w:left="1418" w:hanging="567"/>
      <w:outlineLvl w:val="3"/>
    </w:pPr>
    <w:rPr>
      <w:rFonts w:ascii="Arial" w:eastAsia="Times New Roman" w:hAnsi="Arial" w:cs="Arial"/>
      <w:sz w:val="22"/>
      <w:szCs w:val="22"/>
      <w:lang w:eastAsia="zh-CN" w:bidi="th-TH"/>
    </w:rPr>
  </w:style>
  <w:style w:type="paragraph" w:customStyle="1" w:styleId="LegalClauseLevel4">
    <w:name w:val="Legal Clause Level 4"/>
    <w:basedOn w:val="Normal"/>
    <w:uiPriority w:val="99"/>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DashEm1">
    <w:name w:val="Dash: Em 1"/>
    <w:basedOn w:val="Normal"/>
    <w:uiPriority w:val="99"/>
    <w:semiHidden/>
    <w:rsid w:val="00D71F42"/>
    <w:pPr>
      <w:tabs>
        <w:tab w:val="num" w:pos="425"/>
      </w:tabs>
      <w:spacing w:before="0" w:after="140" w:line="280" w:lineRule="atLeast"/>
      <w:ind w:left="425" w:hanging="425"/>
    </w:pPr>
    <w:rPr>
      <w:rFonts w:ascii="Arial" w:eastAsia="Times New Roman" w:hAnsi="Arial" w:cs="Arial"/>
      <w:sz w:val="22"/>
      <w:szCs w:val="22"/>
      <w:lang w:eastAsia="en-AU"/>
    </w:rPr>
  </w:style>
  <w:style w:type="paragraph" w:customStyle="1" w:styleId="Definition">
    <w:name w:val="Definition"/>
    <w:uiPriority w:val="99"/>
    <w:rsid w:val="00696E7D"/>
    <w:pPr>
      <w:spacing w:before="40" w:after="40" w:line="280" w:lineRule="atLeast"/>
    </w:pPr>
    <w:rPr>
      <w:rFonts w:ascii="Arial" w:eastAsia="Times New Roman" w:hAnsi="Arial" w:cs="Arial"/>
      <w:sz w:val="22"/>
      <w:szCs w:val="22"/>
    </w:rPr>
  </w:style>
  <w:style w:type="paragraph" w:customStyle="1" w:styleId="DefinedTerm">
    <w:name w:val="Defined Term"/>
    <w:uiPriority w:val="99"/>
    <w:rsid w:val="00696E7D"/>
    <w:pPr>
      <w:spacing w:before="40" w:after="40" w:line="280" w:lineRule="atLeast"/>
    </w:pPr>
    <w:rPr>
      <w:rFonts w:ascii="Arial" w:eastAsia="Times New Roman" w:hAnsi="Arial" w:cs="Arial"/>
      <w:b/>
      <w:sz w:val="22"/>
      <w:szCs w:val="22"/>
    </w:rPr>
  </w:style>
  <w:style w:type="paragraph" w:customStyle="1" w:styleId="NormalTables">
    <w:name w:val="Normal Tables"/>
    <w:basedOn w:val="Normal"/>
    <w:uiPriority w:val="99"/>
    <w:rsid w:val="00696E7D"/>
    <w:pPr>
      <w:spacing w:before="240" w:after="140" w:line="260" w:lineRule="atLeast"/>
    </w:pPr>
    <w:rPr>
      <w:rFonts w:ascii="Arial" w:eastAsia="Times New Roman" w:hAnsi="Arial" w:cs="Arial"/>
      <w:sz w:val="22"/>
      <w:szCs w:val="22"/>
      <w:lang w:eastAsia="en-AU"/>
    </w:rPr>
  </w:style>
  <w:style w:type="paragraph" w:customStyle="1" w:styleId="LegalClauseLevel5">
    <w:name w:val="Legal Clause Level 5"/>
    <w:basedOn w:val="Normal"/>
    <w:uiPriority w:val="99"/>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jawNumberlist">
    <w:name w:val="jaw Number list"/>
    <w:basedOn w:val="jawBulletlist"/>
    <w:uiPriority w:val="99"/>
    <w:rsid w:val="00924476"/>
    <w:pPr>
      <w:numPr>
        <w:numId w:val="0"/>
      </w:numPr>
      <w:ind w:left="360" w:hanging="360"/>
    </w:pPr>
  </w:style>
  <w:style w:type="paragraph" w:styleId="BodyText2">
    <w:name w:val="Body Text 2"/>
    <w:basedOn w:val="Normal"/>
    <w:link w:val="BodyText2Char"/>
    <w:uiPriority w:val="99"/>
    <w:rsid w:val="00924476"/>
    <w:pPr>
      <w:spacing w:before="0" w:line="480" w:lineRule="auto"/>
    </w:pPr>
    <w:rPr>
      <w:rFonts w:eastAsia="Cambria"/>
      <w:sz w:val="20"/>
      <w:szCs w:val="20"/>
    </w:rPr>
  </w:style>
  <w:style w:type="paragraph" w:customStyle="1" w:styleId="jawHeading1">
    <w:name w:val="jaw Heading 1"/>
    <w:basedOn w:val="Heading3"/>
    <w:next w:val="Normal"/>
    <w:uiPriority w:val="99"/>
    <w:rsid w:val="00696E7D"/>
    <w:pPr>
      <w:numPr>
        <w:numId w:val="0"/>
      </w:numPr>
      <w:spacing w:before="0" w:after="240"/>
      <w:ind w:left="720" w:hanging="720"/>
    </w:pPr>
    <w:rPr>
      <w:rFonts w:ascii="Cambria" w:hAnsi="Cambria"/>
      <w:b/>
      <w:bCs/>
      <w:caps w:val="0"/>
      <w:color w:val="4F81BD"/>
      <w:sz w:val="32"/>
      <w:szCs w:val="32"/>
      <w:lang w:val="en-AU" w:eastAsia="en-US"/>
    </w:rPr>
  </w:style>
  <w:style w:type="paragraph" w:customStyle="1" w:styleId="jawBodytext">
    <w:name w:val="jaw Body text"/>
    <w:basedOn w:val="ListParagraph"/>
    <w:uiPriority w:val="99"/>
    <w:rsid w:val="00696E7D"/>
    <w:pPr>
      <w:numPr>
        <w:numId w:val="0"/>
      </w:numPr>
      <w:spacing w:after="120"/>
      <w:contextualSpacing w:val="0"/>
    </w:pPr>
    <w:rPr>
      <w:rFonts w:eastAsia="Cambria"/>
      <w:lang w:val="en-US"/>
    </w:rPr>
  </w:style>
  <w:style w:type="paragraph" w:customStyle="1" w:styleId="jawHeading3">
    <w:name w:val="jaw Heading 3"/>
    <w:basedOn w:val="Heading3"/>
    <w:next w:val="jawBodytext"/>
    <w:uiPriority w:val="99"/>
    <w:rsid w:val="00696E7D"/>
    <w:pPr>
      <w:numPr>
        <w:numId w:val="0"/>
      </w:numPr>
      <w:spacing w:before="0" w:after="120"/>
      <w:ind w:left="720" w:hanging="720"/>
    </w:pPr>
    <w:rPr>
      <w:rFonts w:ascii="Cambria" w:hAnsi="Cambria"/>
      <w:b/>
      <w:bCs/>
      <w:caps w:val="0"/>
      <w:color w:val="4F81BD"/>
      <w:sz w:val="22"/>
      <w:lang w:val="en-AU" w:eastAsia="en-US"/>
    </w:rPr>
  </w:style>
  <w:style w:type="paragraph" w:customStyle="1" w:styleId="jawBulletlist">
    <w:name w:val="jaw Bullet list"/>
    <w:basedOn w:val="jawBodytext"/>
    <w:uiPriority w:val="99"/>
    <w:rsid w:val="00696E7D"/>
    <w:pPr>
      <w:numPr>
        <w:numId w:val="15"/>
      </w:numPr>
    </w:pPr>
  </w:style>
  <w:style w:type="paragraph" w:customStyle="1" w:styleId="jawHeading2">
    <w:name w:val="jaw Heading 2"/>
    <w:basedOn w:val="jawHeading1"/>
    <w:next w:val="jawBodytext"/>
    <w:uiPriority w:val="99"/>
    <w:rsid w:val="00696E7D"/>
    <w:rPr>
      <w:sz w:val="28"/>
    </w:rPr>
  </w:style>
  <w:style w:type="character" w:customStyle="1" w:styleId="BodyText2Char">
    <w:name w:val="Body Text 2 Char"/>
    <w:basedOn w:val="DefaultParagraphFont"/>
    <w:link w:val="BodyText2"/>
    <w:uiPriority w:val="99"/>
    <w:rsid w:val="00924476"/>
    <w:rPr>
      <w:rFonts w:ascii="Calibri" w:eastAsia="Cambria" w:hAnsi="Calibri"/>
      <w:lang w:eastAsia="en-US"/>
    </w:rPr>
  </w:style>
  <w:style w:type="paragraph" w:customStyle="1" w:styleId="ListBullet1">
    <w:name w:val="List Bullet1"/>
    <w:basedOn w:val="Normal"/>
    <w:uiPriority w:val="99"/>
    <w:rsid w:val="00696E7D"/>
    <w:pPr>
      <w:tabs>
        <w:tab w:val="num" w:pos="284"/>
        <w:tab w:val="left" w:pos="340"/>
      </w:tabs>
      <w:suppressAutoHyphens/>
      <w:autoSpaceDE w:val="0"/>
      <w:autoSpaceDN w:val="0"/>
      <w:adjustRightInd w:val="0"/>
      <w:spacing w:before="0" w:after="60"/>
      <w:ind w:left="284" w:hanging="284"/>
      <w:textAlignment w:val="center"/>
    </w:pPr>
    <w:rPr>
      <w:rFonts w:ascii="Arial" w:eastAsia="Times New Roman" w:hAnsi="Arial" w:cs="Arial"/>
      <w:color w:val="000000"/>
      <w:sz w:val="22"/>
      <w:szCs w:val="22"/>
      <w:lang w:eastAsia="en-AU"/>
    </w:rPr>
  </w:style>
  <w:style w:type="paragraph" w:customStyle="1" w:styleId="Listbulletlast">
    <w:name w:val="List bullet last"/>
    <w:basedOn w:val="ListBullet1"/>
    <w:next w:val="Normal"/>
    <w:uiPriority w:val="99"/>
    <w:rsid w:val="00696E7D"/>
    <w:pPr>
      <w:spacing w:after="240"/>
    </w:pPr>
  </w:style>
  <w:style w:type="paragraph" w:styleId="IntenseQuote">
    <w:name w:val="Intense Quote"/>
    <w:basedOn w:val="Normal"/>
    <w:next w:val="Normal"/>
    <w:link w:val="IntenseQuoteChar"/>
    <w:uiPriority w:val="30"/>
    <w:qFormat/>
    <w:rsid w:val="00696E7D"/>
    <w:pPr>
      <w:pBdr>
        <w:bottom w:val="single" w:sz="4" w:space="4" w:color="4F81BD"/>
      </w:pBdr>
      <w:spacing w:before="200" w:after="280" w:line="260" w:lineRule="exact"/>
      <w:ind w:left="936" w:right="936"/>
    </w:pPr>
    <w:rPr>
      <w:rFonts w:eastAsia="Cambria"/>
      <w:b/>
      <w:bCs/>
      <w:i/>
      <w:iCs/>
      <w:color w:val="4F81BD"/>
      <w:sz w:val="20"/>
      <w:szCs w:val="20"/>
    </w:rPr>
  </w:style>
  <w:style w:type="character" w:customStyle="1" w:styleId="IntenseQuoteChar">
    <w:name w:val="Intense Quote Char"/>
    <w:basedOn w:val="DefaultParagraphFont"/>
    <w:link w:val="IntenseQuote"/>
    <w:uiPriority w:val="30"/>
    <w:rsid w:val="00696E7D"/>
    <w:rPr>
      <w:rFonts w:ascii="Calibri" w:eastAsia="Cambria" w:hAnsi="Calibri"/>
      <w:b/>
      <w:bCs/>
      <w:i/>
      <w:iCs/>
      <w:color w:val="4F81BD"/>
      <w:lang w:eastAsia="en-US"/>
    </w:rPr>
  </w:style>
  <w:style w:type="character" w:customStyle="1" w:styleId="apple-style-span">
    <w:name w:val="apple-style-span"/>
    <w:rsid w:val="00924476"/>
  </w:style>
  <w:style w:type="character" w:customStyle="1" w:styleId="heading4char0">
    <w:name w:val="heading4char"/>
    <w:rsid w:val="00924476"/>
  </w:style>
  <w:style w:type="paragraph" w:customStyle="1" w:styleId="referencetext">
    <w:name w:val="referencetext"/>
    <w:basedOn w:val="Normal"/>
    <w:link w:val="referencetextChar"/>
    <w:uiPriority w:val="99"/>
    <w:rsid w:val="00696E7D"/>
    <w:pPr>
      <w:spacing w:before="100" w:beforeAutospacing="1" w:after="100" w:afterAutospacing="1"/>
    </w:pPr>
    <w:rPr>
      <w:rFonts w:ascii="Times New Roman" w:eastAsiaTheme="minorHAnsi" w:hAnsi="Times New Roman"/>
      <w:lang w:eastAsia="en-AU"/>
    </w:rPr>
  </w:style>
  <w:style w:type="character" w:customStyle="1" w:styleId="A12">
    <w:name w:val="A12"/>
    <w:uiPriority w:val="99"/>
    <w:rsid w:val="00924476"/>
    <w:rPr>
      <w:color w:val="000000"/>
    </w:rPr>
  </w:style>
  <w:style w:type="character" w:customStyle="1" w:styleId="journalabstracttitle">
    <w:name w:val="journal_abstract_title"/>
    <w:basedOn w:val="DefaultParagraphFont"/>
    <w:rsid w:val="00696E7D"/>
  </w:style>
  <w:style w:type="character" w:customStyle="1" w:styleId="journalmetadata">
    <w:name w:val="journal_metadata"/>
    <w:basedOn w:val="DefaultParagraphFont"/>
    <w:rsid w:val="00696E7D"/>
  </w:style>
  <w:style w:type="character" w:styleId="BookTitle">
    <w:name w:val="Book Title"/>
    <w:qFormat/>
    <w:rsid w:val="00696E7D"/>
    <w:rPr>
      <w:b/>
      <w:bCs/>
      <w:smallCaps/>
      <w:spacing w:val="5"/>
    </w:rPr>
  </w:style>
  <w:style w:type="paragraph" w:customStyle="1" w:styleId="ETtext">
    <w:name w:val="ET text"/>
    <w:basedOn w:val="NormalWeb"/>
    <w:uiPriority w:val="99"/>
    <w:rsid w:val="00696E7D"/>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696E7D"/>
    <w:rPr>
      <w:rFonts w:ascii="Calibri" w:eastAsia="Cambria" w:hAnsi="Calibri"/>
      <w:lang w:eastAsia="en-US"/>
    </w:rPr>
  </w:style>
  <w:style w:type="table" w:customStyle="1" w:styleId="MediumShading1-Accent11">
    <w:name w:val="Medium Shading 1 - Accent 11"/>
    <w:basedOn w:val="TableNormal"/>
    <w:uiPriority w:val="63"/>
    <w:rsid w:val="00696E7D"/>
    <w:rPr>
      <w:rFonts w:asciiTheme="minorHAnsi" w:eastAsiaTheme="minorEastAsia" w:hAnsiTheme="minorHAnsi" w:cstheme="minorBid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696E7D"/>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uthor">
    <w:name w:val="author"/>
    <w:basedOn w:val="DefaultParagraphFont"/>
    <w:rsid w:val="00924476"/>
  </w:style>
  <w:style w:type="character" w:customStyle="1" w:styleId="articletitle">
    <w:name w:val="articletitle"/>
    <w:basedOn w:val="DefaultParagraphFont"/>
    <w:rsid w:val="00924476"/>
  </w:style>
  <w:style w:type="paragraph" w:customStyle="1" w:styleId="WarrantyL1">
    <w:name w:val="WarrantyL1"/>
    <w:basedOn w:val="Normal"/>
    <w:next w:val="Normal"/>
    <w:uiPriority w:val="99"/>
    <w:rsid w:val="00696E7D"/>
    <w:pPr>
      <w:keepNext/>
      <w:numPr>
        <w:numId w:val="16"/>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uiPriority w:val="99"/>
    <w:rsid w:val="00696E7D"/>
    <w:pPr>
      <w:numPr>
        <w:ilvl w:val="1"/>
        <w:numId w:val="16"/>
      </w:numPr>
      <w:tabs>
        <w:tab w:val="clear" w:pos="680"/>
      </w:tabs>
      <w:spacing w:before="0" w:after="140" w:line="280" w:lineRule="atLeast"/>
      <w:outlineLvl w:val="1"/>
    </w:pPr>
    <w:rPr>
      <w:rFonts w:ascii="Times New Roman" w:eastAsia="Times New Roman" w:hAnsi="Times New Roman" w:cs="Angsana New"/>
      <w:sz w:val="22"/>
      <w:szCs w:val="22"/>
      <w:lang w:eastAsia="zh-CN" w:bidi="th-TH"/>
    </w:rPr>
  </w:style>
  <w:style w:type="paragraph" w:customStyle="1" w:styleId="WarrantyL3">
    <w:name w:val="WarrantyL3"/>
    <w:basedOn w:val="Normal"/>
    <w:uiPriority w:val="99"/>
    <w:rsid w:val="00696E7D"/>
    <w:pPr>
      <w:numPr>
        <w:ilvl w:val="2"/>
        <w:numId w:val="16"/>
      </w:numPr>
      <w:tabs>
        <w:tab w:val="clear" w:pos="1361"/>
      </w:tabs>
      <w:spacing w:before="0" w:after="140" w:line="280" w:lineRule="atLeast"/>
      <w:outlineLvl w:val="2"/>
    </w:pPr>
    <w:rPr>
      <w:rFonts w:ascii="Times New Roman" w:eastAsia="Times New Roman" w:hAnsi="Times New Roman" w:cs="Angsana New"/>
      <w:sz w:val="22"/>
      <w:szCs w:val="22"/>
      <w:lang w:eastAsia="zh-CN" w:bidi="th-TH"/>
    </w:rPr>
  </w:style>
  <w:style w:type="paragraph" w:customStyle="1" w:styleId="WarrantyL4">
    <w:name w:val="WarrantyL4"/>
    <w:basedOn w:val="Normal"/>
    <w:uiPriority w:val="99"/>
    <w:rsid w:val="00696E7D"/>
    <w:pPr>
      <w:numPr>
        <w:ilvl w:val="3"/>
        <w:numId w:val="16"/>
      </w:numPr>
      <w:tabs>
        <w:tab w:val="clear" w:pos="2041"/>
      </w:tabs>
      <w:spacing w:before="0" w:after="140" w:line="280" w:lineRule="atLeast"/>
      <w:outlineLvl w:val="3"/>
    </w:pPr>
    <w:rPr>
      <w:rFonts w:ascii="Times New Roman" w:eastAsia="Times New Roman" w:hAnsi="Times New Roman" w:cs="Angsana New"/>
      <w:sz w:val="22"/>
      <w:szCs w:val="22"/>
      <w:lang w:eastAsia="zh-CN" w:bidi="th-TH"/>
    </w:rPr>
  </w:style>
  <w:style w:type="paragraph" w:customStyle="1" w:styleId="WarrantyL5">
    <w:name w:val="WarrantyL5"/>
    <w:basedOn w:val="Normal"/>
    <w:uiPriority w:val="99"/>
    <w:rsid w:val="00696E7D"/>
    <w:pPr>
      <w:numPr>
        <w:ilvl w:val="4"/>
        <w:numId w:val="16"/>
      </w:numPr>
      <w:tabs>
        <w:tab w:val="clear" w:pos="2722"/>
      </w:tabs>
      <w:spacing w:before="0" w:after="140" w:line="280" w:lineRule="atLeast"/>
      <w:outlineLvl w:val="4"/>
    </w:pPr>
    <w:rPr>
      <w:rFonts w:ascii="Times New Roman" w:eastAsia="Times New Roman" w:hAnsi="Times New Roman" w:cs="Angsana New"/>
      <w:sz w:val="22"/>
      <w:szCs w:val="22"/>
      <w:lang w:eastAsia="zh-CN" w:bidi="th-TH"/>
    </w:rPr>
  </w:style>
  <w:style w:type="table" w:styleId="MediumList2-Accent4">
    <w:name w:val="Medium List 2 Accent 4"/>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696E7D"/>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696E7D"/>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696E7D"/>
    <w:rPr>
      <w:rFonts w:asciiTheme="minorHAnsi" w:eastAsiaTheme="minorHAnsi" w:hAnsiTheme="minorHAnsi" w:cstheme="minorBidi"/>
      <w:sz w:val="22"/>
      <w:szCs w:val="22"/>
      <w:lang w:eastAsia="en-US"/>
    </w:rPr>
    <w:tblPr/>
  </w:style>
  <w:style w:type="paragraph" w:customStyle="1" w:styleId="Tabletext">
    <w:name w:val="Table text"/>
    <w:basedOn w:val="Normal"/>
    <w:uiPriority w:val="99"/>
    <w:qFormat/>
    <w:rsid w:val="00696E7D"/>
    <w:pPr>
      <w:spacing w:before="0" w:after="0"/>
    </w:pPr>
    <w:rPr>
      <w:rFonts w:ascii="Century Gothic" w:eastAsia="Times New Roman" w:hAnsi="Century Gothic"/>
      <w:sz w:val="18"/>
      <w:szCs w:val="22"/>
      <w:lang w:eastAsia="en-AU"/>
    </w:rPr>
  </w:style>
  <w:style w:type="paragraph" w:styleId="DocumentMap">
    <w:name w:val="Document Map"/>
    <w:basedOn w:val="Normal"/>
    <w:link w:val="DocumentMapChar"/>
    <w:uiPriority w:val="99"/>
    <w:semiHidden/>
    <w:unhideWhenUsed/>
    <w:rsid w:val="00696E7D"/>
    <w:pPr>
      <w:spacing w:before="0" w:after="0"/>
    </w:pPr>
    <w:rPr>
      <w:rFonts w:ascii="Tahoma" w:eastAsiaTheme="minorEastAsia" w:hAnsi="Tahoma" w:cs="Tahoma"/>
      <w:sz w:val="16"/>
      <w:szCs w:val="16"/>
      <w:lang w:eastAsia="en-AU"/>
    </w:rPr>
  </w:style>
  <w:style w:type="character" w:customStyle="1" w:styleId="DocumentMapChar">
    <w:name w:val="Document Map Char"/>
    <w:basedOn w:val="DefaultParagraphFont"/>
    <w:link w:val="DocumentMap"/>
    <w:uiPriority w:val="99"/>
    <w:semiHidden/>
    <w:rsid w:val="00696E7D"/>
    <w:rPr>
      <w:rFonts w:ascii="Tahoma" w:eastAsiaTheme="minorEastAsia" w:hAnsi="Tahoma" w:cs="Tahoma"/>
      <w:sz w:val="16"/>
      <w:szCs w:val="16"/>
    </w:rPr>
  </w:style>
  <w:style w:type="paragraph" w:customStyle="1" w:styleId="Body">
    <w:name w:val="Body"/>
    <w:basedOn w:val="Normal"/>
    <w:uiPriority w:val="99"/>
    <w:qFormat/>
    <w:rsid w:val="00696E7D"/>
    <w:pPr>
      <w:spacing w:before="0" w:after="240" w:line="260" w:lineRule="exact"/>
    </w:pPr>
    <w:rPr>
      <w:rFonts w:ascii="Avenir Book" w:eastAsia="Cambria" w:hAnsi="Avenir Book"/>
      <w:sz w:val="20"/>
      <w:szCs w:val="20"/>
    </w:rPr>
  </w:style>
  <w:style w:type="table" w:styleId="LightList-Accent5">
    <w:name w:val="Light List Accent 5"/>
    <w:basedOn w:val="TableNormal"/>
    <w:uiPriority w:val="61"/>
    <w:rsid w:val="00696E7D"/>
    <w:rPr>
      <w:rFonts w:asciiTheme="minorHAnsi" w:eastAsiaTheme="minorEastAsia" w:hAnsiTheme="minorHAnsi" w:cstheme="minorBidi"/>
      <w:sz w:val="24"/>
      <w:szCs w:val="24"/>
      <w:lang w:val="en-US"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tlePageReportTitle">
    <w:name w:val="Title Page_Report Title"/>
    <w:basedOn w:val="Normal"/>
    <w:uiPriority w:val="99"/>
    <w:rsid w:val="00696E7D"/>
    <w:pPr>
      <w:tabs>
        <w:tab w:val="left" w:pos="2552"/>
      </w:tabs>
      <w:spacing w:before="0" w:after="0" w:line="240" w:lineRule="atLeast"/>
      <w:jc w:val="center"/>
    </w:pPr>
    <w:rPr>
      <w:rFonts w:ascii="Times New Roman" w:eastAsia="Times New Roman" w:hAnsi="Times New Roman"/>
      <w:b/>
      <w:sz w:val="32"/>
      <w:szCs w:val="20"/>
    </w:rPr>
  </w:style>
  <w:style w:type="character" w:customStyle="1" w:styleId="UnresolvedMention1">
    <w:name w:val="Unresolved Mention1"/>
    <w:basedOn w:val="DefaultParagraphFont"/>
    <w:uiPriority w:val="99"/>
    <w:semiHidden/>
    <w:unhideWhenUsed/>
    <w:rsid w:val="00696E7D"/>
    <w:rPr>
      <w:color w:val="605E5C"/>
      <w:shd w:val="clear" w:color="auto" w:fill="E1DFDD"/>
    </w:rPr>
  </w:style>
  <w:style w:type="numbering" w:customStyle="1" w:styleId="NoList2">
    <w:name w:val="No List2"/>
    <w:next w:val="NoList"/>
    <w:uiPriority w:val="99"/>
    <w:semiHidden/>
    <w:unhideWhenUsed/>
    <w:rsid w:val="007E117A"/>
  </w:style>
  <w:style w:type="table" w:customStyle="1" w:styleId="TableGrid2">
    <w:name w:val="Table Grid2"/>
    <w:basedOn w:val="TableNormal"/>
    <w:next w:val="TableGrid"/>
    <w:uiPriority w:val="59"/>
    <w:rsid w:val="007E117A"/>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E117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7E117A"/>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7E117A"/>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7E117A"/>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7E117A"/>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7E117A"/>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1">
    <w:name w:val="Medium Grid 111"/>
    <w:basedOn w:val="TableNormal"/>
    <w:uiPriority w:val="67"/>
    <w:rsid w:val="007E117A"/>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3-Accent41">
    <w:name w:val="Medium Grid 3 - Accent 41"/>
    <w:basedOn w:val="TableNormal"/>
    <w:next w:val="MediumGrid3-Accent4"/>
    <w:uiPriority w:val="69"/>
    <w:rsid w:val="007E117A"/>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7E117A"/>
    <w:rPr>
      <w:rFonts w:ascii="Calibri" w:eastAsia="Calibri" w:hAnsi="Calibri"/>
      <w:sz w:val="22"/>
      <w:szCs w:val="22"/>
      <w:lang w:eastAsia="en-US"/>
    </w:rPr>
    <w:tblPr/>
  </w:style>
  <w:style w:type="table" w:customStyle="1" w:styleId="LightList-Accent31">
    <w:name w:val="Light List - Accent 31"/>
    <w:basedOn w:val="TableNormal"/>
    <w:next w:val="LightList-Accent3"/>
    <w:uiPriority w:val="61"/>
    <w:rsid w:val="007E117A"/>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7E117A"/>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7E117A"/>
    <w:pPr>
      <w:spacing w:before="200"/>
    </w:pPr>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footnote0">
    <w:name w:val="footnote"/>
    <w:basedOn w:val="Normal"/>
    <w:link w:val="footnoteChar"/>
    <w:rsid w:val="007E117A"/>
    <w:pPr>
      <w:spacing w:before="200" w:after="200" w:line="276" w:lineRule="auto"/>
      <w:contextualSpacing/>
    </w:pPr>
    <w:rPr>
      <w:rFonts w:ascii="Calibri Light" w:eastAsia="Times New Roman" w:hAnsi="Calibri Light"/>
      <w:sz w:val="20"/>
      <w:szCs w:val="20"/>
    </w:rPr>
  </w:style>
  <w:style w:type="character" w:customStyle="1" w:styleId="footnoteChar">
    <w:name w:val="footnote Char"/>
    <w:link w:val="footnote0"/>
    <w:rsid w:val="007E117A"/>
    <w:rPr>
      <w:rFonts w:ascii="Calibri Light" w:eastAsia="Times New Roman" w:hAnsi="Calibri Light"/>
      <w:lang w:eastAsia="en-US"/>
    </w:rPr>
  </w:style>
  <w:style w:type="table" w:customStyle="1" w:styleId="MediumShading1-Accent12">
    <w:name w:val="Medium Shading 1 - Accent 12"/>
    <w:basedOn w:val="TableNormal"/>
    <w:next w:val="MediumShading1-Accent1"/>
    <w:uiPriority w:val="63"/>
    <w:rsid w:val="007E117A"/>
    <w:rPr>
      <w:rFonts w:ascii="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7E117A"/>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text">
    <w:name w:val="etext"/>
    <w:basedOn w:val="Normal"/>
    <w:uiPriority w:val="99"/>
    <w:rsid w:val="007E117A"/>
    <w:pPr>
      <w:spacing w:before="100" w:beforeAutospacing="1" w:after="100" w:afterAutospacing="1"/>
    </w:pPr>
    <w:rPr>
      <w:rFonts w:ascii="Times New Roman" w:eastAsia="Times New Roman" w:hAnsi="Times New Roman"/>
      <w:lang w:eastAsia="en-AU"/>
    </w:rPr>
  </w:style>
  <w:style w:type="paragraph" w:customStyle="1" w:styleId="etext4">
    <w:name w:val="etext4"/>
    <w:basedOn w:val="Normal"/>
    <w:uiPriority w:val="99"/>
    <w:rsid w:val="007E117A"/>
    <w:pPr>
      <w:spacing w:before="100" w:beforeAutospacing="1" w:after="100" w:afterAutospacing="1"/>
    </w:pPr>
    <w:rPr>
      <w:rFonts w:ascii="Times New Roman" w:eastAsia="Times New Roman" w:hAnsi="Times New Roman"/>
      <w:lang w:eastAsia="en-AU"/>
    </w:rPr>
  </w:style>
  <w:style w:type="character" w:styleId="HTMLCite">
    <w:name w:val="HTML Cite"/>
    <w:basedOn w:val="DefaultParagraphFont"/>
    <w:uiPriority w:val="99"/>
    <w:semiHidden/>
    <w:unhideWhenUsed/>
    <w:rsid w:val="007E117A"/>
    <w:rPr>
      <w:i/>
      <w:iCs/>
    </w:rPr>
  </w:style>
  <w:style w:type="character" w:customStyle="1" w:styleId="m1776764254128172060msohyperlink">
    <w:name w:val="m_1776764254128172060msohyperlink"/>
    <w:basedOn w:val="DefaultParagraphFont"/>
    <w:rsid w:val="00924476"/>
  </w:style>
  <w:style w:type="character" w:customStyle="1" w:styleId="pubyear">
    <w:name w:val="pubyear"/>
    <w:basedOn w:val="DefaultParagraphFont"/>
    <w:rsid w:val="007E117A"/>
  </w:style>
  <w:style w:type="table" w:styleId="LightList">
    <w:name w:val="Light List"/>
    <w:basedOn w:val="TableNormal"/>
    <w:uiPriority w:val="61"/>
    <w:rsid w:val="00924476"/>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journaltitle">
    <w:name w:val="journaltitle"/>
    <w:basedOn w:val="DefaultParagraphFont"/>
    <w:rsid w:val="007E117A"/>
  </w:style>
  <w:style w:type="character" w:customStyle="1" w:styleId="vol">
    <w:name w:val="vol"/>
    <w:basedOn w:val="DefaultParagraphFont"/>
    <w:rsid w:val="007E117A"/>
  </w:style>
  <w:style w:type="character" w:customStyle="1" w:styleId="pagefirst">
    <w:name w:val="pagefirst"/>
    <w:basedOn w:val="DefaultParagraphFont"/>
    <w:rsid w:val="007E117A"/>
  </w:style>
  <w:style w:type="character" w:customStyle="1" w:styleId="pagelast">
    <w:name w:val="pagelast"/>
    <w:basedOn w:val="DefaultParagraphFont"/>
    <w:rsid w:val="007E117A"/>
  </w:style>
  <w:style w:type="table" w:styleId="MediumShading2">
    <w:name w:val="Medium Shading 2"/>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4-Accent31">
    <w:name w:val="Grid Table 4 - Accent 31"/>
    <w:basedOn w:val="TableNormal"/>
    <w:uiPriority w:val="49"/>
    <w:rsid w:val="00924476"/>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0">
    <w:name w:val="Grid Table 5 Dark - Accent 310"/>
    <w:basedOn w:val="TableNormal"/>
    <w:uiPriority w:val="50"/>
    <w:rsid w:val="00924476"/>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ghtList-Accent32">
    <w:name w:val="Light List - Accent 32"/>
    <w:basedOn w:val="TableNormal"/>
    <w:next w:val="LightList-Accent3"/>
    <w:uiPriority w:val="61"/>
    <w:rsid w:val="00924476"/>
    <w:rPr>
      <w:rFonts w:eastAsiaTheme="minorHAns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eading2Char1">
    <w:name w:val="Heading 2 Char1"/>
    <w:aliases w:val="H2 Char1"/>
    <w:basedOn w:val="DefaultParagraphFont"/>
    <w:uiPriority w:val="99"/>
    <w:semiHidden/>
    <w:rsid w:val="00924476"/>
    <w:rPr>
      <w:rFonts w:asciiTheme="majorHAnsi" w:eastAsiaTheme="majorEastAsia" w:hAnsiTheme="majorHAnsi" w:cstheme="majorBidi"/>
      <w:b/>
      <w:bCs/>
      <w:color w:val="4F81BD" w:themeColor="accent1"/>
      <w:sz w:val="26"/>
      <w:szCs w:val="26"/>
    </w:rPr>
  </w:style>
  <w:style w:type="paragraph" w:customStyle="1" w:styleId="figure">
    <w:name w:val="figure"/>
    <w:basedOn w:val="Normal"/>
    <w:qFormat/>
    <w:rsid w:val="00924476"/>
    <w:pPr>
      <w:spacing w:line="276" w:lineRule="auto"/>
    </w:pPr>
    <w:rPr>
      <w:rFonts w:asciiTheme="minorHAnsi" w:eastAsiaTheme="minorHAnsi" w:hAnsiTheme="minorHAnsi" w:cstheme="minorBidi"/>
      <w:sz w:val="20"/>
    </w:rPr>
  </w:style>
  <w:style w:type="character" w:customStyle="1" w:styleId="TitleChar1">
    <w:name w:val="Title Char1"/>
    <w:aliases w:val="HEAD1 Char1"/>
    <w:basedOn w:val="DefaultParagraphFont"/>
    <w:uiPriority w:val="10"/>
    <w:rsid w:val="0092447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SubtitleChar1">
    <w:name w:val="Subtitle Char1"/>
    <w:aliases w:val="HEAD2 Char1"/>
    <w:basedOn w:val="DefaultParagraphFont"/>
    <w:uiPriority w:val="11"/>
    <w:rsid w:val="00924476"/>
    <w:rPr>
      <w:rFonts w:asciiTheme="majorHAnsi" w:eastAsiaTheme="majorEastAsia" w:hAnsiTheme="majorHAnsi" w:cstheme="majorBidi"/>
      <w:i/>
      <w:iCs/>
      <w:color w:val="4F81BD" w:themeColor="accent1"/>
      <w:spacing w:val="15"/>
      <w:sz w:val="24"/>
      <w:szCs w:val="24"/>
      <w:lang w:eastAsia="en-US"/>
    </w:rPr>
  </w:style>
  <w:style w:type="paragraph" w:customStyle="1" w:styleId="references">
    <w:name w:val="references"/>
    <w:basedOn w:val="Normal"/>
    <w:rsid w:val="00924476"/>
    <w:pPr>
      <w:numPr>
        <w:numId w:val="17"/>
      </w:numPr>
      <w:tabs>
        <w:tab w:val="right" w:pos="9072"/>
      </w:tabs>
      <w:spacing w:before="20" w:after="20"/>
      <w:ind w:left="357" w:hanging="357"/>
    </w:pPr>
    <w:rPr>
      <w:rFonts w:ascii="Times New Roman" w:eastAsia="Batang" w:hAnsi="Times New Roman"/>
      <w:sz w:val="18"/>
      <w:szCs w:val="20"/>
      <w:lang w:val="en-US"/>
    </w:rPr>
  </w:style>
  <w:style w:type="paragraph" w:customStyle="1" w:styleId="CRossREF">
    <w:name w:val="CRoss REF"/>
    <w:basedOn w:val="referencetext"/>
    <w:link w:val="CRossREFChar"/>
    <w:qFormat/>
    <w:rsid w:val="007E4169"/>
    <w:rPr>
      <w:rFonts w:asciiTheme="minorHAnsi" w:hAnsiTheme="minorHAnsi"/>
      <w:bCs/>
      <w:i/>
      <w:noProof/>
    </w:rPr>
  </w:style>
  <w:style w:type="character" w:customStyle="1" w:styleId="referencetextChar">
    <w:name w:val="referencetext Char"/>
    <w:basedOn w:val="DefaultParagraphFont"/>
    <w:link w:val="referencetext"/>
    <w:uiPriority w:val="99"/>
    <w:rsid w:val="007E4169"/>
    <w:rPr>
      <w:rFonts w:ascii="Times New Roman" w:eastAsiaTheme="minorHAnsi" w:hAnsi="Times New Roman"/>
      <w:sz w:val="24"/>
      <w:szCs w:val="24"/>
    </w:rPr>
  </w:style>
  <w:style w:type="character" w:customStyle="1" w:styleId="CRossREFChar">
    <w:name w:val="CRoss REF Char"/>
    <w:basedOn w:val="referencetextChar"/>
    <w:link w:val="CRossREF"/>
    <w:rsid w:val="007E4169"/>
    <w:rPr>
      <w:rFonts w:asciiTheme="minorHAnsi" w:eastAsiaTheme="minorHAnsi" w:hAnsiTheme="minorHAnsi"/>
      <w:bCs/>
      <w:i/>
      <w:noProof/>
      <w:sz w:val="24"/>
      <w:szCs w:val="24"/>
    </w:rPr>
  </w:style>
  <w:style w:type="table" w:customStyle="1" w:styleId="GridTable5Dark-Accent11">
    <w:name w:val="Grid Table 5 Dark - Accent 11"/>
    <w:basedOn w:val="TableNormal"/>
    <w:uiPriority w:val="50"/>
    <w:rsid w:val="00CE2EDC"/>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HTMLPreformatted">
    <w:name w:val="HTML Preformatted"/>
    <w:basedOn w:val="Normal"/>
    <w:link w:val="HTMLPreformattedChar"/>
    <w:uiPriority w:val="99"/>
    <w:semiHidden/>
    <w:unhideWhenUsed/>
    <w:rsid w:val="00CE2EDC"/>
    <w:pPr>
      <w:shd w:val="clear" w:color="auto" w:fill="EFF0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40"/>
    </w:pPr>
    <w:rPr>
      <w:rFonts w:ascii="Consolas" w:eastAsia="Times New Roman" w:hAnsi="Consolas" w:cs="Consolas"/>
      <w:sz w:val="20"/>
      <w:szCs w:val="20"/>
      <w:lang w:eastAsia="en-AU"/>
    </w:rPr>
  </w:style>
  <w:style w:type="character" w:customStyle="1" w:styleId="HTMLPreformattedChar">
    <w:name w:val="HTML Preformatted Char"/>
    <w:basedOn w:val="DefaultParagraphFont"/>
    <w:link w:val="HTMLPreformatted"/>
    <w:uiPriority w:val="99"/>
    <w:semiHidden/>
    <w:rsid w:val="00CE2EDC"/>
    <w:rPr>
      <w:rFonts w:ascii="Consolas" w:eastAsia="Times New Roman" w:hAnsi="Consolas" w:cs="Consolas"/>
      <w:shd w:val="clear" w:color="auto" w:fill="EFF0F1"/>
    </w:rPr>
  </w:style>
  <w:style w:type="character" w:customStyle="1" w:styleId="UnresolvedMention">
    <w:name w:val="Unresolved Mention"/>
    <w:basedOn w:val="DefaultParagraphFont"/>
    <w:uiPriority w:val="99"/>
    <w:semiHidden/>
    <w:unhideWhenUsed/>
    <w:rsid w:val="00144162"/>
    <w:rPr>
      <w:color w:val="605E5C"/>
      <w:shd w:val="clear" w:color="auto" w:fill="E1DFDD"/>
    </w:rPr>
  </w:style>
  <w:style w:type="table" w:styleId="GridTable5Dark-Accent6">
    <w:name w:val="Grid Table 5 Dark Accent 6"/>
    <w:basedOn w:val="TableNormal"/>
    <w:uiPriority w:val="50"/>
    <w:rsid w:val="007163E8"/>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5Dark-Accent1">
    <w:name w:val="Grid Table 5 Dark Accent 1"/>
    <w:basedOn w:val="TableNormal"/>
    <w:uiPriority w:val="50"/>
    <w:rsid w:val="007163E8"/>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6">
    <w:name w:val="Grid Table 4 Accent 6"/>
    <w:basedOn w:val="TableNormal"/>
    <w:uiPriority w:val="49"/>
    <w:rsid w:val="005D4E80"/>
    <w:rPr>
      <w:rFonts w:asciiTheme="minorHAnsi" w:eastAsiaTheme="minorHAnsi" w:hAnsiTheme="minorHAnsi" w:cstheme="minorBidi"/>
      <w:sz w:val="22"/>
      <w:szCs w:val="22"/>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0">
    <w:name w:val="default"/>
    <w:basedOn w:val="Normal"/>
    <w:rsid w:val="00A86191"/>
    <w:pPr>
      <w:spacing w:before="100" w:beforeAutospacing="1" w:after="100" w:afterAutospacing="1"/>
    </w:pPr>
    <w:rPr>
      <w:rFonts w:eastAsiaTheme="minorHAnsi" w:cs="Calibri"/>
      <w:sz w:val="22"/>
      <w:szCs w:val="22"/>
      <w:lang w:eastAsia="en-AU"/>
    </w:rPr>
  </w:style>
  <w:style w:type="table" w:styleId="GridTable4-Accent3">
    <w:name w:val="Grid Table 4 Accent 3"/>
    <w:basedOn w:val="TableNormal"/>
    <w:uiPriority w:val="49"/>
    <w:rsid w:val="00180A5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3">
    <w:name w:val="Grid Table 2 Accent 3"/>
    <w:basedOn w:val="TableNormal"/>
    <w:uiPriority w:val="47"/>
    <w:rsid w:val="000F2B1A"/>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3">
    <w:name w:val="Grid Table 6 Colorful Accent 3"/>
    <w:basedOn w:val="TableNormal"/>
    <w:uiPriority w:val="51"/>
    <w:rsid w:val="006529C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textcell">
    <w:name w:val="textcell"/>
    <w:basedOn w:val="DefaultParagraphFont"/>
    <w:rsid w:val="00ED69E9"/>
  </w:style>
  <w:style w:type="character" w:customStyle="1" w:styleId="numbercell">
    <w:name w:val="numbercell"/>
    <w:basedOn w:val="DefaultParagraphFont"/>
    <w:rsid w:val="00ED69E9"/>
  </w:style>
  <w:style w:type="paragraph" w:customStyle="1" w:styleId="msonormal0">
    <w:name w:val="msonormal"/>
    <w:basedOn w:val="Normal"/>
    <w:rsid w:val="00330D60"/>
    <w:pPr>
      <w:spacing w:before="100" w:beforeAutospacing="1" w:after="100" w:afterAutospacing="1"/>
    </w:pPr>
    <w:rPr>
      <w:rFonts w:ascii="Times New Roman" w:eastAsia="Times New Roman" w:hAnsi="Times New Roman"/>
      <w:lang w:eastAsia="en-AU"/>
    </w:rPr>
  </w:style>
  <w:style w:type="paragraph" w:customStyle="1" w:styleId="xl67">
    <w:name w:val="xl67"/>
    <w:basedOn w:val="Normal"/>
    <w:rsid w:val="00330D60"/>
    <w:pPr>
      <w:spacing w:before="100" w:beforeAutospacing="1" w:after="100" w:afterAutospacing="1"/>
    </w:pPr>
    <w:rPr>
      <w:rFonts w:ascii="Times New Roman" w:eastAsia="Times New Roman" w:hAnsi="Times New Roman"/>
      <w:sz w:val="18"/>
      <w:szCs w:val="18"/>
      <w:lang w:eastAsia="en-AU"/>
    </w:rPr>
  </w:style>
  <w:style w:type="paragraph" w:customStyle="1" w:styleId="xl68">
    <w:name w:val="xl68"/>
    <w:basedOn w:val="Normal"/>
    <w:rsid w:val="00330D6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imes New Roman" w:eastAsia="Times New Roman" w:hAnsi="Times New Roman"/>
      <w:color w:val="000000"/>
      <w:sz w:val="20"/>
      <w:szCs w:val="20"/>
      <w:lang w:eastAsia="en-AU"/>
    </w:rPr>
  </w:style>
  <w:style w:type="paragraph" w:customStyle="1" w:styleId="xl69">
    <w:name w:val="xl69"/>
    <w:basedOn w:val="Normal"/>
    <w:rsid w:val="00330D6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imes New Roman" w:eastAsia="Times New Roman" w:hAnsi="Times New Roman"/>
      <w:color w:val="000000"/>
      <w:sz w:val="20"/>
      <w:szCs w:val="20"/>
      <w:lang w:eastAsia="en-AU"/>
    </w:rPr>
  </w:style>
  <w:style w:type="paragraph" w:customStyle="1" w:styleId="xl70">
    <w:name w:val="xl70"/>
    <w:basedOn w:val="Normal"/>
    <w:rsid w:val="00330D6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000000"/>
      <w:sz w:val="20"/>
      <w:szCs w:val="20"/>
      <w:lang w:eastAsia="en-AU"/>
    </w:rPr>
  </w:style>
  <w:style w:type="paragraph" w:customStyle="1" w:styleId="xl71">
    <w:name w:val="xl71"/>
    <w:basedOn w:val="Normal"/>
    <w:rsid w:val="00330D6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lang w:eastAsia="en-AU"/>
    </w:rPr>
  </w:style>
  <w:style w:type="paragraph" w:customStyle="1" w:styleId="xl72">
    <w:name w:val="xl72"/>
    <w:basedOn w:val="Normal"/>
    <w:rsid w:val="00330D6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imes New Roman" w:eastAsia="Times New Roman" w:hAnsi="Times New Roman"/>
      <w:color w:val="000000"/>
      <w:sz w:val="20"/>
      <w:szCs w:val="20"/>
      <w:lang w:eastAsia="en-AU"/>
    </w:rPr>
  </w:style>
  <w:style w:type="paragraph" w:customStyle="1" w:styleId="xl73">
    <w:name w:val="xl73"/>
    <w:basedOn w:val="Normal"/>
    <w:rsid w:val="00330D6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000000"/>
      <w:sz w:val="20"/>
      <w:szCs w:val="20"/>
      <w:lang w:eastAsia="en-AU"/>
    </w:rPr>
  </w:style>
  <w:style w:type="paragraph" w:customStyle="1" w:styleId="xl74">
    <w:name w:val="xl74"/>
    <w:basedOn w:val="Normal"/>
    <w:rsid w:val="00330D60"/>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000000"/>
      <w:sz w:val="18"/>
      <w:szCs w:val="18"/>
      <w:lang w:eastAsia="en-AU"/>
    </w:rPr>
  </w:style>
  <w:style w:type="character" w:customStyle="1" w:styleId="fontcolorneutraldark2">
    <w:name w:val="fontcolorneutraldark2"/>
    <w:basedOn w:val="DefaultParagraphFont"/>
    <w:rsid w:val="007F76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37455">
      <w:bodyDiv w:val="1"/>
      <w:marLeft w:val="0"/>
      <w:marRight w:val="0"/>
      <w:marTop w:val="0"/>
      <w:marBottom w:val="0"/>
      <w:divBdr>
        <w:top w:val="none" w:sz="0" w:space="0" w:color="auto"/>
        <w:left w:val="none" w:sz="0" w:space="0" w:color="auto"/>
        <w:bottom w:val="none" w:sz="0" w:space="0" w:color="auto"/>
        <w:right w:val="none" w:sz="0" w:space="0" w:color="auto"/>
      </w:divBdr>
    </w:div>
    <w:div w:id="68356295">
      <w:bodyDiv w:val="1"/>
      <w:marLeft w:val="0"/>
      <w:marRight w:val="0"/>
      <w:marTop w:val="0"/>
      <w:marBottom w:val="0"/>
      <w:divBdr>
        <w:top w:val="none" w:sz="0" w:space="0" w:color="auto"/>
        <w:left w:val="none" w:sz="0" w:space="0" w:color="auto"/>
        <w:bottom w:val="none" w:sz="0" w:space="0" w:color="auto"/>
        <w:right w:val="none" w:sz="0" w:space="0" w:color="auto"/>
      </w:divBdr>
    </w:div>
    <w:div w:id="138961256">
      <w:bodyDiv w:val="1"/>
      <w:marLeft w:val="0"/>
      <w:marRight w:val="0"/>
      <w:marTop w:val="0"/>
      <w:marBottom w:val="0"/>
      <w:divBdr>
        <w:top w:val="none" w:sz="0" w:space="0" w:color="auto"/>
        <w:left w:val="none" w:sz="0" w:space="0" w:color="auto"/>
        <w:bottom w:val="none" w:sz="0" w:space="0" w:color="auto"/>
        <w:right w:val="none" w:sz="0" w:space="0" w:color="auto"/>
      </w:divBdr>
    </w:div>
    <w:div w:id="238247463">
      <w:bodyDiv w:val="1"/>
      <w:marLeft w:val="0"/>
      <w:marRight w:val="0"/>
      <w:marTop w:val="0"/>
      <w:marBottom w:val="0"/>
      <w:divBdr>
        <w:top w:val="none" w:sz="0" w:space="0" w:color="auto"/>
        <w:left w:val="none" w:sz="0" w:space="0" w:color="auto"/>
        <w:bottom w:val="none" w:sz="0" w:space="0" w:color="auto"/>
        <w:right w:val="none" w:sz="0" w:space="0" w:color="auto"/>
      </w:divBdr>
    </w:div>
    <w:div w:id="290794403">
      <w:bodyDiv w:val="1"/>
      <w:marLeft w:val="0"/>
      <w:marRight w:val="0"/>
      <w:marTop w:val="0"/>
      <w:marBottom w:val="0"/>
      <w:divBdr>
        <w:top w:val="none" w:sz="0" w:space="0" w:color="auto"/>
        <w:left w:val="none" w:sz="0" w:space="0" w:color="auto"/>
        <w:bottom w:val="none" w:sz="0" w:space="0" w:color="auto"/>
        <w:right w:val="none" w:sz="0" w:space="0" w:color="auto"/>
      </w:divBdr>
    </w:div>
    <w:div w:id="303118601">
      <w:bodyDiv w:val="1"/>
      <w:marLeft w:val="0"/>
      <w:marRight w:val="0"/>
      <w:marTop w:val="0"/>
      <w:marBottom w:val="0"/>
      <w:divBdr>
        <w:top w:val="none" w:sz="0" w:space="0" w:color="auto"/>
        <w:left w:val="none" w:sz="0" w:space="0" w:color="auto"/>
        <w:bottom w:val="none" w:sz="0" w:space="0" w:color="auto"/>
        <w:right w:val="none" w:sz="0" w:space="0" w:color="auto"/>
      </w:divBdr>
    </w:div>
    <w:div w:id="335109177">
      <w:bodyDiv w:val="1"/>
      <w:marLeft w:val="0"/>
      <w:marRight w:val="0"/>
      <w:marTop w:val="0"/>
      <w:marBottom w:val="0"/>
      <w:divBdr>
        <w:top w:val="none" w:sz="0" w:space="0" w:color="auto"/>
        <w:left w:val="none" w:sz="0" w:space="0" w:color="auto"/>
        <w:bottom w:val="none" w:sz="0" w:space="0" w:color="auto"/>
        <w:right w:val="none" w:sz="0" w:space="0" w:color="auto"/>
      </w:divBdr>
    </w:div>
    <w:div w:id="474954108">
      <w:bodyDiv w:val="1"/>
      <w:marLeft w:val="0"/>
      <w:marRight w:val="0"/>
      <w:marTop w:val="0"/>
      <w:marBottom w:val="0"/>
      <w:divBdr>
        <w:top w:val="none" w:sz="0" w:space="0" w:color="auto"/>
        <w:left w:val="none" w:sz="0" w:space="0" w:color="auto"/>
        <w:bottom w:val="none" w:sz="0" w:space="0" w:color="auto"/>
        <w:right w:val="none" w:sz="0" w:space="0" w:color="auto"/>
      </w:divBdr>
    </w:div>
    <w:div w:id="479079605">
      <w:bodyDiv w:val="1"/>
      <w:marLeft w:val="0"/>
      <w:marRight w:val="0"/>
      <w:marTop w:val="0"/>
      <w:marBottom w:val="0"/>
      <w:divBdr>
        <w:top w:val="none" w:sz="0" w:space="0" w:color="auto"/>
        <w:left w:val="none" w:sz="0" w:space="0" w:color="auto"/>
        <w:bottom w:val="none" w:sz="0" w:space="0" w:color="auto"/>
        <w:right w:val="none" w:sz="0" w:space="0" w:color="auto"/>
      </w:divBdr>
    </w:div>
    <w:div w:id="617682892">
      <w:bodyDiv w:val="1"/>
      <w:marLeft w:val="0"/>
      <w:marRight w:val="0"/>
      <w:marTop w:val="0"/>
      <w:marBottom w:val="0"/>
      <w:divBdr>
        <w:top w:val="none" w:sz="0" w:space="0" w:color="auto"/>
        <w:left w:val="none" w:sz="0" w:space="0" w:color="auto"/>
        <w:bottom w:val="none" w:sz="0" w:space="0" w:color="auto"/>
        <w:right w:val="none" w:sz="0" w:space="0" w:color="auto"/>
      </w:divBdr>
    </w:div>
    <w:div w:id="653215520">
      <w:bodyDiv w:val="1"/>
      <w:marLeft w:val="0"/>
      <w:marRight w:val="0"/>
      <w:marTop w:val="0"/>
      <w:marBottom w:val="0"/>
      <w:divBdr>
        <w:top w:val="none" w:sz="0" w:space="0" w:color="auto"/>
        <w:left w:val="none" w:sz="0" w:space="0" w:color="auto"/>
        <w:bottom w:val="none" w:sz="0" w:space="0" w:color="auto"/>
        <w:right w:val="none" w:sz="0" w:space="0" w:color="auto"/>
      </w:divBdr>
    </w:div>
    <w:div w:id="671219870">
      <w:bodyDiv w:val="1"/>
      <w:marLeft w:val="0"/>
      <w:marRight w:val="0"/>
      <w:marTop w:val="0"/>
      <w:marBottom w:val="0"/>
      <w:divBdr>
        <w:top w:val="none" w:sz="0" w:space="0" w:color="auto"/>
        <w:left w:val="none" w:sz="0" w:space="0" w:color="auto"/>
        <w:bottom w:val="none" w:sz="0" w:space="0" w:color="auto"/>
        <w:right w:val="none" w:sz="0" w:space="0" w:color="auto"/>
      </w:divBdr>
    </w:div>
    <w:div w:id="745343431">
      <w:bodyDiv w:val="1"/>
      <w:marLeft w:val="0"/>
      <w:marRight w:val="0"/>
      <w:marTop w:val="0"/>
      <w:marBottom w:val="0"/>
      <w:divBdr>
        <w:top w:val="none" w:sz="0" w:space="0" w:color="auto"/>
        <w:left w:val="none" w:sz="0" w:space="0" w:color="auto"/>
        <w:bottom w:val="none" w:sz="0" w:space="0" w:color="auto"/>
        <w:right w:val="none" w:sz="0" w:space="0" w:color="auto"/>
      </w:divBdr>
    </w:div>
    <w:div w:id="886062477">
      <w:bodyDiv w:val="1"/>
      <w:marLeft w:val="0"/>
      <w:marRight w:val="0"/>
      <w:marTop w:val="0"/>
      <w:marBottom w:val="0"/>
      <w:divBdr>
        <w:top w:val="none" w:sz="0" w:space="0" w:color="auto"/>
        <w:left w:val="none" w:sz="0" w:space="0" w:color="auto"/>
        <w:bottom w:val="none" w:sz="0" w:space="0" w:color="auto"/>
        <w:right w:val="none" w:sz="0" w:space="0" w:color="auto"/>
      </w:divBdr>
    </w:div>
    <w:div w:id="909123666">
      <w:bodyDiv w:val="1"/>
      <w:marLeft w:val="0"/>
      <w:marRight w:val="0"/>
      <w:marTop w:val="0"/>
      <w:marBottom w:val="0"/>
      <w:divBdr>
        <w:top w:val="none" w:sz="0" w:space="0" w:color="auto"/>
        <w:left w:val="none" w:sz="0" w:space="0" w:color="auto"/>
        <w:bottom w:val="none" w:sz="0" w:space="0" w:color="auto"/>
        <w:right w:val="none" w:sz="0" w:space="0" w:color="auto"/>
      </w:divBdr>
    </w:div>
    <w:div w:id="917057680">
      <w:bodyDiv w:val="1"/>
      <w:marLeft w:val="0"/>
      <w:marRight w:val="0"/>
      <w:marTop w:val="0"/>
      <w:marBottom w:val="0"/>
      <w:divBdr>
        <w:top w:val="none" w:sz="0" w:space="0" w:color="auto"/>
        <w:left w:val="none" w:sz="0" w:space="0" w:color="auto"/>
        <w:bottom w:val="none" w:sz="0" w:space="0" w:color="auto"/>
        <w:right w:val="none" w:sz="0" w:space="0" w:color="auto"/>
      </w:divBdr>
    </w:div>
    <w:div w:id="948660332">
      <w:bodyDiv w:val="1"/>
      <w:marLeft w:val="0"/>
      <w:marRight w:val="0"/>
      <w:marTop w:val="0"/>
      <w:marBottom w:val="0"/>
      <w:divBdr>
        <w:top w:val="none" w:sz="0" w:space="0" w:color="auto"/>
        <w:left w:val="none" w:sz="0" w:space="0" w:color="auto"/>
        <w:bottom w:val="none" w:sz="0" w:space="0" w:color="auto"/>
        <w:right w:val="none" w:sz="0" w:space="0" w:color="auto"/>
      </w:divBdr>
    </w:div>
    <w:div w:id="1032808702">
      <w:bodyDiv w:val="1"/>
      <w:marLeft w:val="0"/>
      <w:marRight w:val="0"/>
      <w:marTop w:val="0"/>
      <w:marBottom w:val="0"/>
      <w:divBdr>
        <w:top w:val="none" w:sz="0" w:space="0" w:color="auto"/>
        <w:left w:val="none" w:sz="0" w:space="0" w:color="auto"/>
        <w:bottom w:val="none" w:sz="0" w:space="0" w:color="auto"/>
        <w:right w:val="none" w:sz="0" w:space="0" w:color="auto"/>
      </w:divBdr>
    </w:div>
    <w:div w:id="1052927939">
      <w:bodyDiv w:val="1"/>
      <w:marLeft w:val="0"/>
      <w:marRight w:val="0"/>
      <w:marTop w:val="0"/>
      <w:marBottom w:val="0"/>
      <w:divBdr>
        <w:top w:val="none" w:sz="0" w:space="0" w:color="auto"/>
        <w:left w:val="none" w:sz="0" w:space="0" w:color="auto"/>
        <w:bottom w:val="none" w:sz="0" w:space="0" w:color="auto"/>
        <w:right w:val="none" w:sz="0" w:space="0" w:color="auto"/>
      </w:divBdr>
    </w:div>
    <w:div w:id="1161654055">
      <w:bodyDiv w:val="1"/>
      <w:marLeft w:val="0"/>
      <w:marRight w:val="0"/>
      <w:marTop w:val="0"/>
      <w:marBottom w:val="0"/>
      <w:divBdr>
        <w:top w:val="none" w:sz="0" w:space="0" w:color="auto"/>
        <w:left w:val="none" w:sz="0" w:space="0" w:color="auto"/>
        <w:bottom w:val="none" w:sz="0" w:space="0" w:color="auto"/>
        <w:right w:val="none" w:sz="0" w:space="0" w:color="auto"/>
      </w:divBdr>
    </w:div>
    <w:div w:id="1198930538">
      <w:bodyDiv w:val="1"/>
      <w:marLeft w:val="0"/>
      <w:marRight w:val="0"/>
      <w:marTop w:val="0"/>
      <w:marBottom w:val="0"/>
      <w:divBdr>
        <w:top w:val="none" w:sz="0" w:space="0" w:color="auto"/>
        <w:left w:val="none" w:sz="0" w:space="0" w:color="auto"/>
        <w:bottom w:val="none" w:sz="0" w:space="0" w:color="auto"/>
        <w:right w:val="none" w:sz="0" w:space="0" w:color="auto"/>
      </w:divBdr>
    </w:div>
    <w:div w:id="1220675805">
      <w:bodyDiv w:val="1"/>
      <w:marLeft w:val="0"/>
      <w:marRight w:val="0"/>
      <w:marTop w:val="0"/>
      <w:marBottom w:val="0"/>
      <w:divBdr>
        <w:top w:val="none" w:sz="0" w:space="0" w:color="auto"/>
        <w:left w:val="none" w:sz="0" w:space="0" w:color="auto"/>
        <w:bottom w:val="none" w:sz="0" w:space="0" w:color="auto"/>
        <w:right w:val="none" w:sz="0" w:space="0" w:color="auto"/>
      </w:divBdr>
    </w:div>
    <w:div w:id="1242175122">
      <w:bodyDiv w:val="1"/>
      <w:marLeft w:val="0"/>
      <w:marRight w:val="0"/>
      <w:marTop w:val="0"/>
      <w:marBottom w:val="0"/>
      <w:divBdr>
        <w:top w:val="none" w:sz="0" w:space="0" w:color="auto"/>
        <w:left w:val="none" w:sz="0" w:space="0" w:color="auto"/>
        <w:bottom w:val="none" w:sz="0" w:space="0" w:color="auto"/>
        <w:right w:val="none" w:sz="0" w:space="0" w:color="auto"/>
      </w:divBdr>
    </w:div>
    <w:div w:id="1280528294">
      <w:bodyDiv w:val="1"/>
      <w:marLeft w:val="0"/>
      <w:marRight w:val="0"/>
      <w:marTop w:val="0"/>
      <w:marBottom w:val="0"/>
      <w:divBdr>
        <w:top w:val="none" w:sz="0" w:space="0" w:color="auto"/>
        <w:left w:val="none" w:sz="0" w:space="0" w:color="auto"/>
        <w:bottom w:val="none" w:sz="0" w:space="0" w:color="auto"/>
        <w:right w:val="none" w:sz="0" w:space="0" w:color="auto"/>
      </w:divBdr>
    </w:div>
    <w:div w:id="1328480767">
      <w:bodyDiv w:val="1"/>
      <w:marLeft w:val="0"/>
      <w:marRight w:val="0"/>
      <w:marTop w:val="0"/>
      <w:marBottom w:val="0"/>
      <w:divBdr>
        <w:top w:val="none" w:sz="0" w:space="0" w:color="auto"/>
        <w:left w:val="none" w:sz="0" w:space="0" w:color="auto"/>
        <w:bottom w:val="none" w:sz="0" w:space="0" w:color="auto"/>
        <w:right w:val="none" w:sz="0" w:space="0" w:color="auto"/>
      </w:divBdr>
    </w:div>
    <w:div w:id="1425615601">
      <w:bodyDiv w:val="1"/>
      <w:marLeft w:val="0"/>
      <w:marRight w:val="0"/>
      <w:marTop w:val="0"/>
      <w:marBottom w:val="0"/>
      <w:divBdr>
        <w:top w:val="none" w:sz="0" w:space="0" w:color="auto"/>
        <w:left w:val="none" w:sz="0" w:space="0" w:color="auto"/>
        <w:bottom w:val="none" w:sz="0" w:space="0" w:color="auto"/>
        <w:right w:val="none" w:sz="0" w:space="0" w:color="auto"/>
      </w:divBdr>
    </w:div>
    <w:div w:id="1510563056">
      <w:bodyDiv w:val="1"/>
      <w:marLeft w:val="0"/>
      <w:marRight w:val="0"/>
      <w:marTop w:val="0"/>
      <w:marBottom w:val="0"/>
      <w:divBdr>
        <w:top w:val="none" w:sz="0" w:space="0" w:color="auto"/>
        <w:left w:val="none" w:sz="0" w:space="0" w:color="auto"/>
        <w:bottom w:val="none" w:sz="0" w:space="0" w:color="auto"/>
        <w:right w:val="none" w:sz="0" w:space="0" w:color="auto"/>
      </w:divBdr>
    </w:div>
    <w:div w:id="1512724539">
      <w:bodyDiv w:val="1"/>
      <w:marLeft w:val="0"/>
      <w:marRight w:val="0"/>
      <w:marTop w:val="0"/>
      <w:marBottom w:val="0"/>
      <w:divBdr>
        <w:top w:val="none" w:sz="0" w:space="0" w:color="auto"/>
        <w:left w:val="none" w:sz="0" w:space="0" w:color="auto"/>
        <w:bottom w:val="none" w:sz="0" w:space="0" w:color="auto"/>
        <w:right w:val="none" w:sz="0" w:space="0" w:color="auto"/>
      </w:divBdr>
    </w:div>
    <w:div w:id="1533809118">
      <w:bodyDiv w:val="1"/>
      <w:marLeft w:val="0"/>
      <w:marRight w:val="0"/>
      <w:marTop w:val="0"/>
      <w:marBottom w:val="0"/>
      <w:divBdr>
        <w:top w:val="none" w:sz="0" w:space="0" w:color="auto"/>
        <w:left w:val="none" w:sz="0" w:space="0" w:color="auto"/>
        <w:bottom w:val="none" w:sz="0" w:space="0" w:color="auto"/>
        <w:right w:val="none" w:sz="0" w:space="0" w:color="auto"/>
      </w:divBdr>
    </w:div>
    <w:div w:id="1679966061">
      <w:bodyDiv w:val="1"/>
      <w:marLeft w:val="0"/>
      <w:marRight w:val="0"/>
      <w:marTop w:val="0"/>
      <w:marBottom w:val="0"/>
      <w:divBdr>
        <w:top w:val="none" w:sz="0" w:space="0" w:color="auto"/>
        <w:left w:val="none" w:sz="0" w:space="0" w:color="auto"/>
        <w:bottom w:val="none" w:sz="0" w:space="0" w:color="auto"/>
        <w:right w:val="none" w:sz="0" w:space="0" w:color="auto"/>
      </w:divBdr>
    </w:div>
    <w:div w:id="1689521325">
      <w:bodyDiv w:val="1"/>
      <w:marLeft w:val="0"/>
      <w:marRight w:val="0"/>
      <w:marTop w:val="0"/>
      <w:marBottom w:val="0"/>
      <w:divBdr>
        <w:top w:val="none" w:sz="0" w:space="0" w:color="auto"/>
        <w:left w:val="none" w:sz="0" w:space="0" w:color="auto"/>
        <w:bottom w:val="none" w:sz="0" w:space="0" w:color="auto"/>
        <w:right w:val="none" w:sz="0" w:space="0" w:color="auto"/>
      </w:divBdr>
      <w:divsChild>
        <w:div w:id="239485697">
          <w:blockQuote w:val="1"/>
          <w:marLeft w:val="720"/>
          <w:marRight w:val="720"/>
          <w:marTop w:val="100"/>
          <w:marBottom w:val="100"/>
          <w:divBdr>
            <w:top w:val="none" w:sz="0" w:space="0" w:color="auto"/>
            <w:left w:val="none" w:sz="0" w:space="0" w:color="auto"/>
            <w:bottom w:val="none" w:sz="0" w:space="0" w:color="auto"/>
            <w:right w:val="none" w:sz="0" w:space="0" w:color="auto"/>
          </w:divBdr>
        </w:div>
        <w:div w:id="48864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3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608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219572">
      <w:bodyDiv w:val="1"/>
      <w:marLeft w:val="0"/>
      <w:marRight w:val="0"/>
      <w:marTop w:val="0"/>
      <w:marBottom w:val="0"/>
      <w:divBdr>
        <w:top w:val="none" w:sz="0" w:space="0" w:color="auto"/>
        <w:left w:val="none" w:sz="0" w:space="0" w:color="auto"/>
        <w:bottom w:val="none" w:sz="0" w:space="0" w:color="auto"/>
        <w:right w:val="none" w:sz="0" w:space="0" w:color="auto"/>
      </w:divBdr>
    </w:div>
    <w:div w:id="1802112652">
      <w:bodyDiv w:val="1"/>
      <w:marLeft w:val="0"/>
      <w:marRight w:val="0"/>
      <w:marTop w:val="0"/>
      <w:marBottom w:val="0"/>
      <w:divBdr>
        <w:top w:val="none" w:sz="0" w:space="0" w:color="auto"/>
        <w:left w:val="none" w:sz="0" w:space="0" w:color="auto"/>
        <w:bottom w:val="none" w:sz="0" w:space="0" w:color="auto"/>
        <w:right w:val="none" w:sz="0" w:space="0" w:color="auto"/>
      </w:divBdr>
    </w:div>
    <w:div w:id="1828281438">
      <w:bodyDiv w:val="1"/>
      <w:marLeft w:val="0"/>
      <w:marRight w:val="0"/>
      <w:marTop w:val="0"/>
      <w:marBottom w:val="0"/>
      <w:divBdr>
        <w:top w:val="none" w:sz="0" w:space="0" w:color="auto"/>
        <w:left w:val="none" w:sz="0" w:space="0" w:color="auto"/>
        <w:bottom w:val="none" w:sz="0" w:space="0" w:color="auto"/>
        <w:right w:val="none" w:sz="0" w:space="0" w:color="auto"/>
      </w:divBdr>
    </w:div>
    <w:div w:id="1896577455">
      <w:bodyDiv w:val="1"/>
      <w:marLeft w:val="0"/>
      <w:marRight w:val="0"/>
      <w:marTop w:val="0"/>
      <w:marBottom w:val="0"/>
      <w:divBdr>
        <w:top w:val="none" w:sz="0" w:space="0" w:color="auto"/>
        <w:left w:val="none" w:sz="0" w:space="0" w:color="auto"/>
        <w:bottom w:val="none" w:sz="0" w:space="0" w:color="auto"/>
        <w:right w:val="none" w:sz="0" w:space="0" w:color="auto"/>
      </w:divBdr>
    </w:div>
    <w:div w:id="1904674836">
      <w:bodyDiv w:val="1"/>
      <w:marLeft w:val="0"/>
      <w:marRight w:val="0"/>
      <w:marTop w:val="0"/>
      <w:marBottom w:val="0"/>
      <w:divBdr>
        <w:top w:val="none" w:sz="0" w:space="0" w:color="auto"/>
        <w:left w:val="none" w:sz="0" w:space="0" w:color="auto"/>
        <w:bottom w:val="none" w:sz="0" w:space="0" w:color="auto"/>
        <w:right w:val="none" w:sz="0" w:space="0" w:color="auto"/>
      </w:divBdr>
    </w:div>
    <w:div w:id="1946420633">
      <w:bodyDiv w:val="1"/>
      <w:marLeft w:val="0"/>
      <w:marRight w:val="0"/>
      <w:marTop w:val="0"/>
      <w:marBottom w:val="0"/>
      <w:divBdr>
        <w:top w:val="none" w:sz="0" w:space="0" w:color="auto"/>
        <w:left w:val="none" w:sz="0" w:space="0" w:color="auto"/>
        <w:bottom w:val="none" w:sz="0" w:space="0" w:color="auto"/>
        <w:right w:val="none" w:sz="0" w:space="0" w:color="auto"/>
      </w:divBdr>
    </w:div>
    <w:div w:id="2025860719">
      <w:bodyDiv w:val="1"/>
      <w:marLeft w:val="0"/>
      <w:marRight w:val="0"/>
      <w:marTop w:val="0"/>
      <w:marBottom w:val="0"/>
      <w:divBdr>
        <w:top w:val="none" w:sz="0" w:space="0" w:color="auto"/>
        <w:left w:val="none" w:sz="0" w:space="0" w:color="auto"/>
        <w:bottom w:val="none" w:sz="0" w:space="0" w:color="auto"/>
        <w:right w:val="none" w:sz="0" w:space="0" w:color="auto"/>
      </w:divBdr>
    </w:div>
    <w:div w:id="2091463619">
      <w:bodyDiv w:val="1"/>
      <w:marLeft w:val="0"/>
      <w:marRight w:val="0"/>
      <w:marTop w:val="0"/>
      <w:marBottom w:val="0"/>
      <w:divBdr>
        <w:top w:val="none" w:sz="0" w:space="0" w:color="auto"/>
        <w:left w:val="none" w:sz="0" w:space="0" w:color="auto"/>
        <w:bottom w:val="none" w:sz="0" w:space="0" w:color="auto"/>
        <w:right w:val="none" w:sz="0" w:space="0" w:color="auto"/>
      </w:divBdr>
    </w:div>
    <w:div w:id="2142452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creativecommons.org/licenses/by/3.0/au/" TargetMode="External"/><Relationship Id="rId42" Type="http://schemas.openxmlformats.org/officeDocument/2006/relationships/image" Target="media/image28.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3.jpeg"/><Relationship Id="rId205" Type="http://schemas.openxmlformats.org/officeDocument/2006/relationships/image" Target="media/image186.jpeg"/><Relationship Id="rId16" Type="http://schemas.openxmlformats.org/officeDocument/2006/relationships/image" Target="media/image7.jpeg"/><Relationship Id="rId107" Type="http://schemas.openxmlformats.org/officeDocument/2006/relationships/image" Target="media/image92.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9.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4.jpeg"/><Relationship Id="rId165" Type="http://schemas.openxmlformats.org/officeDocument/2006/relationships/image" Target="media/image149.jpeg"/><Relationship Id="rId181" Type="http://schemas.openxmlformats.org/officeDocument/2006/relationships/image" Target="media/image164.png"/><Relationship Id="rId186" Type="http://schemas.openxmlformats.org/officeDocument/2006/relationships/image" Target="media/image169.PNG"/><Relationship Id="rId22" Type="http://schemas.openxmlformats.org/officeDocument/2006/relationships/header" Target="header4.xml"/><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4.emf"/><Relationship Id="rId155" Type="http://schemas.openxmlformats.org/officeDocument/2006/relationships/image" Target="media/image139.jpeg"/><Relationship Id="rId171" Type="http://schemas.openxmlformats.org/officeDocument/2006/relationships/image" Target="media/image155.jpeg"/><Relationship Id="rId176" Type="http://schemas.openxmlformats.org/officeDocument/2006/relationships/hyperlink" Target="http://plantnet.rbgsyd.nsw.gov.au/" TargetMode="External"/><Relationship Id="rId192" Type="http://schemas.openxmlformats.org/officeDocument/2006/relationships/image" Target="media/image174.png"/><Relationship Id="rId197" Type="http://schemas.openxmlformats.org/officeDocument/2006/relationships/image" Target="media/image179.png"/><Relationship Id="rId206" Type="http://schemas.openxmlformats.org/officeDocument/2006/relationships/hyperlink" Target="http://www.canberra.edu.au/researchrepository/items/41ccf84a-0110-4c36-9084-7c911115e9fb/1/" TargetMode="External"/><Relationship Id="rId201" Type="http://schemas.openxmlformats.org/officeDocument/2006/relationships/hyperlink" Target="https://realtimedata.waternsw.com.au" TargetMode="External"/><Relationship Id="rId12" Type="http://schemas.openxmlformats.org/officeDocument/2006/relationships/footer" Target="footer2.xml"/><Relationship Id="rId17" Type="http://schemas.openxmlformats.org/officeDocument/2006/relationships/image" Target="media/image8.jpeg"/><Relationship Id="rId33" Type="http://schemas.openxmlformats.org/officeDocument/2006/relationships/hyperlink" Target="http://waterinfo.nsw.gov.au/" TargetMode="External"/><Relationship Id="rId38" Type="http://schemas.openxmlformats.org/officeDocument/2006/relationships/image" Target="media/image24.png"/><Relationship Id="rId59" Type="http://schemas.openxmlformats.org/officeDocument/2006/relationships/image" Target="media/image44.jpe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tiff"/><Relationship Id="rId161" Type="http://schemas.openxmlformats.org/officeDocument/2006/relationships/image" Target="media/image145.jpeg"/><Relationship Id="rId166" Type="http://schemas.openxmlformats.org/officeDocument/2006/relationships/image" Target="media/image150.jpeg"/><Relationship Id="rId182" Type="http://schemas.openxmlformats.org/officeDocument/2006/relationships/image" Target="media/image165.png"/><Relationship Id="rId187" Type="http://schemas.openxmlformats.org/officeDocument/2006/relationships/image" Target="media/image1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4.xml"/><Relationship Id="rId28" Type="http://schemas.openxmlformats.org/officeDocument/2006/relationships/image" Target="media/image16.png"/><Relationship Id="rId49" Type="http://schemas.openxmlformats.org/officeDocument/2006/relationships/hyperlink" Target="https://www.sentinel-hub.com/explore/sentinel-playground" TargetMode="External"/><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0.png"/><Relationship Id="rId60" Type="http://schemas.openxmlformats.org/officeDocument/2006/relationships/image" Target="media/image45.jpe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0.jpeg"/><Relationship Id="rId198" Type="http://schemas.openxmlformats.org/officeDocument/2006/relationships/image" Target="media/image180.png"/><Relationship Id="rId172" Type="http://schemas.openxmlformats.org/officeDocument/2006/relationships/image" Target="media/image156.jpeg"/><Relationship Id="rId193" Type="http://schemas.openxmlformats.org/officeDocument/2006/relationships/image" Target="media/image175.png"/><Relationship Id="rId202" Type="http://schemas.openxmlformats.org/officeDocument/2006/relationships/image" Target="media/image183.jpeg"/><Relationship Id="rId207" Type="http://schemas.openxmlformats.org/officeDocument/2006/relationships/hyperlink" Target="http://www.bom.gov.au/climate/data/" TargetMode="Externa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4.png"/><Relationship Id="rId34" Type="http://schemas.openxmlformats.org/officeDocument/2006/relationships/image" Target="media/image20.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jpeg"/><Relationship Id="rId167" Type="http://schemas.openxmlformats.org/officeDocument/2006/relationships/image" Target="media/image151.jpeg"/><Relationship Id="rId188" Type="http://schemas.openxmlformats.org/officeDocument/2006/relationships/image" Target="media/image171.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6.jpeg"/><Relationship Id="rId183"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1.emf"/><Relationship Id="rId178" Type="http://schemas.openxmlformats.org/officeDocument/2006/relationships/image" Target="media/image161.jpeg"/><Relationship Id="rId61" Type="http://schemas.openxmlformats.org/officeDocument/2006/relationships/image" Target="media/image46.jpeg"/><Relationship Id="rId82" Type="http://schemas.openxmlformats.org/officeDocument/2006/relationships/image" Target="media/image67.pn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4.jpeg"/><Relationship Id="rId208" Type="http://schemas.openxmlformats.org/officeDocument/2006/relationships/hyperlink" Target="https://CRAN.R-project.org/package=vegan" TargetMode="External"/><Relationship Id="rId19" Type="http://schemas.openxmlformats.org/officeDocument/2006/relationships/image" Target="media/image10.jpeg"/><Relationship Id="rId14" Type="http://schemas.openxmlformats.org/officeDocument/2006/relationships/footer" Target="footer3.xml"/><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jpeg"/><Relationship Id="rId163" Type="http://schemas.openxmlformats.org/officeDocument/2006/relationships/image" Target="media/image147.jpeg"/><Relationship Id="rId184" Type="http://schemas.openxmlformats.org/officeDocument/2006/relationships/image" Target="media/image167.png"/><Relationship Id="rId189" Type="http://schemas.openxmlformats.org/officeDocument/2006/relationships/image" Target="media/image172.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2.jpe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2.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7.jpeg"/><Relationship Id="rId174" Type="http://schemas.openxmlformats.org/officeDocument/2006/relationships/image" Target="media/image158.png"/><Relationship Id="rId179" Type="http://schemas.openxmlformats.org/officeDocument/2006/relationships/image" Target="media/image162.jpeg"/><Relationship Id="rId195" Type="http://schemas.openxmlformats.org/officeDocument/2006/relationships/image" Target="media/image177.jpeg"/><Relationship Id="rId209" Type="http://schemas.openxmlformats.org/officeDocument/2006/relationships/fontTable" Target="fontTable.xml"/><Relationship Id="rId190" Type="http://schemas.openxmlformats.org/officeDocument/2006/relationships/hyperlink" Target="https://www.environment.gov.au/water/cewo/catchment/lachlan/monitoring" TargetMode="External"/><Relationship Id="rId204" Type="http://schemas.openxmlformats.org/officeDocument/2006/relationships/image" Target="media/image185.jpeg"/><Relationship Id="rId15" Type="http://schemas.openxmlformats.org/officeDocument/2006/relationships/image" Target="media/image6.jpeg"/><Relationship Id="rId36" Type="http://schemas.openxmlformats.org/officeDocument/2006/relationships/image" Target="media/image22.png"/><Relationship Id="rId57" Type="http://schemas.openxmlformats.org/officeDocument/2006/relationships/image" Target="media/image42.jpe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header" Target="header2.xml"/><Relationship Id="rId31" Type="http://schemas.openxmlformats.org/officeDocument/2006/relationships/hyperlink" Target="https://research.csiro.au/ewkrwaterbirds/" TargetMode="External"/><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png"/><Relationship Id="rId143" Type="http://schemas.openxmlformats.org/officeDocument/2006/relationships/image" Target="media/image128.jpeg"/><Relationship Id="rId148" Type="http://schemas.openxmlformats.org/officeDocument/2006/relationships/footer" Target="footer5.xml"/><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8.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3.jpeg"/><Relationship Id="rId210"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8.tiff"/><Relationship Id="rId175" Type="http://schemas.openxmlformats.org/officeDocument/2006/relationships/image" Target="media/image159.jpeg"/><Relationship Id="rId196" Type="http://schemas.openxmlformats.org/officeDocument/2006/relationships/image" Target="media/image178.png"/><Relationship Id="rId200" Type="http://schemas.openxmlformats.org/officeDocument/2006/relationships/image" Target="media/image182.png"/></Relationships>
</file>

<file path=word/_rels/footnotes.xml.rels><?xml version="1.0" encoding="UTF-8" standalone="yes"?>
<Relationships xmlns="http://schemas.openxmlformats.org/package/2006/relationships"><Relationship Id="rId1" Type="http://schemas.openxmlformats.org/officeDocument/2006/relationships/hyperlink" Target="https://www.environment.nsw.gov.au/threatenedspeciesapp/profile.aspx?id=1010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1E718284.dotm</Template>
  <TotalTime>2</TotalTime>
  <Pages>242</Pages>
  <Words>89343</Words>
  <Characters>509256</Characters>
  <Application>Microsoft Office Word</Application>
  <DocSecurity>4</DocSecurity>
  <Lines>4243</Lines>
  <Paragraphs>1194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Lachlan river system Selected Area 2018-19 Monitoring and Evaluation Technical Report</dc:title>
  <dc:creator>Dyer, F., Broadhurst, B., Tschierschke, A., Higgisson, W., Allan, H., Thiem, J., Wright, D., Thompson, R.</dc:creator>
  <cp:lastModifiedBy>Bec Durack</cp:lastModifiedBy>
  <cp:revision>2</cp:revision>
  <dcterms:created xsi:type="dcterms:W3CDTF">2020-06-16T07:52:00Z</dcterms:created>
  <dcterms:modified xsi:type="dcterms:W3CDTF">2020-06-16T07:52:00Z</dcterms:modified>
</cp:coreProperties>
</file>