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A9C3FA" w14:textId="77777777" w:rsidR="0020252F" w:rsidRPr="005C4AA9" w:rsidRDefault="0020252F" w:rsidP="00B735DD">
      <w:pPr>
        <w:rPr>
          <w:rFonts w:cs="Arial"/>
          <w:b/>
          <w:color w:val="FFFFFF"/>
          <w:sz w:val="44"/>
          <w:szCs w:val="44"/>
        </w:rPr>
      </w:pPr>
      <w:r>
        <w:rPr>
          <w:rFonts w:cs="Arial"/>
          <w:b/>
          <w:color w:val="FFFFFF"/>
          <w:sz w:val="44"/>
          <w:szCs w:val="44"/>
        </w:rPr>
        <w:t xml:space="preserve">Inland Waters and Catchment Ecology </w:t>
      </w:r>
    </w:p>
    <w:p w14:paraId="52D04388" w14:textId="77777777" w:rsidR="0020252F" w:rsidRDefault="0020252F" w:rsidP="00B735DD">
      <w:pPr>
        <w:rPr>
          <w:rFonts w:cs="Arial"/>
          <w:b/>
          <w:color w:val="FFFFFF"/>
          <w:sz w:val="36"/>
          <w:szCs w:val="36"/>
        </w:rPr>
      </w:pPr>
    </w:p>
    <w:p w14:paraId="1ABBA009" w14:textId="2BBC42EB" w:rsidR="0020252F" w:rsidRPr="00E95589" w:rsidRDefault="0020252F" w:rsidP="00B735DD">
      <w:pPr>
        <w:pStyle w:val="Title"/>
        <w:rPr>
          <w:color w:val="FFFFFF" w:themeColor="background1"/>
          <w:sz w:val="40"/>
          <w:szCs w:val="40"/>
        </w:rPr>
      </w:pPr>
      <w:r>
        <w:rPr>
          <w:color w:val="FFFFFF" w:themeColor="background1"/>
          <w:sz w:val="40"/>
          <w:szCs w:val="40"/>
        </w:rPr>
        <w:t>Lamprey migration in the lower River Murray</w:t>
      </w:r>
      <w:r w:rsidR="0006042B">
        <w:rPr>
          <w:color w:val="FFFFFF" w:themeColor="background1"/>
          <w:sz w:val="40"/>
          <w:szCs w:val="40"/>
        </w:rPr>
        <w:t xml:space="preserve"> in association with Commonwealth </w:t>
      </w:r>
      <w:r w:rsidR="007010B0">
        <w:rPr>
          <w:color w:val="FFFFFF" w:themeColor="background1"/>
          <w:sz w:val="40"/>
          <w:szCs w:val="40"/>
        </w:rPr>
        <w:t>e</w:t>
      </w:r>
      <w:r w:rsidR="0006042B">
        <w:rPr>
          <w:color w:val="FFFFFF" w:themeColor="background1"/>
          <w:sz w:val="40"/>
          <w:szCs w:val="40"/>
        </w:rPr>
        <w:t xml:space="preserve">nvironmental </w:t>
      </w:r>
      <w:r w:rsidR="007010B0">
        <w:rPr>
          <w:color w:val="FFFFFF" w:themeColor="background1"/>
          <w:sz w:val="40"/>
          <w:szCs w:val="40"/>
        </w:rPr>
        <w:t>w</w:t>
      </w:r>
      <w:r w:rsidR="0006042B">
        <w:rPr>
          <w:color w:val="FFFFFF" w:themeColor="background1"/>
          <w:sz w:val="40"/>
          <w:szCs w:val="40"/>
        </w:rPr>
        <w:t>ater delivery in</w:t>
      </w:r>
      <w:r>
        <w:rPr>
          <w:color w:val="FFFFFF" w:themeColor="background1"/>
          <w:sz w:val="40"/>
          <w:szCs w:val="40"/>
        </w:rPr>
        <w:t xml:space="preserve"> 2019</w:t>
      </w:r>
    </w:p>
    <w:p w14:paraId="2AF734C4" w14:textId="77777777" w:rsidR="0020252F" w:rsidRDefault="0020252F" w:rsidP="00B735DD">
      <w:pPr>
        <w:rPr>
          <w:rFonts w:cs="Arial"/>
          <w:b/>
          <w:color w:val="FFFFFF"/>
          <w:sz w:val="36"/>
          <w:szCs w:val="36"/>
        </w:rPr>
      </w:pPr>
    </w:p>
    <w:p w14:paraId="68AFFF38" w14:textId="77777777" w:rsidR="0020252F" w:rsidRDefault="0020252F" w:rsidP="00B735DD">
      <w:pPr>
        <w:jc w:val="center"/>
        <w:rPr>
          <w:rFonts w:cs="Arial"/>
          <w:b/>
          <w:color w:val="FFFFFF"/>
          <w:sz w:val="28"/>
          <w:szCs w:val="28"/>
        </w:rPr>
      </w:pPr>
      <w:r>
        <w:rPr>
          <w:rFonts w:cs="Arial"/>
          <w:b/>
          <w:noProof/>
          <w:color w:val="FFFFFF"/>
          <w:sz w:val="28"/>
          <w:szCs w:val="28"/>
          <w:lang w:val="en-AU" w:eastAsia="en-AU"/>
        </w:rPr>
        <w:drawing>
          <wp:inline distT="0" distB="0" distL="0" distR="0" wp14:anchorId="7AF80E80" wp14:editId="21CFB6CC">
            <wp:extent cx="3556262" cy="2667000"/>
            <wp:effectExtent l="57150" t="57150" r="120650" b="114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7102280.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3564451" cy="2673141"/>
                    </a:xfrm>
                    <a:prstGeom prst="rect">
                      <a:avLst/>
                    </a:prstGeom>
                    <a:ln>
                      <a:solidFill>
                        <a:schemeClr val="bg1"/>
                      </a:solidFill>
                    </a:ln>
                    <a:effectLst>
                      <a:outerShdw blurRad="50800" dist="38100" dir="2700000" algn="tl" rotWithShape="0">
                        <a:prstClr val="black">
                          <a:alpha val="40000"/>
                        </a:prstClr>
                      </a:outerShdw>
                    </a:effectLst>
                  </pic:spPr>
                </pic:pic>
              </a:graphicData>
            </a:graphic>
          </wp:inline>
        </w:drawing>
      </w:r>
    </w:p>
    <w:p w14:paraId="42DEF424" w14:textId="69B95EFE" w:rsidR="0020252F" w:rsidRPr="0096564A" w:rsidRDefault="0020252F" w:rsidP="00B735DD">
      <w:pPr>
        <w:pStyle w:val="AuthorTitle"/>
        <w:rPr>
          <w:color w:val="FFFFFF" w:themeColor="background1"/>
          <w:sz w:val="36"/>
          <w:szCs w:val="36"/>
        </w:rPr>
      </w:pPr>
      <w:r>
        <w:rPr>
          <w:color w:val="FFFFFF" w:themeColor="background1"/>
          <w:sz w:val="36"/>
          <w:szCs w:val="36"/>
        </w:rPr>
        <w:t xml:space="preserve">C M Bice, </w:t>
      </w:r>
      <w:r w:rsidR="00CA7E3E">
        <w:rPr>
          <w:color w:val="FFFFFF" w:themeColor="background1"/>
          <w:sz w:val="36"/>
          <w:szCs w:val="36"/>
        </w:rPr>
        <w:t xml:space="preserve">B P Zampatti, </w:t>
      </w:r>
      <w:r>
        <w:rPr>
          <w:color w:val="FFFFFF" w:themeColor="background1"/>
          <w:sz w:val="36"/>
          <w:szCs w:val="36"/>
        </w:rPr>
        <w:t xml:space="preserve">Q Ye and G </w:t>
      </w:r>
      <w:r w:rsidR="00C2533A">
        <w:rPr>
          <w:color w:val="FFFFFF" w:themeColor="background1"/>
          <w:sz w:val="36"/>
          <w:szCs w:val="36"/>
        </w:rPr>
        <w:t xml:space="preserve">C </w:t>
      </w:r>
      <w:r>
        <w:rPr>
          <w:color w:val="FFFFFF" w:themeColor="background1"/>
          <w:sz w:val="36"/>
          <w:szCs w:val="36"/>
        </w:rPr>
        <w:t xml:space="preserve">Giatas </w:t>
      </w:r>
    </w:p>
    <w:p w14:paraId="7E48D906" w14:textId="77777777" w:rsidR="0020252F" w:rsidRPr="00B47BC4" w:rsidRDefault="0020252F" w:rsidP="00B735DD">
      <w:pPr>
        <w:jc w:val="center"/>
        <w:rPr>
          <w:rFonts w:cs="Arial"/>
          <w:b/>
          <w:color w:val="FFFFFF"/>
          <w:sz w:val="28"/>
          <w:szCs w:val="28"/>
        </w:rPr>
      </w:pPr>
    </w:p>
    <w:p w14:paraId="4BBAB41D" w14:textId="0C05ED7F" w:rsidR="0020252F" w:rsidRPr="000B1472" w:rsidRDefault="0020252F" w:rsidP="00B735DD">
      <w:pPr>
        <w:pStyle w:val="ReportInformation"/>
        <w:rPr>
          <w:color w:val="FFFFFF" w:themeColor="background1"/>
        </w:rPr>
      </w:pPr>
      <w:r w:rsidRPr="000B1472">
        <w:rPr>
          <w:color w:val="FFFFFF" w:themeColor="background1"/>
        </w:rPr>
        <w:t xml:space="preserve">SARDI Publication No. </w:t>
      </w:r>
      <w:r w:rsidR="000B1472" w:rsidRPr="000B1472">
        <w:rPr>
          <w:color w:val="FFFFFF" w:themeColor="background1"/>
        </w:rPr>
        <w:t>F2020/000203-01</w:t>
      </w:r>
    </w:p>
    <w:p w14:paraId="549C9CF8" w14:textId="533404FD" w:rsidR="0020252F" w:rsidRPr="00E95589" w:rsidRDefault="0020252F" w:rsidP="00B735DD">
      <w:pPr>
        <w:pStyle w:val="ReportInformation"/>
        <w:rPr>
          <w:color w:val="FFFFFF" w:themeColor="background1"/>
        </w:rPr>
      </w:pPr>
      <w:r w:rsidRPr="000B1472">
        <w:rPr>
          <w:color w:val="FFFFFF" w:themeColor="background1"/>
        </w:rPr>
        <w:t xml:space="preserve">SARDI Research Report Series No. </w:t>
      </w:r>
      <w:r w:rsidR="000B1472">
        <w:rPr>
          <w:color w:val="FFFFFF" w:themeColor="background1"/>
        </w:rPr>
        <w:t>1061</w:t>
      </w:r>
      <w:r w:rsidRPr="00E95589">
        <w:rPr>
          <w:color w:val="FFFFFF" w:themeColor="background1"/>
        </w:rPr>
        <w:t xml:space="preserve"> </w:t>
      </w:r>
    </w:p>
    <w:p w14:paraId="173EA72B" w14:textId="77777777" w:rsidR="0020252F" w:rsidRDefault="0020252F" w:rsidP="00B735DD">
      <w:pPr>
        <w:spacing w:after="0" w:line="240" w:lineRule="auto"/>
        <w:jc w:val="center"/>
        <w:rPr>
          <w:rFonts w:cs="Arial"/>
          <w:b/>
          <w:color w:val="FFFFFF"/>
          <w:sz w:val="28"/>
          <w:szCs w:val="28"/>
        </w:rPr>
      </w:pPr>
    </w:p>
    <w:p w14:paraId="599FE4A0" w14:textId="77777777" w:rsidR="0020252F" w:rsidRPr="0056193B" w:rsidRDefault="0020252F" w:rsidP="00B735DD">
      <w:pPr>
        <w:spacing w:after="0" w:line="240" w:lineRule="auto"/>
        <w:jc w:val="center"/>
        <w:rPr>
          <w:rFonts w:cs="Arial"/>
          <w:b/>
          <w:color w:val="FFFFFF"/>
          <w:sz w:val="28"/>
          <w:szCs w:val="28"/>
        </w:rPr>
      </w:pPr>
    </w:p>
    <w:p w14:paraId="6612BD51" w14:textId="655AC7D7" w:rsidR="0020252F" w:rsidRPr="00B47BC4" w:rsidRDefault="0020252F" w:rsidP="00B735DD">
      <w:pPr>
        <w:spacing w:after="0" w:line="240" w:lineRule="auto"/>
        <w:jc w:val="center"/>
        <w:rPr>
          <w:rFonts w:cs="Arial"/>
          <w:b/>
          <w:color w:val="FFFFFF"/>
          <w:sz w:val="28"/>
          <w:szCs w:val="28"/>
        </w:rPr>
      </w:pPr>
      <w:r>
        <w:rPr>
          <w:rFonts w:cs="Arial"/>
          <w:b/>
          <w:color w:val="FFFFFF"/>
        </w:rPr>
        <w:t>SARDI Aquatics Sciences</w:t>
      </w:r>
    </w:p>
    <w:p w14:paraId="77F5BB8B" w14:textId="77777777" w:rsidR="0020252F" w:rsidRDefault="0020252F" w:rsidP="00B735DD">
      <w:pPr>
        <w:spacing w:after="0" w:line="240" w:lineRule="auto"/>
        <w:jc w:val="center"/>
        <w:rPr>
          <w:rFonts w:cs="Arial"/>
          <w:b/>
          <w:color w:val="FFFFFF"/>
        </w:rPr>
      </w:pPr>
      <w:r>
        <w:rPr>
          <w:rFonts w:cs="Arial"/>
          <w:b/>
          <w:color w:val="FFFFFF"/>
        </w:rPr>
        <w:t>PO Box 120 Henley Beach SA 5022</w:t>
      </w:r>
    </w:p>
    <w:p w14:paraId="2928ABA6" w14:textId="77777777" w:rsidR="0020252F" w:rsidRDefault="0020252F" w:rsidP="00B735DD">
      <w:pPr>
        <w:rPr>
          <w:rFonts w:cs="Arial"/>
          <w:b/>
          <w:color w:val="FFFFFF"/>
          <w:sz w:val="36"/>
          <w:szCs w:val="36"/>
        </w:rPr>
      </w:pPr>
    </w:p>
    <w:p w14:paraId="184DC55E" w14:textId="3BA6758E" w:rsidR="0020252F" w:rsidRPr="0096564A" w:rsidRDefault="000B1472" w:rsidP="00B735DD">
      <w:pPr>
        <w:pStyle w:val="DateTitle"/>
        <w:rPr>
          <w:color w:val="FFFFFF" w:themeColor="background1"/>
          <w:sz w:val="32"/>
          <w:szCs w:val="32"/>
        </w:rPr>
      </w:pPr>
      <w:r>
        <w:rPr>
          <w:color w:val="FFFFFF" w:themeColor="background1"/>
          <w:sz w:val="32"/>
          <w:szCs w:val="32"/>
        </w:rPr>
        <w:t>June</w:t>
      </w:r>
      <w:r w:rsidR="0020252F">
        <w:rPr>
          <w:color w:val="FFFFFF" w:themeColor="background1"/>
          <w:sz w:val="32"/>
          <w:szCs w:val="32"/>
        </w:rPr>
        <w:t xml:space="preserve"> 2020</w:t>
      </w:r>
    </w:p>
    <w:p w14:paraId="7A995441" w14:textId="77777777" w:rsidR="0020252F" w:rsidRPr="00E95589" w:rsidRDefault="0020252F" w:rsidP="00B735DD">
      <w:pPr>
        <w:jc w:val="center"/>
        <w:rPr>
          <w:rFonts w:cs="Arial"/>
          <w:b/>
          <w:color w:val="FFFFFF"/>
          <w:sz w:val="32"/>
          <w:szCs w:val="32"/>
        </w:rPr>
      </w:pPr>
    </w:p>
    <w:p w14:paraId="7023ABDD" w14:textId="77777777" w:rsidR="0020252F" w:rsidRPr="00E95589" w:rsidRDefault="0020252F" w:rsidP="00B735DD">
      <w:pPr>
        <w:jc w:val="center"/>
        <w:rPr>
          <w:rFonts w:cs="Arial"/>
          <w:b/>
          <w:color w:val="FFFFFF"/>
          <w:sz w:val="6"/>
          <w:szCs w:val="6"/>
        </w:rPr>
      </w:pPr>
    </w:p>
    <w:p w14:paraId="23853F5D" w14:textId="77777777" w:rsidR="0020252F" w:rsidRDefault="0020252F" w:rsidP="00B735DD">
      <w:pPr>
        <w:jc w:val="center"/>
        <w:rPr>
          <w:rFonts w:cs="Arial"/>
          <w:b/>
          <w:color w:val="FFFFFF"/>
          <w:sz w:val="36"/>
          <w:szCs w:val="36"/>
        </w:rPr>
        <w:sectPr w:rsidR="0020252F" w:rsidSect="00B735D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49DC92D9" w14:textId="77777777" w:rsidR="0020252F" w:rsidRPr="00B47BC4" w:rsidRDefault="0020252F" w:rsidP="00B735DD">
      <w:pPr>
        <w:rPr>
          <w:rFonts w:cs="Arial"/>
          <w:b/>
          <w:color w:val="FFFFFF"/>
          <w:sz w:val="44"/>
          <w:szCs w:val="44"/>
        </w:rPr>
      </w:pPr>
    </w:p>
    <w:p w14:paraId="2DFA7449" w14:textId="77777777" w:rsidR="0020252F" w:rsidRDefault="0020252F" w:rsidP="00B735DD">
      <w:pPr>
        <w:pStyle w:val="Title"/>
        <w:jc w:val="both"/>
      </w:pPr>
    </w:p>
    <w:p w14:paraId="7C4BEC1B" w14:textId="2EE7D4D2" w:rsidR="0020252F" w:rsidRPr="00E95589" w:rsidRDefault="0020252F" w:rsidP="00B735DD">
      <w:pPr>
        <w:pStyle w:val="Title"/>
        <w:rPr>
          <w:sz w:val="40"/>
          <w:szCs w:val="40"/>
        </w:rPr>
      </w:pPr>
      <w:bookmarkStart w:id="0" w:name="_GoBack"/>
      <w:r>
        <w:rPr>
          <w:sz w:val="40"/>
          <w:szCs w:val="40"/>
        </w:rPr>
        <w:t>Lamprey migration in the lower River Murray</w:t>
      </w:r>
      <w:r w:rsidR="0006042B">
        <w:rPr>
          <w:sz w:val="40"/>
          <w:szCs w:val="40"/>
        </w:rPr>
        <w:t xml:space="preserve"> in association with Commonwealth </w:t>
      </w:r>
      <w:r w:rsidR="007010B0">
        <w:rPr>
          <w:sz w:val="40"/>
          <w:szCs w:val="40"/>
        </w:rPr>
        <w:t>e</w:t>
      </w:r>
      <w:r w:rsidR="0006042B">
        <w:rPr>
          <w:sz w:val="40"/>
          <w:szCs w:val="40"/>
        </w:rPr>
        <w:t xml:space="preserve">nvironmental </w:t>
      </w:r>
      <w:r w:rsidR="007010B0">
        <w:rPr>
          <w:sz w:val="40"/>
          <w:szCs w:val="40"/>
        </w:rPr>
        <w:t>w</w:t>
      </w:r>
      <w:r w:rsidR="0006042B">
        <w:rPr>
          <w:sz w:val="40"/>
          <w:szCs w:val="40"/>
        </w:rPr>
        <w:t>ater delivery in</w:t>
      </w:r>
      <w:r>
        <w:rPr>
          <w:sz w:val="40"/>
          <w:szCs w:val="40"/>
        </w:rPr>
        <w:t xml:space="preserve"> 2019</w:t>
      </w:r>
    </w:p>
    <w:bookmarkEnd w:id="0"/>
    <w:p w14:paraId="07ADD4FA" w14:textId="77777777" w:rsidR="0020252F" w:rsidRDefault="0020252F" w:rsidP="00B735DD">
      <w:pPr>
        <w:pStyle w:val="Title"/>
      </w:pPr>
    </w:p>
    <w:p w14:paraId="32D03664" w14:textId="77777777" w:rsidR="0020252F" w:rsidRDefault="0020252F" w:rsidP="00B735DD">
      <w:pPr>
        <w:pStyle w:val="Title"/>
      </w:pPr>
    </w:p>
    <w:p w14:paraId="78C35D50" w14:textId="77777777" w:rsidR="0020252F" w:rsidRDefault="0020252F" w:rsidP="00B735DD">
      <w:pPr>
        <w:pStyle w:val="Title"/>
      </w:pPr>
    </w:p>
    <w:p w14:paraId="79DFAEBC" w14:textId="77777777" w:rsidR="0020252F" w:rsidRDefault="0020252F" w:rsidP="00B735DD">
      <w:pPr>
        <w:pStyle w:val="Default"/>
        <w:ind w:right="-83"/>
        <w:jc w:val="center"/>
        <w:rPr>
          <w:b/>
          <w:bCs/>
          <w:sz w:val="28"/>
          <w:szCs w:val="28"/>
          <w:lang w:val="de-DE"/>
        </w:rPr>
      </w:pPr>
    </w:p>
    <w:p w14:paraId="153F5910" w14:textId="77777777" w:rsidR="0020252F" w:rsidRDefault="0020252F" w:rsidP="00B735DD">
      <w:pPr>
        <w:pStyle w:val="Default"/>
        <w:ind w:right="-83"/>
        <w:jc w:val="center"/>
        <w:rPr>
          <w:b/>
          <w:bCs/>
          <w:sz w:val="28"/>
          <w:szCs w:val="28"/>
          <w:lang w:val="de-DE"/>
        </w:rPr>
      </w:pPr>
    </w:p>
    <w:p w14:paraId="3A486A8B" w14:textId="77777777" w:rsidR="0020252F" w:rsidRDefault="0020252F" w:rsidP="00B735DD">
      <w:pPr>
        <w:pStyle w:val="Default"/>
        <w:ind w:right="-83"/>
        <w:jc w:val="center"/>
        <w:rPr>
          <w:b/>
          <w:bCs/>
          <w:sz w:val="28"/>
          <w:szCs w:val="28"/>
          <w:lang w:val="de-DE"/>
        </w:rPr>
      </w:pPr>
    </w:p>
    <w:p w14:paraId="072C2506" w14:textId="77777777" w:rsidR="0020252F" w:rsidRDefault="0020252F" w:rsidP="00B735DD">
      <w:pPr>
        <w:pStyle w:val="Default"/>
        <w:ind w:right="-83"/>
        <w:jc w:val="center"/>
        <w:rPr>
          <w:b/>
          <w:bCs/>
          <w:sz w:val="28"/>
          <w:szCs w:val="28"/>
          <w:lang w:val="de-DE"/>
        </w:rPr>
      </w:pPr>
    </w:p>
    <w:p w14:paraId="43951871" w14:textId="77777777" w:rsidR="0020252F" w:rsidRDefault="0020252F" w:rsidP="00B735DD">
      <w:pPr>
        <w:pStyle w:val="Default"/>
        <w:ind w:right="-83"/>
        <w:jc w:val="center"/>
        <w:rPr>
          <w:b/>
          <w:bCs/>
          <w:sz w:val="28"/>
          <w:szCs w:val="28"/>
          <w:lang w:val="de-DE"/>
        </w:rPr>
      </w:pPr>
    </w:p>
    <w:p w14:paraId="49D788E8" w14:textId="77777777" w:rsidR="0020252F" w:rsidRPr="00E94B43" w:rsidRDefault="0020252F" w:rsidP="00B735DD">
      <w:pPr>
        <w:pStyle w:val="Default"/>
        <w:ind w:right="-83"/>
        <w:jc w:val="center"/>
        <w:rPr>
          <w:b/>
          <w:bCs/>
          <w:sz w:val="28"/>
          <w:szCs w:val="28"/>
          <w:lang w:val="de-DE"/>
        </w:rPr>
      </w:pPr>
    </w:p>
    <w:p w14:paraId="6CAC0EA9" w14:textId="77777777" w:rsidR="0020252F" w:rsidRPr="00165F5E" w:rsidRDefault="0020252F" w:rsidP="00B735DD">
      <w:pPr>
        <w:pStyle w:val="Default"/>
        <w:ind w:right="-83"/>
        <w:jc w:val="center"/>
        <w:rPr>
          <w:b/>
          <w:bCs/>
          <w:sz w:val="28"/>
          <w:szCs w:val="28"/>
        </w:rPr>
      </w:pPr>
    </w:p>
    <w:p w14:paraId="1FBB5631" w14:textId="75E21FA1" w:rsidR="0020252F" w:rsidRPr="0096564A" w:rsidRDefault="0020252F" w:rsidP="00B735DD">
      <w:pPr>
        <w:pStyle w:val="AuthorTitle"/>
        <w:rPr>
          <w:sz w:val="36"/>
          <w:szCs w:val="36"/>
        </w:rPr>
      </w:pPr>
      <w:r>
        <w:rPr>
          <w:sz w:val="36"/>
          <w:szCs w:val="36"/>
        </w:rPr>
        <w:t xml:space="preserve">C M Bice, </w:t>
      </w:r>
      <w:r w:rsidR="00CA7E3E">
        <w:rPr>
          <w:sz w:val="36"/>
          <w:szCs w:val="36"/>
        </w:rPr>
        <w:t xml:space="preserve">B P Zampatti, </w:t>
      </w:r>
      <w:r>
        <w:rPr>
          <w:sz w:val="36"/>
          <w:szCs w:val="36"/>
        </w:rPr>
        <w:t>Q Ye and G</w:t>
      </w:r>
      <w:r w:rsidR="00A62261">
        <w:rPr>
          <w:sz w:val="36"/>
          <w:szCs w:val="36"/>
        </w:rPr>
        <w:t xml:space="preserve"> C</w:t>
      </w:r>
      <w:r>
        <w:rPr>
          <w:sz w:val="36"/>
          <w:szCs w:val="36"/>
        </w:rPr>
        <w:t xml:space="preserve"> Giatas</w:t>
      </w:r>
    </w:p>
    <w:p w14:paraId="70E665BF" w14:textId="77777777" w:rsidR="0020252F" w:rsidRPr="00165F5E" w:rsidRDefault="0020252F" w:rsidP="00B735DD">
      <w:pPr>
        <w:pStyle w:val="Default"/>
        <w:ind w:right="-83"/>
        <w:jc w:val="center"/>
        <w:rPr>
          <w:b/>
          <w:bCs/>
          <w:sz w:val="28"/>
          <w:szCs w:val="28"/>
        </w:rPr>
      </w:pPr>
    </w:p>
    <w:p w14:paraId="51DA4952" w14:textId="77777777" w:rsidR="0020252F" w:rsidRPr="00165F5E" w:rsidRDefault="0020252F" w:rsidP="00B735DD">
      <w:pPr>
        <w:pStyle w:val="Default"/>
        <w:ind w:right="-83"/>
        <w:jc w:val="center"/>
        <w:rPr>
          <w:b/>
          <w:bCs/>
          <w:sz w:val="28"/>
          <w:szCs w:val="28"/>
        </w:rPr>
      </w:pPr>
    </w:p>
    <w:p w14:paraId="3E3BAF39" w14:textId="77777777" w:rsidR="0020252F" w:rsidRDefault="0020252F" w:rsidP="00B735DD">
      <w:pPr>
        <w:pStyle w:val="Default"/>
        <w:ind w:right="-83"/>
        <w:jc w:val="center"/>
        <w:rPr>
          <w:b/>
          <w:bCs/>
          <w:sz w:val="28"/>
          <w:szCs w:val="28"/>
        </w:rPr>
      </w:pPr>
    </w:p>
    <w:p w14:paraId="12BDEEC8" w14:textId="77777777" w:rsidR="0020252F" w:rsidRPr="00165F5E" w:rsidRDefault="0020252F" w:rsidP="00B735DD">
      <w:pPr>
        <w:pStyle w:val="Default"/>
        <w:ind w:right="-83"/>
        <w:jc w:val="center"/>
        <w:rPr>
          <w:b/>
          <w:bCs/>
          <w:sz w:val="28"/>
          <w:szCs w:val="28"/>
        </w:rPr>
      </w:pPr>
    </w:p>
    <w:p w14:paraId="1B7E36AA" w14:textId="77777777" w:rsidR="0020252F" w:rsidRDefault="0020252F" w:rsidP="00B735DD">
      <w:pPr>
        <w:pStyle w:val="Default"/>
        <w:ind w:right="-83"/>
        <w:jc w:val="center"/>
        <w:rPr>
          <w:b/>
          <w:bCs/>
          <w:sz w:val="28"/>
          <w:szCs w:val="28"/>
        </w:rPr>
      </w:pPr>
    </w:p>
    <w:p w14:paraId="5403E096" w14:textId="77777777" w:rsidR="0020252F" w:rsidRDefault="0020252F" w:rsidP="00B735DD">
      <w:pPr>
        <w:pStyle w:val="Default"/>
        <w:ind w:right="-83"/>
        <w:jc w:val="center"/>
        <w:rPr>
          <w:b/>
          <w:bCs/>
          <w:sz w:val="28"/>
          <w:szCs w:val="28"/>
        </w:rPr>
      </w:pPr>
    </w:p>
    <w:p w14:paraId="33CBC99D" w14:textId="77777777" w:rsidR="0020252F" w:rsidRDefault="0020252F" w:rsidP="00B735DD">
      <w:pPr>
        <w:pStyle w:val="Default"/>
        <w:ind w:right="-83"/>
        <w:jc w:val="center"/>
        <w:rPr>
          <w:b/>
          <w:bCs/>
          <w:sz w:val="28"/>
          <w:szCs w:val="28"/>
        </w:rPr>
      </w:pPr>
    </w:p>
    <w:p w14:paraId="2C024DD3" w14:textId="77777777" w:rsidR="0020252F" w:rsidRPr="00165F5E" w:rsidRDefault="0020252F" w:rsidP="00B735DD">
      <w:pPr>
        <w:pStyle w:val="Default"/>
        <w:ind w:right="-83"/>
        <w:rPr>
          <w:sz w:val="28"/>
          <w:szCs w:val="28"/>
        </w:rPr>
      </w:pPr>
    </w:p>
    <w:p w14:paraId="6F705D8F" w14:textId="22EFC86D" w:rsidR="0020252F" w:rsidRPr="000B1472" w:rsidRDefault="0020252F" w:rsidP="00B735DD">
      <w:pPr>
        <w:pStyle w:val="ReportInformation"/>
      </w:pPr>
      <w:r w:rsidRPr="000B1472">
        <w:t xml:space="preserve">SARDI Publication No. </w:t>
      </w:r>
      <w:r w:rsidR="000B1472" w:rsidRPr="000B1472">
        <w:t>F2020/000203-01</w:t>
      </w:r>
    </w:p>
    <w:p w14:paraId="44C222D9" w14:textId="0E51E4D9" w:rsidR="0020252F" w:rsidRPr="00165F5E" w:rsidRDefault="0020252F" w:rsidP="00B735DD">
      <w:pPr>
        <w:pStyle w:val="ReportInformation"/>
      </w:pPr>
      <w:r w:rsidRPr="00165F5E">
        <w:t>SAR</w:t>
      </w:r>
      <w:r>
        <w:t>DI Research Report Series No.</w:t>
      </w:r>
      <w:r w:rsidRPr="00165F5E">
        <w:t xml:space="preserve"> </w:t>
      </w:r>
      <w:r w:rsidR="000B1472">
        <w:t>1061</w:t>
      </w:r>
    </w:p>
    <w:p w14:paraId="66BFA7E3" w14:textId="77777777" w:rsidR="0020252F" w:rsidRDefault="0020252F" w:rsidP="00B735DD">
      <w:pPr>
        <w:pStyle w:val="Default"/>
        <w:ind w:right="-83"/>
        <w:jc w:val="both"/>
        <w:rPr>
          <w:szCs w:val="22"/>
        </w:rPr>
      </w:pPr>
    </w:p>
    <w:p w14:paraId="61988D20" w14:textId="77777777" w:rsidR="0020252F" w:rsidRDefault="0020252F" w:rsidP="00B735DD">
      <w:pPr>
        <w:pStyle w:val="DateTitle"/>
      </w:pPr>
    </w:p>
    <w:p w14:paraId="346AE06A" w14:textId="77777777" w:rsidR="0020252F" w:rsidRDefault="0020252F" w:rsidP="00B735DD">
      <w:pPr>
        <w:pStyle w:val="DateTitle"/>
      </w:pPr>
    </w:p>
    <w:p w14:paraId="0330098B" w14:textId="77777777" w:rsidR="0020252F" w:rsidRDefault="0020252F" w:rsidP="00B735DD">
      <w:pPr>
        <w:pStyle w:val="DateTitle"/>
      </w:pPr>
    </w:p>
    <w:p w14:paraId="64EAD476" w14:textId="77777777" w:rsidR="0020252F" w:rsidRDefault="0020252F" w:rsidP="00B735DD">
      <w:pPr>
        <w:pStyle w:val="DateTitle"/>
        <w:jc w:val="both"/>
      </w:pPr>
    </w:p>
    <w:p w14:paraId="1FE5B133" w14:textId="77777777" w:rsidR="0020252F" w:rsidRDefault="0020252F" w:rsidP="00B735DD">
      <w:pPr>
        <w:pStyle w:val="DateTitle"/>
      </w:pPr>
    </w:p>
    <w:p w14:paraId="49CBC572" w14:textId="0DF5101F" w:rsidR="0020252F" w:rsidRPr="0096564A" w:rsidRDefault="000B1472" w:rsidP="00B735DD">
      <w:pPr>
        <w:pStyle w:val="DateTitle"/>
        <w:rPr>
          <w:sz w:val="32"/>
          <w:szCs w:val="32"/>
        </w:rPr>
      </w:pPr>
      <w:r>
        <w:rPr>
          <w:sz w:val="32"/>
          <w:szCs w:val="32"/>
        </w:rPr>
        <w:t>June</w:t>
      </w:r>
      <w:r w:rsidR="0020252F">
        <w:rPr>
          <w:sz w:val="32"/>
          <w:szCs w:val="32"/>
        </w:rPr>
        <w:t xml:space="preserve"> 2020</w:t>
      </w:r>
    </w:p>
    <w:p w14:paraId="2962910A" w14:textId="77777777" w:rsidR="0020252F" w:rsidRPr="00D76A14" w:rsidRDefault="0020252F" w:rsidP="00B735DD">
      <w:pPr>
        <w:pStyle w:val="DateTitle"/>
        <w:rPr>
          <w:sz w:val="36"/>
          <w:szCs w:val="36"/>
        </w:rPr>
      </w:pPr>
    </w:p>
    <w:p w14:paraId="4562F251" w14:textId="77777777" w:rsidR="0020252F" w:rsidRPr="00E07028" w:rsidRDefault="0020252F" w:rsidP="00B735DD">
      <w:pPr>
        <w:spacing w:after="0" w:line="240" w:lineRule="auto"/>
        <w:rPr>
          <w:sz w:val="21"/>
          <w:szCs w:val="21"/>
        </w:rPr>
      </w:pPr>
      <w:r>
        <w:br w:type="page"/>
      </w:r>
      <w:r w:rsidRPr="00E07028">
        <w:rPr>
          <w:sz w:val="21"/>
          <w:szCs w:val="21"/>
        </w:rPr>
        <w:lastRenderedPageBreak/>
        <w:t>This publication may be cited as:</w:t>
      </w:r>
    </w:p>
    <w:p w14:paraId="7FF6E46A" w14:textId="38969EBA" w:rsidR="0020252F" w:rsidRDefault="0020252F" w:rsidP="00B735DD">
      <w:pPr>
        <w:spacing w:after="0" w:line="240" w:lineRule="auto"/>
        <w:rPr>
          <w:sz w:val="21"/>
          <w:szCs w:val="21"/>
        </w:rPr>
      </w:pPr>
      <w:r>
        <w:rPr>
          <w:sz w:val="21"/>
          <w:szCs w:val="21"/>
        </w:rPr>
        <w:t>Bice, C M</w:t>
      </w:r>
      <w:r w:rsidR="00B40FFF">
        <w:rPr>
          <w:sz w:val="21"/>
          <w:szCs w:val="21"/>
          <w:vertAlign w:val="superscript"/>
        </w:rPr>
        <w:t>1</w:t>
      </w:r>
      <w:r>
        <w:rPr>
          <w:sz w:val="21"/>
          <w:szCs w:val="21"/>
        </w:rPr>
        <w:t xml:space="preserve">, </w:t>
      </w:r>
      <w:r w:rsidR="00CA7E3E">
        <w:rPr>
          <w:sz w:val="21"/>
          <w:szCs w:val="21"/>
        </w:rPr>
        <w:t>Zampatti, B P</w:t>
      </w:r>
      <w:r w:rsidR="00B40FFF">
        <w:rPr>
          <w:sz w:val="21"/>
          <w:szCs w:val="21"/>
          <w:vertAlign w:val="superscript"/>
        </w:rPr>
        <w:t>2</w:t>
      </w:r>
      <w:r w:rsidR="00CA7E3E">
        <w:rPr>
          <w:sz w:val="21"/>
          <w:szCs w:val="21"/>
        </w:rPr>
        <w:t xml:space="preserve">, </w:t>
      </w:r>
      <w:r>
        <w:rPr>
          <w:sz w:val="21"/>
          <w:szCs w:val="21"/>
        </w:rPr>
        <w:t>Ye, Q</w:t>
      </w:r>
      <w:r w:rsidR="00B40FFF">
        <w:rPr>
          <w:sz w:val="21"/>
          <w:szCs w:val="21"/>
          <w:vertAlign w:val="superscript"/>
        </w:rPr>
        <w:t>1</w:t>
      </w:r>
      <w:r>
        <w:rPr>
          <w:sz w:val="21"/>
          <w:szCs w:val="21"/>
        </w:rPr>
        <w:t xml:space="preserve"> and Giatas, G</w:t>
      </w:r>
      <w:r w:rsidR="00A62261">
        <w:rPr>
          <w:sz w:val="21"/>
          <w:szCs w:val="21"/>
        </w:rPr>
        <w:t xml:space="preserve"> C</w:t>
      </w:r>
      <w:r w:rsidR="00B40FFF">
        <w:rPr>
          <w:sz w:val="21"/>
          <w:szCs w:val="21"/>
          <w:vertAlign w:val="superscript"/>
        </w:rPr>
        <w:t>1</w:t>
      </w:r>
      <w:r w:rsidRPr="00E07028">
        <w:rPr>
          <w:sz w:val="21"/>
          <w:szCs w:val="21"/>
        </w:rPr>
        <w:t xml:space="preserve"> (20</w:t>
      </w:r>
      <w:r w:rsidR="0006042B">
        <w:rPr>
          <w:sz w:val="21"/>
          <w:szCs w:val="21"/>
        </w:rPr>
        <w:t>20</w:t>
      </w:r>
      <w:r w:rsidRPr="00E07028">
        <w:rPr>
          <w:sz w:val="21"/>
          <w:szCs w:val="21"/>
        </w:rPr>
        <w:t xml:space="preserve">). </w:t>
      </w:r>
      <w:r>
        <w:rPr>
          <w:sz w:val="21"/>
          <w:szCs w:val="21"/>
        </w:rPr>
        <w:t xml:space="preserve">Lamprey migration in the lower River Murray </w:t>
      </w:r>
      <w:r w:rsidR="00B82306">
        <w:rPr>
          <w:sz w:val="21"/>
          <w:szCs w:val="21"/>
        </w:rPr>
        <w:t xml:space="preserve">in association with Commonwealth environmental water delivery in </w:t>
      </w:r>
      <w:r>
        <w:rPr>
          <w:sz w:val="21"/>
          <w:szCs w:val="21"/>
        </w:rPr>
        <w:t>2019</w:t>
      </w:r>
      <w:r w:rsidRPr="00E07028">
        <w:rPr>
          <w:sz w:val="21"/>
          <w:szCs w:val="21"/>
        </w:rPr>
        <w:t xml:space="preserve">. South Australian Research and Development Institute (Aquatic Sciences), Adelaide. SARDI Publication No. </w:t>
      </w:r>
      <w:r w:rsidR="000B1472" w:rsidRPr="000B1472">
        <w:rPr>
          <w:sz w:val="21"/>
          <w:szCs w:val="21"/>
        </w:rPr>
        <w:t>F2020/000203-01</w:t>
      </w:r>
      <w:r w:rsidRPr="00E07028">
        <w:rPr>
          <w:sz w:val="21"/>
          <w:szCs w:val="21"/>
        </w:rPr>
        <w:t xml:space="preserve">. SARDI Research Report Series No. </w:t>
      </w:r>
      <w:r w:rsidR="000B1472">
        <w:rPr>
          <w:sz w:val="21"/>
          <w:szCs w:val="21"/>
        </w:rPr>
        <w:t>1061,</w:t>
      </w:r>
      <w:r w:rsidRPr="00E07028">
        <w:rPr>
          <w:sz w:val="21"/>
          <w:szCs w:val="21"/>
        </w:rPr>
        <w:t xml:space="preserve"> </w:t>
      </w:r>
      <w:r w:rsidR="001E4CD9">
        <w:rPr>
          <w:sz w:val="21"/>
          <w:szCs w:val="21"/>
        </w:rPr>
        <w:t>25</w:t>
      </w:r>
      <w:r>
        <w:rPr>
          <w:sz w:val="21"/>
          <w:szCs w:val="21"/>
        </w:rPr>
        <w:t xml:space="preserve"> </w:t>
      </w:r>
      <w:r w:rsidRPr="00E07028">
        <w:rPr>
          <w:sz w:val="21"/>
          <w:szCs w:val="21"/>
        </w:rPr>
        <w:t>pp.</w:t>
      </w:r>
    </w:p>
    <w:p w14:paraId="092DA264" w14:textId="08B97201" w:rsidR="00B40FFF" w:rsidRDefault="00B40FFF" w:rsidP="00B735DD">
      <w:pPr>
        <w:spacing w:after="0" w:line="240" w:lineRule="auto"/>
        <w:rPr>
          <w:sz w:val="21"/>
          <w:szCs w:val="21"/>
        </w:rPr>
      </w:pPr>
    </w:p>
    <w:p w14:paraId="4D574EA1" w14:textId="3CE639F9" w:rsidR="00B40FFF" w:rsidRDefault="00B40FFF" w:rsidP="00B735DD">
      <w:pPr>
        <w:spacing w:after="0" w:line="240" w:lineRule="auto"/>
        <w:rPr>
          <w:sz w:val="18"/>
          <w:szCs w:val="18"/>
        </w:rPr>
      </w:pPr>
      <w:r>
        <w:rPr>
          <w:sz w:val="18"/>
          <w:szCs w:val="18"/>
          <w:vertAlign w:val="superscript"/>
        </w:rPr>
        <w:t>1</w:t>
      </w:r>
      <w:r>
        <w:rPr>
          <w:sz w:val="18"/>
          <w:szCs w:val="18"/>
        </w:rPr>
        <w:t xml:space="preserve">SARDI Aquatic Sciences, 2 </w:t>
      </w:r>
      <w:proofErr w:type="spellStart"/>
      <w:r>
        <w:rPr>
          <w:sz w:val="18"/>
          <w:szCs w:val="18"/>
        </w:rPr>
        <w:t>Hamra</w:t>
      </w:r>
      <w:proofErr w:type="spellEnd"/>
      <w:r>
        <w:rPr>
          <w:sz w:val="18"/>
          <w:szCs w:val="18"/>
        </w:rPr>
        <w:t xml:space="preserve"> Ave, West Beach SA 5024</w:t>
      </w:r>
    </w:p>
    <w:p w14:paraId="674AD0FC" w14:textId="5359F967" w:rsidR="00B40FFF" w:rsidRPr="00B40FFF" w:rsidRDefault="00B40FFF" w:rsidP="00B735DD">
      <w:pPr>
        <w:spacing w:after="0" w:line="240" w:lineRule="auto"/>
        <w:rPr>
          <w:sz w:val="18"/>
          <w:szCs w:val="18"/>
        </w:rPr>
      </w:pPr>
      <w:r>
        <w:rPr>
          <w:sz w:val="18"/>
          <w:szCs w:val="18"/>
          <w:vertAlign w:val="superscript"/>
        </w:rPr>
        <w:t>2</w:t>
      </w:r>
      <w:r>
        <w:rPr>
          <w:sz w:val="18"/>
          <w:szCs w:val="18"/>
        </w:rPr>
        <w:t xml:space="preserve">CSIRO Land and Water, Waite Campus, </w:t>
      </w:r>
      <w:proofErr w:type="spellStart"/>
      <w:r>
        <w:rPr>
          <w:sz w:val="18"/>
          <w:szCs w:val="18"/>
        </w:rPr>
        <w:t>Urrbrae</w:t>
      </w:r>
      <w:proofErr w:type="spellEnd"/>
      <w:r>
        <w:rPr>
          <w:sz w:val="18"/>
          <w:szCs w:val="18"/>
        </w:rPr>
        <w:t xml:space="preserve"> Rd, </w:t>
      </w:r>
      <w:proofErr w:type="spellStart"/>
      <w:r>
        <w:rPr>
          <w:sz w:val="18"/>
          <w:szCs w:val="18"/>
        </w:rPr>
        <w:t>Urrbrae</w:t>
      </w:r>
      <w:proofErr w:type="spellEnd"/>
      <w:r>
        <w:rPr>
          <w:sz w:val="18"/>
          <w:szCs w:val="18"/>
        </w:rPr>
        <w:t xml:space="preserve"> SA 5064</w:t>
      </w:r>
    </w:p>
    <w:p w14:paraId="3DA5B24A" w14:textId="77777777" w:rsidR="0020252F" w:rsidRPr="00E07028" w:rsidRDefault="0020252F" w:rsidP="00B735DD">
      <w:pPr>
        <w:spacing w:after="0" w:line="240" w:lineRule="auto"/>
        <w:rPr>
          <w:sz w:val="21"/>
          <w:szCs w:val="21"/>
        </w:rPr>
      </w:pPr>
    </w:p>
    <w:p w14:paraId="18B59D6C" w14:textId="77777777" w:rsidR="0020252F" w:rsidRPr="00E07028" w:rsidRDefault="0020252F" w:rsidP="00B735DD">
      <w:pPr>
        <w:spacing w:after="0" w:line="240" w:lineRule="auto"/>
        <w:rPr>
          <w:b/>
          <w:sz w:val="21"/>
          <w:szCs w:val="21"/>
        </w:rPr>
      </w:pPr>
      <w:r w:rsidRPr="00E07028">
        <w:rPr>
          <w:b/>
          <w:sz w:val="21"/>
          <w:szCs w:val="21"/>
        </w:rPr>
        <w:t>South Australian Research and Development Institute</w:t>
      </w:r>
    </w:p>
    <w:p w14:paraId="0A64F83A" w14:textId="77777777" w:rsidR="0020252F" w:rsidRPr="00E07028" w:rsidRDefault="0020252F" w:rsidP="00B735DD">
      <w:pPr>
        <w:spacing w:after="0" w:line="240" w:lineRule="auto"/>
        <w:rPr>
          <w:sz w:val="21"/>
          <w:szCs w:val="21"/>
        </w:rPr>
      </w:pPr>
      <w:r w:rsidRPr="00E07028">
        <w:rPr>
          <w:sz w:val="21"/>
          <w:szCs w:val="21"/>
        </w:rPr>
        <w:t>SARDI Aquatic Sciences</w:t>
      </w:r>
    </w:p>
    <w:p w14:paraId="5E938131" w14:textId="77777777" w:rsidR="0020252F" w:rsidRPr="00E07028" w:rsidRDefault="0020252F" w:rsidP="00B735DD">
      <w:pPr>
        <w:spacing w:after="0" w:line="240" w:lineRule="auto"/>
        <w:rPr>
          <w:sz w:val="21"/>
          <w:szCs w:val="21"/>
        </w:rPr>
      </w:pPr>
      <w:r w:rsidRPr="00E07028">
        <w:rPr>
          <w:sz w:val="21"/>
          <w:szCs w:val="21"/>
        </w:rPr>
        <w:t xml:space="preserve">2 </w:t>
      </w:r>
      <w:proofErr w:type="spellStart"/>
      <w:r w:rsidRPr="00E07028">
        <w:rPr>
          <w:sz w:val="21"/>
          <w:szCs w:val="21"/>
        </w:rPr>
        <w:t>Hamra</w:t>
      </w:r>
      <w:proofErr w:type="spellEnd"/>
      <w:r w:rsidRPr="00E07028">
        <w:rPr>
          <w:sz w:val="21"/>
          <w:szCs w:val="21"/>
        </w:rPr>
        <w:t xml:space="preserve"> Avenue</w:t>
      </w:r>
    </w:p>
    <w:p w14:paraId="5BD01083" w14:textId="77777777" w:rsidR="0020252F" w:rsidRPr="00E07028" w:rsidRDefault="0020252F" w:rsidP="00B735DD">
      <w:pPr>
        <w:spacing w:after="0" w:line="240" w:lineRule="auto"/>
        <w:rPr>
          <w:sz w:val="21"/>
          <w:szCs w:val="21"/>
        </w:rPr>
      </w:pPr>
      <w:r w:rsidRPr="00E07028">
        <w:rPr>
          <w:sz w:val="21"/>
          <w:szCs w:val="21"/>
        </w:rPr>
        <w:t>West Beach SA 5024</w:t>
      </w:r>
    </w:p>
    <w:p w14:paraId="58165804" w14:textId="77777777" w:rsidR="0020252F" w:rsidRPr="00E07028" w:rsidRDefault="0020252F" w:rsidP="00B735DD">
      <w:pPr>
        <w:spacing w:after="0" w:line="240" w:lineRule="auto"/>
        <w:rPr>
          <w:sz w:val="21"/>
          <w:szCs w:val="21"/>
        </w:rPr>
      </w:pPr>
      <w:r w:rsidRPr="00E07028">
        <w:rPr>
          <w:sz w:val="21"/>
          <w:szCs w:val="21"/>
        </w:rPr>
        <w:t>Telephone: (08) 8207 5400</w:t>
      </w:r>
    </w:p>
    <w:p w14:paraId="6C3B76E7" w14:textId="77777777" w:rsidR="0020252F" w:rsidRPr="00E07028" w:rsidRDefault="0020252F" w:rsidP="00B735DD">
      <w:pPr>
        <w:spacing w:after="0" w:line="240" w:lineRule="auto"/>
        <w:rPr>
          <w:sz w:val="21"/>
          <w:szCs w:val="21"/>
        </w:rPr>
      </w:pPr>
      <w:r w:rsidRPr="00E07028">
        <w:rPr>
          <w:sz w:val="21"/>
          <w:szCs w:val="21"/>
        </w:rPr>
        <w:t>Facsimile: (08) 8207 5415</w:t>
      </w:r>
    </w:p>
    <w:p w14:paraId="404D79DF" w14:textId="77777777" w:rsidR="0020252F" w:rsidRPr="00E07028" w:rsidRDefault="00663FEB" w:rsidP="00B735DD">
      <w:pPr>
        <w:spacing w:after="0" w:line="240" w:lineRule="auto"/>
        <w:rPr>
          <w:rFonts w:cs="Arial"/>
          <w:sz w:val="21"/>
          <w:szCs w:val="21"/>
          <w:u w:val="single"/>
        </w:rPr>
      </w:pPr>
      <w:hyperlink r:id="rId17" w:history="1">
        <w:r w:rsidR="0020252F" w:rsidRPr="00E07028">
          <w:rPr>
            <w:rStyle w:val="Hyperlink"/>
            <w:rFonts w:cs="Arial"/>
            <w:color w:val="auto"/>
            <w:sz w:val="21"/>
            <w:szCs w:val="21"/>
          </w:rPr>
          <w:t>http://www.pir.sa.gov.au/research</w:t>
        </w:r>
      </w:hyperlink>
    </w:p>
    <w:p w14:paraId="774946E3" w14:textId="77777777" w:rsidR="0020252F" w:rsidRPr="00E07028" w:rsidRDefault="0020252F" w:rsidP="00B735DD">
      <w:pPr>
        <w:spacing w:after="0" w:line="240" w:lineRule="auto"/>
        <w:rPr>
          <w:sz w:val="21"/>
          <w:szCs w:val="21"/>
        </w:rPr>
      </w:pPr>
    </w:p>
    <w:p w14:paraId="51315B5D" w14:textId="77777777" w:rsidR="0020252F" w:rsidRPr="00E07028" w:rsidRDefault="0020252F" w:rsidP="00B735DD">
      <w:pPr>
        <w:spacing w:after="0" w:line="240" w:lineRule="auto"/>
        <w:rPr>
          <w:b/>
          <w:sz w:val="21"/>
          <w:szCs w:val="21"/>
        </w:rPr>
      </w:pPr>
      <w:r w:rsidRPr="00E07028">
        <w:rPr>
          <w:b/>
          <w:sz w:val="21"/>
          <w:szCs w:val="21"/>
        </w:rPr>
        <w:t>DISCLAIMER</w:t>
      </w:r>
    </w:p>
    <w:p w14:paraId="6D8AE403" w14:textId="77777777" w:rsidR="0020252F" w:rsidRPr="00E07028" w:rsidRDefault="0020252F" w:rsidP="00B735DD">
      <w:pPr>
        <w:spacing w:after="0" w:line="240" w:lineRule="auto"/>
        <w:rPr>
          <w:sz w:val="21"/>
          <w:szCs w:val="21"/>
        </w:rPr>
      </w:pPr>
      <w:r w:rsidRPr="00E07028">
        <w:rPr>
          <w:sz w:val="21"/>
          <w:szCs w:val="21"/>
        </w:rPr>
        <w:t xml:space="preserve">The authors warrant that they have taken all reasonable care in producing this report. The report has been through the SARDI internal review process, and has been formally approved for release by the Research </w:t>
      </w:r>
      <w:r>
        <w:rPr>
          <w:sz w:val="21"/>
          <w:szCs w:val="21"/>
        </w:rPr>
        <w:t>Director</w:t>
      </w:r>
      <w:r w:rsidRPr="00E07028">
        <w:rPr>
          <w:sz w:val="21"/>
          <w:szCs w:val="21"/>
        </w:rPr>
        <w:t>, Aquatic Sciences. Although all reasonable efforts have been made to ensure quality, SARDI does not warrant that the information in this report is free from errors or omissions. SARDI and its employees do not warrant or make any representation regarding the use, or results of the use, of the information contained herein as regards to its correctness, accuracy, reliability and currency or otherwise. SARDI and its employees expressly disclaim all liability or responsibility to any person using the information or advice. Use of the information and data contained in this report is at the user’s sole risk. If users rely on the information they are responsible for ensuring by independent verification its accuracy, currency or completeness. The SARDI Report Series is an Administrative Report Series which has not been reviewed outside the department and is not considered peer-reviewed literature. Material presented in these Administrative Reports may later be published in formal peer-reviewed scientific literature.</w:t>
      </w:r>
    </w:p>
    <w:p w14:paraId="045A3025" w14:textId="77777777" w:rsidR="0020252F" w:rsidRPr="00E07028" w:rsidRDefault="0020252F" w:rsidP="00B735DD">
      <w:pPr>
        <w:spacing w:after="0" w:line="240" w:lineRule="auto"/>
        <w:rPr>
          <w:b/>
          <w:sz w:val="21"/>
          <w:szCs w:val="21"/>
        </w:rPr>
      </w:pPr>
    </w:p>
    <w:p w14:paraId="12F5A208" w14:textId="42E39C14" w:rsidR="0020252F" w:rsidRPr="00E07028" w:rsidRDefault="0020252F" w:rsidP="00B735DD">
      <w:pPr>
        <w:spacing w:after="0" w:line="240" w:lineRule="auto"/>
        <w:rPr>
          <w:b/>
          <w:sz w:val="21"/>
          <w:szCs w:val="21"/>
        </w:rPr>
      </w:pPr>
      <w:r w:rsidRPr="00E07028">
        <w:rPr>
          <w:b/>
          <w:sz w:val="21"/>
          <w:szCs w:val="21"/>
        </w:rPr>
        <w:t>© 20</w:t>
      </w:r>
      <w:r w:rsidR="0002493A">
        <w:rPr>
          <w:b/>
          <w:sz w:val="21"/>
          <w:szCs w:val="21"/>
        </w:rPr>
        <w:t>20</w:t>
      </w:r>
      <w:r w:rsidRPr="00E07028">
        <w:rPr>
          <w:b/>
          <w:sz w:val="21"/>
          <w:szCs w:val="21"/>
        </w:rPr>
        <w:t xml:space="preserve"> SARDI</w:t>
      </w:r>
    </w:p>
    <w:p w14:paraId="7455D549" w14:textId="77777777" w:rsidR="0020252F" w:rsidRPr="00E07028" w:rsidRDefault="0020252F" w:rsidP="00B735DD">
      <w:pPr>
        <w:spacing w:after="0" w:line="240" w:lineRule="auto"/>
        <w:rPr>
          <w:sz w:val="21"/>
          <w:szCs w:val="21"/>
        </w:rPr>
      </w:pPr>
      <w:r w:rsidRPr="00E07028">
        <w:rPr>
          <w:sz w:val="21"/>
          <w:szCs w:val="21"/>
        </w:rPr>
        <w:t xml:space="preserve">This work is copyright. Apart from any use as permitted under the </w:t>
      </w:r>
      <w:r w:rsidRPr="00E07028">
        <w:rPr>
          <w:i/>
          <w:sz w:val="21"/>
          <w:szCs w:val="21"/>
        </w:rPr>
        <w:t xml:space="preserve">Copyright Act </w:t>
      </w:r>
      <w:r w:rsidRPr="00E07028">
        <w:rPr>
          <w:sz w:val="21"/>
          <w:szCs w:val="21"/>
        </w:rPr>
        <w:t>1968 (</w:t>
      </w:r>
      <w:proofErr w:type="spellStart"/>
      <w:r w:rsidRPr="00E07028">
        <w:rPr>
          <w:sz w:val="21"/>
          <w:szCs w:val="21"/>
        </w:rPr>
        <w:t>Cth</w:t>
      </w:r>
      <w:proofErr w:type="spellEnd"/>
      <w:r w:rsidRPr="00E07028">
        <w:rPr>
          <w:sz w:val="21"/>
          <w:szCs w:val="21"/>
        </w:rPr>
        <w:t>), no part may be reproduced by any process, electronic or otherwise, without the specific written permission of the copyright owner. Neither may information be stored electronically in any form whatsoever without such permission.</w:t>
      </w:r>
    </w:p>
    <w:p w14:paraId="1BE43D32" w14:textId="77777777" w:rsidR="0020252F" w:rsidRPr="00E07028" w:rsidRDefault="0020252F" w:rsidP="00B735DD">
      <w:pPr>
        <w:spacing w:after="0" w:line="240" w:lineRule="auto"/>
        <w:rPr>
          <w:sz w:val="21"/>
          <w:szCs w:val="21"/>
        </w:rPr>
      </w:pPr>
    </w:p>
    <w:p w14:paraId="6F40F7E0" w14:textId="77777777" w:rsidR="000B1472" w:rsidRDefault="0020252F" w:rsidP="00B735DD">
      <w:pPr>
        <w:spacing w:after="0" w:line="240" w:lineRule="auto"/>
        <w:rPr>
          <w:sz w:val="21"/>
          <w:szCs w:val="21"/>
        </w:rPr>
      </w:pPr>
      <w:r w:rsidRPr="00E07028">
        <w:rPr>
          <w:sz w:val="21"/>
          <w:szCs w:val="21"/>
        </w:rPr>
        <w:t xml:space="preserve">SARDI Publication No. </w:t>
      </w:r>
      <w:r w:rsidR="000B1472" w:rsidRPr="000B1472">
        <w:rPr>
          <w:sz w:val="21"/>
          <w:szCs w:val="21"/>
        </w:rPr>
        <w:t>F2020/000203-01</w:t>
      </w:r>
    </w:p>
    <w:p w14:paraId="5B1AD5F5" w14:textId="2EEAF4F5" w:rsidR="0020252F" w:rsidRPr="00E07028" w:rsidRDefault="0020252F" w:rsidP="00B735DD">
      <w:pPr>
        <w:spacing w:after="0" w:line="240" w:lineRule="auto"/>
        <w:rPr>
          <w:sz w:val="21"/>
          <w:szCs w:val="21"/>
        </w:rPr>
      </w:pPr>
      <w:r w:rsidRPr="00E07028">
        <w:rPr>
          <w:sz w:val="21"/>
          <w:szCs w:val="21"/>
        </w:rPr>
        <w:t xml:space="preserve">SARDI Research Report Series No. </w:t>
      </w:r>
      <w:r w:rsidR="000B1472">
        <w:rPr>
          <w:sz w:val="21"/>
          <w:szCs w:val="21"/>
        </w:rPr>
        <w:t>1061</w:t>
      </w:r>
    </w:p>
    <w:p w14:paraId="2F8EEE8C" w14:textId="77777777" w:rsidR="0020252F" w:rsidRPr="00E07028" w:rsidRDefault="0020252F" w:rsidP="00B735DD">
      <w:pPr>
        <w:spacing w:after="0" w:line="240" w:lineRule="auto"/>
        <w:rPr>
          <w:sz w:val="21"/>
          <w:szCs w:val="21"/>
        </w:rPr>
      </w:pPr>
    </w:p>
    <w:p w14:paraId="69AAB447" w14:textId="54D67624" w:rsidR="0020252F" w:rsidRPr="000B1472" w:rsidRDefault="0020252F" w:rsidP="001E4CD9">
      <w:pPr>
        <w:spacing w:after="120" w:line="240" w:lineRule="auto"/>
        <w:rPr>
          <w:sz w:val="21"/>
          <w:szCs w:val="21"/>
        </w:rPr>
      </w:pPr>
      <w:r w:rsidRPr="000B1472">
        <w:rPr>
          <w:sz w:val="21"/>
          <w:szCs w:val="21"/>
        </w:rPr>
        <w:t>Author(s):</w:t>
      </w:r>
      <w:r w:rsidRPr="000B1472">
        <w:rPr>
          <w:sz w:val="21"/>
          <w:szCs w:val="21"/>
        </w:rPr>
        <w:tab/>
      </w:r>
      <w:r w:rsidRPr="000B1472">
        <w:rPr>
          <w:sz w:val="21"/>
          <w:szCs w:val="21"/>
        </w:rPr>
        <w:tab/>
        <w:t>C. M. Bice</w:t>
      </w:r>
      <w:r w:rsidR="00A62261" w:rsidRPr="000B1472">
        <w:rPr>
          <w:sz w:val="21"/>
          <w:szCs w:val="21"/>
        </w:rPr>
        <w:t>,</w:t>
      </w:r>
      <w:r w:rsidRPr="000B1472">
        <w:rPr>
          <w:sz w:val="21"/>
          <w:szCs w:val="21"/>
        </w:rPr>
        <w:t xml:space="preserve"> </w:t>
      </w:r>
      <w:r w:rsidR="00CA7E3E" w:rsidRPr="000B1472">
        <w:rPr>
          <w:sz w:val="21"/>
          <w:szCs w:val="21"/>
        </w:rPr>
        <w:t xml:space="preserve">B. P. Zampatti, </w:t>
      </w:r>
      <w:r w:rsidRPr="000B1472">
        <w:rPr>
          <w:sz w:val="21"/>
          <w:szCs w:val="21"/>
        </w:rPr>
        <w:t>Q. Ye</w:t>
      </w:r>
      <w:r w:rsidR="00A62261" w:rsidRPr="000B1472">
        <w:rPr>
          <w:sz w:val="21"/>
          <w:szCs w:val="21"/>
        </w:rPr>
        <w:t xml:space="preserve"> and G. C. Giatas</w:t>
      </w:r>
    </w:p>
    <w:p w14:paraId="3AB0A3CE" w14:textId="20B6CBBF" w:rsidR="0020252F" w:rsidRPr="000B1472" w:rsidRDefault="0020252F" w:rsidP="001E4CD9">
      <w:pPr>
        <w:spacing w:after="120" w:line="240" w:lineRule="auto"/>
        <w:rPr>
          <w:sz w:val="21"/>
          <w:szCs w:val="21"/>
        </w:rPr>
      </w:pPr>
      <w:r w:rsidRPr="000B1472">
        <w:rPr>
          <w:sz w:val="21"/>
          <w:szCs w:val="21"/>
        </w:rPr>
        <w:t>Reviewer(s):</w:t>
      </w:r>
      <w:r w:rsidRPr="000B1472">
        <w:rPr>
          <w:sz w:val="21"/>
          <w:szCs w:val="21"/>
        </w:rPr>
        <w:tab/>
      </w:r>
      <w:r w:rsidRPr="000B1472">
        <w:rPr>
          <w:sz w:val="21"/>
          <w:szCs w:val="21"/>
        </w:rPr>
        <w:tab/>
      </w:r>
      <w:r w:rsidR="00B40FFF" w:rsidRPr="000B1472">
        <w:rPr>
          <w:sz w:val="21"/>
          <w:szCs w:val="21"/>
        </w:rPr>
        <w:t>Jason Nicol (SARDI)</w:t>
      </w:r>
      <w:r w:rsidR="000B1472" w:rsidRPr="000B1472">
        <w:rPr>
          <w:sz w:val="21"/>
          <w:szCs w:val="21"/>
        </w:rPr>
        <w:t xml:space="preserve"> and </w:t>
      </w:r>
      <w:r w:rsidR="00B40FFF" w:rsidRPr="000B1472">
        <w:rPr>
          <w:sz w:val="21"/>
          <w:szCs w:val="21"/>
        </w:rPr>
        <w:t>Anthony Moore (CEWO)</w:t>
      </w:r>
    </w:p>
    <w:p w14:paraId="12EF1F8C" w14:textId="1F0C844D" w:rsidR="0020252F" w:rsidRPr="000B1472" w:rsidRDefault="0020252F" w:rsidP="001E4CD9">
      <w:pPr>
        <w:spacing w:after="120" w:line="240" w:lineRule="auto"/>
        <w:rPr>
          <w:sz w:val="21"/>
          <w:szCs w:val="21"/>
        </w:rPr>
      </w:pPr>
      <w:r w:rsidRPr="000B1472">
        <w:rPr>
          <w:sz w:val="21"/>
          <w:szCs w:val="21"/>
        </w:rPr>
        <w:t>Approved by:</w:t>
      </w:r>
      <w:r w:rsidRPr="000B1472">
        <w:rPr>
          <w:sz w:val="21"/>
          <w:szCs w:val="21"/>
        </w:rPr>
        <w:tab/>
      </w:r>
      <w:r w:rsidRPr="000B1472">
        <w:rPr>
          <w:sz w:val="21"/>
          <w:szCs w:val="21"/>
        </w:rPr>
        <w:tab/>
      </w:r>
      <w:r w:rsidR="000B1472" w:rsidRPr="000B1472">
        <w:rPr>
          <w:sz w:val="21"/>
          <w:szCs w:val="21"/>
        </w:rPr>
        <w:t>A/Prof T. Ward, Science Leader, Marine Ecosystems</w:t>
      </w:r>
    </w:p>
    <w:p w14:paraId="7F1F9E29" w14:textId="254A33AB" w:rsidR="0020252F" w:rsidRPr="000B1472" w:rsidRDefault="0020252F" w:rsidP="001E4CD9">
      <w:pPr>
        <w:spacing w:after="120" w:line="240" w:lineRule="auto"/>
        <w:rPr>
          <w:sz w:val="21"/>
          <w:szCs w:val="21"/>
        </w:rPr>
      </w:pPr>
      <w:r w:rsidRPr="000B1472">
        <w:rPr>
          <w:sz w:val="21"/>
          <w:szCs w:val="21"/>
        </w:rPr>
        <w:t>Signed:</w:t>
      </w:r>
      <w:r w:rsidRPr="000B1472">
        <w:rPr>
          <w:sz w:val="21"/>
          <w:szCs w:val="21"/>
        </w:rPr>
        <w:tab/>
      </w:r>
      <w:r w:rsidRPr="000B1472">
        <w:rPr>
          <w:sz w:val="21"/>
          <w:szCs w:val="21"/>
        </w:rPr>
        <w:tab/>
      </w:r>
      <w:r w:rsidRPr="000B1472">
        <w:rPr>
          <w:sz w:val="21"/>
          <w:szCs w:val="21"/>
        </w:rPr>
        <w:tab/>
      </w:r>
      <w:r w:rsidR="000B1472" w:rsidRPr="000B1472">
        <w:rPr>
          <w:noProof/>
          <w:sz w:val="21"/>
          <w:szCs w:val="21"/>
          <w:lang w:val="en-AU" w:eastAsia="en-AU"/>
        </w:rPr>
        <w:drawing>
          <wp:inline distT="0" distB="0" distL="0" distR="0" wp14:anchorId="6001BD9B" wp14:editId="0C51BB1A">
            <wp:extent cx="718856" cy="40386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r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2251" cy="411385"/>
                    </a:xfrm>
                    <a:prstGeom prst="rect">
                      <a:avLst/>
                    </a:prstGeom>
                  </pic:spPr>
                </pic:pic>
              </a:graphicData>
            </a:graphic>
          </wp:inline>
        </w:drawing>
      </w:r>
    </w:p>
    <w:p w14:paraId="5144181B" w14:textId="1A0C55DE" w:rsidR="0020252F" w:rsidRPr="000B1472" w:rsidRDefault="0020252F" w:rsidP="001E4CD9">
      <w:pPr>
        <w:spacing w:after="120" w:line="240" w:lineRule="auto"/>
        <w:rPr>
          <w:sz w:val="21"/>
          <w:szCs w:val="21"/>
        </w:rPr>
      </w:pPr>
      <w:r w:rsidRPr="000B1472">
        <w:rPr>
          <w:sz w:val="21"/>
          <w:szCs w:val="21"/>
        </w:rPr>
        <w:t>Date:</w:t>
      </w:r>
      <w:r w:rsidRPr="000B1472">
        <w:rPr>
          <w:sz w:val="21"/>
          <w:szCs w:val="21"/>
        </w:rPr>
        <w:tab/>
      </w:r>
      <w:r w:rsidRPr="000B1472">
        <w:rPr>
          <w:sz w:val="21"/>
          <w:szCs w:val="21"/>
        </w:rPr>
        <w:tab/>
      </w:r>
      <w:r w:rsidRPr="000B1472">
        <w:rPr>
          <w:sz w:val="21"/>
          <w:szCs w:val="21"/>
        </w:rPr>
        <w:tab/>
      </w:r>
      <w:r w:rsidR="00AD7CA4">
        <w:rPr>
          <w:sz w:val="21"/>
          <w:szCs w:val="21"/>
        </w:rPr>
        <w:t>19</w:t>
      </w:r>
      <w:r w:rsidR="000B1472" w:rsidRPr="000B1472">
        <w:rPr>
          <w:sz w:val="21"/>
          <w:szCs w:val="21"/>
        </w:rPr>
        <w:t xml:space="preserve"> June 2020</w:t>
      </w:r>
    </w:p>
    <w:p w14:paraId="6EBAB7DF" w14:textId="3C49AE45" w:rsidR="0020252F" w:rsidRPr="00E07028" w:rsidRDefault="0020252F" w:rsidP="001E4CD9">
      <w:pPr>
        <w:spacing w:after="120" w:line="240" w:lineRule="auto"/>
        <w:ind w:left="2160" w:hanging="2160"/>
        <w:rPr>
          <w:sz w:val="21"/>
          <w:szCs w:val="21"/>
        </w:rPr>
      </w:pPr>
      <w:r w:rsidRPr="000B1472">
        <w:rPr>
          <w:sz w:val="21"/>
          <w:szCs w:val="21"/>
        </w:rPr>
        <w:t>Distribution:</w:t>
      </w:r>
      <w:r w:rsidRPr="000B1472">
        <w:rPr>
          <w:sz w:val="21"/>
          <w:szCs w:val="21"/>
        </w:rPr>
        <w:tab/>
        <w:t>SAASC Library, Parliamentary Library, State Library and National Library</w:t>
      </w:r>
    </w:p>
    <w:p w14:paraId="0C2CCF97" w14:textId="77777777" w:rsidR="0020252F" w:rsidRPr="00E07028" w:rsidRDefault="0020252F" w:rsidP="00B735DD">
      <w:pPr>
        <w:spacing w:after="0" w:line="240" w:lineRule="auto"/>
        <w:rPr>
          <w:sz w:val="21"/>
          <w:szCs w:val="21"/>
        </w:rPr>
      </w:pPr>
      <w:r w:rsidRPr="001E4CD9">
        <w:rPr>
          <w:sz w:val="21"/>
          <w:szCs w:val="21"/>
        </w:rPr>
        <w:t>Circulation:</w:t>
      </w:r>
      <w:r w:rsidRPr="001E4CD9">
        <w:rPr>
          <w:sz w:val="21"/>
          <w:szCs w:val="21"/>
        </w:rPr>
        <w:tab/>
      </w:r>
      <w:r w:rsidRPr="001E4CD9">
        <w:rPr>
          <w:sz w:val="21"/>
          <w:szCs w:val="21"/>
        </w:rPr>
        <w:tab/>
        <w:t>Public Domain</w:t>
      </w:r>
    </w:p>
    <w:p w14:paraId="2E2484C9" w14:textId="77777777" w:rsidR="0020252F" w:rsidRPr="0094579A" w:rsidRDefault="0020252F" w:rsidP="00B735DD">
      <w:pPr>
        <w:pStyle w:val="TableofContents"/>
        <w:pageBreakBefore/>
        <w:rPr>
          <w:sz w:val="24"/>
          <w:szCs w:val="24"/>
        </w:rPr>
      </w:pPr>
      <w:r w:rsidRPr="0094579A">
        <w:rPr>
          <w:sz w:val="24"/>
          <w:szCs w:val="24"/>
        </w:rPr>
        <w:lastRenderedPageBreak/>
        <w:t>Table of Contents</w:t>
      </w:r>
    </w:p>
    <w:p w14:paraId="4A06DDF3" w14:textId="62140416" w:rsidR="0020252F" w:rsidRDefault="0020252F">
      <w:pPr>
        <w:pStyle w:val="TOC1"/>
        <w:rPr>
          <w:rFonts w:asciiTheme="minorHAnsi" w:eastAsiaTheme="minorEastAsia" w:hAnsiTheme="minorHAnsi" w:cstheme="minorBidi"/>
          <w:caps w:val="0"/>
          <w:noProof/>
          <w:lang w:val="en-AU" w:eastAsia="en-AU"/>
        </w:rPr>
      </w:pPr>
      <w:r w:rsidRPr="00283AD7">
        <w:rPr>
          <w:sz w:val="24"/>
          <w:szCs w:val="24"/>
        </w:rPr>
        <w:fldChar w:fldCharType="begin"/>
      </w:r>
      <w:r w:rsidRPr="00283AD7">
        <w:rPr>
          <w:sz w:val="24"/>
          <w:szCs w:val="24"/>
        </w:rPr>
        <w:instrText xml:space="preserve"> TOC \o "1-2" \h \z \u </w:instrText>
      </w:r>
      <w:r w:rsidRPr="00283AD7">
        <w:rPr>
          <w:sz w:val="24"/>
          <w:szCs w:val="24"/>
        </w:rPr>
        <w:fldChar w:fldCharType="separate"/>
      </w:r>
      <w:hyperlink w:anchor="_Toc36554666" w:history="1">
        <w:r w:rsidRPr="00596479">
          <w:rPr>
            <w:rStyle w:val="Hyperlink"/>
            <w:noProof/>
          </w:rPr>
          <w:t>Acknowledgements</w:t>
        </w:r>
        <w:r>
          <w:rPr>
            <w:noProof/>
            <w:webHidden/>
          </w:rPr>
          <w:tab/>
        </w:r>
        <w:r>
          <w:rPr>
            <w:noProof/>
            <w:webHidden/>
          </w:rPr>
          <w:fldChar w:fldCharType="begin"/>
        </w:r>
        <w:r>
          <w:rPr>
            <w:noProof/>
            <w:webHidden/>
          </w:rPr>
          <w:instrText xml:space="preserve"> PAGEREF _Toc36554666 \h </w:instrText>
        </w:r>
        <w:r>
          <w:rPr>
            <w:noProof/>
            <w:webHidden/>
          </w:rPr>
        </w:r>
        <w:r>
          <w:rPr>
            <w:noProof/>
            <w:webHidden/>
          </w:rPr>
          <w:fldChar w:fldCharType="separate"/>
        </w:r>
        <w:r w:rsidR="001E4CD9">
          <w:rPr>
            <w:noProof/>
            <w:webHidden/>
          </w:rPr>
          <w:t>VI</w:t>
        </w:r>
        <w:r>
          <w:rPr>
            <w:noProof/>
            <w:webHidden/>
          </w:rPr>
          <w:fldChar w:fldCharType="end"/>
        </w:r>
      </w:hyperlink>
    </w:p>
    <w:p w14:paraId="047D7F55" w14:textId="1BA6215F" w:rsidR="0020252F" w:rsidRDefault="00663FEB">
      <w:pPr>
        <w:pStyle w:val="TOC1"/>
        <w:rPr>
          <w:rFonts w:asciiTheme="minorHAnsi" w:eastAsiaTheme="minorEastAsia" w:hAnsiTheme="minorHAnsi" w:cstheme="minorBidi"/>
          <w:caps w:val="0"/>
          <w:noProof/>
          <w:lang w:val="en-AU" w:eastAsia="en-AU"/>
        </w:rPr>
      </w:pPr>
      <w:hyperlink w:anchor="_Toc36554667" w:history="1">
        <w:r w:rsidR="0020252F" w:rsidRPr="00596479">
          <w:rPr>
            <w:rStyle w:val="Hyperlink"/>
            <w:noProof/>
          </w:rPr>
          <w:t>Executive Summary</w:t>
        </w:r>
        <w:r w:rsidR="0020252F">
          <w:rPr>
            <w:noProof/>
            <w:webHidden/>
          </w:rPr>
          <w:tab/>
        </w:r>
        <w:r w:rsidR="0020252F">
          <w:rPr>
            <w:noProof/>
            <w:webHidden/>
          </w:rPr>
          <w:fldChar w:fldCharType="begin"/>
        </w:r>
        <w:r w:rsidR="0020252F">
          <w:rPr>
            <w:noProof/>
            <w:webHidden/>
          </w:rPr>
          <w:instrText xml:space="preserve"> PAGEREF _Toc36554667 \h </w:instrText>
        </w:r>
        <w:r w:rsidR="0020252F">
          <w:rPr>
            <w:noProof/>
            <w:webHidden/>
          </w:rPr>
        </w:r>
        <w:r w:rsidR="0020252F">
          <w:rPr>
            <w:noProof/>
            <w:webHidden/>
          </w:rPr>
          <w:fldChar w:fldCharType="separate"/>
        </w:r>
        <w:r w:rsidR="001E4CD9">
          <w:rPr>
            <w:noProof/>
            <w:webHidden/>
          </w:rPr>
          <w:t>1</w:t>
        </w:r>
        <w:r w:rsidR="0020252F">
          <w:rPr>
            <w:noProof/>
            <w:webHidden/>
          </w:rPr>
          <w:fldChar w:fldCharType="end"/>
        </w:r>
      </w:hyperlink>
    </w:p>
    <w:p w14:paraId="5D8AA15D" w14:textId="6F030EEA" w:rsidR="0020252F" w:rsidRDefault="00663FEB">
      <w:pPr>
        <w:pStyle w:val="TOC1"/>
        <w:rPr>
          <w:rFonts w:asciiTheme="minorHAnsi" w:eastAsiaTheme="minorEastAsia" w:hAnsiTheme="minorHAnsi" w:cstheme="minorBidi"/>
          <w:caps w:val="0"/>
          <w:noProof/>
          <w:lang w:val="en-AU" w:eastAsia="en-AU"/>
        </w:rPr>
      </w:pPr>
      <w:hyperlink w:anchor="_Toc36554668" w:history="1">
        <w:r w:rsidR="0020252F" w:rsidRPr="00596479">
          <w:rPr>
            <w:rStyle w:val="Hyperlink"/>
            <w:noProof/>
          </w:rPr>
          <w:t>1.</w:t>
        </w:r>
        <w:r w:rsidR="0020252F">
          <w:rPr>
            <w:rFonts w:asciiTheme="minorHAnsi" w:eastAsiaTheme="minorEastAsia" w:hAnsiTheme="minorHAnsi" w:cstheme="minorBidi"/>
            <w:caps w:val="0"/>
            <w:noProof/>
            <w:lang w:val="en-AU" w:eastAsia="en-AU"/>
          </w:rPr>
          <w:tab/>
        </w:r>
        <w:r w:rsidR="0020252F" w:rsidRPr="00596479">
          <w:rPr>
            <w:rStyle w:val="Hyperlink"/>
            <w:noProof/>
          </w:rPr>
          <w:t>Introduction</w:t>
        </w:r>
        <w:r w:rsidR="0020252F">
          <w:rPr>
            <w:noProof/>
            <w:webHidden/>
          </w:rPr>
          <w:tab/>
        </w:r>
        <w:r w:rsidR="0020252F">
          <w:rPr>
            <w:noProof/>
            <w:webHidden/>
          </w:rPr>
          <w:fldChar w:fldCharType="begin"/>
        </w:r>
        <w:r w:rsidR="0020252F">
          <w:rPr>
            <w:noProof/>
            <w:webHidden/>
          </w:rPr>
          <w:instrText xml:space="preserve"> PAGEREF _Toc36554668 \h </w:instrText>
        </w:r>
        <w:r w:rsidR="0020252F">
          <w:rPr>
            <w:noProof/>
            <w:webHidden/>
          </w:rPr>
        </w:r>
        <w:r w:rsidR="0020252F">
          <w:rPr>
            <w:noProof/>
            <w:webHidden/>
          </w:rPr>
          <w:fldChar w:fldCharType="separate"/>
        </w:r>
        <w:r w:rsidR="001E4CD9">
          <w:rPr>
            <w:noProof/>
            <w:webHidden/>
          </w:rPr>
          <w:t>4</w:t>
        </w:r>
        <w:r w:rsidR="0020252F">
          <w:rPr>
            <w:noProof/>
            <w:webHidden/>
          </w:rPr>
          <w:fldChar w:fldCharType="end"/>
        </w:r>
      </w:hyperlink>
    </w:p>
    <w:p w14:paraId="2A5D638C" w14:textId="79998220" w:rsidR="0020252F" w:rsidRDefault="00663FEB">
      <w:pPr>
        <w:pStyle w:val="TOC2"/>
        <w:rPr>
          <w:rFonts w:asciiTheme="minorHAnsi" w:eastAsiaTheme="minorEastAsia" w:hAnsiTheme="minorHAnsi" w:cstheme="minorBidi"/>
          <w:noProof/>
          <w:lang w:val="en-AU" w:eastAsia="en-AU"/>
        </w:rPr>
      </w:pPr>
      <w:hyperlink w:anchor="_Toc36554669" w:history="1">
        <w:r w:rsidR="0020252F" w:rsidRPr="00596479">
          <w:rPr>
            <w:rStyle w:val="Hyperlink"/>
            <w:noProof/>
          </w:rPr>
          <w:t>1.1.</w:t>
        </w:r>
        <w:r w:rsidR="0020252F">
          <w:rPr>
            <w:rFonts w:asciiTheme="minorHAnsi" w:eastAsiaTheme="minorEastAsia" w:hAnsiTheme="minorHAnsi" w:cstheme="minorBidi"/>
            <w:noProof/>
            <w:lang w:val="en-AU" w:eastAsia="en-AU"/>
          </w:rPr>
          <w:tab/>
        </w:r>
        <w:r w:rsidR="0020252F" w:rsidRPr="00596479">
          <w:rPr>
            <w:rStyle w:val="Hyperlink"/>
            <w:noProof/>
          </w:rPr>
          <w:t>Background</w:t>
        </w:r>
        <w:r w:rsidR="0020252F">
          <w:rPr>
            <w:noProof/>
            <w:webHidden/>
          </w:rPr>
          <w:tab/>
        </w:r>
        <w:r w:rsidR="0020252F">
          <w:rPr>
            <w:noProof/>
            <w:webHidden/>
          </w:rPr>
          <w:fldChar w:fldCharType="begin"/>
        </w:r>
        <w:r w:rsidR="0020252F">
          <w:rPr>
            <w:noProof/>
            <w:webHidden/>
          </w:rPr>
          <w:instrText xml:space="preserve"> PAGEREF _Toc36554669 \h </w:instrText>
        </w:r>
        <w:r w:rsidR="0020252F">
          <w:rPr>
            <w:noProof/>
            <w:webHidden/>
          </w:rPr>
        </w:r>
        <w:r w:rsidR="0020252F">
          <w:rPr>
            <w:noProof/>
            <w:webHidden/>
          </w:rPr>
          <w:fldChar w:fldCharType="separate"/>
        </w:r>
        <w:r w:rsidR="001E4CD9">
          <w:rPr>
            <w:noProof/>
            <w:webHidden/>
          </w:rPr>
          <w:t>4</w:t>
        </w:r>
        <w:r w:rsidR="0020252F">
          <w:rPr>
            <w:noProof/>
            <w:webHidden/>
          </w:rPr>
          <w:fldChar w:fldCharType="end"/>
        </w:r>
      </w:hyperlink>
    </w:p>
    <w:p w14:paraId="5BC0C7E0" w14:textId="5E4CAA1B" w:rsidR="0020252F" w:rsidRDefault="00663FEB">
      <w:pPr>
        <w:pStyle w:val="TOC2"/>
        <w:rPr>
          <w:rFonts w:asciiTheme="minorHAnsi" w:eastAsiaTheme="minorEastAsia" w:hAnsiTheme="minorHAnsi" w:cstheme="minorBidi"/>
          <w:noProof/>
          <w:lang w:val="en-AU" w:eastAsia="en-AU"/>
        </w:rPr>
      </w:pPr>
      <w:hyperlink w:anchor="_Toc36554670" w:history="1">
        <w:r w:rsidR="0020252F" w:rsidRPr="00596479">
          <w:rPr>
            <w:rStyle w:val="Hyperlink"/>
            <w:noProof/>
          </w:rPr>
          <w:t>1.2.</w:t>
        </w:r>
        <w:r w:rsidR="0020252F">
          <w:rPr>
            <w:rFonts w:asciiTheme="minorHAnsi" w:eastAsiaTheme="minorEastAsia" w:hAnsiTheme="minorHAnsi" w:cstheme="minorBidi"/>
            <w:noProof/>
            <w:lang w:val="en-AU" w:eastAsia="en-AU"/>
          </w:rPr>
          <w:tab/>
        </w:r>
        <w:r w:rsidR="0020252F" w:rsidRPr="00596479">
          <w:rPr>
            <w:rStyle w:val="Hyperlink"/>
            <w:noProof/>
          </w:rPr>
          <w:t>Objectives</w:t>
        </w:r>
        <w:r w:rsidR="0020252F">
          <w:rPr>
            <w:noProof/>
            <w:webHidden/>
          </w:rPr>
          <w:tab/>
        </w:r>
        <w:r w:rsidR="0020252F">
          <w:rPr>
            <w:noProof/>
            <w:webHidden/>
          </w:rPr>
          <w:fldChar w:fldCharType="begin"/>
        </w:r>
        <w:r w:rsidR="0020252F">
          <w:rPr>
            <w:noProof/>
            <w:webHidden/>
          </w:rPr>
          <w:instrText xml:space="preserve"> PAGEREF _Toc36554670 \h </w:instrText>
        </w:r>
        <w:r w:rsidR="0020252F">
          <w:rPr>
            <w:noProof/>
            <w:webHidden/>
          </w:rPr>
        </w:r>
        <w:r w:rsidR="0020252F">
          <w:rPr>
            <w:noProof/>
            <w:webHidden/>
          </w:rPr>
          <w:fldChar w:fldCharType="separate"/>
        </w:r>
        <w:r w:rsidR="001E4CD9">
          <w:rPr>
            <w:noProof/>
            <w:webHidden/>
          </w:rPr>
          <w:t>5</w:t>
        </w:r>
        <w:r w:rsidR="0020252F">
          <w:rPr>
            <w:noProof/>
            <w:webHidden/>
          </w:rPr>
          <w:fldChar w:fldCharType="end"/>
        </w:r>
      </w:hyperlink>
    </w:p>
    <w:p w14:paraId="0DC0CA4C" w14:textId="70AEC6C9" w:rsidR="0020252F" w:rsidRDefault="00663FEB">
      <w:pPr>
        <w:pStyle w:val="TOC1"/>
        <w:rPr>
          <w:rFonts w:asciiTheme="minorHAnsi" w:eastAsiaTheme="minorEastAsia" w:hAnsiTheme="minorHAnsi" w:cstheme="minorBidi"/>
          <w:caps w:val="0"/>
          <w:noProof/>
          <w:lang w:val="en-AU" w:eastAsia="en-AU"/>
        </w:rPr>
      </w:pPr>
      <w:hyperlink w:anchor="_Toc36554671" w:history="1">
        <w:r w:rsidR="0020252F" w:rsidRPr="00596479">
          <w:rPr>
            <w:rStyle w:val="Hyperlink"/>
            <w:noProof/>
          </w:rPr>
          <w:t>2.</w:t>
        </w:r>
        <w:r w:rsidR="0020252F">
          <w:rPr>
            <w:rFonts w:asciiTheme="minorHAnsi" w:eastAsiaTheme="minorEastAsia" w:hAnsiTheme="minorHAnsi" w:cstheme="minorBidi"/>
            <w:caps w:val="0"/>
            <w:noProof/>
            <w:lang w:val="en-AU" w:eastAsia="en-AU"/>
          </w:rPr>
          <w:tab/>
        </w:r>
        <w:r w:rsidR="0020252F" w:rsidRPr="00596479">
          <w:rPr>
            <w:rStyle w:val="Hyperlink"/>
            <w:noProof/>
          </w:rPr>
          <w:t>method</w:t>
        </w:r>
        <w:r w:rsidR="0020252F">
          <w:rPr>
            <w:noProof/>
            <w:webHidden/>
          </w:rPr>
          <w:tab/>
        </w:r>
        <w:r w:rsidR="0020252F">
          <w:rPr>
            <w:noProof/>
            <w:webHidden/>
          </w:rPr>
          <w:fldChar w:fldCharType="begin"/>
        </w:r>
        <w:r w:rsidR="0020252F">
          <w:rPr>
            <w:noProof/>
            <w:webHidden/>
          </w:rPr>
          <w:instrText xml:space="preserve"> PAGEREF _Toc36554671 \h </w:instrText>
        </w:r>
        <w:r w:rsidR="0020252F">
          <w:rPr>
            <w:noProof/>
            <w:webHidden/>
          </w:rPr>
        </w:r>
        <w:r w:rsidR="0020252F">
          <w:rPr>
            <w:noProof/>
            <w:webHidden/>
          </w:rPr>
          <w:fldChar w:fldCharType="separate"/>
        </w:r>
        <w:r w:rsidR="001E4CD9">
          <w:rPr>
            <w:noProof/>
            <w:webHidden/>
          </w:rPr>
          <w:t>7</w:t>
        </w:r>
        <w:r w:rsidR="0020252F">
          <w:rPr>
            <w:noProof/>
            <w:webHidden/>
          </w:rPr>
          <w:fldChar w:fldCharType="end"/>
        </w:r>
      </w:hyperlink>
    </w:p>
    <w:p w14:paraId="381D8AFE" w14:textId="1BA176CE" w:rsidR="0020252F" w:rsidRDefault="00663FEB">
      <w:pPr>
        <w:pStyle w:val="TOC2"/>
        <w:rPr>
          <w:rFonts w:asciiTheme="minorHAnsi" w:eastAsiaTheme="minorEastAsia" w:hAnsiTheme="minorHAnsi" w:cstheme="minorBidi"/>
          <w:noProof/>
          <w:lang w:val="en-AU" w:eastAsia="en-AU"/>
        </w:rPr>
      </w:pPr>
      <w:hyperlink w:anchor="_Toc36554672" w:history="1">
        <w:r w:rsidR="0020252F" w:rsidRPr="00596479">
          <w:rPr>
            <w:rStyle w:val="Hyperlink"/>
            <w:noProof/>
          </w:rPr>
          <w:t>2.1.</w:t>
        </w:r>
        <w:r w:rsidR="0020252F">
          <w:rPr>
            <w:rFonts w:asciiTheme="minorHAnsi" w:eastAsiaTheme="minorEastAsia" w:hAnsiTheme="minorHAnsi" w:cstheme="minorBidi"/>
            <w:noProof/>
            <w:lang w:val="en-AU" w:eastAsia="en-AU"/>
          </w:rPr>
          <w:tab/>
        </w:r>
        <w:r w:rsidR="0020252F" w:rsidRPr="00596479">
          <w:rPr>
            <w:rStyle w:val="Hyperlink"/>
            <w:noProof/>
          </w:rPr>
          <w:t>Study area</w:t>
        </w:r>
        <w:r w:rsidR="0020252F">
          <w:rPr>
            <w:noProof/>
            <w:webHidden/>
          </w:rPr>
          <w:tab/>
        </w:r>
        <w:r w:rsidR="0020252F">
          <w:rPr>
            <w:noProof/>
            <w:webHidden/>
          </w:rPr>
          <w:fldChar w:fldCharType="begin"/>
        </w:r>
        <w:r w:rsidR="0020252F">
          <w:rPr>
            <w:noProof/>
            <w:webHidden/>
          </w:rPr>
          <w:instrText xml:space="preserve"> PAGEREF _Toc36554672 \h </w:instrText>
        </w:r>
        <w:r w:rsidR="0020252F">
          <w:rPr>
            <w:noProof/>
            <w:webHidden/>
          </w:rPr>
        </w:r>
        <w:r w:rsidR="0020252F">
          <w:rPr>
            <w:noProof/>
            <w:webHidden/>
          </w:rPr>
          <w:fldChar w:fldCharType="separate"/>
        </w:r>
        <w:r w:rsidR="001E4CD9">
          <w:rPr>
            <w:noProof/>
            <w:webHidden/>
          </w:rPr>
          <w:t>7</w:t>
        </w:r>
        <w:r w:rsidR="0020252F">
          <w:rPr>
            <w:noProof/>
            <w:webHidden/>
          </w:rPr>
          <w:fldChar w:fldCharType="end"/>
        </w:r>
      </w:hyperlink>
    </w:p>
    <w:p w14:paraId="606A13C1" w14:textId="6279735A" w:rsidR="0020252F" w:rsidRDefault="00663FEB">
      <w:pPr>
        <w:pStyle w:val="TOC2"/>
        <w:rPr>
          <w:rFonts w:asciiTheme="minorHAnsi" w:eastAsiaTheme="minorEastAsia" w:hAnsiTheme="minorHAnsi" w:cstheme="minorBidi"/>
          <w:noProof/>
          <w:lang w:val="en-AU" w:eastAsia="en-AU"/>
        </w:rPr>
      </w:pPr>
      <w:hyperlink w:anchor="_Toc36554673" w:history="1">
        <w:r w:rsidR="0020252F" w:rsidRPr="00596479">
          <w:rPr>
            <w:rStyle w:val="Hyperlink"/>
            <w:noProof/>
          </w:rPr>
          <w:t>2.1.</w:t>
        </w:r>
        <w:r w:rsidR="0020252F">
          <w:rPr>
            <w:rFonts w:asciiTheme="minorHAnsi" w:eastAsiaTheme="minorEastAsia" w:hAnsiTheme="minorHAnsi" w:cstheme="minorBidi"/>
            <w:noProof/>
            <w:lang w:val="en-AU" w:eastAsia="en-AU"/>
          </w:rPr>
          <w:tab/>
        </w:r>
        <w:r w:rsidR="0020252F" w:rsidRPr="00596479">
          <w:rPr>
            <w:rStyle w:val="Hyperlink"/>
            <w:noProof/>
          </w:rPr>
          <w:t>Lamprey sampling and tagging</w:t>
        </w:r>
        <w:r w:rsidR="0020252F">
          <w:rPr>
            <w:noProof/>
            <w:webHidden/>
          </w:rPr>
          <w:tab/>
        </w:r>
        <w:r w:rsidR="0020252F">
          <w:rPr>
            <w:noProof/>
            <w:webHidden/>
          </w:rPr>
          <w:fldChar w:fldCharType="begin"/>
        </w:r>
        <w:r w:rsidR="0020252F">
          <w:rPr>
            <w:noProof/>
            <w:webHidden/>
          </w:rPr>
          <w:instrText xml:space="preserve"> PAGEREF _Toc36554673 \h </w:instrText>
        </w:r>
        <w:r w:rsidR="0020252F">
          <w:rPr>
            <w:noProof/>
            <w:webHidden/>
          </w:rPr>
        </w:r>
        <w:r w:rsidR="0020252F">
          <w:rPr>
            <w:noProof/>
            <w:webHidden/>
          </w:rPr>
          <w:fldChar w:fldCharType="separate"/>
        </w:r>
        <w:r w:rsidR="001E4CD9">
          <w:rPr>
            <w:noProof/>
            <w:webHidden/>
          </w:rPr>
          <w:t>8</w:t>
        </w:r>
        <w:r w:rsidR="0020252F">
          <w:rPr>
            <w:noProof/>
            <w:webHidden/>
          </w:rPr>
          <w:fldChar w:fldCharType="end"/>
        </w:r>
      </w:hyperlink>
    </w:p>
    <w:p w14:paraId="6084B904" w14:textId="27CC7F02" w:rsidR="0020252F" w:rsidRDefault="00663FEB">
      <w:pPr>
        <w:pStyle w:val="TOC2"/>
        <w:rPr>
          <w:rFonts w:asciiTheme="minorHAnsi" w:eastAsiaTheme="minorEastAsia" w:hAnsiTheme="minorHAnsi" w:cstheme="minorBidi"/>
          <w:noProof/>
          <w:lang w:val="en-AU" w:eastAsia="en-AU"/>
        </w:rPr>
      </w:pPr>
      <w:hyperlink w:anchor="_Toc36554674" w:history="1">
        <w:r w:rsidR="0020252F" w:rsidRPr="00596479">
          <w:rPr>
            <w:rStyle w:val="Hyperlink"/>
            <w:noProof/>
          </w:rPr>
          <w:t>2.2.</w:t>
        </w:r>
        <w:r w:rsidR="0020252F">
          <w:rPr>
            <w:rFonts w:asciiTheme="minorHAnsi" w:eastAsiaTheme="minorEastAsia" w:hAnsiTheme="minorHAnsi" w:cstheme="minorBidi"/>
            <w:noProof/>
            <w:lang w:val="en-AU" w:eastAsia="en-AU"/>
          </w:rPr>
          <w:tab/>
        </w:r>
        <w:r w:rsidR="0020252F" w:rsidRPr="00596479">
          <w:rPr>
            <w:rStyle w:val="Hyperlink"/>
            <w:noProof/>
          </w:rPr>
          <w:t>Tracking upstream movements</w:t>
        </w:r>
        <w:r w:rsidR="0020252F">
          <w:rPr>
            <w:noProof/>
            <w:webHidden/>
          </w:rPr>
          <w:tab/>
        </w:r>
        <w:r w:rsidR="0020252F">
          <w:rPr>
            <w:noProof/>
            <w:webHidden/>
          </w:rPr>
          <w:fldChar w:fldCharType="begin"/>
        </w:r>
        <w:r w:rsidR="0020252F">
          <w:rPr>
            <w:noProof/>
            <w:webHidden/>
          </w:rPr>
          <w:instrText xml:space="preserve"> PAGEREF _Toc36554674 \h </w:instrText>
        </w:r>
        <w:r w:rsidR="0020252F">
          <w:rPr>
            <w:noProof/>
            <w:webHidden/>
          </w:rPr>
        </w:r>
        <w:r w:rsidR="0020252F">
          <w:rPr>
            <w:noProof/>
            <w:webHidden/>
          </w:rPr>
          <w:fldChar w:fldCharType="separate"/>
        </w:r>
        <w:r w:rsidR="001E4CD9">
          <w:rPr>
            <w:noProof/>
            <w:webHidden/>
          </w:rPr>
          <w:t>10</w:t>
        </w:r>
        <w:r w:rsidR="0020252F">
          <w:rPr>
            <w:noProof/>
            <w:webHidden/>
          </w:rPr>
          <w:fldChar w:fldCharType="end"/>
        </w:r>
      </w:hyperlink>
    </w:p>
    <w:p w14:paraId="5EBAA97D" w14:textId="5A50AED5" w:rsidR="0020252F" w:rsidRDefault="00663FEB">
      <w:pPr>
        <w:pStyle w:val="TOC2"/>
        <w:rPr>
          <w:rFonts w:asciiTheme="minorHAnsi" w:eastAsiaTheme="minorEastAsia" w:hAnsiTheme="minorHAnsi" w:cstheme="minorBidi"/>
          <w:noProof/>
          <w:lang w:val="en-AU" w:eastAsia="en-AU"/>
        </w:rPr>
      </w:pPr>
      <w:hyperlink w:anchor="_Toc36554675" w:history="1">
        <w:r w:rsidR="0020252F" w:rsidRPr="00596479">
          <w:rPr>
            <w:rStyle w:val="Hyperlink"/>
            <w:noProof/>
          </w:rPr>
          <w:t>2.3.</w:t>
        </w:r>
        <w:r w:rsidR="0020252F">
          <w:rPr>
            <w:rFonts w:asciiTheme="minorHAnsi" w:eastAsiaTheme="minorEastAsia" w:hAnsiTheme="minorHAnsi" w:cstheme="minorBidi"/>
            <w:noProof/>
            <w:lang w:val="en-AU" w:eastAsia="en-AU"/>
          </w:rPr>
          <w:tab/>
        </w:r>
        <w:r w:rsidR="0020252F" w:rsidRPr="00596479">
          <w:rPr>
            <w:rStyle w:val="Hyperlink"/>
            <w:noProof/>
          </w:rPr>
          <w:t>Data interpretation and analysis</w:t>
        </w:r>
        <w:r w:rsidR="0020252F">
          <w:rPr>
            <w:noProof/>
            <w:webHidden/>
          </w:rPr>
          <w:tab/>
        </w:r>
        <w:r w:rsidR="0020252F">
          <w:rPr>
            <w:noProof/>
            <w:webHidden/>
          </w:rPr>
          <w:fldChar w:fldCharType="begin"/>
        </w:r>
        <w:r w:rsidR="0020252F">
          <w:rPr>
            <w:noProof/>
            <w:webHidden/>
          </w:rPr>
          <w:instrText xml:space="preserve"> PAGEREF _Toc36554675 \h </w:instrText>
        </w:r>
        <w:r w:rsidR="0020252F">
          <w:rPr>
            <w:noProof/>
            <w:webHidden/>
          </w:rPr>
        </w:r>
        <w:r w:rsidR="0020252F">
          <w:rPr>
            <w:noProof/>
            <w:webHidden/>
          </w:rPr>
          <w:fldChar w:fldCharType="separate"/>
        </w:r>
        <w:r w:rsidR="001E4CD9">
          <w:rPr>
            <w:noProof/>
            <w:webHidden/>
          </w:rPr>
          <w:t>10</w:t>
        </w:r>
        <w:r w:rsidR="0020252F">
          <w:rPr>
            <w:noProof/>
            <w:webHidden/>
          </w:rPr>
          <w:fldChar w:fldCharType="end"/>
        </w:r>
      </w:hyperlink>
    </w:p>
    <w:p w14:paraId="3A0514D9" w14:textId="6E2E44F1" w:rsidR="0020252F" w:rsidRDefault="00663FEB">
      <w:pPr>
        <w:pStyle w:val="TOC1"/>
        <w:rPr>
          <w:rFonts w:asciiTheme="minorHAnsi" w:eastAsiaTheme="minorEastAsia" w:hAnsiTheme="minorHAnsi" w:cstheme="minorBidi"/>
          <w:caps w:val="0"/>
          <w:noProof/>
          <w:lang w:val="en-AU" w:eastAsia="en-AU"/>
        </w:rPr>
      </w:pPr>
      <w:hyperlink w:anchor="_Toc36554676" w:history="1">
        <w:r w:rsidR="0020252F" w:rsidRPr="00596479">
          <w:rPr>
            <w:rStyle w:val="Hyperlink"/>
            <w:noProof/>
          </w:rPr>
          <w:t>3.</w:t>
        </w:r>
        <w:r w:rsidR="0020252F">
          <w:rPr>
            <w:rFonts w:asciiTheme="minorHAnsi" w:eastAsiaTheme="minorEastAsia" w:hAnsiTheme="minorHAnsi" w:cstheme="minorBidi"/>
            <w:caps w:val="0"/>
            <w:noProof/>
            <w:lang w:val="en-AU" w:eastAsia="en-AU"/>
          </w:rPr>
          <w:tab/>
        </w:r>
        <w:r w:rsidR="0020252F" w:rsidRPr="00596479">
          <w:rPr>
            <w:rStyle w:val="Hyperlink"/>
            <w:noProof/>
          </w:rPr>
          <w:t>results</w:t>
        </w:r>
        <w:r w:rsidR="0020252F">
          <w:rPr>
            <w:noProof/>
            <w:webHidden/>
          </w:rPr>
          <w:tab/>
        </w:r>
        <w:r w:rsidR="0020252F">
          <w:rPr>
            <w:noProof/>
            <w:webHidden/>
          </w:rPr>
          <w:fldChar w:fldCharType="begin"/>
        </w:r>
        <w:r w:rsidR="0020252F">
          <w:rPr>
            <w:noProof/>
            <w:webHidden/>
          </w:rPr>
          <w:instrText xml:space="preserve"> PAGEREF _Toc36554676 \h </w:instrText>
        </w:r>
        <w:r w:rsidR="0020252F">
          <w:rPr>
            <w:noProof/>
            <w:webHidden/>
          </w:rPr>
        </w:r>
        <w:r w:rsidR="0020252F">
          <w:rPr>
            <w:noProof/>
            <w:webHidden/>
          </w:rPr>
          <w:fldChar w:fldCharType="separate"/>
        </w:r>
        <w:r w:rsidR="001E4CD9">
          <w:rPr>
            <w:noProof/>
            <w:webHidden/>
          </w:rPr>
          <w:t>11</w:t>
        </w:r>
        <w:r w:rsidR="0020252F">
          <w:rPr>
            <w:noProof/>
            <w:webHidden/>
          </w:rPr>
          <w:fldChar w:fldCharType="end"/>
        </w:r>
      </w:hyperlink>
    </w:p>
    <w:p w14:paraId="6FFDAD02" w14:textId="2916960E" w:rsidR="0020252F" w:rsidRDefault="00663FEB">
      <w:pPr>
        <w:pStyle w:val="TOC2"/>
        <w:rPr>
          <w:rFonts w:asciiTheme="minorHAnsi" w:eastAsiaTheme="minorEastAsia" w:hAnsiTheme="minorHAnsi" w:cstheme="minorBidi"/>
          <w:noProof/>
          <w:lang w:val="en-AU" w:eastAsia="en-AU"/>
        </w:rPr>
      </w:pPr>
      <w:hyperlink w:anchor="_Toc36554677" w:history="1">
        <w:r w:rsidR="0020252F" w:rsidRPr="00596479">
          <w:rPr>
            <w:rStyle w:val="Hyperlink"/>
            <w:noProof/>
          </w:rPr>
          <w:t>3.1.</w:t>
        </w:r>
        <w:r w:rsidR="0020252F">
          <w:rPr>
            <w:rFonts w:asciiTheme="minorHAnsi" w:eastAsiaTheme="minorEastAsia" w:hAnsiTheme="minorHAnsi" w:cstheme="minorBidi"/>
            <w:noProof/>
            <w:lang w:val="en-AU" w:eastAsia="en-AU"/>
          </w:rPr>
          <w:tab/>
        </w:r>
        <w:r w:rsidR="0020252F" w:rsidRPr="00596479">
          <w:rPr>
            <w:rStyle w:val="Hyperlink"/>
            <w:noProof/>
          </w:rPr>
          <w:t>Hydrology</w:t>
        </w:r>
        <w:r w:rsidR="0020252F">
          <w:rPr>
            <w:noProof/>
            <w:webHidden/>
          </w:rPr>
          <w:tab/>
        </w:r>
        <w:r w:rsidR="0020252F">
          <w:rPr>
            <w:noProof/>
            <w:webHidden/>
          </w:rPr>
          <w:fldChar w:fldCharType="begin"/>
        </w:r>
        <w:r w:rsidR="0020252F">
          <w:rPr>
            <w:noProof/>
            <w:webHidden/>
          </w:rPr>
          <w:instrText xml:space="preserve"> PAGEREF _Toc36554677 \h </w:instrText>
        </w:r>
        <w:r w:rsidR="0020252F">
          <w:rPr>
            <w:noProof/>
            <w:webHidden/>
          </w:rPr>
        </w:r>
        <w:r w:rsidR="0020252F">
          <w:rPr>
            <w:noProof/>
            <w:webHidden/>
          </w:rPr>
          <w:fldChar w:fldCharType="separate"/>
        </w:r>
        <w:r w:rsidR="001E4CD9">
          <w:rPr>
            <w:noProof/>
            <w:webHidden/>
          </w:rPr>
          <w:t>11</w:t>
        </w:r>
        <w:r w:rsidR="0020252F">
          <w:rPr>
            <w:noProof/>
            <w:webHidden/>
          </w:rPr>
          <w:fldChar w:fldCharType="end"/>
        </w:r>
      </w:hyperlink>
    </w:p>
    <w:p w14:paraId="71E3204E" w14:textId="014BF02D" w:rsidR="0020252F" w:rsidRDefault="00663FEB">
      <w:pPr>
        <w:pStyle w:val="TOC2"/>
        <w:rPr>
          <w:rFonts w:asciiTheme="minorHAnsi" w:eastAsiaTheme="minorEastAsia" w:hAnsiTheme="minorHAnsi" w:cstheme="minorBidi"/>
          <w:noProof/>
          <w:lang w:val="en-AU" w:eastAsia="en-AU"/>
        </w:rPr>
      </w:pPr>
      <w:hyperlink w:anchor="_Toc36554678" w:history="1">
        <w:r w:rsidR="0020252F" w:rsidRPr="00596479">
          <w:rPr>
            <w:rStyle w:val="Hyperlink"/>
            <w:noProof/>
          </w:rPr>
          <w:t>3.2.</w:t>
        </w:r>
        <w:r w:rsidR="0020252F">
          <w:rPr>
            <w:rFonts w:asciiTheme="minorHAnsi" w:eastAsiaTheme="minorEastAsia" w:hAnsiTheme="minorHAnsi" w:cstheme="minorBidi"/>
            <w:noProof/>
            <w:lang w:val="en-AU" w:eastAsia="en-AU"/>
          </w:rPr>
          <w:tab/>
        </w:r>
        <w:r w:rsidR="0020252F" w:rsidRPr="00596479">
          <w:rPr>
            <w:rStyle w:val="Hyperlink"/>
            <w:noProof/>
          </w:rPr>
          <w:t>Lamprey abundance and timing of freshwater entry</w:t>
        </w:r>
        <w:r w:rsidR="0020252F">
          <w:rPr>
            <w:noProof/>
            <w:webHidden/>
          </w:rPr>
          <w:tab/>
        </w:r>
        <w:r w:rsidR="0020252F">
          <w:rPr>
            <w:noProof/>
            <w:webHidden/>
          </w:rPr>
          <w:fldChar w:fldCharType="begin"/>
        </w:r>
        <w:r w:rsidR="0020252F">
          <w:rPr>
            <w:noProof/>
            <w:webHidden/>
          </w:rPr>
          <w:instrText xml:space="preserve"> PAGEREF _Toc36554678 \h </w:instrText>
        </w:r>
        <w:r w:rsidR="0020252F">
          <w:rPr>
            <w:noProof/>
            <w:webHidden/>
          </w:rPr>
        </w:r>
        <w:r w:rsidR="0020252F">
          <w:rPr>
            <w:noProof/>
            <w:webHidden/>
          </w:rPr>
          <w:fldChar w:fldCharType="separate"/>
        </w:r>
        <w:r w:rsidR="001E4CD9">
          <w:rPr>
            <w:noProof/>
            <w:webHidden/>
          </w:rPr>
          <w:t>13</w:t>
        </w:r>
        <w:r w:rsidR="0020252F">
          <w:rPr>
            <w:noProof/>
            <w:webHidden/>
          </w:rPr>
          <w:fldChar w:fldCharType="end"/>
        </w:r>
      </w:hyperlink>
    </w:p>
    <w:p w14:paraId="315B56D5" w14:textId="7AE5B566" w:rsidR="0020252F" w:rsidRDefault="00663FEB">
      <w:pPr>
        <w:pStyle w:val="TOC2"/>
        <w:rPr>
          <w:rFonts w:asciiTheme="minorHAnsi" w:eastAsiaTheme="minorEastAsia" w:hAnsiTheme="minorHAnsi" w:cstheme="minorBidi"/>
          <w:noProof/>
          <w:lang w:val="en-AU" w:eastAsia="en-AU"/>
        </w:rPr>
      </w:pPr>
      <w:hyperlink w:anchor="_Toc36554679" w:history="1">
        <w:r w:rsidR="0020252F" w:rsidRPr="00596479">
          <w:rPr>
            <w:rStyle w:val="Hyperlink"/>
            <w:noProof/>
          </w:rPr>
          <w:t>3.3.</w:t>
        </w:r>
        <w:r w:rsidR="0020252F">
          <w:rPr>
            <w:rFonts w:asciiTheme="minorHAnsi" w:eastAsiaTheme="minorEastAsia" w:hAnsiTheme="minorHAnsi" w:cstheme="minorBidi"/>
            <w:noProof/>
            <w:lang w:val="en-AU" w:eastAsia="en-AU"/>
          </w:rPr>
          <w:tab/>
        </w:r>
        <w:r w:rsidR="0020252F" w:rsidRPr="00596479">
          <w:rPr>
            <w:rStyle w:val="Hyperlink"/>
            <w:noProof/>
          </w:rPr>
          <w:t>Fishway PIT reader detections and riverine migration</w:t>
        </w:r>
        <w:r w:rsidR="0020252F">
          <w:rPr>
            <w:noProof/>
            <w:webHidden/>
          </w:rPr>
          <w:tab/>
        </w:r>
        <w:r w:rsidR="0020252F">
          <w:rPr>
            <w:noProof/>
            <w:webHidden/>
          </w:rPr>
          <w:fldChar w:fldCharType="begin"/>
        </w:r>
        <w:r w:rsidR="0020252F">
          <w:rPr>
            <w:noProof/>
            <w:webHidden/>
          </w:rPr>
          <w:instrText xml:space="preserve"> PAGEREF _Toc36554679 \h </w:instrText>
        </w:r>
        <w:r w:rsidR="0020252F">
          <w:rPr>
            <w:noProof/>
            <w:webHidden/>
          </w:rPr>
        </w:r>
        <w:r w:rsidR="0020252F">
          <w:rPr>
            <w:noProof/>
            <w:webHidden/>
          </w:rPr>
          <w:fldChar w:fldCharType="separate"/>
        </w:r>
        <w:r w:rsidR="001E4CD9">
          <w:rPr>
            <w:noProof/>
            <w:webHidden/>
          </w:rPr>
          <w:t>15</w:t>
        </w:r>
        <w:r w:rsidR="0020252F">
          <w:rPr>
            <w:noProof/>
            <w:webHidden/>
          </w:rPr>
          <w:fldChar w:fldCharType="end"/>
        </w:r>
      </w:hyperlink>
    </w:p>
    <w:p w14:paraId="181F0505" w14:textId="43D0FE85" w:rsidR="0020252F" w:rsidRDefault="00663FEB">
      <w:pPr>
        <w:pStyle w:val="TOC1"/>
        <w:rPr>
          <w:rFonts w:asciiTheme="minorHAnsi" w:eastAsiaTheme="minorEastAsia" w:hAnsiTheme="minorHAnsi" w:cstheme="minorBidi"/>
          <w:caps w:val="0"/>
          <w:noProof/>
          <w:lang w:val="en-AU" w:eastAsia="en-AU"/>
        </w:rPr>
      </w:pPr>
      <w:hyperlink w:anchor="_Toc36554680" w:history="1">
        <w:r w:rsidR="0020252F" w:rsidRPr="00596479">
          <w:rPr>
            <w:rStyle w:val="Hyperlink"/>
            <w:noProof/>
          </w:rPr>
          <w:t>4.</w:t>
        </w:r>
        <w:r w:rsidR="0020252F">
          <w:rPr>
            <w:rFonts w:asciiTheme="minorHAnsi" w:eastAsiaTheme="minorEastAsia" w:hAnsiTheme="minorHAnsi" w:cstheme="minorBidi"/>
            <w:caps w:val="0"/>
            <w:noProof/>
            <w:lang w:val="en-AU" w:eastAsia="en-AU"/>
          </w:rPr>
          <w:tab/>
        </w:r>
        <w:r w:rsidR="0020252F" w:rsidRPr="00596479">
          <w:rPr>
            <w:rStyle w:val="Hyperlink"/>
            <w:noProof/>
          </w:rPr>
          <w:t>Discussion</w:t>
        </w:r>
        <w:r w:rsidR="0020252F">
          <w:rPr>
            <w:noProof/>
            <w:webHidden/>
          </w:rPr>
          <w:tab/>
        </w:r>
        <w:r w:rsidR="0020252F">
          <w:rPr>
            <w:noProof/>
            <w:webHidden/>
          </w:rPr>
          <w:fldChar w:fldCharType="begin"/>
        </w:r>
        <w:r w:rsidR="0020252F">
          <w:rPr>
            <w:noProof/>
            <w:webHidden/>
          </w:rPr>
          <w:instrText xml:space="preserve"> PAGEREF _Toc36554680 \h </w:instrText>
        </w:r>
        <w:r w:rsidR="0020252F">
          <w:rPr>
            <w:noProof/>
            <w:webHidden/>
          </w:rPr>
        </w:r>
        <w:r w:rsidR="0020252F">
          <w:rPr>
            <w:noProof/>
            <w:webHidden/>
          </w:rPr>
          <w:fldChar w:fldCharType="separate"/>
        </w:r>
        <w:r w:rsidR="001E4CD9">
          <w:rPr>
            <w:noProof/>
            <w:webHidden/>
          </w:rPr>
          <w:t>17</w:t>
        </w:r>
        <w:r w:rsidR="0020252F">
          <w:rPr>
            <w:noProof/>
            <w:webHidden/>
          </w:rPr>
          <w:fldChar w:fldCharType="end"/>
        </w:r>
      </w:hyperlink>
    </w:p>
    <w:p w14:paraId="791049E9" w14:textId="62906BF3" w:rsidR="0020252F" w:rsidRDefault="00663FEB">
      <w:pPr>
        <w:pStyle w:val="TOC2"/>
        <w:rPr>
          <w:rFonts w:asciiTheme="minorHAnsi" w:eastAsiaTheme="minorEastAsia" w:hAnsiTheme="minorHAnsi" w:cstheme="minorBidi"/>
          <w:noProof/>
          <w:lang w:val="en-AU" w:eastAsia="en-AU"/>
        </w:rPr>
      </w:pPr>
      <w:hyperlink w:anchor="_Toc36554681" w:history="1">
        <w:r w:rsidR="0020252F" w:rsidRPr="00596479">
          <w:rPr>
            <w:rStyle w:val="Hyperlink"/>
            <w:noProof/>
          </w:rPr>
          <w:t>4.1.</w:t>
        </w:r>
        <w:r w:rsidR="0020252F">
          <w:rPr>
            <w:rFonts w:asciiTheme="minorHAnsi" w:eastAsiaTheme="minorEastAsia" w:hAnsiTheme="minorHAnsi" w:cstheme="minorBidi"/>
            <w:noProof/>
            <w:lang w:val="en-AU" w:eastAsia="en-AU"/>
          </w:rPr>
          <w:tab/>
        </w:r>
        <w:r w:rsidR="0020252F" w:rsidRPr="00596479">
          <w:rPr>
            <w:rStyle w:val="Hyperlink"/>
            <w:noProof/>
          </w:rPr>
          <w:t>Timing of freshwater entry and abundance at the barrages</w:t>
        </w:r>
        <w:r w:rsidR="0020252F">
          <w:rPr>
            <w:noProof/>
            <w:webHidden/>
          </w:rPr>
          <w:tab/>
        </w:r>
        <w:r w:rsidR="0020252F">
          <w:rPr>
            <w:noProof/>
            <w:webHidden/>
          </w:rPr>
          <w:fldChar w:fldCharType="begin"/>
        </w:r>
        <w:r w:rsidR="0020252F">
          <w:rPr>
            <w:noProof/>
            <w:webHidden/>
          </w:rPr>
          <w:instrText xml:space="preserve"> PAGEREF _Toc36554681 \h </w:instrText>
        </w:r>
        <w:r w:rsidR="0020252F">
          <w:rPr>
            <w:noProof/>
            <w:webHidden/>
          </w:rPr>
        </w:r>
        <w:r w:rsidR="0020252F">
          <w:rPr>
            <w:noProof/>
            <w:webHidden/>
          </w:rPr>
          <w:fldChar w:fldCharType="separate"/>
        </w:r>
        <w:r w:rsidR="001E4CD9">
          <w:rPr>
            <w:noProof/>
            <w:webHidden/>
          </w:rPr>
          <w:t>17</w:t>
        </w:r>
        <w:r w:rsidR="0020252F">
          <w:rPr>
            <w:noProof/>
            <w:webHidden/>
          </w:rPr>
          <w:fldChar w:fldCharType="end"/>
        </w:r>
      </w:hyperlink>
    </w:p>
    <w:p w14:paraId="00F05939" w14:textId="247D5B8C" w:rsidR="0020252F" w:rsidRDefault="00663FEB">
      <w:pPr>
        <w:pStyle w:val="TOC2"/>
        <w:rPr>
          <w:rFonts w:asciiTheme="minorHAnsi" w:eastAsiaTheme="minorEastAsia" w:hAnsiTheme="minorHAnsi" w:cstheme="minorBidi"/>
          <w:noProof/>
          <w:lang w:val="en-AU" w:eastAsia="en-AU"/>
        </w:rPr>
      </w:pPr>
      <w:hyperlink w:anchor="_Toc36554682" w:history="1">
        <w:r w:rsidR="0020252F" w:rsidRPr="00596479">
          <w:rPr>
            <w:rStyle w:val="Hyperlink"/>
            <w:noProof/>
          </w:rPr>
          <w:t>4.2.</w:t>
        </w:r>
        <w:r w:rsidR="0020252F">
          <w:rPr>
            <w:rFonts w:asciiTheme="minorHAnsi" w:eastAsiaTheme="minorEastAsia" w:hAnsiTheme="minorHAnsi" w:cstheme="minorBidi"/>
            <w:noProof/>
            <w:lang w:val="en-AU" w:eastAsia="en-AU"/>
          </w:rPr>
          <w:tab/>
        </w:r>
        <w:r w:rsidR="0020252F" w:rsidRPr="00596479">
          <w:rPr>
            <w:rStyle w:val="Hyperlink"/>
            <w:noProof/>
          </w:rPr>
          <w:t>Extent, timing and rate of riverine migration</w:t>
        </w:r>
        <w:r w:rsidR="0020252F">
          <w:rPr>
            <w:noProof/>
            <w:webHidden/>
          </w:rPr>
          <w:tab/>
        </w:r>
        <w:r w:rsidR="0020252F">
          <w:rPr>
            <w:noProof/>
            <w:webHidden/>
          </w:rPr>
          <w:fldChar w:fldCharType="begin"/>
        </w:r>
        <w:r w:rsidR="0020252F">
          <w:rPr>
            <w:noProof/>
            <w:webHidden/>
          </w:rPr>
          <w:instrText xml:space="preserve"> PAGEREF _Toc36554682 \h </w:instrText>
        </w:r>
        <w:r w:rsidR="0020252F">
          <w:rPr>
            <w:noProof/>
            <w:webHidden/>
          </w:rPr>
        </w:r>
        <w:r w:rsidR="0020252F">
          <w:rPr>
            <w:noProof/>
            <w:webHidden/>
          </w:rPr>
          <w:fldChar w:fldCharType="separate"/>
        </w:r>
        <w:r w:rsidR="001E4CD9">
          <w:rPr>
            <w:noProof/>
            <w:webHidden/>
          </w:rPr>
          <w:t>19</w:t>
        </w:r>
        <w:r w:rsidR="0020252F">
          <w:rPr>
            <w:noProof/>
            <w:webHidden/>
          </w:rPr>
          <w:fldChar w:fldCharType="end"/>
        </w:r>
      </w:hyperlink>
    </w:p>
    <w:p w14:paraId="1F9B90A3" w14:textId="0DC27E0C" w:rsidR="0020252F" w:rsidRDefault="00663FEB">
      <w:pPr>
        <w:pStyle w:val="TOC2"/>
        <w:rPr>
          <w:rFonts w:asciiTheme="minorHAnsi" w:eastAsiaTheme="minorEastAsia" w:hAnsiTheme="minorHAnsi" w:cstheme="minorBidi"/>
          <w:noProof/>
          <w:lang w:val="en-AU" w:eastAsia="en-AU"/>
        </w:rPr>
      </w:pPr>
      <w:hyperlink w:anchor="_Toc36554683" w:history="1">
        <w:r w:rsidR="0020252F" w:rsidRPr="00596479">
          <w:rPr>
            <w:rStyle w:val="Hyperlink"/>
            <w:noProof/>
          </w:rPr>
          <w:t>4.3.</w:t>
        </w:r>
        <w:r w:rsidR="0020252F">
          <w:rPr>
            <w:rFonts w:asciiTheme="minorHAnsi" w:eastAsiaTheme="minorEastAsia" w:hAnsiTheme="minorHAnsi" w:cstheme="minorBidi"/>
            <w:noProof/>
            <w:lang w:val="en-AU" w:eastAsia="en-AU"/>
          </w:rPr>
          <w:tab/>
        </w:r>
        <w:r w:rsidR="0020252F" w:rsidRPr="00596479">
          <w:rPr>
            <w:rStyle w:val="Hyperlink"/>
            <w:noProof/>
          </w:rPr>
          <w:t>Contribution of Commonwealth Environmental Water</w:t>
        </w:r>
        <w:r w:rsidR="0020252F">
          <w:rPr>
            <w:noProof/>
            <w:webHidden/>
          </w:rPr>
          <w:tab/>
        </w:r>
        <w:r w:rsidR="0020252F">
          <w:rPr>
            <w:noProof/>
            <w:webHidden/>
          </w:rPr>
          <w:fldChar w:fldCharType="begin"/>
        </w:r>
        <w:r w:rsidR="0020252F">
          <w:rPr>
            <w:noProof/>
            <w:webHidden/>
          </w:rPr>
          <w:instrText xml:space="preserve"> PAGEREF _Toc36554683 \h </w:instrText>
        </w:r>
        <w:r w:rsidR="0020252F">
          <w:rPr>
            <w:noProof/>
            <w:webHidden/>
          </w:rPr>
        </w:r>
        <w:r w:rsidR="0020252F">
          <w:rPr>
            <w:noProof/>
            <w:webHidden/>
          </w:rPr>
          <w:fldChar w:fldCharType="separate"/>
        </w:r>
        <w:r w:rsidR="001E4CD9">
          <w:rPr>
            <w:noProof/>
            <w:webHidden/>
          </w:rPr>
          <w:t>20</w:t>
        </w:r>
        <w:r w:rsidR="0020252F">
          <w:rPr>
            <w:noProof/>
            <w:webHidden/>
          </w:rPr>
          <w:fldChar w:fldCharType="end"/>
        </w:r>
      </w:hyperlink>
    </w:p>
    <w:p w14:paraId="2E088825" w14:textId="7D95ADF2" w:rsidR="0020252F" w:rsidRDefault="00663FEB">
      <w:pPr>
        <w:pStyle w:val="TOC2"/>
        <w:rPr>
          <w:rFonts w:asciiTheme="minorHAnsi" w:eastAsiaTheme="minorEastAsia" w:hAnsiTheme="minorHAnsi" w:cstheme="minorBidi"/>
          <w:noProof/>
          <w:lang w:val="en-AU" w:eastAsia="en-AU"/>
        </w:rPr>
      </w:pPr>
      <w:hyperlink w:anchor="_Toc36554684" w:history="1">
        <w:r w:rsidR="0020252F" w:rsidRPr="00596479">
          <w:rPr>
            <w:rStyle w:val="Hyperlink"/>
            <w:noProof/>
          </w:rPr>
          <w:t>4.4.</w:t>
        </w:r>
        <w:r w:rsidR="0020252F">
          <w:rPr>
            <w:rFonts w:asciiTheme="minorHAnsi" w:eastAsiaTheme="minorEastAsia" w:hAnsiTheme="minorHAnsi" w:cstheme="minorBidi"/>
            <w:noProof/>
            <w:lang w:val="en-AU" w:eastAsia="en-AU"/>
          </w:rPr>
          <w:tab/>
        </w:r>
        <w:r w:rsidR="0020252F" w:rsidRPr="00596479">
          <w:rPr>
            <w:rStyle w:val="Hyperlink"/>
            <w:noProof/>
          </w:rPr>
          <w:t>Future research and management</w:t>
        </w:r>
        <w:r w:rsidR="0020252F">
          <w:rPr>
            <w:noProof/>
            <w:webHidden/>
          </w:rPr>
          <w:tab/>
        </w:r>
        <w:r w:rsidR="0020252F">
          <w:rPr>
            <w:noProof/>
            <w:webHidden/>
          </w:rPr>
          <w:fldChar w:fldCharType="begin"/>
        </w:r>
        <w:r w:rsidR="0020252F">
          <w:rPr>
            <w:noProof/>
            <w:webHidden/>
          </w:rPr>
          <w:instrText xml:space="preserve"> PAGEREF _Toc36554684 \h </w:instrText>
        </w:r>
        <w:r w:rsidR="0020252F">
          <w:rPr>
            <w:noProof/>
            <w:webHidden/>
          </w:rPr>
        </w:r>
        <w:r w:rsidR="0020252F">
          <w:rPr>
            <w:noProof/>
            <w:webHidden/>
          </w:rPr>
          <w:fldChar w:fldCharType="separate"/>
        </w:r>
        <w:r w:rsidR="001E4CD9">
          <w:rPr>
            <w:noProof/>
            <w:webHidden/>
          </w:rPr>
          <w:t>20</w:t>
        </w:r>
        <w:r w:rsidR="0020252F">
          <w:rPr>
            <w:noProof/>
            <w:webHidden/>
          </w:rPr>
          <w:fldChar w:fldCharType="end"/>
        </w:r>
      </w:hyperlink>
    </w:p>
    <w:p w14:paraId="185BCAFF" w14:textId="781972FD" w:rsidR="0020252F" w:rsidRDefault="00663FEB">
      <w:pPr>
        <w:pStyle w:val="TOC1"/>
        <w:rPr>
          <w:rFonts w:asciiTheme="minorHAnsi" w:eastAsiaTheme="minorEastAsia" w:hAnsiTheme="minorHAnsi" w:cstheme="minorBidi"/>
          <w:caps w:val="0"/>
          <w:noProof/>
          <w:lang w:val="en-AU" w:eastAsia="en-AU"/>
        </w:rPr>
      </w:pPr>
      <w:hyperlink w:anchor="_Toc36554685" w:history="1">
        <w:r w:rsidR="0020252F" w:rsidRPr="00596479">
          <w:rPr>
            <w:rStyle w:val="Hyperlink"/>
            <w:noProof/>
          </w:rPr>
          <w:t>5.</w:t>
        </w:r>
        <w:r w:rsidR="0020252F">
          <w:rPr>
            <w:rFonts w:asciiTheme="minorHAnsi" w:eastAsiaTheme="minorEastAsia" w:hAnsiTheme="minorHAnsi" w:cstheme="minorBidi"/>
            <w:caps w:val="0"/>
            <w:noProof/>
            <w:lang w:val="en-AU" w:eastAsia="en-AU"/>
          </w:rPr>
          <w:tab/>
        </w:r>
        <w:r w:rsidR="0020252F" w:rsidRPr="00596479">
          <w:rPr>
            <w:rStyle w:val="Hyperlink"/>
            <w:noProof/>
          </w:rPr>
          <w:t>Conclusion</w:t>
        </w:r>
        <w:r w:rsidR="0020252F">
          <w:rPr>
            <w:noProof/>
            <w:webHidden/>
          </w:rPr>
          <w:tab/>
        </w:r>
        <w:r w:rsidR="0020252F">
          <w:rPr>
            <w:noProof/>
            <w:webHidden/>
          </w:rPr>
          <w:fldChar w:fldCharType="begin"/>
        </w:r>
        <w:r w:rsidR="0020252F">
          <w:rPr>
            <w:noProof/>
            <w:webHidden/>
          </w:rPr>
          <w:instrText xml:space="preserve"> PAGEREF _Toc36554685 \h </w:instrText>
        </w:r>
        <w:r w:rsidR="0020252F">
          <w:rPr>
            <w:noProof/>
            <w:webHidden/>
          </w:rPr>
        </w:r>
        <w:r w:rsidR="0020252F">
          <w:rPr>
            <w:noProof/>
            <w:webHidden/>
          </w:rPr>
          <w:fldChar w:fldCharType="separate"/>
        </w:r>
        <w:r w:rsidR="001E4CD9">
          <w:rPr>
            <w:noProof/>
            <w:webHidden/>
          </w:rPr>
          <w:t>23</w:t>
        </w:r>
        <w:r w:rsidR="0020252F">
          <w:rPr>
            <w:noProof/>
            <w:webHidden/>
          </w:rPr>
          <w:fldChar w:fldCharType="end"/>
        </w:r>
      </w:hyperlink>
    </w:p>
    <w:p w14:paraId="148768C7" w14:textId="2FBE1F48" w:rsidR="0020252F" w:rsidRDefault="00663FEB">
      <w:pPr>
        <w:pStyle w:val="TOC1"/>
        <w:rPr>
          <w:rFonts w:asciiTheme="minorHAnsi" w:eastAsiaTheme="minorEastAsia" w:hAnsiTheme="minorHAnsi" w:cstheme="minorBidi"/>
          <w:caps w:val="0"/>
          <w:noProof/>
          <w:lang w:val="en-AU" w:eastAsia="en-AU"/>
        </w:rPr>
      </w:pPr>
      <w:hyperlink w:anchor="_Toc36554686" w:history="1">
        <w:r w:rsidR="0020252F" w:rsidRPr="00596479">
          <w:rPr>
            <w:rStyle w:val="Hyperlink"/>
            <w:noProof/>
          </w:rPr>
          <w:t>6.</w:t>
        </w:r>
        <w:r w:rsidR="0020252F">
          <w:rPr>
            <w:rFonts w:asciiTheme="minorHAnsi" w:eastAsiaTheme="minorEastAsia" w:hAnsiTheme="minorHAnsi" w:cstheme="minorBidi"/>
            <w:caps w:val="0"/>
            <w:noProof/>
            <w:lang w:val="en-AU" w:eastAsia="en-AU"/>
          </w:rPr>
          <w:tab/>
        </w:r>
        <w:r w:rsidR="0020252F" w:rsidRPr="00596479">
          <w:rPr>
            <w:rStyle w:val="Hyperlink"/>
            <w:noProof/>
          </w:rPr>
          <w:t>References</w:t>
        </w:r>
        <w:r w:rsidR="0020252F">
          <w:rPr>
            <w:noProof/>
            <w:webHidden/>
          </w:rPr>
          <w:tab/>
        </w:r>
        <w:r w:rsidR="0020252F">
          <w:rPr>
            <w:noProof/>
            <w:webHidden/>
          </w:rPr>
          <w:fldChar w:fldCharType="begin"/>
        </w:r>
        <w:r w:rsidR="0020252F">
          <w:rPr>
            <w:noProof/>
            <w:webHidden/>
          </w:rPr>
          <w:instrText xml:space="preserve"> PAGEREF _Toc36554686 \h </w:instrText>
        </w:r>
        <w:r w:rsidR="0020252F">
          <w:rPr>
            <w:noProof/>
            <w:webHidden/>
          </w:rPr>
        </w:r>
        <w:r w:rsidR="0020252F">
          <w:rPr>
            <w:noProof/>
            <w:webHidden/>
          </w:rPr>
          <w:fldChar w:fldCharType="separate"/>
        </w:r>
        <w:r w:rsidR="001E4CD9">
          <w:rPr>
            <w:noProof/>
            <w:webHidden/>
          </w:rPr>
          <w:t>24</w:t>
        </w:r>
        <w:r w:rsidR="0020252F">
          <w:rPr>
            <w:noProof/>
            <w:webHidden/>
          </w:rPr>
          <w:fldChar w:fldCharType="end"/>
        </w:r>
      </w:hyperlink>
    </w:p>
    <w:p w14:paraId="29CB44BE" w14:textId="77777777" w:rsidR="0020252F" w:rsidRPr="00283AD7" w:rsidRDefault="0020252F" w:rsidP="00B735DD">
      <w:pPr>
        <w:pStyle w:val="TableofContents"/>
        <w:pageBreakBefore/>
        <w:rPr>
          <w:sz w:val="24"/>
          <w:szCs w:val="24"/>
        </w:rPr>
      </w:pPr>
      <w:r w:rsidRPr="00283AD7">
        <w:rPr>
          <w:sz w:val="24"/>
          <w:szCs w:val="24"/>
        </w:rPr>
        <w:lastRenderedPageBreak/>
        <w:fldChar w:fldCharType="end"/>
      </w:r>
      <w:r w:rsidRPr="00283AD7">
        <w:rPr>
          <w:sz w:val="24"/>
          <w:szCs w:val="24"/>
        </w:rPr>
        <w:t>LIST OF FIGURES</w:t>
      </w:r>
    </w:p>
    <w:p w14:paraId="7618EFD2" w14:textId="6C1CCD89" w:rsidR="0020252F" w:rsidRDefault="0020252F">
      <w:pPr>
        <w:pStyle w:val="TableofFigures"/>
        <w:tabs>
          <w:tab w:val="right" w:leader="dot" w:pos="9350"/>
        </w:tabs>
        <w:rPr>
          <w:rFonts w:asciiTheme="minorHAnsi" w:eastAsiaTheme="minorEastAsia" w:hAnsiTheme="minorHAnsi" w:cstheme="minorBidi"/>
          <w:noProof/>
          <w:lang w:val="en-AU" w:eastAsia="en-AU"/>
        </w:rPr>
      </w:pPr>
      <w:r>
        <w:fldChar w:fldCharType="begin"/>
      </w:r>
      <w:r>
        <w:instrText xml:space="preserve"> TOC \h \z \c "Figure" </w:instrText>
      </w:r>
      <w:r>
        <w:fldChar w:fldCharType="separate"/>
      </w:r>
      <w:hyperlink w:anchor="_Toc37064890" w:history="1">
        <w:r w:rsidRPr="00236605">
          <w:rPr>
            <w:rStyle w:val="Hyperlink"/>
            <w:b/>
            <w:noProof/>
          </w:rPr>
          <w:t xml:space="preserve">Figure 1. </w:t>
        </w:r>
        <w:r w:rsidRPr="00236605">
          <w:rPr>
            <w:rStyle w:val="Hyperlink"/>
            <w:noProof/>
          </w:rPr>
          <w:t>Map of the River Murray from Lock 15 (Euston) downstream to the Murray Mouth showing the positioning of lock and weir structures. Inset map presents the Murray Barrages, namely Goolwa (GB), Mundoo (MB), Boundary Creek (BC), Ewe Island (EIB) and Tauwitchere (TB).</w:t>
        </w:r>
        <w:r>
          <w:rPr>
            <w:noProof/>
            <w:webHidden/>
          </w:rPr>
          <w:tab/>
        </w:r>
        <w:r>
          <w:rPr>
            <w:noProof/>
            <w:webHidden/>
          </w:rPr>
          <w:fldChar w:fldCharType="begin"/>
        </w:r>
        <w:r>
          <w:rPr>
            <w:noProof/>
            <w:webHidden/>
          </w:rPr>
          <w:instrText xml:space="preserve"> PAGEREF _Toc37064890 \h </w:instrText>
        </w:r>
        <w:r>
          <w:rPr>
            <w:noProof/>
            <w:webHidden/>
          </w:rPr>
        </w:r>
        <w:r>
          <w:rPr>
            <w:noProof/>
            <w:webHidden/>
          </w:rPr>
          <w:fldChar w:fldCharType="separate"/>
        </w:r>
        <w:r w:rsidR="001E4CD9">
          <w:rPr>
            <w:noProof/>
            <w:webHidden/>
          </w:rPr>
          <w:t>8</w:t>
        </w:r>
        <w:r>
          <w:rPr>
            <w:noProof/>
            <w:webHidden/>
          </w:rPr>
          <w:fldChar w:fldCharType="end"/>
        </w:r>
      </w:hyperlink>
    </w:p>
    <w:p w14:paraId="35B535BA" w14:textId="0965E1F3" w:rsidR="0020252F" w:rsidRDefault="00663FEB">
      <w:pPr>
        <w:pStyle w:val="TableofFigures"/>
        <w:tabs>
          <w:tab w:val="right" w:leader="dot" w:pos="9350"/>
        </w:tabs>
        <w:rPr>
          <w:rFonts w:asciiTheme="minorHAnsi" w:eastAsiaTheme="minorEastAsia" w:hAnsiTheme="minorHAnsi" w:cstheme="minorBidi"/>
          <w:noProof/>
          <w:lang w:val="en-AU" w:eastAsia="en-AU"/>
        </w:rPr>
      </w:pPr>
      <w:hyperlink w:anchor="_Toc37064891" w:history="1">
        <w:r w:rsidR="0020252F" w:rsidRPr="00236605">
          <w:rPr>
            <w:rStyle w:val="Hyperlink"/>
            <w:b/>
            <w:noProof/>
          </w:rPr>
          <w:t xml:space="preserve">Figure 2. </w:t>
        </w:r>
        <w:r w:rsidR="0020252F" w:rsidRPr="00236605">
          <w:rPr>
            <w:rStyle w:val="Hyperlink"/>
            <w:noProof/>
          </w:rPr>
          <w:t>a) Discharge (ML.d</w:t>
        </w:r>
        <w:r w:rsidR="0020252F" w:rsidRPr="00236605">
          <w:rPr>
            <w:rStyle w:val="Hyperlink"/>
            <w:noProof/>
            <w:vertAlign w:val="superscript"/>
          </w:rPr>
          <w:t>-1</w:t>
        </w:r>
        <w:r w:rsidR="0020252F" w:rsidRPr="00236605">
          <w:rPr>
            <w:rStyle w:val="Hyperlink"/>
            <w:noProof/>
          </w:rPr>
          <w:t>) at the South Australian border from May</w:t>
        </w:r>
        <w:r w:rsidR="0020252F" w:rsidRPr="00236605">
          <w:rPr>
            <w:rStyle w:val="Hyperlink"/>
            <w:rFonts w:cs="Arial"/>
            <w:noProof/>
          </w:rPr>
          <w:t>–</w:t>
        </w:r>
        <w:r w:rsidR="0020252F" w:rsidRPr="00236605">
          <w:rPr>
            <w:rStyle w:val="Hyperlink"/>
            <w:noProof/>
          </w:rPr>
          <w:t>December 2019, including contributions of entitlement flow and Environmental Water (CEW); b) discharge at the Murray Barrages from May</w:t>
        </w:r>
        <w:r w:rsidR="0020252F" w:rsidRPr="00236605">
          <w:rPr>
            <w:rStyle w:val="Hyperlink"/>
            <w:rFonts w:cs="Arial"/>
            <w:noProof/>
          </w:rPr>
          <w:t>–</w:t>
        </w:r>
        <w:r w:rsidR="0020252F" w:rsidRPr="00236605">
          <w:rPr>
            <w:rStyle w:val="Hyperlink"/>
            <w:noProof/>
          </w:rPr>
          <w:t>December 2019, including contribution from different barrages; and c) electrical conductivity downstream of Goolwa (Reedy Island station), Mundoo (Barkers Knoll station) and Tauwitchere barrages (Pelican Point station). Horizontal black bar in plot ‘a’ represents the period of fishway PIT reader detections for tagged lamprey, and in plots b</w:t>
        </w:r>
        <w:r w:rsidR="0020252F" w:rsidRPr="00236605">
          <w:rPr>
            <w:rStyle w:val="Hyperlink"/>
            <w:rFonts w:cs="Arial"/>
            <w:noProof/>
          </w:rPr>
          <w:t>–</w:t>
        </w:r>
        <w:r w:rsidR="0020252F" w:rsidRPr="00236605">
          <w:rPr>
            <w:rStyle w:val="Hyperlink"/>
            <w:noProof/>
          </w:rPr>
          <w:t>c, represents the sampling period at the barrages. Note all discharge from the barrages in 2019 was Commonwealth Environmental Water.</w:t>
        </w:r>
        <w:r w:rsidR="0020252F">
          <w:rPr>
            <w:noProof/>
            <w:webHidden/>
          </w:rPr>
          <w:tab/>
        </w:r>
        <w:r w:rsidR="0020252F">
          <w:rPr>
            <w:noProof/>
            <w:webHidden/>
          </w:rPr>
          <w:fldChar w:fldCharType="begin"/>
        </w:r>
        <w:r w:rsidR="0020252F">
          <w:rPr>
            <w:noProof/>
            <w:webHidden/>
          </w:rPr>
          <w:instrText xml:space="preserve"> PAGEREF _Toc37064891 \h </w:instrText>
        </w:r>
        <w:r w:rsidR="0020252F">
          <w:rPr>
            <w:noProof/>
            <w:webHidden/>
          </w:rPr>
        </w:r>
        <w:r w:rsidR="0020252F">
          <w:rPr>
            <w:noProof/>
            <w:webHidden/>
          </w:rPr>
          <w:fldChar w:fldCharType="separate"/>
        </w:r>
        <w:r w:rsidR="001E4CD9">
          <w:rPr>
            <w:noProof/>
            <w:webHidden/>
          </w:rPr>
          <w:t>12</w:t>
        </w:r>
        <w:r w:rsidR="0020252F">
          <w:rPr>
            <w:noProof/>
            <w:webHidden/>
          </w:rPr>
          <w:fldChar w:fldCharType="end"/>
        </w:r>
      </w:hyperlink>
    </w:p>
    <w:p w14:paraId="03DAE821" w14:textId="3D27D2C3" w:rsidR="0020252F" w:rsidRDefault="00663FEB">
      <w:pPr>
        <w:pStyle w:val="TableofFigures"/>
        <w:tabs>
          <w:tab w:val="right" w:leader="dot" w:pos="9350"/>
        </w:tabs>
        <w:rPr>
          <w:rFonts w:asciiTheme="minorHAnsi" w:eastAsiaTheme="minorEastAsia" w:hAnsiTheme="minorHAnsi" w:cstheme="minorBidi"/>
          <w:noProof/>
          <w:lang w:val="en-AU" w:eastAsia="en-AU"/>
        </w:rPr>
      </w:pPr>
      <w:hyperlink w:anchor="_Toc37064892" w:history="1">
        <w:r w:rsidR="0020252F" w:rsidRPr="00236605">
          <w:rPr>
            <w:rStyle w:val="Hyperlink"/>
            <w:b/>
            <w:noProof/>
          </w:rPr>
          <w:t xml:space="preserve">Figure 3. </w:t>
        </w:r>
        <w:r w:rsidR="0020252F" w:rsidRPr="00236605">
          <w:rPr>
            <w:rStyle w:val="Hyperlink"/>
            <w:noProof/>
          </w:rPr>
          <w:t>a) Numbers and date of capture for pouched and short-headed lamprey in 2019, presented with total daily barrage discharge (ML.d</w:t>
        </w:r>
        <w:r w:rsidR="0020252F" w:rsidRPr="00236605">
          <w:rPr>
            <w:rStyle w:val="Hyperlink"/>
            <w:noProof/>
            <w:vertAlign w:val="superscript"/>
          </w:rPr>
          <w:t>-1</w:t>
        </w:r>
        <w:r w:rsidR="0020252F" w:rsidRPr="00236605">
          <w:rPr>
            <w:rStyle w:val="Hyperlink"/>
            <w:noProof/>
          </w:rPr>
          <w:t>); and b) relative abundance (lamprey per trap event) of pouched lamprey sampled from various fishways from 2016</w:t>
        </w:r>
        <w:r w:rsidR="0020252F" w:rsidRPr="00236605">
          <w:rPr>
            <w:rStyle w:val="Hyperlink"/>
            <w:rFonts w:cs="Arial"/>
            <w:noProof/>
          </w:rPr>
          <w:t>–</w:t>
        </w:r>
        <w:r w:rsidR="0020252F" w:rsidRPr="00236605">
          <w:rPr>
            <w:rStyle w:val="Hyperlink"/>
            <w:noProof/>
          </w:rPr>
          <w:t>2019 (total numbers sampled in each year are included in brackets). See Table 1 for fishway acronyms. Note MDVS was not sampled in 2015 or 2016, while GVS2, EIDVS and BCVS were not sampled in 2015.</w:t>
        </w:r>
        <w:r w:rsidR="0020252F">
          <w:rPr>
            <w:noProof/>
            <w:webHidden/>
          </w:rPr>
          <w:tab/>
        </w:r>
        <w:r w:rsidR="0020252F">
          <w:rPr>
            <w:noProof/>
            <w:webHidden/>
          </w:rPr>
          <w:fldChar w:fldCharType="begin"/>
        </w:r>
        <w:r w:rsidR="0020252F">
          <w:rPr>
            <w:noProof/>
            <w:webHidden/>
          </w:rPr>
          <w:instrText xml:space="preserve"> PAGEREF _Toc37064892 \h </w:instrText>
        </w:r>
        <w:r w:rsidR="0020252F">
          <w:rPr>
            <w:noProof/>
            <w:webHidden/>
          </w:rPr>
        </w:r>
        <w:r w:rsidR="0020252F">
          <w:rPr>
            <w:noProof/>
            <w:webHidden/>
          </w:rPr>
          <w:fldChar w:fldCharType="separate"/>
        </w:r>
        <w:r w:rsidR="001E4CD9">
          <w:rPr>
            <w:noProof/>
            <w:webHidden/>
          </w:rPr>
          <w:t>14</w:t>
        </w:r>
        <w:r w:rsidR="0020252F">
          <w:rPr>
            <w:noProof/>
            <w:webHidden/>
          </w:rPr>
          <w:fldChar w:fldCharType="end"/>
        </w:r>
      </w:hyperlink>
    </w:p>
    <w:p w14:paraId="0007FF60" w14:textId="4D4D14B5" w:rsidR="0020252F" w:rsidRDefault="00663FEB">
      <w:pPr>
        <w:pStyle w:val="TableofFigures"/>
        <w:tabs>
          <w:tab w:val="right" w:leader="dot" w:pos="9350"/>
        </w:tabs>
        <w:rPr>
          <w:rFonts w:asciiTheme="minorHAnsi" w:eastAsiaTheme="minorEastAsia" w:hAnsiTheme="minorHAnsi" w:cstheme="minorBidi"/>
          <w:noProof/>
          <w:lang w:val="en-AU" w:eastAsia="en-AU"/>
        </w:rPr>
      </w:pPr>
      <w:hyperlink w:anchor="_Toc37064893" w:history="1">
        <w:r w:rsidR="0020252F" w:rsidRPr="00236605">
          <w:rPr>
            <w:rStyle w:val="Hyperlink"/>
            <w:b/>
            <w:noProof/>
          </w:rPr>
          <w:t xml:space="preserve">Figure 4. </w:t>
        </w:r>
        <w:r w:rsidR="0020252F" w:rsidRPr="00236605">
          <w:rPr>
            <w:rStyle w:val="Hyperlink"/>
            <w:noProof/>
          </w:rPr>
          <w:t>Migration timing distributions for upstream migrating pouched lamprey (black circle) and short-headed lamprey (red circle), presenting the median, and earliest and latest dates (error bars), of first detection on select acoustic receivers and fishways PIT readers in 2017 and 2018.</w:t>
        </w:r>
        <w:r w:rsidR="0020252F">
          <w:rPr>
            <w:noProof/>
            <w:webHidden/>
          </w:rPr>
          <w:tab/>
        </w:r>
        <w:r w:rsidR="0020252F">
          <w:rPr>
            <w:noProof/>
            <w:webHidden/>
          </w:rPr>
          <w:fldChar w:fldCharType="begin"/>
        </w:r>
        <w:r w:rsidR="0020252F">
          <w:rPr>
            <w:noProof/>
            <w:webHidden/>
          </w:rPr>
          <w:instrText xml:space="preserve"> PAGEREF _Toc37064893 \h </w:instrText>
        </w:r>
        <w:r w:rsidR="0020252F">
          <w:rPr>
            <w:noProof/>
            <w:webHidden/>
          </w:rPr>
        </w:r>
        <w:r w:rsidR="0020252F">
          <w:rPr>
            <w:noProof/>
            <w:webHidden/>
          </w:rPr>
          <w:fldChar w:fldCharType="separate"/>
        </w:r>
        <w:r w:rsidR="001E4CD9">
          <w:rPr>
            <w:noProof/>
            <w:webHidden/>
          </w:rPr>
          <w:t>15</w:t>
        </w:r>
        <w:r w:rsidR="0020252F">
          <w:rPr>
            <w:noProof/>
            <w:webHidden/>
          </w:rPr>
          <w:fldChar w:fldCharType="end"/>
        </w:r>
      </w:hyperlink>
    </w:p>
    <w:p w14:paraId="4DDCC0FE" w14:textId="77777777" w:rsidR="0020252F" w:rsidRPr="0014600F" w:rsidRDefault="0020252F" w:rsidP="00B735DD">
      <w:r>
        <w:fldChar w:fldCharType="end"/>
      </w:r>
    </w:p>
    <w:p w14:paraId="28E4B62E" w14:textId="77777777" w:rsidR="0020252F" w:rsidRPr="0014600F" w:rsidRDefault="0020252F" w:rsidP="00B735DD"/>
    <w:p w14:paraId="692DC505" w14:textId="77777777" w:rsidR="0020252F" w:rsidRPr="0094579A" w:rsidRDefault="0020252F" w:rsidP="00B735DD">
      <w:pPr>
        <w:pStyle w:val="Heading1"/>
        <w:ind w:left="0" w:firstLine="0"/>
        <w:rPr>
          <w:sz w:val="24"/>
          <w:szCs w:val="24"/>
        </w:rPr>
      </w:pPr>
      <w:bookmarkStart w:id="1" w:name="_Toc36554666"/>
      <w:r w:rsidRPr="0094579A">
        <w:rPr>
          <w:sz w:val="24"/>
          <w:szCs w:val="24"/>
        </w:rPr>
        <w:lastRenderedPageBreak/>
        <w:t>Acknowledgements</w:t>
      </w:r>
      <w:bookmarkEnd w:id="1"/>
    </w:p>
    <w:p w14:paraId="1BEC4781" w14:textId="77777777" w:rsidR="0020252F" w:rsidRDefault="0020252F" w:rsidP="00B735DD"/>
    <w:p w14:paraId="527FEEE9" w14:textId="47765937" w:rsidR="0020252F" w:rsidRDefault="0020252F" w:rsidP="00B735DD">
      <w:r>
        <w:t xml:space="preserve">This project was jointly </w:t>
      </w:r>
      <w:r w:rsidR="00880702">
        <w:t xml:space="preserve">funded </w:t>
      </w:r>
      <w:r>
        <w:t xml:space="preserve">by the Commonwealth Environmental Water Office (CEWO) as part of the Lower Murray Selected Area </w:t>
      </w:r>
      <w:r w:rsidRPr="00C11DB5">
        <w:rPr>
          <w:i/>
        </w:rPr>
        <w:t>Monitoring Evaluation and Research</w:t>
      </w:r>
      <w:r>
        <w:t xml:space="preserve"> </w:t>
      </w:r>
      <w:r w:rsidR="00880702">
        <w:t>Project</w:t>
      </w:r>
      <w:r>
        <w:t xml:space="preserve"> (contingency monitoring), and the South Australian Department of Environment and Water (DEW) under the Murray</w:t>
      </w:r>
      <w:r w:rsidR="00402487">
        <w:rPr>
          <w:rFonts w:cs="Arial"/>
        </w:rPr>
        <w:t>–</w:t>
      </w:r>
      <w:r>
        <w:t xml:space="preserve">Darling Basin Authority’s </w:t>
      </w:r>
      <w:r>
        <w:rPr>
          <w:i/>
        </w:rPr>
        <w:t xml:space="preserve">The Living Murray </w:t>
      </w:r>
      <w:r>
        <w:t>program. Thank you to Anthony Moore (CEWO), and Adrienne Rumbelow and Kirsty Wedge (DEW) for</w:t>
      </w:r>
      <w:r w:rsidRPr="0050346D">
        <w:t xml:space="preserve"> facilitating funding and managing this project, and for ongoing support of aquatic ecosystem research in the </w:t>
      </w:r>
      <w:r w:rsidR="006B6C8B">
        <w:t>L</w:t>
      </w:r>
      <w:r>
        <w:t>ower Murray. Thanks also to several SARDI (Arron Strawbridge, Ian M</w:t>
      </w:r>
      <w:r w:rsidR="00880702">
        <w:t>ag</w:t>
      </w:r>
      <w:r>
        <w:t>raith and David Short) and SA Water staff (Michael Shelton</w:t>
      </w:r>
      <w:r w:rsidRPr="0050346D">
        <w:t xml:space="preserve">, Ray Maynard, Bryce Buchannan, Greg </w:t>
      </w:r>
      <w:r>
        <w:t>Bald and</w:t>
      </w:r>
      <w:r w:rsidRPr="0050346D">
        <w:t xml:space="preserve"> Dave Bishop</w:t>
      </w:r>
      <w:r>
        <w:t xml:space="preserve">) for assistance with fieldwork. </w:t>
      </w:r>
      <w:r w:rsidRPr="0050346D">
        <w:t xml:space="preserve">All sampling was conducted under an exemption of section 115 of the </w:t>
      </w:r>
      <w:r w:rsidRPr="0050346D">
        <w:rPr>
          <w:i/>
        </w:rPr>
        <w:t>Fisheries Management Act 2007</w:t>
      </w:r>
      <w:r w:rsidRPr="0050346D">
        <w:t>.</w:t>
      </w:r>
      <w:r>
        <w:t xml:space="preserve"> Thanks to </w:t>
      </w:r>
      <w:r w:rsidR="00B23527">
        <w:t>Jason Nicol</w:t>
      </w:r>
      <w:r w:rsidRPr="005865C9">
        <w:t xml:space="preserve"> and </w:t>
      </w:r>
      <w:r>
        <w:t>Mike Steer</w:t>
      </w:r>
      <w:r w:rsidRPr="001D01CD">
        <w:t xml:space="preserve"> (SARDI), </w:t>
      </w:r>
      <w:r>
        <w:t>Adrienne Rumbelow</w:t>
      </w:r>
      <w:r w:rsidRPr="001D01CD">
        <w:t xml:space="preserve"> and </w:t>
      </w:r>
      <w:r w:rsidR="001B6EC4">
        <w:t xml:space="preserve">Courtney Glover (DEW), and </w:t>
      </w:r>
      <w:r>
        <w:t>Anthony Moore</w:t>
      </w:r>
      <w:r w:rsidR="001B6EC4">
        <w:t>, Lucy Carlile and Michelle Campbell (CEWO)</w:t>
      </w:r>
      <w:r>
        <w:t xml:space="preserve"> for reviewing this report.</w:t>
      </w:r>
    </w:p>
    <w:p w14:paraId="10FD52B0" w14:textId="77777777" w:rsidR="0020252F" w:rsidRDefault="0020252F" w:rsidP="00B735DD"/>
    <w:p w14:paraId="6159EEF2" w14:textId="77777777" w:rsidR="0020252F" w:rsidRDefault="0020252F" w:rsidP="00B735DD"/>
    <w:p w14:paraId="52309EEB" w14:textId="77777777" w:rsidR="0020252F" w:rsidRPr="00A324D7" w:rsidRDefault="0020252F" w:rsidP="00B735DD"/>
    <w:p w14:paraId="2E4D7184" w14:textId="77777777" w:rsidR="0020252F" w:rsidRDefault="0020252F" w:rsidP="00B735DD">
      <w:pPr>
        <w:sectPr w:rsidR="0020252F" w:rsidSect="00B735DD">
          <w:headerReference w:type="even" r:id="rId19"/>
          <w:headerReference w:type="default" r:id="rId20"/>
          <w:footerReference w:type="default" r:id="rId21"/>
          <w:headerReference w:type="first" r:id="rId22"/>
          <w:pgSz w:w="12240" w:h="15840"/>
          <w:pgMar w:top="1276" w:right="1440" w:bottom="1440" w:left="1440" w:header="708" w:footer="708" w:gutter="0"/>
          <w:pgNumType w:fmt="upperRoman"/>
          <w:cols w:space="708"/>
          <w:docGrid w:linePitch="360"/>
        </w:sectPr>
      </w:pPr>
    </w:p>
    <w:p w14:paraId="6C08AE1E" w14:textId="77777777" w:rsidR="0020252F" w:rsidRPr="0094579A" w:rsidRDefault="0020252F" w:rsidP="00B735DD">
      <w:pPr>
        <w:pStyle w:val="Heading1"/>
        <w:pageBreakBefore w:val="0"/>
        <w:ind w:left="0" w:firstLine="0"/>
        <w:rPr>
          <w:sz w:val="24"/>
          <w:szCs w:val="24"/>
        </w:rPr>
      </w:pPr>
      <w:bookmarkStart w:id="2" w:name="_Toc36554667"/>
      <w:r w:rsidRPr="0094579A">
        <w:rPr>
          <w:sz w:val="24"/>
          <w:szCs w:val="24"/>
        </w:rPr>
        <w:lastRenderedPageBreak/>
        <w:t>Executive Summary</w:t>
      </w:r>
      <w:bookmarkEnd w:id="2"/>
    </w:p>
    <w:p w14:paraId="240C9495" w14:textId="66EDA3C6" w:rsidR="0020252F" w:rsidRDefault="0020252F" w:rsidP="00B735DD">
      <w:pPr>
        <w:rPr>
          <w:rFonts w:cs="Arial"/>
        </w:rPr>
      </w:pPr>
      <w:r>
        <w:t>Pouched lamprey (</w:t>
      </w:r>
      <w:r>
        <w:rPr>
          <w:i/>
        </w:rPr>
        <w:t>Geotria australis</w:t>
      </w:r>
      <w:r>
        <w:t>) and short-headed lamprey (</w:t>
      </w:r>
      <w:proofErr w:type="spellStart"/>
      <w:r>
        <w:rPr>
          <w:i/>
        </w:rPr>
        <w:t>Mordacia</w:t>
      </w:r>
      <w:proofErr w:type="spellEnd"/>
      <w:r>
        <w:rPr>
          <w:i/>
        </w:rPr>
        <w:t xml:space="preserve"> </w:t>
      </w:r>
      <w:proofErr w:type="spellStart"/>
      <w:r>
        <w:rPr>
          <w:i/>
        </w:rPr>
        <w:t>mordax</w:t>
      </w:r>
      <w:proofErr w:type="spellEnd"/>
      <w:r>
        <w:t>) are the only anadromous fishes native to the Murray</w:t>
      </w:r>
      <w:r w:rsidR="00402487">
        <w:rPr>
          <w:rFonts w:cs="Arial"/>
        </w:rPr>
        <w:t>–</w:t>
      </w:r>
      <w:r>
        <w:t>Darling Basin (MDB)</w:t>
      </w:r>
      <w:r>
        <w:rPr>
          <w:rFonts w:cs="Arial"/>
        </w:rPr>
        <w:t>. Historical</w:t>
      </w:r>
      <w:r w:rsidR="004E7C9B">
        <w:rPr>
          <w:rFonts w:cs="Arial"/>
        </w:rPr>
        <w:t>ly,</w:t>
      </w:r>
      <w:r>
        <w:rPr>
          <w:rFonts w:cs="Arial"/>
        </w:rPr>
        <w:t xml:space="preserve"> lamprey were </w:t>
      </w:r>
      <w:r w:rsidR="004E7C9B">
        <w:rPr>
          <w:rFonts w:cs="Arial"/>
        </w:rPr>
        <w:t>c</w:t>
      </w:r>
      <w:r>
        <w:rPr>
          <w:rFonts w:cs="Arial"/>
        </w:rPr>
        <w:t>ommon in the River Murray with spawning migrations potentially extending up to 2</w:t>
      </w:r>
      <w:r w:rsidR="002F492C">
        <w:rPr>
          <w:rFonts w:cs="Arial"/>
        </w:rPr>
        <w:t>,</w:t>
      </w:r>
      <w:r>
        <w:rPr>
          <w:rFonts w:cs="Arial"/>
        </w:rPr>
        <w:t>000 km upstream, but they are</w:t>
      </w:r>
      <w:r w:rsidRPr="00361AA9">
        <w:rPr>
          <w:rFonts w:cs="Arial"/>
        </w:rPr>
        <w:t xml:space="preserve"> now rarely encountered</w:t>
      </w:r>
      <w:r>
        <w:rPr>
          <w:rFonts w:cs="Arial"/>
        </w:rPr>
        <w:t>, suggesting barriers to migration and flow regulation have impacted these species. In the past decade, however, a focus on restoring connectivity (e.g. fishway construction) and ecologically relevant components of flow regimes</w:t>
      </w:r>
      <w:r w:rsidR="004E7C9B">
        <w:rPr>
          <w:rFonts w:cs="Arial"/>
        </w:rPr>
        <w:t>,</w:t>
      </w:r>
      <w:r>
        <w:rPr>
          <w:rFonts w:cs="Arial"/>
        </w:rPr>
        <w:t xml:space="preserve"> through the delivery of </w:t>
      </w:r>
      <w:r w:rsidR="002F492C">
        <w:rPr>
          <w:rFonts w:cs="Arial"/>
        </w:rPr>
        <w:t>e</w:t>
      </w:r>
      <w:r>
        <w:rPr>
          <w:rFonts w:cs="Arial"/>
        </w:rPr>
        <w:t xml:space="preserve">nvironmental </w:t>
      </w:r>
      <w:r w:rsidR="002F492C">
        <w:rPr>
          <w:rFonts w:cs="Arial"/>
        </w:rPr>
        <w:t>w</w:t>
      </w:r>
      <w:r>
        <w:rPr>
          <w:rFonts w:cs="Arial"/>
        </w:rPr>
        <w:t>ater</w:t>
      </w:r>
      <w:r w:rsidR="004E7C9B">
        <w:rPr>
          <w:rFonts w:cs="Arial"/>
        </w:rPr>
        <w:t>,</w:t>
      </w:r>
      <w:r>
        <w:rPr>
          <w:rFonts w:cs="Arial"/>
        </w:rPr>
        <w:t xml:space="preserve"> have increased opportunities for migration that may aid recovery of lamprey in the MDB. A key objective of the delivery of Commonwealth </w:t>
      </w:r>
      <w:r w:rsidR="002F492C">
        <w:rPr>
          <w:rFonts w:cs="Arial"/>
        </w:rPr>
        <w:t>e</w:t>
      </w:r>
      <w:r>
        <w:rPr>
          <w:rFonts w:cs="Arial"/>
        </w:rPr>
        <w:t xml:space="preserve">nvironmental </w:t>
      </w:r>
      <w:r w:rsidR="002F492C">
        <w:rPr>
          <w:rFonts w:cs="Arial"/>
        </w:rPr>
        <w:t>w</w:t>
      </w:r>
      <w:r>
        <w:rPr>
          <w:rFonts w:cs="Arial"/>
        </w:rPr>
        <w:t xml:space="preserve">ater in the southern MDB is to improve end-of-system flow and connectivity through the Murray Barrages and Murray Mouth to support fish movement and expanded distributions. </w:t>
      </w:r>
      <w:r w:rsidR="00CA7E3E">
        <w:rPr>
          <w:rFonts w:cs="Arial"/>
        </w:rPr>
        <w:t>The migratory life histories of pouched lamprey and short-headed lamprey make these species well suited to demonstrate the achievement of these outcomes.</w:t>
      </w:r>
    </w:p>
    <w:p w14:paraId="10A9D65C" w14:textId="5BCCBD81" w:rsidR="00512F5E" w:rsidRDefault="00512F5E" w:rsidP="00512F5E">
      <w:pPr>
        <w:rPr>
          <w:rFonts w:cs="Arial"/>
        </w:rPr>
      </w:pPr>
      <w:r>
        <w:rPr>
          <w:rFonts w:cs="Arial"/>
        </w:rPr>
        <w:t xml:space="preserve">The objective of the current project was to </w:t>
      </w:r>
      <w:r w:rsidR="0045656B">
        <w:rPr>
          <w:rFonts w:cs="Arial"/>
        </w:rPr>
        <w:t>assess the</w:t>
      </w:r>
      <w:r>
        <w:rPr>
          <w:rFonts w:cs="Arial"/>
        </w:rPr>
        <w:t xml:space="preserve"> abundance of </w:t>
      </w:r>
      <w:r w:rsidR="0045656B">
        <w:rPr>
          <w:rFonts w:cs="Arial"/>
        </w:rPr>
        <w:t xml:space="preserve">adult </w:t>
      </w:r>
      <w:r>
        <w:rPr>
          <w:rFonts w:cs="Arial"/>
        </w:rPr>
        <w:t xml:space="preserve">lamprey at the Murray Barrages in 2019, and to use </w:t>
      </w:r>
      <w:r w:rsidRPr="00F64047">
        <w:rPr>
          <w:rFonts w:cs="Arial"/>
        </w:rPr>
        <w:t xml:space="preserve">passive integrated transponder </w:t>
      </w:r>
      <w:r>
        <w:rPr>
          <w:rFonts w:cs="Arial"/>
        </w:rPr>
        <w:t>(PIT) telemetry to investigate subsequent upstream spawning migrations in the MDB. Specifically, the project aimed to:</w:t>
      </w:r>
    </w:p>
    <w:p w14:paraId="5E9141CA" w14:textId="62E39335" w:rsidR="00512F5E" w:rsidRDefault="00512F5E" w:rsidP="00512F5E">
      <w:pPr>
        <w:pStyle w:val="ListParagraph"/>
        <w:numPr>
          <w:ilvl w:val="0"/>
          <w:numId w:val="9"/>
        </w:numPr>
        <w:rPr>
          <w:rFonts w:cs="Arial"/>
        </w:rPr>
      </w:pPr>
      <w:r>
        <w:rPr>
          <w:rFonts w:cs="Arial"/>
        </w:rPr>
        <w:t xml:space="preserve">Assess the abundance of migrating lamprey </w:t>
      </w:r>
      <w:r w:rsidR="004E7C9B">
        <w:rPr>
          <w:rFonts w:cs="Arial"/>
        </w:rPr>
        <w:t>at</w:t>
      </w:r>
      <w:r>
        <w:rPr>
          <w:rFonts w:cs="Arial"/>
        </w:rPr>
        <w:t xml:space="preserve"> multiple fishways on the Murray Barrages in winter–spring 2019, and implant individuals with PIT tags;</w:t>
      </w:r>
    </w:p>
    <w:p w14:paraId="56885E16" w14:textId="52F17383" w:rsidR="0045656B" w:rsidRDefault="0045656B" w:rsidP="00512F5E">
      <w:pPr>
        <w:pStyle w:val="ListParagraph"/>
        <w:numPr>
          <w:ilvl w:val="0"/>
          <w:numId w:val="9"/>
        </w:numPr>
        <w:rPr>
          <w:rFonts w:cs="Arial"/>
        </w:rPr>
      </w:pPr>
      <w:r>
        <w:rPr>
          <w:rFonts w:cs="Arial"/>
        </w:rPr>
        <w:t>Compare abundance from winter–spring 2019 with previous years of targeted lamprey sampling in 2015–2018;</w:t>
      </w:r>
    </w:p>
    <w:p w14:paraId="0595CF55" w14:textId="7F766BEE" w:rsidR="00512F5E" w:rsidRDefault="004E7C9B" w:rsidP="00512F5E">
      <w:pPr>
        <w:pStyle w:val="ListParagraph"/>
        <w:numPr>
          <w:ilvl w:val="0"/>
          <w:numId w:val="9"/>
        </w:numPr>
        <w:rPr>
          <w:rFonts w:cs="Arial"/>
        </w:rPr>
      </w:pPr>
      <w:r>
        <w:rPr>
          <w:rFonts w:cs="Arial"/>
        </w:rPr>
        <w:t>Interrogate</w:t>
      </w:r>
      <w:r w:rsidR="00512F5E">
        <w:rPr>
          <w:rFonts w:cs="Arial"/>
        </w:rPr>
        <w:t xml:space="preserve"> PIT telemetry data </w:t>
      </w:r>
      <w:r>
        <w:rPr>
          <w:rFonts w:cs="Arial"/>
        </w:rPr>
        <w:t>from fishways along the River Murray to describe</w:t>
      </w:r>
      <w:r w:rsidR="00512F5E">
        <w:rPr>
          <w:rFonts w:cs="Arial"/>
        </w:rPr>
        <w:t xml:space="preserve"> the </w:t>
      </w:r>
      <w:proofErr w:type="spellStart"/>
      <w:r w:rsidR="00512F5E">
        <w:rPr>
          <w:rFonts w:cs="Arial"/>
        </w:rPr>
        <w:t>spatio</w:t>
      </w:r>
      <w:proofErr w:type="spellEnd"/>
      <w:r w:rsidR="00512F5E">
        <w:rPr>
          <w:rFonts w:cs="Arial"/>
        </w:rPr>
        <w:t>-temporal characteristics of migration, including extent, timing and rate, as well as interaction with fishways; and</w:t>
      </w:r>
    </w:p>
    <w:p w14:paraId="5F3FA766" w14:textId="77777777" w:rsidR="00512F5E" w:rsidRPr="00A62761" w:rsidRDefault="00512F5E" w:rsidP="00512F5E">
      <w:pPr>
        <w:pStyle w:val="ListParagraph"/>
        <w:numPr>
          <w:ilvl w:val="0"/>
          <w:numId w:val="9"/>
        </w:numPr>
        <w:rPr>
          <w:rFonts w:cs="Arial"/>
        </w:rPr>
      </w:pPr>
      <w:r>
        <w:rPr>
          <w:rFonts w:cs="Arial"/>
        </w:rPr>
        <w:t xml:space="preserve">Evaluate the contribution of Commonwealth environmental water to connectivity, and the abundance and migration of lamprey at the Murray Barrages in 2019. </w:t>
      </w:r>
    </w:p>
    <w:p w14:paraId="0D0E200D" w14:textId="61CD73DB" w:rsidR="0020252F" w:rsidRDefault="0020252F" w:rsidP="00B735DD">
      <w:pPr>
        <w:rPr>
          <w:rFonts w:cs="Arial"/>
        </w:rPr>
      </w:pPr>
      <w:r>
        <w:t>From May</w:t>
      </w:r>
      <w:r>
        <w:rPr>
          <w:rFonts w:cs="Arial"/>
        </w:rPr>
        <w:t>–</w:t>
      </w:r>
      <w:r>
        <w:t>December 2019, discharge in the lower River Murray at the South Australian border (QSA) was characterised by flows &lt;8,000 ML.d</w:t>
      </w:r>
      <w:r>
        <w:rPr>
          <w:vertAlign w:val="superscript"/>
        </w:rPr>
        <w:t>-1</w:t>
      </w:r>
      <w:r>
        <w:t xml:space="preserve">, punctuated by conspicuous within-channel flow </w:t>
      </w:r>
      <w:r w:rsidR="00713300">
        <w:t xml:space="preserve">pulses </w:t>
      </w:r>
      <w:r>
        <w:t>that peaked at ~10,000 and ~15,000 ML.d</w:t>
      </w:r>
      <w:r>
        <w:rPr>
          <w:vertAlign w:val="superscript"/>
        </w:rPr>
        <w:t>-1</w:t>
      </w:r>
      <w:r>
        <w:t xml:space="preserve"> in A</w:t>
      </w:r>
      <w:r w:rsidR="004E7C9B">
        <w:t xml:space="preserve">ugust and October, respectively. These pulse flows comprised a substantial proportion </w:t>
      </w:r>
      <w:r w:rsidR="00C25921">
        <w:t>(66</w:t>
      </w:r>
      <w:r w:rsidR="00C25921">
        <w:rPr>
          <w:rFonts w:cs="Arial"/>
        </w:rPr>
        <w:t>–</w:t>
      </w:r>
      <w:r w:rsidR="00C25921">
        <w:t xml:space="preserve">70%) </w:t>
      </w:r>
      <w:r w:rsidR="004E7C9B">
        <w:t xml:space="preserve">of </w:t>
      </w:r>
      <w:r>
        <w:t xml:space="preserve">Commonwealth </w:t>
      </w:r>
      <w:r w:rsidR="00713300">
        <w:t>e</w:t>
      </w:r>
      <w:r>
        <w:t xml:space="preserve">nvironmental </w:t>
      </w:r>
      <w:r w:rsidR="00713300">
        <w:t>w</w:t>
      </w:r>
      <w:r>
        <w:t>ater. During sampling (9 July</w:t>
      </w:r>
      <w:r>
        <w:rPr>
          <w:rFonts w:cs="Arial"/>
        </w:rPr>
        <w:t>–</w:t>
      </w:r>
      <w:r>
        <w:t xml:space="preserve">4 October), discharge from the Murray Barrages ranged </w:t>
      </w:r>
      <w:r w:rsidR="001B6EC4">
        <w:t xml:space="preserve">from </w:t>
      </w:r>
      <w:r>
        <w:t>0</w:t>
      </w:r>
      <w:r>
        <w:rPr>
          <w:rFonts w:cs="Arial"/>
        </w:rPr>
        <w:t>–19</w:t>
      </w:r>
      <w:r>
        <w:t>,166 ML.d</w:t>
      </w:r>
      <w:r w:rsidR="008228D4">
        <w:rPr>
          <w:vertAlign w:val="superscript"/>
        </w:rPr>
        <w:noBreakHyphen/>
      </w:r>
      <w:r>
        <w:rPr>
          <w:vertAlign w:val="superscript"/>
        </w:rPr>
        <w:t>1</w:t>
      </w:r>
      <w:r>
        <w:t xml:space="preserve"> (mean = 3</w:t>
      </w:r>
      <w:r w:rsidR="00713300">
        <w:t>,</w:t>
      </w:r>
      <w:r>
        <w:t>236 ML.d</w:t>
      </w:r>
      <w:r>
        <w:rPr>
          <w:vertAlign w:val="superscript"/>
        </w:rPr>
        <w:t>-1</w:t>
      </w:r>
      <w:r>
        <w:t xml:space="preserve">). All water released from the Murray Barrages over this period, including water to operate fishways, was Commonwealth </w:t>
      </w:r>
      <w:r w:rsidR="00713300">
        <w:t>e</w:t>
      </w:r>
      <w:r>
        <w:t xml:space="preserve">nvironmental </w:t>
      </w:r>
      <w:r w:rsidR="00713300">
        <w:t>w</w:t>
      </w:r>
      <w:r>
        <w:t>ater.</w:t>
      </w:r>
    </w:p>
    <w:p w14:paraId="71F057A7" w14:textId="31275CBC" w:rsidR="0020252F" w:rsidRDefault="0020252F" w:rsidP="00B735DD">
      <w:pPr>
        <w:rPr>
          <w:b/>
        </w:rPr>
      </w:pPr>
      <w:r>
        <w:lastRenderedPageBreak/>
        <w:t>Totals of 4</w:t>
      </w:r>
      <w:r w:rsidR="00E1065D">
        <w:t>5</w:t>
      </w:r>
      <w:r>
        <w:t xml:space="preserve"> pouched lamprey (4</w:t>
      </w:r>
      <w:r w:rsidR="00E1065D">
        <w:t>3</w:t>
      </w:r>
      <w:r>
        <w:t xml:space="preserve"> PIT tagged) and 16 short-headed lamprey (1</w:t>
      </w:r>
      <w:r w:rsidR="00E1065D">
        <w:t>5</w:t>
      </w:r>
      <w:r>
        <w:t xml:space="preserve"> PIT tagged) were captured from fishways during sampling at the Murray Barrages in winter</w:t>
      </w:r>
      <w:r>
        <w:rPr>
          <w:rFonts w:cs="Arial"/>
        </w:rPr>
        <w:t>–</w:t>
      </w:r>
      <w:r>
        <w:t>spring 2019. The abundance of pouched lamprey was moderate to high relative to preceding years with targeted lamprey monitoring, whilst short-headed lamprey w</w:t>
      </w:r>
      <w:r w:rsidR="00C25921">
        <w:t>as</w:t>
      </w:r>
      <w:r>
        <w:t xml:space="preserve"> sampled in greatest abundance since 2006. Both species were captured in greatest numbers from fishways on Goolwa and Mundoo barrages. Of PIT tagged individuals, 4</w:t>
      </w:r>
      <w:r w:rsidR="00E1065D">
        <w:t>4</w:t>
      </w:r>
      <w:r>
        <w:t>% of pouched lamprey were subsequently detected on one or more fishway PIT reader system</w:t>
      </w:r>
      <w:r w:rsidR="00C25921">
        <w:t xml:space="preserve"> along the River Murray,</w:t>
      </w:r>
      <w:r>
        <w:t xml:space="preserve"> with estimated extent of migration ranging from 274</w:t>
      </w:r>
      <w:r>
        <w:rPr>
          <w:rFonts w:cs="Arial"/>
        </w:rPr>
        <w:t>–</w:t>
      </w:r>
      <w:r w:rsidR="00BA5C11">
        <w:t>726 </w:t>
      </w:r>
      <w:r>
        <w:t>km (Lock 1</w:t>
      </w:r>
      <w:r>
        <w:rPr>
          <w:rFonts w:cs="Arial"/>
        </w:rPr>
        <w:t>–</w:t>
      </w:r>
      <w:r>
        <w:t>8). Migration rates varied among individuals and reaches, but were at times rapid (up to 37 km.d</w:t>
      </w:r>
      <w:r>
        <w:rPr>
          <w:vertAlign w:val="superscript"/>
        </w:rPr>
        <w:t>-1</w:t>
      </w:r>
      <w:r>
        <w:t>). Just one PIT tagged short-headed lamprey (7%) was detected</w:t>
      </w:r>
      <w:r w:rsidR="00BA5C11">
        <w:t xml:space="preserve"> after </w:t>
      </w:r>
      <w:r w:rsidR="00512F5E">
        <w:t>release</w:t>
      </w:r>
      <w:r>
        <w:t>; nonetheless, this individual was detected passing eight main channel fishways, and was last detected exiting the Lock 10 fishway (825 km MTD</w:t>
      </w:r>
      <w:r w:rsidR="001625E2">
        <w:t>, middle thread distance</w:t>
      </w:r>
      <w:r>
        <w:t>). This represents the first known tracking data on the upstream spawning migration of this species.</w:t>
      </w:r>
    </w:p>
    <w:p w14:paraId="2C5FA611" w14:textId="62311FC8" w:rsidR="0020252F" w:rsidRDefault="001C52AB" w:rsidP="00B735DD">
      <w:r>
        <w:t>In winter</w:t>
      </w:r>
      <w:r>
        <w:rPr>
          <w:rFonts w:cs="Arial"/>
        </w:rPr>
        <w:t>–</w:t>
      </w:r>
      <w:r>
        <w:t>spring 2019, r</w:t>
      </w:r>
      <w:r w:rsidR="0020252F">
        <w:t xml:space="preserve">eleases of Commonwealth </w:t>
      </w:r>
      <w:r w:rsidR="007E6866">
        <w:t>e</w:t>
      </w:r>
      <w:r w:rsidR="0020252F">
        <w:t xml:space="preserve">nvironmental </w:t>
      </w:r>
      <w:r w:rsidR="007E6866">
        <w:t>w</w:t>
      </w:r>
      <w:r w:rsidR="0020252F">
        <w:t xml:space="preserve">ater from the Murray Barrages </w:t>
      </w:r>
      <w:r>
        <w:t>facilitated</w:t>
      </w:r>
      <w:r w:rsidR="0020252F">
        <w:t xml:space="preserve"> connectivity between freshwater, estuarine and marine environments, and subsequently</w:t>
      </w:r>
      <w:r w:rsidR="00BA5C11">
        <w:t xml:space="preserve"> resulted in</w:t>
      </w:r>
      <w:r w:rsidR="0020252F">
        <w:t xml:space="preserve"> benefi</w:t>
      </w:r>
      <w:r w:rsidR="00BA5C11">
        <w:t xml:space="preserve">cial </w:t>
      </w:r>
      <w:r w:rsidR="0020252F">
        <w:t xml:space="preserve">migration outcomes for lamprey. This included high abundances of both pouched and short-headed lamprey passing the Murray </w:t>
      </w:r>
      <w:r w:rsidR="007E6866">
        <w:t>B</w:t>
      </w:r>
      <w:r w:rsidR="0020252F">
        <w:t>arrages, and ultimately, migrations that continued for 100’s of kilometres upstream.</w:t>
      </w:r>
    </w:p>
    <w:p w14:paraId="6C72B284" w14:textId="3A1BB190" w:rsidR="0020252F" w:rsidRDefault="0020252F" w:rsidP="00B735DD">
      <w:pPr>
        <w:rPr>
          <w:rFonts w:cs="Arial"/>
        </w:rPr>
      </w:pPr>
      <w:r w:rsidRPr="00CF27EA">
        <w:rPr>
          <w:rFonts w:cs="Arial"/>
        </w:rPr>
        <w:t xml:space="preserve">Data collected in this and allied monitoring projects may be used to inform </w:t>
      </w:r>
      <w:r>
        <w:rPr>
          <w:rFonts w:cs="Arial"/>
        </w:rPr>
        <w:t>future environmental water delivery</w:t>
      </w:r>
      <w:r w:rsidRPr="00CF27EA">
        <w:rPr>
          <w:rFonts w:cs="Arial"/>
        </w:rPr>
        <w:t xml:space="preserve"> and </w:t>
      </w:r>
      <w:r w:rsidR="001625E2">
        <w:rPr>
          <w:rFonts w:cs="Arial"/>
        </w:rPr>
        <w:t>infra</w:t>
      </w:r>
      <w:r w:rsidRPr="00CF27EA">
        <w:rPr>
          <w:rFonts w:cs="Arial"/>
        </w:rPr>
        <w:t>structure management</w:t>
      </w:r>
      <w:r>
        <w:rPr>
          <w:rFonts w:cs="Arial"/>
        </w:rPr>
        <w:t xml:space="preserve"> in the southern MDB</w:t>
      </w:r>
      <w:r w:rsidRPr="00CF27EA">
        <w:rPr>
          <w:rFonts w:cs="Arial"/>
        </w:rPr>
        <w:t xml:space="preserve">. </w:t>
      </w:r>
      <w:r>
        <w:rPr>
          <w:rFonts w:cs="Arial"/>
        </w:rPr>
        <w:t>This includes:</w:t>
      </w:r>
    </w:p>
    <w:p w14:paraId="1ABB75F6" w14:textId="77777777" w:rsidR="00FE2DB6" w:rsidRPr="00FE2DB6" w:rsidRDefault="0020252F" w:rsidP="00B735DD">
      <w:pPr>
        <w:pStyle w:val="ListParagraph"/>
        <w:numPr>
          <w:ilvl w:val="0"/>
          <w:numId w:val="7"/>
        </w:numPr>
        <w:rPr>
          <w:rFonts w:cs="Arial"/>
        </w:rPr>
      </w:pPr>
      <w:r>
        <w:rPr>
          <w:rFonts w:cs="Arial"/>
        </w:rPr>
        <w:t xml:space="preserve">Greatest abundances of </w:t>
      </w:r>
      <w:r w:rsidR="006E265C">
        <w:rPr>
          <w:rFonts w:cs="Arial"/>
        </w:rPr>
        <w:t xml:space="preserve">migrating </w:t>
      </w:r>
      <w:r>
        <w:rPr>
          <w:rFonts w:cs="Arial"/>
        </w:rPr>
        <w:t xml:space="preserve">pouched lamprey occurred during years of moderate </w:t>
      </w:r>
      <w:r w:rsidR="006E265C">
        <w:t xml:space="preserve">winter–spring </w:t>
      </w:r>
      <w:r w:rsidR="006E265C">
        <w:rPr>
          <w:rFonts w:cs="Arial"/>
        </w:rPr>
        <w:t xml:space="preserve">barrage </w:t>
      </w:r>
      <w:r>
        <w:rPr>
          <w:rFonts w:cs="Arial"/>
        </w:rPr>
        <w:t>discharge (mean daily discharge ≥2</w:t>
      </w:r>
      <w:r w:rsidR="007E6866">
        <w:rPr>
          <w:rFonts w:cs="Arial"/>
        </w:rPr>
        <w:t>,</w:t>
      </w:r>
      <w:r>
        <w:rPr>
          <w:rFonts w:cs="Arial"/>
        </w:rPr>
        <w:t xml:space="preserve">500 </w:t>
      </w:r>
      <w:r>
        <w:t>ML.d</w:t>
      </w:r>
      <w:r>
        <w:rPr>
          <w:vertAlign w:val="superscript"/>
        </w:rPr>
        <w:t>-1</w:t>
      </w:r>
      <w:r>
        <w:t>) with short periods of peak discharge of ~15,000 ML.d</w:t>
      </w:r>
      <w:r>
        <w:rPr>
          <w:vertAlign w:val="superscript"/>
        </w:rPr>
        <w:t>-1</w:t>
      </w:r>
      <w:r>
        <w:t>. Thus, the hydrographs delivered in 2015, 2017 and 2019 likely represent appropriate templates for future environmental water planning.</w:t>
      </w:r>
    </w:p>
    <w:p w14:paraId="073751B7" w14:textId="1C300F70" w:rsidR="0020252F" w:rsidRDefault="0020252F" w:rsidP="00B735DD">
      <w:pPr>
        <w:pStyle w:val="ListParagraph"/>
        <w:numPr>
          <w:ilvl w:val="0"/>
          <w:numId w:val="7"/>
        </w:numPr>
        <w:rPr>
          <w:rFonts w:cs="Arial"/>
        </w:rPr>
      </w:pPr>
      <w:r>
        <w:t>Importantly, each of</w:t>
      </w:r>
      <w:r w:rsidR="00512F5E">
        <w:t xml:space="preserve"> these years </w:t>
      </w:r>
      <w:r w:rsidR="00FE2DB6">
        <w:t>comprised</w:t>
      </w:r>
      <w:r>
        <w:t xml:space="preserve"> multi-site watering events and were supported by return flows from delivery of Commonwealth </w:t>
      </w:r>
      <w:r w:rsidR="00B600D2">
        <w:t>e</w:t>
      </w:r>
      <w:r>
        <w:t xml:space="preserve">nvironmental </w:t>
      </w:r>
      <w:r w:rsidR="00B600D2">
        <w:t>w</w:t>
      </w:r>
      <w:r>
        <w:t xml:space="preserve">ater in the </w:t>
      </w:r>
      <w:proofErr w:type="spellStart"/>
      <w:r>
        <w:t>Goulburn</w:t>
      </w:r>
      <w:proofErr w:type="spellEnd"/>
      <w:r>
        <w:t xml:space="preserve"> River</w:t>
      </w:r>
      <w:r w:rsidR="00FE2DB6">
        <w:t>. The delivery of Commonwealth environmental water is critical to maintaining barrage discharge and connectivity during years of low flow</w:t>
      </w:r>
      <w:r>
        <w:rPr>
          <w:rFonts w:cs="Arial"/>
        </w:rPr>
        <w:t>; and</w:t>
      </w:r>
    </w:p>
    <w:p w14:paraId="70469259" w14:textId="1E1919DC" w:rsidR="0020252F" w:rsidRDefault="0020252F" w:rsidP="00B735DD">
      <w:pPr>
        <w:pStyle w:val="ListParagraph"/>
        <w:numPr>
          <w:ilvl w:val="0"/>
          <w:numId w:val="7"/>
        </w:numPr>
        <w:rPr>
          <w:rFonts w:cs="Arial"/>
        </w:rPr>
      </w:pPr>
      <w:r>
        <w:rPr>
          <w:rFonts w:cs="Arial"/>
        </w:rPr>
        <w:t xml:space="preserve">Lamprey primarily pass upstream via fishways on Goolwa, </w:t>
      </w:r>
      <w:r w:rsidR="001C52AB">
        <w:rPr>
          <w:rFonts w:cs="Arial"/>
        </w:rPr>
        <w:t>Mundoo and Tauwitchere barrages.</w:t>
      </w:r>
      <w:r>
        <w:rPr>
          <w:rFonts w:cs="Arial"/>
        </w:rPr>
        <w:t xml:space="preserve"> </w:t>
      </w:r>
      <w:r w:rsidR="001C52AB">
        <w:rPr>
          <w:rFonts w:cs="Arial"/>
        </w:rPr>
        <w:t xml:space="preserve">Abundances tend to be greater at the </w:t>
      </w:r>
      <w:r>
        <w:rPr>
          <w:rFonts w:cs="Arial"/>
        </w:rPr>
        <w:t>Goolwa and Mundoo</w:t>
      </w:r>
      <w:r w:rsidR="001C52AB">
        <w:rPr>
          <w:rFonts w:cs="Arial"/>
        </w:rPr>
        <w:t xml:space="preserve"> fishways</w:t>
      </w:r>
      <w:r>
        <w:rPr>
          <w:rFonts w:cs="Arial"/>
        </w:rPr>
        <w:t xml:space="preserve">, likely due to their proximity to the Murray </w:t>
      </w:r>
      <w:r w:rsidR="001D1E86">
        <w:rPr>
          <w:rFonts w:cs="Arial"/>
        </w:rPr>
        <w:t xml:space="preserve">Mouth </w:t>
      </w:r>
      <w:r>
        <w:rPr>
          <w:rFonts w:cs="Arial"/>
        </w:rPr>
        <w:t xml:space="preserve">and greater influence of discharge </w:t>
      </w:r>
      <w:r w:rsidR="001C52AB">
        <w:rPr>
          <w:rFonts w:cs="Arial"/>
        </w:rPr>
        <w:t xml:space="preserve">from these barrages/fishways </w:t>
      </w:r>
      <w:r>
        <w:rPr>
          <w:rFonts w:cs="Arial"/>
        </w:rPr>
        <w:t xml:space="preserve">on downstream salinities. As such, during times of limited water </w:t>
      </w:r>
      <w:r>
        <w:rPr>
          <w:rFonts w:cs="Arial"/>
        </w:rPr>
        <w:lastRenderedPageBreak/>
        <w:t>availability, winter–spring releases</w:t>
      </w:r>
      <w:r w:rsidR="00B26750">
        <w:rPr>
          <w:rFonts w:cs="Arial"/>
        </w:rPr>
        <w:t xml:space="preserve"> that specifically target lamprey migration</w:t>
      </w:r>
      <w:r>
        <w:rPr>
          <w:rFonts w:cs="Arial"/>
        </w:rPr>
        <w:t xml:space="preserve"> could be </w:t>
      </w:r>
      <w:r w:rsidR="00FE2DB6">
        <w:rPr>
          <w:rFonts w:cs="Arial"/>
        </w:rPr>
        <w:t xml:space="preserve">prioritised </w:t>
      </w:r>
      <w:r>
        <w:rPr>
          <w:rFonts w:cs="Arial"/>
        </w:rPr>
        <w:t>to Goolwa and Mundoo barrages to maximise attraction.</w:t>
      </w:r>
    </w:p>
    <w:p w14:paraId="5E695B5D" w14:textId="20FBE31F" w:rsidR="0020252F" w:rsidRDefault="0020252F" w:rsidP="00B735DD">
      <w:pPr>
        <w:rPr>
          <w:rFonts w:cs="Arial"/>
        </w:rPr>
      </w:pPr>
      <w:r>
        <w:rPr>
          <w:rFonts w:cs="Arial"/>
        </w:rPr>
        <w:t>The general life histor</w:t>
      </w:r>
      <w:r w:rsidR="00BD18E3">
        <w:rPr>
          <w:rFonts w:cs="Arial"/>
        </w:rPr>
        <w:t>ies</w:t>
      </w:r>
      <w:r>
        <w:rPr>
          <w:rFonts w:cs="Arial"/>
        </w:rPr>
        <w:t xml:space="preserve"> of pouched lamprey and short-headed lamprey in the MDB remain poorly understood. Specific knowledge gaps </w:t>
      </w:r>
      <w:r w:rsidR="008C1D48">
        <w:rPr>
          <w:rFonts w:cs="Arial"/>
        </w:rPr>
        <w:t xml:space="preserve">for </w:t>
      </w:r>
      <w:r>
        <w:rPr>
          <w:rFonts w:cs="Arial"/>
        </w:rPr>
        <w:t>future research to better support management include:</w:t>
      </w:r>
    </w:p>
    <w:p w14:paraId="0AE2E285" w14:textId="26CEE400" w:rsidR="0020252F" w:rsidRDefault="0020252F" w:rsidP="00B735DD">
      <w:pPr>
        <w:pStyle w:val="ListParagraph"/>
        <w:numPr>
          <w:ilvl w:val="0"/>
          <w:numId w:val="8"/>
        </w:numPr>
        <w:rPr>
          <w:rFonts w:cs="Arial"/>
        </w:rPr>
      </w:pPr>
      <w:r>
        <w:rPr>
          <w:rFonts w:cs="Arial"/>
        </w:rPr>
        <w:t xml:space="preserve">Assessing migration through the Tauwitchere trapezoidal and Goolwa small vertical-slot fishways. These fishways are yet to be assessed for passage efficiency </w:t>
      </w:r>
      <w:r w:rsidR="00FA193F">
        <w:rPr>
          <w:rFonts w:cs="Arial"/>
        </w:rPr>
        <w:t>for the whol</w:t>
      </w:r>
      <w:r w:rsidR="00BD18E3">
        <w:rPr>
          <w:rFonts w:cs="Arial"/>
        </w:rPr>
        <w:t xml:space="preserve">e migratory fish community, </w:t>
      </w:r>
      <w:r>
        <w:rPr>
          <w:rFonts w:cs="Arial"/>
        </w:rPr>
        <w:t>or regard</w:t>
      </w:r>
      <w:r w:rsidR="00BD18E3">
        <w:rPr>
          <w:rFonts w:cs="Arial"/>
        </w:rPr>
        <w:t>ing</w:t>
      </w:r>
      <w:r>
        <w:rPr>
          <w:rFonts w:cs="Arial"/>
        </w:rPr>
        <w:t xml:space="preserve"> to lamprey migration; </w:t>
      </w:r>
    </w:p>
    <w:p w14:paraId="3D18B2BA" w14:textId="4426EC25" w:rsidR="0020252F" w:rsidRDefault="00FE2DB6" w:rsidP="00B735DD">
      <w:pPr>
        <w:pStyle w:val="ListParagraph"/>
        <w:numPr>
          <w:ilvl w:val="0"/>
          <w:numId w:val="8"/>
        </w:numPr>
        <w:rPr>
          <w:rFonts w:cs="Arial"/>
        </w:rPr>
      </w:pPr>
      <w:r>
        <w:rPr>
          <w:rFonts w:cs="Arial"/>
        </w:rPr>
        <w:t>Identifying localities</w:t>
      </w:r>
      <w:r w:rsidR="0020252F">
        <w:rPr>
          <w:rFonts w:cs="Arial"/>
        </w:rPr>
        <w:t xml:space="preserve"> (i.e. streams and specific river reaches) that provide spawning and nursery habitats for pouched lamprey and short-headed lamprey in the MDB; </w:t>
      </w:r>
    </w:p>
    <w:p w14:paraId="778D5C10" w14:textId="12A61379" w:rsidR="0020252F" w:rsidRDefault="0020252F" w:rsidP="00B735DD">
      <w:pPr>
        <w:pStyle w:val="ListParagraph"/>
        <w:numPr>
          <w:ilvl w:val="0"/>
          <w:numId w:val="8"/>
        </w:numPr>
        <w:rPr>
          <w:rFonts w:cs="Arial"/>
        </w:rPr>
      </w:pPr>
      <w:r>
        <w:rPr>
          <w:rFonts w:cs="Arial"/>
        </w:rPr>
        <w:t xml:space="preserve">Investigating the influence of flow magnitude, source and longitudinal integrity of flows on </w:t>
      </w:r>
      <w:r w:rsidR="008C1D48">
        <w:rPr>
          <w:rFonts w:cs="Arial"/>
        </w:rPr>
        <w:t xml:space="preserve">lamprey </w:t>
      </w:r>
      <w:r w:rsidR="00FA193F">
        <w:rPr>
          <w:rFonts w:cs="Arial"/>
        </w:rPr>
        <w:t xml:space="preserve">upstream </w:t>
      </w:r>
      <w:r>
        <w:rPr>
          <w:rFonts w:cs="Arial"/>
        </w:rPr>
        <w:t>riverine migrations,</w:t>
      </w:r>
      <w:r w:rsidR="00FA193F">
        <w:rPr>
          <w:rFonts w:cs="Arial"/>
        </w:rPr>
        <w:t xml:space="preserve"> including ultimate destination;</w:t>
      </w:r>
    </w:p>
    <w:p w14:paraId="7A5A90F4" w14:textId="27EABF43" w:rsidR="00FA193F" w:rsidRDefault="00FA193F" w:rsidP="00B735DD">
      <w:pPr>
        <w:pStyle w:val="ListParagraph"/>
        <w:numPr>
          <w:ilvl w:val="0"/>
          <w:numId w:val="8"/>
        </w:numPr>
        <w:rPr>
          <w:rFonts w:cs="Arial"/>
        </w:rPr>
      </w:pPr>
      <w:r>
        <w:rPr>
          <w:rFonts w:cs="Arial"/>
        </w:rPr>
        <w:t xml:space="preserve">Investigating the downstream migrations of </w:t>
      </w:r>
      <w:proofErr w:type="spellStart"/>
      <w:r>
        <w:rPr>
          <w:rFonts w:cs="Arial"/>
        </w:rPr>
        <w:t>macrophthalmia</w:t>
      </w:r>
      <w:proofErr w:type="spellEnd"/>
      <w:r>
        <w:rPr>
          <w:rFonts w:cs="Arial"/>
        </w:rPr>
        <w:t xml:space="preserve"> (sub-adults) with regard to timing, distance, cues and interaction with potential barriers; and</w:t>
      </w:r>
    </w:p>
    <w:p w14:paraId="73B827EE" w14:textId="45669436" w:rsidR="00FA193F" w:rsidRPr="00957098" w:rsidRDefault="00FA193F" w:rsidP="00B735DD">
      <w:pPr>
        <w:pStyle w:val="ListParagraph"/>
        <w:numPr>
          <w:ilvl w:val="0"/>
          <w:numId w:val="8"/>
        </w:numPr>
        <w:rPr>
          <w:rFonts w:cs="Arial"/>
        </w:rPr>
      </w:pPr>
      <w:r>
        <w:rPr>
          <w:rFonts w:cs="Arial"/>
        </w:rPr>
        <w:t>Investigating the general ecology and threats to the marine life phase of both species.</w:t>
      </w:r>
    </w:p>
    <w:p w14:paraId="0511D17F" w14:textId="77777777" w:rsidR="0020252F" w:rsidRPr="008B1880" w:rsidRDefault="0020252F" w:rsidP="00B735DD">
      <w:r>
        <w:rPr>
          <w:b/>
        </w:rPr>
        <w:t xml:space="preserve">Keywords: </w:t>
      </w:r>
      <w:r>
        <w:t xml:space="preserve">diadromous, </w:t>
      </w:r>
      <w:proofErr w:type="spellStart"/>
      <w:r>
        <w:rPr>
          <w:i/>
        </w:rPr>
        <w:t>Geotria</w:t>
      </w:r>
      <w:proofErr w:type="spellEnd"/>
      <w:r>
        <w:t xml:space="preserve">, </w:t>
      </w:r>
      <w:proofErr w:type="spellStart"/>
      <w:r>
        <w:rPr>
          <w:i/>
        </w:rPr>
        <w:t>Mordacia</w:t>
      </w:r>
      <w:proofErr w:type="spellEnd"/>
      <w:r>
        <w:t xml:space="preserve">, </w:t>
      </w:r>
      <w:proofErr w:type="spellStart"/>
      <w:r>
        <w:t>fishway</w:t>
      </w:r>
      <w:proofErr w:type="spellEnd"/>
      <w:r>
        <w:t>, passive integrated transponder</w:t>
      </w:r>
    </w:p>
    <w:p w14:paraId="179E9608" w14:textId="77777777" w:rsidR="0020252F" w:rsidRPr="009E1227" w:rsidRDefault="0020252F" w:rsidP="00B735DD"/>
    <w:p w14:paraId="39EE80C8" w14:textId="77777777" w:rsidR="0020252F" w:rsidRPr="0094579A" w:rsidRDefault="0020252F" w:rsidP="0020252F">
      <w:pPr>
        <w:pStyle w:val="Heading1"/>
        <w:numPr>
          <w:ilvl w:val="0"/>
          <w:numId w:val="1"/>
        </w:numPr>
        <w:rPr>
          <w:sz w:val="24"/>
          <w:szCs w:val="24"/>
        </w:rPr>
      </w:pPr>
      <w:bookmarkStart w:id="3" w:name="_Toc36554668"/>
      <w:r w:rsidRPr="0094579A">
        <w:rPr>
          <w:sz w:val="24"/>
          <w:szCs w:val="24"/>
        </w:rPr>
        <w:lastRenderedPageBreak/>
        <w:t>Introduction</w:t>
      </w:r>
      <w:bookmarkEnd w:id="3"/>
    </w:p>
    <w:p w14:paraId="0DCF4443" w14:textId="77777777" w:rsidR="0020252F" w:rsidRDefault="0020252F" w:rsidP="0020252F">
      <w:pPr>
        <w:pStyle w:val="Heading2"/>
        <w:numPr>
          <w:ilvl w:val="1"/>
          <w:numId w:val="1"/>
        </w:numPr>
        <w:rPr>
          <w:sz w:val="24"/>
          <w:szCs w:val="24"/>
        </w:rPr>
      </w:pPr>
      <w:bookmarkStart w:id="4" w:name="_Toc36554669"/>
      <w:r w:rsidRPr="0094579A">
        <w:rPr>
          <w:sz w:val="24"/>
          <w:szCs w:val="24"/>
        </w:rPr>
        <w:t>Background</w:t>
      </w:r>
      <w:bookmarkEnd w:id="4"/>
    </w:p>
    <w:p w14:paraId="637A7C61" w14:textId="77777777" w:rsidR="0020252F" w:rsidRDefault="0020252F" w:rsidP="00B735DD">
      <w:pPr>
        <w:rPr>
          <w:rFonts w:cs="Arial"/>
        </w:rPr>
      </w:pPr>
      <w:r>
        <w:t>In the Murray</w:t>
      </w:r>
      <w:r>
        <w:rPr>
          <w:rFonts w:cs="Arial"/>
        </w:rPr>
        <w:t>–</w:t>
      </w:r>
      <w:r>
        <w:t>Darling Basin (MDB), Australia’s longest and most economically important river system (ABS/ABARES/BRS 2009), pouched lamprey (</w:t>
      </w:r>
      <w:r>
        <w:rPr>
          <w:i/>
        </w:rPr>
        <w:t>Geotria australis</w:t>
      </w:r>
      <w:r>
        <w:t>) and short-headed lamprey (</w:t>
      </w:r>
      <w:proofErr w:type="spellStart"/>
      <w:r>
        <w:rPr>
          <w:i/>
        </w:rPr>
        <w:t>Mordacia</w:t>
      </w:r>
      <w:proofErr w:type="spellEnd"/>
      <w:r>
        <w:rPr>
          <w:i/>
        </w:rPr>
        <w:t xml:space="preserve"> </w:t>
      </w:r>
      <w:proofErr w:type="spellStart"/>
      <w:r>
        <w:rPr>
          <w:i/>
        </w:rPr>
        <w:t>mordax</w:t>
      </w:r>
      <w:proofErr w:type="spellEnd"/>
      <w:r>
        <w:t xml:space="preserve">) are the only native anadromous fishes. Both species exhibit a </w:t>
      </w:r>
      <w:r w:rsidRPr="0023446F">
        <w:rPr>
          <w:rFonts w:cs="Arial"/>
        </w:rPr>
        <w:t>life history characteris</w:t>
      </w:r>
      <w:r>
        <w:rPr>
          <w:rFonts w:cs="Arial"/>
        </w:rPr>
        <w:t xml:space="preserve">tic of all anadromous lamprey, including </w:t>
      </w:r>
      <w:r w:rsidRPr="0023446F">
        <w:rPr>
          <w:rFonts w:cs="Arial"/>
        </w:rPr>
        <w:t>a parasitic marine phase, and upstream adult migrations to freshwater spawning and nursery habitats</w:t>
      </w:r>
      <w:r>
        <w:rPr>
          <w:rFonts w:cs="Arial"/>
        </w:rPr>
        <w:t xml:space="preserve"> </w:t>
      </w:r>
      <w:r>
        <w:rPr>
          <w:rFonts w:cs="Arial"/>
          <w:noProof/>
        </w:rPr>
        <w:t>(Moser et al. 2015)</w:t>
      </w:r>
      <w:r w:rsidRPr="0023446F">
        <w:rPr>
          <w:rFonts w:cs="Arial"/>
        </w:rPr>
        <w:t xml:space="preserve">. </w:t>
      </w:r>
      <w:proofErr w:type="spellStart"/>
      <w:r>
        <w:rPr>
          <w:rFonts w:cs="Arial"/>
        </w:rPr>
        <w:t>Physico</w:t>
      </w:r>
      <w:proofErr w:type="spellEnd"/>
      <w:r>
        <w:rPr>
          <w:rFonts w:cs="Arial"/>
        </w:rPr>
        <w:t xml:space="preserve">-chemical (e.g. salinity) and olfactory cues of riverine origin (e.g. pheromones from juveniles) are believed important in stimulating and guiding upstream migration </w:t>
      </w:r>
      <w:r>
        <w:rPr>
          <w:rFonts w:cs="Arial"/>
          <w:noProof/>
        </w:rPr>
        <w:t>(Meckley et al. 2014, Bett and Hinch 2016)</w:t>
      </w:r>
      <w:r>
        <w:rPr>
          <w:rFonts w:cs="Arial"/>
        </w:rPr>
        <w:t xml:space="preserve">. </w:t>
      </w:r>
      <w:r w:rsidRPr="0023446F">
        <w:rPr>
          <w:rFonts w:cs="Arial"/>
        </w:rPr>
        <w:t>Juveniles (</w:t>
      </w:r>
      <w:proofErr w:type="spellStart"/>
      <w:r w:rsidRPr="0023446F">
        <w:rPr>
          <w:rFonts w:cs="Arial"/>
        </w:rPr>
        <w:t>ammocoetes</w:t>
      </w:r>
      <w:proofErr w:type="spellEnd"/>
      <w:r w:rsidRPr="0023446F">
        <w:rPr>
          <w:rFonts w:cs="Arial"/>
        </w:rPr>
        <w:t>) reside in freshwater for several years before metamorphosing into sub-adults (</w:t>
      </w:r>
      <w:proofErr w:type="spellStart"/>
      <w:r w:rsidRPr="0023446F">
        <w:rPr>
          <w:rFonts w:cs="Arial"/>
        </w:rPr>
        <w:t>macropthalmia</w:t>
      </w:r>
      <w:proofErr w:type="spellEnd"/>
      <w:r w:rsidRPr="0023446F">
        <w:rPr>
          <w:rFonts w:cs="Arial"/>
        </w:rPr>
        <w:t>) and migrating downstream to marine habitats.</w:t>
      </w:r>
      <w:r>
        <w:rPr>
          <w:rFonts w:cs="Arial"/>
        </w:rPr>
        <w:t xml:space="preserve"> This life history </w:t>
      </w:r>
      <w:r>
        <w:t xml:space="preserve">renders lamprey susceptible to human modification of river systems </w:t>
      </w:r>
      <w:r>
        <w:rPr>
          <w:noProof/>
        </w:rPr>
        <w:t>(Jonsson et al. 1999); s</w:t>
      </w:r>
      <w:proofErr w:type="spellStart"/>
      <w:r>
        <w:t>pecifically</w:t>
      </w:r>
      <w:proofErr w:type="spellEnd"/>
      <w:r>
        <w:t xml:space="preserve">, flow regulating structures (e.g. dams, weirs, barrages) may delay or obstruct upstream migration, whilst alteration to flow regimes (e.g. reduced magnitude, altered timing) may disrupt migratory cues and degrade freshwater habitat quality </w:t>
      </w:r>
      <w:r>
        <w:rPr>
          <w:noProof/>
        </w:rPr>
        <w:t xml:space="preserve">(Quinn and Adams 1996). </w:t>
      </w:r>
      <w:r>
        <w:rPr>
          <w:rFonts w:cs="Arial"/>
        </w:rPr>
        <w:t>A</w:t>
      </w:r>
      <w:r w:rsidRPr="00361AA9">
        <w:rPr>
          <w:rFonts w:cs="Arial"/>
        </w:rPr>
        <w:t>necdotally</w:t>
      </w:r>
      <w:r>
        <w:rPr>
          <w:rFonts w:cs="Arial"/>
        </w:rPr>
        <w:t>, lamprey in the MDB</w:t>
      </w:r>
      <w:r w:rsidRPr="00361AA9">
        <w:rPr>
          <w:rFonts w:cs="Arial"/>
        </w:rPr>
        <w:t xml:space="preserve"> </w:t>
      </w:r>
      <w:r>
        <w:rPr>
          <w:rFonts w:cs="Arial"/>
        </w:rPr>
        <w:t>were</w:t>
      </w:r>
      <w:r w:rsidRPr="00361AA9">
        <w:rPr>
          <w:rFonts w:cs="Arial"/>
        </w:rPr>
        <w:t xml:space="preserve"> once considered common</w:t>
      </w:r>
      <w:r>
        <w:rPr>
          <w:rFonts w:cs="Arial"/>
        </w:rPr>
        <w:t xml:space="preserve"> with migrations extending up to 2000 km upstream</w:t>
      </w:r>
      <w:r w:rsidRPr="00361AA9">
        <w:rPr>
          <w:rFonts w:cs="Arial"/>
        </w:rPr>
        <w:t xml:space="preserve">, but </w:t>
      </w:r>
      <w:r>
        <w:rPr>
          <w:rFonts w:cs="Arial"/>
        </w:rPr>
        <w:t>they are</w:t>
      </w:r>
      <w:r w:rsidRPr="00361AA9">
        <w:rPr>
          <w:rFonts w:cs="Arial"/>
        </w:rPr>
        <w:t xml:space="preserve"> now rarely encountered</w:t>
      </w:r>
      <w:r>
        <w:rPr>
          <w:rFonts w:cs="Arial"/>
        </w:rPr>
        <w:t xml:space="preserve">, potentially due to the impacts of flow regulation and barriers to migration </w:t>
      </w:r>
      <w:r>
        <w:rPr>
          <w:rFonts w:cs="Arial"/>
          <w:noProof/>
        </w:rPr>
        <w:t>(Potter and Strahan 1968, Maitland et al. 2015, Bice et al. 2019a)</w:t>
      </w:r>
      <w:r w:rsidRPr="00361AA9">
        <w:rPr>
          <w:rFonts w:cs="Arial"/>
        </w:rPr>
        <w:t>.</w:t>
      </w:r>
    </w:p>
    <w:p w14:paraId="25709A96" w14:textId="01D85CC2" w:rsidR="006954EE" w:rsidRDefault="0020252F" w:rsidP="00B735DD">
      <w:pPr>
        <w:rPr>
          <w:rFonts w:cs="Arial"/>
        </w:rPr>
      </w:pPr>
      <w:r>
        <w:rPr>
          <w:rFonts w:cs="Arial"/>
        </w:rPr>
        <w:t xml:space="preserve">Increased focus on restoring connectivity and </w:t>
      </w:r>
      <w:r w:rsidR="00CD2146">
        <w:rPr>
          <w:rFonts w:cs="Arial"/>
        </w:rPr>
        <w:t xml:space="preserve">aspects of </w:t>
      </w:r>
      <w:r w:rsidR="005D2D55">
        <w:rPr>
          <w:rFonts w:cs="Arial"/>
        </w:rPr>
        <w:t xml:space="preserve">natural </w:t>
      </w:r>
      <w:r>
        <w:rPr>
          <w:rFonts w:cs="Arial"/>
        </w:rPr>
        <w:t xml:space="preserve">flow regimes under the </w:t>
      </w:r>
      <w:r>
        <w:rPr>
          <w:rFonts w:cs="Arial"/>
          <w:i/>
        </w:rPr>
        <w:t xml:space="preserve">Basin Plan </w:t>
      </w:r>
      <w:r w:rsidR="00FA193F">
        <w:rPr>
          <w:rFonts w:cs="Arial"/>
        </w:rPr>
        <w:t xml:space="preserve">(2012) </w:t>
      </w:r>
      <w:r>
        <w:rPr>
          <w:rFonts w:cs="Arial"/>
        </w:rPr>
        <w:t xml:space="preserve">have the potential to support rehabilitation of lamprey populations in the MDB. From </w:t>
      </w:r>
      <w:r w:rsidRPr="00C34B50">
        <w:rPr>
          <w:rFonts w:cs="Arial"/>
        </w:rPr>
        <w:t>2001</w:t>
      </w:r>
      <w:r>
        <w:rPr>
          <w:rFonts w:cs="Arial"/>
        </w:rPr>
        <w:t>–2013</w:t>
      </w:r>
      <w:r w:rsidRPr="00C34B50">
        <w:rPr>
          <w:rFonts w:cs="Arial"/>
        </w:rPr>
        <w:t xml:space="preserve">, an ambitious program was </w:t>
      </w:r>
      <w:r>
        <w:rPr>
          <w:rFonts w:cs="Arial"/>
        </w:rPr>
        <w:t>undertaken</w:t>
      </w:r>
      <w:r w:rsidRPr="00C34B50">
        <w:rPr>
          <w:rFonts w:cs="Arial"/>
        </w:rPr>
        <w:t xml:space="preserve"> to </w:t>
      </w:r>
      <w:r>
        <w:rPr>
          <w:rFonts w:cs="Arial"/>
        </w:rPr>
        <w:t xml:space="preserve">reinstate connectivity and opportunities for fish migration </w:t>
      </w:r>
      <w:r w:rsidRPr="00C34B50">
        <w:rPr>
          <w:rFonts w:cs="Arial"/>
        </w:rPr>
        <w:t>along 2000 km of the main-stem of the River Murray</w:t>
      </w:r>
      <w:r>
        <w:rPr>
          <w:rFonts w:cs="Arial"/>
        </w:rPr>
        <w:t xml:space="preserve"> from the sea to Hume Dam, through the construction of fishways on the Murray Barrages and 13 main channel weirs </w:t>
      </w:r>
      <w:r>
        <w:rPr>
          <w:rFonts w:cs="Arial"/>
          <w:noProof/>
        </w:rPr>
        <w:t>(Barrett and Mallen-Cooper 2006)</w:t>
      </w:r>
      <w:r>
        <w:rPr>
          <w:rFonts w:cs="Arial"/>
        </w:rPr>
        <w:t xml:space="preserve">. This program has potentially restored access to upstream spawning habitats from which lamprey were largely excluded since the construction of the main channel weirs in the 1920s. In addition, under the </w:t>
      </w:r>
      <w:r>
        <w:rPr>
          <w:rFonts w:cs="Arial"/>
          <w:i/>
        </w:rPr>
        <w:t>Basin Plan</w:t>
      </w:r>
      <w:r>
        <w:rPr>
          <w:rFonts w:cs="Arial"/>
        </w:rPr>
        <w:t>,</w:t>
      </w:r>
      <w:r>
        <w:rPr>
          <w:rFonts w:cs="Arial"/>
          <w:i/>
        </w:rPr>
        <w:t xml:space="preserve"> </w:t>
      </w:r>
      <w:r>
        <w:rPr>
          <w:rFonts w:cs="Arial"/>
        </w:rPr>
        <w:t xml:space="preserve">a considerable volume of Commonwealth </w:t>
      </w:r>
      <w:r w:rsidR="00B735DD">
        <w:rPr>
          <w:rFonts w:cs="Arial"/>
        </w:rPr>
        <w:t>e</w:t>
      </w:r>
      <w:r>
        <w:rPr>
          <w:rFonts w:cs="Arial"/>
        </w:rPr>
        <w:t xml:space="preserve">nvironmental </w:t>
      </w:r>
      <w:r w:rsidR="00B735DD">
        <w:rPr>
          <w:rFonts w:cs="Arial"/>
        </w:rPr>
        <w:t>w</w:t>
      </w:r>
      <w:r>
        <w:rPr>
          <w:rFonts w:cs="Arial"/>
        </w:rPr>
        <w:t xml:space="preserve">ater has now been recovered, with a large proportion </w:t>
      </w:r>
      <w:r w:rsidR="00FA193F">
        <w:rPr>
          <w:rFonts w:cs="Arial"/>
        </w:rPr>
        <w:t>reaching the</w:t>
      </w:r>
      <w:r>
        <w:rPr>
          <w:rFonts w:cs="Arial"/>
        </w:rPr>
        <w:t xml:space="preserve"> </w:t>
      </w:r>
      <w:r w:rsidR="00CD2146">
        <w:rPr>
          <w:rFonts w:cs="Arial"/>
        </w:rPr>
        <w:t>l</w:t>
      </w:r>
      <w:r>
        <w:rPr>
          <w:rFonts w:cs="Arial"/>
        </w:rPr>
        <w:t>ower River</w:t>
      </w:r>
      <w:r w:rsidR="00CD2146">
        <w:rPr>
          <w:rFonts w:cs="Arial"/>
        </w:rPr>
        <w:t xml:space="preserve"> Murray (typically &gt;500 GL.yr</w:t>
      </w:r>
      <w:r w:rsidR="00CD2146">
        <w:rPr>
          <w:rFonts w:cs="Arial"/>
          <w:vertAlign w:val="superscript"/>
        </w:rPr>
        <w:t>-1</w:t>
      </w:r>
      <w:r w:rsidR="00CD2146">
        <w:rPr>
          <w:rFonts w:cs="Arial"/>
        </w:rPr>
        <w:t>)</w:t>
      </w:r>
      <w:r w:rsidR="004F3A0D">
        <w:rPr>
          <w:rFonts w:cs="Arial"/>
        </w:rPr>
        <w:t>,</w:t>
      </w:r>
      <w:r>
        <w:rPr>
          <w:rFonts w:cs="Arial"/>
        </w:rPr>
        <w:t xml:space="preserve"> </w:t>
      </w:r>
      <w:r w:rsidR="00383E36">
        <w:rPr>
          <w:rFonts w:cs="Arial"/>
        </w:rPr>
        <w:t xml:space="preserve">in conjunction with other environmental water </w:t>
      </w:r>
      <w:r w:rsidR="00383E36" w:rsidRPr="004F3A0D">
        <w:rPr>
          <w:rFonts w:cs="Arial"/>
        </w:rPr>
        <w:t>(</w:t>
      </w:r>
      <w:r w:rsidR="00383E36">
        <w:rPr>
          <w:rFonts w:cs="Arial"/>
        </w:rPr>
        <w:t xml:space="preserve">e.g. </w:t>
      </w:r>
      <w:r w:rsidR="00CD2146">
        <w:rPr>
          <w:rFonts w:cs="Arial"/>
        </w:rPr>
        <w:t xml:space="preserve">water held under </w:t>
      </w:r>
      <w:r w:rsidR="00383E36" w:rsidRPr="00A577FC">
        <w:rPr>
          <w:rFonts w:cs="Arial"/>
          <w:i/>
        </w:rPr>
        <w:t>The Living Murray</w:t>
      </w:r>
      <w:r w:rsidR="00383E36" w:rsidRPr="004F3A0D">
        <w:rPr>
          <w:rFonts w:cs="Arial"/>
        </w:rPr>
        <w:t xml:space="preserve"> (TLM) Initiative)</w:t>
      </w:r>
      <w:r w:rsidR="00383E36">
        <w:rPr>
          <w:rFonts w:cs="Arial"/>
        </w:rPr>
        <w:t>.</w:t>
      </w:r>
      <w:r w:rsidR="00383E36" w:rsidRPr="004F3A0D">
        <w:t xml:space="preserve"> </w:t>
      </w:r>
      <w:r w:rsidR="00745FBE">
        <w:t xml:space="preserve">Over the last five years, </w:t>
      </w:r>
      <w:r w:rsidR="00FA193F">
        <w:rPr>
          <w:rFonts w:cs="Arial"/>
        </w:rPr>
        <w:t>Commonwealth environmental water</w:t>
      </w:r>
      <w:r w:rsidR="00FA193F" w:rsidRPr="00383E36">
        <w:t xml:space="preserve"> </w:t>
      </w:r>
      <w:r w:rsidR="00FA193F">
        <w:t xml:space="preserve">has </w:t>
      </w:r>
      <w:r w:rsidR="00383E36" w:rsidRPr="00383E36">
        <w:t>contributed t</w:t>
      </w:r>
      <w:r w:rsidR="00CD2146">
        <w:t xml:space="preserve">o </w:t>
      </w:r>
      <w:proofErr w:type="spellStart"/>
      <w:r w:rsidR="00CD2146">
        <w:t>baseflows</w:t>
      </w:r>
      <w:proofErr w:type="spellEnd"/>
      <w:r w:rsidR="00CD2146">
        <w:t xml:space="preserve"> and </w:t>
      </w:r>
      <w:proofErr w:type="spellStart"/>
      <w:r w:rsidR="00CD2146">
        <w:t>freshes</w:t>
      </w:r>
      <w:proofErr w:type="spellEnd"/>
      <w:r w:rsidR="00CD2146">
        <w:t xml:space="preserve"> in the l</w:t>
      </w:r>
      <w:r w:rsidR="006B6C8B">
        <w:t xml:space="preserve">ower </w:t>
      </w:r>
      <w:r w:rsidR="00CD2146">
        <w:t xml:space="preserve">River </w:t>
      </w:r>
      <w:r w:rsidR="006B6C8B">
        <w:t>Murray,</w:t>
      </w:r>
      <w:r w:rsidR="00383E36" w:rsidRPr="00383E36">
        <w:t xml:space="preserve"> particularly as winter and spring–early summer flow pulses, mainly via return flow</w:t>
      </w:r>
      <w:r w:rsidR="00383E36">
        <w:t>s from upstream watering events</w:t>
      </w:r>
      <w:r w:rsidR="00383E36" w:rsidRPr="004F3A0D">
        <w:rPr>
          <w:rFonts w:cs="Arial"/>
        </w:rPr>
        <w:t xml:space="preserve"> </w:t>
      </w:r>
      <w:r w:rsidR="00383E36">
        <w:rPr>
          <w:rFonts w:cs="Arial"/>
        </w:rPr>
        <w:t xml:space="preserve">(Ye </w:t>
      </w:r>
      <w:r w:rsidR="00383E36">
        <w:rPr>
          <w:rFonts w:cs="Arial"/>
        </w:rPr>
        <w:lastRenderedPageBreak/>
        <w:t xml:space="preserve">et al. 2020). </w:t>
      </w:r>
      <w:r w:rsidR="00383E36" w:rsidRPr="004F3A0D">
        <w:rPr>
          <w:rFonts w:cs="Arial"/>
        </w:rPr>
        <w:t>Direct orders of environmental water to the South Australian border also occurred for specific purposes, often during summer</w:t>
      </w:r>
      <w:r w:rsidR="00383E36">
        <w:rPr>
          <w:rFonts w:cs="Arial"/>
        </w:rPr>
        <w:sym w:font="Symbol" w:char="F02D"/>
      </w:r>
      <w:r w:rsidR="00383E36" w:rsidRPr="004F3A0D">
        <w:rPr>
          <w:rFonts w:cs="Arial"/>
        </w:rPr>
        <w:t xml:space="preserve">autumn, </w:t>
      </w:r>
      <w:r w:rsidR="00FA193F">
        <w:rPr>
          <w:rFonts w:cs="Arial"/>
        </w:rPr>
        <w:t xml:space="preserve">primarily </w:t>
      </w:r>
      <w:r w:rsidR="00383E36" w:rsidRPr="004F3A0D">
        <w:rPr>
          <w:rFonts w:cs="Arial"/>
        </w:rPr>
        <w:t xml:space="preserve">to </w:t>
      </w:r>
      <w:r w:rsidR="00FA193F">
        <w:rPr>
          <w:rFonts w:cs="Arial"/>
        </w:rPr>
        <w:t>maintain f</w:t>
      </w:r>
      <w:r w:rsidR="00383E36" w:rsidRPr="004F3A0D">
        <w:rPr>
          <w:rFonts w:cs="Arial"/>
        </w:rPr>
        <w:t>low f</w:t>
      </w:r>
      <w:r w:rsidR="00FA193F">
        <w:rPr>
          <w:rFonts w:cs="Arial"/>
        </w:rPr>
        <w:t>rom the barrages and connectivity between</w:t>
      </w:r>
      <w:r w:rsidR="00383E36" w:rsidRPr="004F3A0D">
        <w:rPr>
          <w:rFonts w:cs="Arial"/>
        </w:rPr>
        <w:t xml:space="preserve"> the </w:t>
      </w:r>
      <w:r w:rsidR="00FA193F">
        <w:rPr>
          <w:rFonts w:cs="Arial"/>
        </w:rPr>
        <w:t xml:space="preserve">Lower </w:t>
      </w:r>
      <w:r w:rsidR="00383E36" w:rsidRPr="004F3A0D">
        <w:rPr>
          <w:rFonts w:cs="Arial"/>
        </w:rPr>
        <w:t>Lakes and Coorong</w:t>
      </w:r>
      <w:r w:rsidR="006954EE">
        <w:rPr>
          <w:rFonts w:cs="Arial"/>
        </w:rPr>
        <w:t>.</w:t>
      </w:r>
    </w:p>
    <w:p w14:paraId="6D027E5C" w14:textId="134E1AF8" w:rsidR="0020252F" w:rsidRDefault="004F3A0D" w:rsidP="00B735DD">
      <w:pPr>
        <w:rPr>
          <w:rFonts w:cs="Arial"/>
        </w:rPr>
      </w:pPr>
      <w:r>
        <w:rPr>
          <w:rFonts w:cs="Arial"/>
        </w:rPr>
        <w:t xml:space="preserve">Environmental </w:t>
      </w:r>
      <w:r w:rsidR="0020252F">
        <w:rPr>
          <w:rFonts w:cs="Arial"/>
        </w:rPr>
        <w:t xml:space="preserve">water </w:t>
      </w:r>
      <w:r>
        <w:rPr>
          <w:rFonts w:cs="Arial"/>
        </w:rPr>
        <w:t xml:space="preserve">delivery to the </w:t>
      </w:r>
      <w:r w:rsidR="00CD2146">
        <w:rPr>
          <w:rFonts w:cs="Arial"/>
        </w:rPr>
        <w:t>South Australian l</w:t>
      </w:r>
      <w:r w:rsidR="006B6C8B">
        <w:rPr>
          <w:rFonts w:cs="Arial"/>
        </w:rPr>
        <w:t xml:space="preserve">ower </w:t>
      </w:r>
      <w:r w:rsidR="00CD2146">
        <w:rPr>
          <w:rFonts w:cs="Arial"/>
        </w:rPr>
        <w:t xml:space="preserve">River </w:t>
      </w:r>
      <w:r w:rsidR="006B6C8B">
        <w:rPr>
          <w:rFonts w:cs="Arial"/>
        </w:rPr>
        <w:t>Murray</w:t>
      </w:r>
      <w:r>
        <w:rPr>
          <w:rFonts w:cs="Arial"/>
        </w:rPr>
        <w:t xml:space="preserve"> </w:t>
      </w:r>
      <w:r w:rsidR="0020252F">
        <w:rPr>
          <w:rFonts w:cs="Arial"/>
        </w:rPr>
        <w:t xml:space="preserve">is guided by </w:t>
      </w:r>
      <w:r w:rsidR="00CD2146">
        <w:rPr>
          <w:rFonts w:cs="Arial"/>
        </w:rPr>
        <w:t xml:space="preserve">the </w:t>
      </w:r>
      <w:r w:rsidR="006954EE">
        <w:rPr>
          <w:rFonts w:cs="Arial"/>
        </w:rPr>
        <w:t xml:space="preserve">objectives of </w:t>
      </w:r>
      <w:r w:rsidR="006D207A">
        <w:rPr>
          <w:rFonts w:cs="Arial"/>
        </w:rPr>
        <w:t xml:space="preserve">the </w:t>
      </w:r>
      <w:r w:rsidR="006954EE" w:rsidRPr="006954EE">
        <w:rPr>
          <w:i/>
        </w:rPr>
        <w:t>South Australian River Murray Long-Term Environmental Watering Plan</w:t>
      </w:r>
      <w:r w:rsidR="006954EE">
        <w:t xml:space="preserve"> (LTWP)</w:t>
      </w:r>
      <w:r w:rsidR="006D207A">
        <w:t xml:space="preserve"> (DEWNR 2015)</w:t>
      </w:r>
      <w:r w:rsidR="0020252F">
        <w:rPr>
          <w:rFonts w:cs="Arial"/>
        </w:rPr>
        <w:t xml:space="preserve">, the </w:t>
      </w:r>
      <w:r w:rsidR="0020252F">
        <w:rPr>
          <w:rFonts w:cs="Arial"/>
          <w:i/>
        </w:rPr>
        <w:t xml:space="preserve">Basin-wide environmental watering strategy </w:t>
      </w:r>
      <w:r w:rsidR="0020252F">
        <w:rPr>
          <w:rFonts w:cs="Arial"/>
          <w:noProof/>
        </w:rPr>
        <w:t>(BWS</w:t>
      </w:r>
      <w:r>
        <w:rPr>
          <w:rFonts w:cs="Arial"/>
          <w:noProof/>
        </w:rPr>
        <w:t>)</w:t>
      </w:r>
      <w:r w:rsidR="0020252F">
        <w:rPr>
          <w:rFonts w:cs="Arial"/>
          <w:noProof/>
        </w:rPr>
        <w:t xml:space="preserve"> </w:t>
      </w:r>
      <w:r w:rsidR="006954EE">
        <w:rPr>
          <w:rFonts w:cs="Arial"/>
          <w:noProof/>
        </w:rPr>
        <w:t>(</w:t>
      </w:r>
      <w:r w:rsidR="0020252F">
        <w:rPr>
          <w:rFonts w:cs="Arial"/>
          <w:noProof/>
        </w:rPr>
        <w:t>MDBA 2014) and Commonwealth Environmental Water Office</w:t>
      </w:r>
      <w:r w:rsidR="006954EE">
        <w:rPr>
          <w:rFonts w:cs="Arial"/>
          <w:noProof/>
        </w:rPr>
        <w:t xml:space="preserve"> (CEWO)</w:t>
      </w:r>
      <w:r w:rsidR="0020252F">
        <w:rPr>
          <w:rFonts w:cs="Arial"/>
          <w:noProof/>
        </w:rPr>
        <w:t xml:space="preserve"> </w:t>
      </w:r>
      <w:r w:rsidR="0020252F">
        <w:rPr>
          <w:rFonts w:cs="Arial"/>
          <w:i/>
          <w:noProof/>
        </w:rPr>
        <w:t>expected outcomes</w:t>
      </w:r>
      <w:r w:rsidR="0020252F">
        <w:rPr>
          <w:rFonts w:cs="Arial"/>
          <w:noProof/>
        </w:rPr>
        <w:t>.</w:t>
      </w:r>
      <w:r w:rsidR="0020252F">
        <w:rPr>
          <w:rFonts w:cs="Arial"/>
          <w:i/>
        </w:rPr>
        <w:t xml:space="preserve"> </w:t>
      </w:r>
      <w:r w:rsidR="0020252F">
        <w:rPr>
          <w:rFonts w:cs="Arial"/>
        </w:rPr>
        <w:t xml:space="preserve">Explicit </w:t>
      </w:r>
      <w:r w:rsidR="00CD2146">
        <w:rPr>
          <w:rFonts w:cs="Arial"/>
        </w:rPr>
        <w:t xml:space="preserve">objectives and outcomes </w:t>
      </w:r>
      <w:r w:rsidR="001625E2">
        <w:rPr>
          <w:rFonts w:cs="Arial"/>
        </w:rPr>
        <w:t xml:space="preserve">of these planning documents </w:t>
      </w:r>
      <w:r w:rsidR="0020252F">
        <w:rPr>
          <w:rFonts w:cs="Arial"/>
        </w:rPr>
        <w:t xml:space="preserve">include improving end-of-system flow and connectivity through the Murray Barrages and Murray Mouth to support fish movement and expand distributions. The </w:t>
      </w:r>
      <w:r w:rsidR="009E6FF7">
        <w:rPr>
          <w:rFonts w:cs="Arial"/>
        </w:rPr>
        <w:t xml:space="preserve">migratory </w:t>
      </w:r>
      <w:r w:rsidR="0020252F">
        <w:rPr>
          <w:rFonts w:cs="Arial"/>
        </w:rPr>
        <w:t>life histories of pouched lamprey and short-headed lamprey</w:t>
      </w:r>
      <w:r w:rsidR="00A577FC">
        <w:rPr>
          <w:rFonts w:cs="Arial"/>
        </w:rPr>
        <w:t>, and reliance on</w:t>
      </w:r>
      <w:r w:rsidR="00DD166F">
        <w:rPr>
          <w:rFonts w:cs="Arial"/>
        </w:rPr>
        <w:t xml:space="preserve"> end-of-system flow and connectivity</w:t>
      </w:r>
      <w:r w:rsidR="00A577FC">
        <w:rPr>
          <w:rFonts w:cs="Arial"/>
        </w:rPr>
        <w:t xml:space="preserve">, make these species </w:t>
      </w:r>
      <w:r w:rsidR="0020252F">
        <w:rPr>
          <w:rFonts w:cs="Arial"/>
        </w:rPr>
        <w:t>well suited to demonstrat</w:t>
      </w:r>
      <w:r w:rsidR="00DD166F">
        <w:rPr>
          <w:rFonts w:cs="Arial"/>
        </w:rPr>
        <w:t>e</w:t>
      </w:r>
      <w:r w:rsidR="0020252F">
        <w:rPr>
          <w:rFonts w:cs="Arial"/>
        </w:rPr>
        <w:t xml:space="preserve"> the achievement of these outcomes. </w:t>
      </w:r>
    </w:p>
    <w:p w14:paraId="13B6898F" w14:textId="3BF26397" w:rsidR="0020252F" w:rsidRDefault="0020252F" w:rsidP="00B735DD">
      <w:pPr>
        <w:rPr>
          <w:rFonts w:cs="Arial"/>
        </w:rPr>
      </w:pPr>
      <w:r>
        <w:rPr>
          <w:rFonts w:cs="Arial"/>
        </w:rPr>
        <w:t>Lamprey migration at the Murray Barrages repres</w:t>
      </w:r>
      <w:r w:rsidR="00A577FC">
        <w:rPr>
          <w:rFonts w:cs="Arial"/>
        </w:rPr>
        <w:t xml:space="preserve">ents an ecological target </w:t>
      </w:r>
      <w:r>
        <w:rPr>
          <w:rFonts w:cs="Arial"/>
        </w:rPr>
        <w:t>for the Lower Lakes, Coorong and Murray Mouth Icon Site</w:t>
      </w:r>
      <w:r w:rsidR="00A577FC">
        <w:rPr>
          <w:rFonts w:cs="Arial"/>
        </w:rPr>
        <w:t xml:space="preserve"> under TLM</w:t>
      </w:r>
      <w:r w:rsidR="006D207A">
        <w:rPr>
          <w:rFonts w:cs="Arial"/>
        </w:rPr>
        <w:t xml:space="preserve"> and within the South Australian LTWP</w:t>
      </w:r>
      <w:r>
        <w:rPr>
          <w:rFonts w:cs="Arial"/>
        </w:rPr>
        <w:t xml:space="preserve">. Specific monitoring, targeting presumed migration seasons and monitoring subsequent upstream migration, has occurred sporadically since 2013 </w:t>
      </w:r>
      <w:r>
        <w:rPr>
          <w:rFonts w:cs="Arial"/>
          <w:noProof/>
        </w:rPr>
        <w:t>(Bice et al. 2019a and b)</w:t>
      </w:r>
      <w:r>
        <w:rPr>
          <w:rFonts w:cs="Arial"/>
        </w:rPr>
        <w:t xml:space="preserve">. This monitoring has provided important information on the life history of pouched lamprey </w:t>
      </w:r>
      <w:r w:rsidR="00A577FC">
        <w:rPr>
          <w:rFonts w:cs="Arial"/>
        </w:rPr>
        <w:t>and the influence of</w:t>
      </w:r>
      <w:r w:rsidR="00C62C0B">
        <w:rPr>
          <w:rFonts w:cs="Arial"/>
        </w:rPr>
        <w:t xml:space="preserve"> </w:t>
      </w:r>
      <w:r>
        <w:rPr>
          <w:rFonts w:cs="Arial"/>
        </w:rPr>
        <w:t xml:space="preserve">water management, including: </w:t>
      </w:r>
      <w:r w:rsidR="00B23527">
        <w:rPr>
          <w:rFonts w:cs="Arial"/>
        </w:rPr>
        <w:t xml:space="preserve">demonstrating the importance of discharge from the Murray Barrages and associated fishways to stimulate and facilitate ingress to the MDB; </w:t>
      </w:r>
      <w:r>
        <w:rPr>
          <w:rFonts w:cs="Arial"/>
        </w:rPr>
        <w:t xml:space="preserve">identifying peak periods of freshwater entry; </w:t>
      </w:r>
      <w:r w:rsidR="00B23527">
        <w:rPr>
          <w:rFonts w:cs="Arial"/>
        </w:rPr>
        <w:t xml:space="preserve">and </w:t>
      </w:r>
      <w:r>
        <w:rPr>
          <w:rFonts w:cs="Arial"/>
        </w:rPr>
        <w:t>demonstrating successful use of main channel weir fishways and contemporary upstream migra</w:t>
      </w:r>
      <w:r w:rsidR="00B23527">
        <w:rPr>
          <w:rFonts w:cs="Arial"/>
        </w:rPr>
        <w:t>tions of 100s of kilometres</w:t>
      </w:r>
      <w:r>
        <w:rPr>
          <w:rFonts w:cs="Arial"/>
        </w:rPr>
        <w:t>. Indeed, C</w:t>
      </w:r>
      <w:r w:rsidR="00C62C0B">
        <w:rPr>
          <w:rFonts w:cs="Arial"/>
        </w:rPr>
        <w:t xml:space="preserve">ommonwealth environmental water </w:t>
      </w:r>
      <w:r>
        <w:rPr>
          <w:rFonts w:cs="Arial"/>
        </w:rPr>
        <w:t xml:space="preserve">is now commonly delivered and discharged from the Murray Barrages in winter–spring to achieve these outcomes.    </w:t>
      </w:r>
    </w:p>
    <w:p w14:paraId="5CC7E96C" w14:textId="77777777" w:rsidR="0020252F" w:rsidRPr="0094579A" w:rsidRDefault="0020252F" w:rsidP="0020252F">
      <w:pPr>
        <w:pStyle w:val="Heading2"/>
        <w:numPr>
          <w:ilvl w:val="1"/>
          <w:numId w:val="1"/>
        </w:numPr>
        <w:rPr>
          <w:sz w:val="24"/>
          <w:szCs w:val="24"/>
        </w:rPr>
      </w:pPr>
      <w:bookmarkStart w:id="5" w:name="_Toc36554670"/>
      <w:r w:rsidRPr="0094579A">
        <w:rPr>
          <w:sz w:val="24"/>
          <w:szCs w:val="24"/>
        </w:rPr>
        <w:t>Objectives</w:t>
      </w:r>
      <w:bookmarkEnd w:id="5"/>
    </w:p>
    <w:p w14:paraId="7C52B018" w14:textId="42F1B6D9" w:rsidR="0020252F" w:rsidRDefault="00CA7E3E" w:rsidP="00B735DD">
      <w:pPr>
        <w:rPr>
          <w:rFonts w:cs="Arial"/>
        </w:rPr>
      </w:pPr>
      <w:r>
        <w:rPr>
          <w:rFonts w:cs="Arial"/>
        </w:rPr>
        <w:t xml:space="preserve">The objective of the current project was to </w:t>
      </w:r>
      <w:r w:rsidR="0045656B">
        <w:rPr>
          <w:rFonts w:cs="Arial"/>
        </w:rPr>
        <w:t>assess the</w:t>
      </w:r>
      <w:r>
        <w:rPr>
          <w:rFonts w:cs="Arial"/>
        </w:rPr>
        <w:t xml:space="preserve"> abundance of </w:t>
      </w:r>
      <w:r w:rsidR="0045656B">
        <w:rPr>
          <w:rFonts w:cs="Arial"/>
        </w:rPr>
        <w:t xml:space="preserve">adult </w:t>
      </w:r>
      <w:r>
        <w:rPr>
          <w:rFonts w:cs="Arial"/>
        </w:rPr>
        <w:t xml:space="preserve">lamprey at the Murray Barrages in 2019, and to use </w:t>
      </w:r>
      <w:r w:rsidRPr="00F64047">
        <w:rPr>
          <w:rFonts w:cs="Arial"/>
        </w:rPr>
        <w:t xml:space="preserve">passive integrated transponder </w:t>
      </w:r>
      <w:r>
        <w:rPr>
          <w:rFonts w:cs="Arial"/>
        </w:rPr>
        <w:t xml:space="preserve">(PIT) telemetry to investigate subsequent upstream spawning migrations in the MDB. Specifically, the </w:t>
      </w:r>
      <w:r w:rsidR="0020252F">
        <w:rPr>
          <w:rFonts w:cs="Arial"/>
        </w:rPr>
        <w:t>project aimed to:</w:t>
      </w:r>
    </w:p>
    <w:p w14:paraId="0B3A7D16" w14:textId="3B3BC5B6" w:rsidR="0020252F" w:rsidRDefault="0020252F" w:rsidP="000D4BBA">
      <w:pPr>
        <w:pStyle w:val="ListParagraph"/>
        <w:numPr>
          <w:ilvl w:val="0"/>
          <w:numId w:val="10"/>
        </w:numPr>
        <w:rPr>
          <w:rFonts w:cs="Arial"/>
        </w:rPr>
      </w:pPr>
      <w:r>
        <w:rPr>
          <w:rFonts w:cs="Arial"/>
        </w:rPr>
        <w:t xml:space="preserve">Assess the abundance of migrating lamprey </w:t>
      </w:r>
      <w:r w:rsidR="00B23527">
        <w:rPr>
          <w:rFonts w:cs="Arial"/>
        </w:rPr>
        <w:t>at</w:t>
      </w:r>
      <w:r>
        <w:rPr>
          <w:rFonts w:cs="Arial"/>
        </w:rPr>
        <w:t xml:space="preserve"> multiple fishways on the Murray Barrages in winter–spring 2019, and implant individuals with PIT tags;</w:t>
      </w:r>
    </w:p>
    <w:p w14:paraId="03DE7349" w14:textId="0441BE8F" w:rsidR="0045656B" w:rsidRDefault="0045656B" w:rsidP="000D4BBA">
      <w:pPr>
        <w:pStyle w:val="ListParagraph"/>
        <w:numPr>
          <w:ilvl w:val="0"/>
          <w:numId w:val="10"/>
        </w:numPr>
        <w:rPr>
          <w:rFonts w:cs="Arial"/>
        </w:rPr>
      </w:pPr>
      <w:r>
        <w:rPr>
          <w:rFonts w:cs="Arial"/>
        </w:rPr>
        <w:t>Compare abundance from winter–spring 2019 with previous years of targeted lamprey sampling in 2015–2018;</w:t>
      </w:r>
    </w:p>
    <w:p w14:paraId="5DDD6BEA" w14:textId="5B825676" w:rsidR="0020252F" w:rsidRDefault="00B23527" w:rsidP="000D4BBA">
      <w:pPr>
        <w:pStyle w:val="ListParagraph"/>
        <w:numPr>
          <w:ilvl w:val="0"/>
          <w:numId w:val="10"/>
        </w:numPr>
        <w:rPr>
          <w:rFonts w:cs="Arial"/>
        </w:rPr>
      </w:pPr>
      <w:r>
        <w:rPr>
          <w:rFonts w:cs="Arial"/>
        </w:rPr>
        <w:lastRenderedPageBreak/>
        <w:t xml:space="preserve">Interrogate PIT telemetry data from fishways along the River Murray to describe the </w:t>
      </w:r>
      <w:proofErr w:type="spellStart"/>
      <w:r>
        <w:rPr>
          <w:rFonts w:cs="Arial"/>
        </w:rPr>
        <w:t>spatio</w:t>
      </w:r>
      <w:proofErr w:type="spellEnd"/>
      <w:r>
        <w:rPr>
          <w:rFonts w:cs="Arial"/>
        </w:rPr>
        <w:t>-temporal characteristics of migration, including extent, timing and rate, as well as interaction with fishways</w:t>
      </w:r>
      <w:r w:rsidR="0020252F">
        <w:rPr>
          <w:rFonts w:cs="Arial"/>
        </w:rPr>
        <w:t>; and</w:t>
      </w:r>
    </w:p>
    <w:p w14:paraId="1281CF52" w14:textId="41D370CC" w:rsidR="0020252F" w:rsidRPr="00A62761" w:rsidRDefault="00A744B7" w:rsidP="000D4BBA">
      <w:pPr>
        <w:pStyle w:val="ListParagraph"/>
        <w:numPr>
          <w:ilvl w:val="0"/>
          <w:numId w:val="10"/>
        </w:numPr>
        <w:rPr>
          <w:rFonts w:cs="Arial"/>
        </w:rPr>
      </w:pPr>
      <w:r>
        <w:rPr>
          <w:rFonts w:cs="Arial"/>
        </w:rPr>
        <w:t>Evaluate</w:t>
      </w:r>
      <w:r w:rsidR="0020252F">
        <w:rPr>
          <w:rFonts w:cs="Arial"/>
        </w:rPr>
        <w:t xml:space="preserve"> the contribution of Commonwealth </w:t>
      </w:r>
      <w:r w:rsidR="00880702">
        <w:rPr>
          <w:rFonts w:cs="Arial"/>
        </w:rPr>
        <w:t>e</w:t>
      </w:r>
      <w:r w:rsidR="0020252F">
        <w:rPr>
          <w:rFonts w:cs="Arial"/>
        </w:rPr>
        <w:t xml:space="preserve">nvironmental </w:t>
      </w:r>
      <w:r w:rsidR="00880702">
        <w:rPr>
          <w:rFonts w:cs="Arial"/>
        </w:rPr>
        <w:t>w</w:t>
      </w:r>
      <w:r w:rsidR="0020252F">
        <w:rPr>
          <w:rFonts w:cs="Arial"/>
        </w:rPr>
        <w:t xml:space="preserve">ater to connectivity, and the abundance and migration of lamprey at the Murray Barrages in 2019. </w:t>
      </w:r>
    </w:p>
    <w:p w14:paraId="18FB3211" w14:textId="77777777" w:rsidR="0020252F" w:rsidRDefault="0020252F" w:rsidP="00B735DD">
      <w:pPr>
        <w:rPr>
          <w:noProof/>
        </w:rPr>
      </w:pPr>
    </w:p>
    <w:p w14:paraId="77BC6F45" w14:textId="77777777" w:rsidR="0020252F" w:rsidRPr="00B45F1C" w:rsidRDefault="0020252F" w:rsidP="00B735DD"/>
    <w:p w14:paraId="130593A5" w14:textId="34FF3F8E" w:rsidR="0020252F" w:rsidRDefault="00072E17" w:rsidP="0020252F">
      <w:pPr>
        <w:pStyle w:val="Heading1"/>
        <w:numPr>
          <w:ilvl w:val="0"/>
          <w:numId w:val="1"/>
        </w:numPr>
        <w:rPr>
          <w:sz w:val="24"/>
          <w:szCs w:val="24"/>
        </w:rPr>
      </w:pPr>
      <w:bookmarkStart w:id="6" w:name="_Toc36554671"/>
      <w:r>
        <w:rPr>
          <w:sz w:val="24"/>
          <w:szCs w:val="24"/>
        </w:rPr>
        <w:lastRenderedPageBreak/>
        <w:t>M</w:t>
      </w:r>
      <w:r w:rsidR="0020252F">
        <w:rPr>
          <w:sz w:val="24"/>
          <w:szCs w:val="24"/>
        </w:rPr>
        <w:t>ethod</w:t>
      </w:r>
      <w:bookmarkEnd w:id="6"/>
    </w:p>
    <w:p w14:paraId="57FDD1DE" w14:textId="77777777" w:rsidR="0020252F" w:rsidRDefault="0020252F" w:rsidP="0020252F">
      <w:pPr>
        <w:pStyle w:val="Heading2"/>
        <w:numPr>
          <w:ilvl w:val="1"/>
          <w:numId w:val="1"/>
        </w:numPr>
      </w:pPr>
      <w:bookmarkStart w:id="7" w:name="_Toc36554672"/>
      <w:r>
        <w:t>Study area</w:t>
      </w:r>
      <w:bookmarkEnd w:id="7"/>
    </w:p>
    <w:p w14:paraId="3F6922F1" w14:textId="7243B31F" w:rsidR="0020252F" w:rsidRPr="00C56E55" w:rsidRDefault="0020252F" w:rsidP="00B735DD">
      <w:pPr>
        <w:rPr>
          <w:rFonts w:cs="Arial"/>
          <w:noProof/>
        </w:rPr>
      </w:pPr>
      <w:r w:rsidRPr="00C56E55">
        <w:rPr>
          <w:rFonts w:cs="Arial"/>
        </w:rPr>
        <w:t>The MDB covers an area of &gt;1 million km</w:t>
      </w:r>
      <w:r w:rsidRPr="00C56E55">
        <w:rPr>
          <w:rFonts w:cs="Arial"/>
          <w:vertAlign w:val="superscript"/>
        </w:rPr>
        <w:t>2</w:t>
      </w:r>
      <w:r w:rsidRPr="00C56E55">
        <w:rPr>
          <w:rFonts w:cs="Arial"/>
        </w:rPr>
        <w:t xml:space="preserve">. The southern part of the basin, comprising the River Murray and its tributaries, </w:t>
      </w:r>
      <w:r>
        <w:rPr>
          <w:rFonts w:cs="Arial"/>
        </w:rPr>
        <w:t>typically c</w:t>
      </w:r>
      <w:r w:rsidRPr="00C56E55">
        <w:rPr>
          <w:rFonts w:cs="Arial"/>
        </w:rPr>
        <w:t xml:space="preserve">ontributes the bulk of flow, and is </w:t>
      </w:r>
      <w:r>
        <w:rPr>
          <w:rFonts w:cs="Arial"/>
        </w:rPr>
        <w:t xml:space="preserve">extensively </w:t>
      </w:r>
      <w:r w:rsidRPr="00C56E55">
        <w:rPr>
          <w:rFonts w:cs="Arial"/>
        </w:rPr>
        <w:t xml:space="preserve">regulated by </w:t>
      </w:r>
      <w:r>
        <w:rPr>
          <w:rFonts w:cs="Arial"/>
        </w:rPr>
        <w:t>dams and weirs as well as the</w:t>
      </w:r>
      <w:r w:rsidRPr="00C56E55">
        <w:rPr>
          <w:rFonts w:cs="Arial"/>
        </w:rPr>
        <w:t xml:space="preserve"> Murray Barrages near the river mouth </w:t>
      </w:r>
      <w:r>
        <w:rPr>
          <w:rFonts w:cs="Arial"/>
          <w:noProof/>
        </w:rPr>
        <w:t>(Walker and Thoms 1993) (</w:t>
      </w:r>
      <w:r w:rsidRPr="00261334">
        <w:rPr>
          <w:rFonts w:cs="Arial"/>
          <w:noProof/>
        </w:rPr>
        <w:fldChar w:fldCharType="begin"/>
      </w:r>
      <w:r w:rsidRPr="00261334">
        <w:rPr>
          <w:rFonts w:cs="Arial"/>
          <w:noProof/>
        </w:rPr>
        <w:instrText xml:space="preserve"> REF _Ref7617676 \h  \* MERGEFORMAT </w:instrText>
      </w:r>
      <w:r w:rsidRPr="00261334">
        <w:rPr>
          <w:rFonts w:cs="Arial"/>
          <w:noProof/>
        </w:rPr>
      </w:r>
      <w:r w:rsidRPr="00261334">
        <w:rPr>
          <w:rFonts w:cs="Arial"/>
          <w:noProof/>
        </w:rPr>
        <w:fldChar w:fldCharType="separate"/>
      </w:r>
      <w:r w:rsidRPr="005856E0">
        <w:t xml:space="preserve">Figure </w:t>
      </w:r>
      <w:r w:rsidRPr="005856E0">
        <w:rPr>
          <w:noProof/>
        </w:rPr>
        <w:t>1</w:t>
      </w:r>
      <w:r w:rsidRPr="00261334">
        <w:rPr>
          <w:rFonts w:cs="Arial"/>
          <w:noProof/>
        </w:rPr>
        <w:fldChar w:fldCharType="end"/>
      </w:r>
      <w:r w:rsidRPr="00C56E55">
        <w:rPr>
          <w:rFonts w:cs="Arial"/>
          <w:noProof/>
        </w:rPr>
        <w:t xml:space="preserve">). The lower </w:t>
      </w:r>
      <w:r>
        <w:rPr>
          <w:rFonts w:cs="Arial"/>
          <w:noProof/>
        </w:rPr>
        <w:t xml:space="preserve">River </w:t>
      </w:r>
      <w:r w:rsidRPr="00C56E55">
        <w:rPr>
          <w:rFonts w:cs="Arial"/>
          <w:noProof/>
        </w:rPr>
        <w:t xml:space="preserve">Murray is unique </w:t>
      </w:r>
      <w:r>
        <w:rPr>
          <w:rFonts w:cs="Arial"/>
          <w:noProof/>
        </w:rPr>
        <w:t>due to a</w:t>
      </w:r>
      <w:r w:rsidRPr="00C56E55">
        <w:rPr>
          <w:rFonts w:cs="Arial"/>
          <w:noProof/>
        </w:rPr>
        <w:t xml:space="preserve"> lack of </w:t>
      </w:r>
      <w:r>
        <w:rPr>
          <w:rFonts w:cs="Arial"/>
          <w:noProof/>
        </w:rPr>
        <w:t>major</w:t>
      </w:r>
      <w:r w:rsidRPr="00C56E55">
        <w:rPr>
          <w:rFonts w:cs="Arial"/>
          <w:noProof/>
        </w:rPr>
        <w:t xml:space="preserve"> tributaries </w:t>
      </w:r>
      <w:r>
        <w:rPr>
          <w:rFonts w:cs="Arial"/>
          <w:noProof/>
        </w:rPr>
        <w:t>downstream of</w:t>
      </w:r>
      <w:r w:rsidRPr="00C56E55">
        <w:rPr>
          <w:rFonts w:cs="Arial"/>
          <w:noProof/>
        </w:rPr>
        <w:t xml:space="preserve"> the Darling River</w:t>
      </w:r>
      <w:r>
        <w:rPr>
          <w:rFonts w:cs="Arial"/>
          <w:noProof/>
        </w:rPr>
        <w:t xml:space="preserve"> junction (</w:t>
      </w:r>
      <w:r w:rsidRPr="00C56E55">
        <w:rPr>
          <w:rFonts w:cs="Arial"/>
          <w:noProof/>
        </w:rPr>
        <w:t>a distance of approximately 760 km</w:t>
      </w:r>
      <w:r>
        <w:rPr>
          <w:rFonts w:cs="Arial"/>
          <w:noProof/>
        </w:rPr>
        <w:t>)</w:t>
      </w:r>
      <w:r w:rsidRPr="00C56E55">
        <w:rPr>
          <w:rFonts w:cs="Arial"/>
          <w:noProof/>
        </w:rPr>
        <w:t>.</w:t>
      </w:r>
      <w:r>
        <w:rPr>
          <w:rFonts w:cs="Arial"/>
          <w:noProof/>
        </w:rPr>
        <w:t xml:space="preserve"> T</w:t>
      </w:r>
      <w:r w:rsidRPr="00C56E55">
        <w:rPr>
          <w:rFonts w:cs="Arial"/>
          <w:noProof/>
        </w:rPr>
        <w:t xml:space="preserve">he </w:t>
      </w:r>
      <w:r>
        <w:rPr>
          <w:rFonts w:cs="Arial"/>
          <w:noProof/>
        </w:rPr>
        <w:t>R</w:t>
      </w:r>
      <w:r w:rsidRPr="00C56E55">
        <w:rPr>
          <w:rFonts w:cs="Arial"/>
          <w:noProof/>
        </w:rPr>
        <w:t xml:space="preserve">iver </w:t>
      </w:r>
      <w:r>
        <w:rPr>
          <w:rFonts w:cs="Arial"/>
          <w:noProof/>
        </w:rPr>
        <w:t xml:space="preserve">Murray </w:t>
      </w:r>
      <w:r w:rsidRPr="00C56E55">
        <w:rPr>
          <w:rFonts w:cs="Arial"/>
          <w:noProof/>
        </w:rPr>
        <w:t>discharges into Lake Alexandrina (</w:t>
      </w:r>
      <w:r>
        <w:rPr>
          <w:rFonts w:cs="Arial"/>
          <w:noProof/>
        </w:rPr>
        <w:t>&gt;</w:t>
      </w:r>
      <w:r w:rsidRPr="00C56E55">
        <w:rPr>
          <w:rFonts w:cs="Arial"/>
          <w:noProof/>
        </w:rPr>
        <w:t>7</w:t>
      </w:r>
      <w:r>
        <w:rPr>
          <w:rFonts w:cs="Arial"/>
          <w:noProof/>
        </w:rPr>
        <w:t>5</w:t>
      </w:r>
      <w:r w:rsidRPr="00C56E55">
        <w:rPr>
          <w:rFonts w:cs="Arial"/>
          <w:noProof/>
        </w:rPr>
        <w:t>0 km</w:t>
      </w:r>
      <w:r w:rsidRPr="00C56E55">
        <w:rPr>
          <w:rFonts w:cs="Arial"/>
          <w:noProof/>
          <w:vertAlign w:val="superscript"/>
        </w:rPr>
        <w:t>2</w:t>
      </w:r>
      <w:r w:rsidRPr="00C56E55">
        <w:rPr>
          <w:rFonts w:cs="Arial"/>
          <w:noProof/>
        </w:rPr>
        <w:t xml:space="preserve">), before reaching the Coorong </w:t>
      </w:r>
      <w:r w:rsidR="00693B33">
        <w:rPr>
          <w:rFonts w:cs="Arial"/>
          <w:noProof/>
        </w:rPr>
        <w:t>e</w:t>
      </w:r>
      <w:r w:rsidRPr="00C56E55">
        <w:rPr>
          <w:rFonts w:cs="Arial"/>
          <w:noProof/>
        </w:rPr>
        <w:t>stuary and Southern Ocean. Several small tributaries (Finniss River, Currency Creek, Bremer River, Angas River) discharge into Lake Alexan</w:t>
      </w:r>
      <w:r>
        <w:rPr>
          <w:rFonts w:cs="Arial"/>
          <w:noProof/>
        </w:rPr>
        <w:t>d</w:t>
      </w:r>
      <w:r w:rsidRPr="00C56E55">
        <w:rPr>
          <w:rFonts w:cs="Arial"/>
          <w:noProof/>
        </w:rPr>
        <w:t>rina, which is discon</w:t>
      </w:r>
      <w:r>
        <w:rPr>
          <w:rFonts w:cs="Arial"/>
          <w:noProof/>
        </w:rPr>
        <w:t>n</w:t>
      </w:r>
      <w:r w:rsidRPr="00C56E55">
        <w:rPr>
          <w:rFonts w:cs="Arial"/>
          <w:noProof/>
        </w:rPr>
        <w:t xml:space="preserve">ected from the river estuary (the Coorong) by the Murray Barrages. </w:t>
      </w:r>
      <w:r>
        <w:rPr>
          <w:rFonts w:cs="Arial"/>
          <w:noProof/>
        </w:rPr>
        <w:t>Overall end-of-system discharge has been greatly reduced due to river regulation and water abstraction with mean discharge (4</w:t>
      </w:r>
      <w:r w:rsidR="00693B33">
        <w:rPr>
          <w:rFonts w:cs="Arial"/>
          <w:noProof/>
        </w:rPr>
        <w:t>,</w:t>
      </w:r>
      <w:r>
        <w:rPr>
          <w:rFonts w:cs="Arial"/>
          <w:noProof/>
        </w:rPr>
        <w:t>723 GL.yr</w:t>
      </w:r>
      <w:r>
        <w:rPr>
          <w:rFonts w:cs="Arial"/>
          <w:noProof/>
          <w:vertAlign w:val="superscript"/>
        </w:rPr>
        <w:t>-1</w:t>
      </w:r>
      <w:r>
        <w:rPr>
          <w:rFonts w:cs="Arial"/>
          <w:noProof/>
        </w:rPr>
        <w:t>) now approximately a third of natural (12,233 GL.yr</w:t>
      </w:r>
      <w:r>
        <w:rPr>
          <w:rFonts w:cs="Arial"/>
          <w:noProof/>
          <w:vertAlign w:val="superscript"/>
        </w:rPr>
        <w:t>-1</w:t>
      </w:r>
      <w:r>
        <w:rPr>
          <w:rFonts w:cs="Arial"/>
          <w:noProof/>
        </w:rPr>
        <w:t>).</w:t>
      </w:r>
    </w:p>
    <w:p w14:paraId="3F6E439A" w14:textId="51588122" w:rsidR="0020252F" w:rsidRDefault="0020252F" w:rsidP="00B735DD">
      <w:pPr>
        <w:rPr>
          <w:rFonts w:cs="Arial"/>
          <w:noProof/>
        </w:rPr>
      </w:pPr>
      <w:r w:rsidRPr="00C56E55">
        <w:rPr>
          <w:rFonts w:cs="Arial"/>
          <w:noProof/>
        </w:rPr>
        <w:t>All main channel weirs on the River Murray, and the Murray Barrages, have been retrofit</w:t>
      </w:r>
      <w:r>
        <w:rPr>
          <w:rFonts w:cs="Arial"/>
          <w:noProof/>
        </w:rPr>
        <w:t>t</w:t>
      </w:r>
      <w:r w:rsidRPr="00C56E55">
        <w:rPr>
          <w:rFonts w:cs="Arial"/>
          <w:noProof/>
        </w:rPr>
        <w:t xml:space="preserve">ed </w:t>
      </w:r>
      <w:r>
        <w:rPr>
          <w:rFonts w:cs="Arial"/>
          <w:noProof/>
        </w:rPr>
        <w:t>with</w:t>
      </w:r>
      <w:r w:rsidRPr="00C56E55">
        <w:rPr>
          <w:rFonts w:cs="Arial"/>
          <w:noProof/>
        </w:rPr>
        <w:t xml:space="preserve"> fishways </w:t>
      </w:r>
      <w:r>
        <w:rPr>
          <w:rFonts w:cs="Arial"/>
          <w:noProof/>
        </w:rPr>
        <w:t>to</w:t>
      </w:r>
      <w:r w:rsidRPr="00C56E55">
        <w:rPr>
          <w:rFonts w:cs="Arial"/>
          <w:noProof/>
        </w:rPr>
        <w:t xml:space="preserve"> facilitat</w:t>
      </w:r>
      <w:r>
        <w:rPr>
          <w:rFonts w:cs="Arial"/>
          <w:noProof/>
        </w:rPr>
        <w:t>e upstream</w:t>
      </w:r>
      <w:r w:rsidRPr="00C56E55">
        <w:rPr>
          <w:rFonts w:cs="Arial"/>
          <w:noProof/>
        </w:rPr>
        <w:t xml:space="preserve"> fish movement </w:t>
      </w:r>
      <w:r>
        <w:rPr>
          <w:rFonts w:cs="Arial"/>
          <w:noProof/>
        </w:rPr>
        <w:t>(Baumgartner et al. 2014)</w:t>
      </w:r>
      <w:r w:rsidRPr="00C56E55">
        <w:rPr>
          <w:rFonts w:cs="Arial"/>
          <w:noProof/>
        </w:rPr>
        <w:t xml:space="preserve">. At the Murray Barrages, a total of </w:t>
      </w:r>
      <w:r w:rsidR="00B23527">
        <w:rPr>
          <w:rFonts w:cs="Arial"/>
          <w:noProof/>
        </w:rPr>
        <w:t>11</w:t>
      </w:r>
      <w:r w:rsidRPr="00C56E55">
        <w:rPr>
          <w:rFonts w:cs="Arial"/>
          <w:noProof/>
        </w:rPr>
        <w:t xml:space="preserve"> fishways had been constructed at the time of the study</w:t>
      </w:r>
      <w:r>
        <w:rPr>
          <w:rFonts w:cs="Arial"/>
          <w:noProof/>
        </w:rPr>
        <w:t>,</w:t>
      </w:r>
      <w:r w:rsidRPr="00C56E55">
        <w:rPr>
          <w:rFonts w:cs="Arial"/>
          <w:noProof/>
        </w:rPr>
        <w:t xml:space="preserve"> comprising varying vertical-slot and rock ramp designs </w:t>
      </w:r>
      <w:r>
        <w:rPr>
          <w:rFonts w:cs="Arial"/>
          <w:noProof/>
        </w:rPr>
        <w:t>(Bice et al. 2017)</w:t>
      </w:r>
      <w:r w:rsidRPr="00C56E55">
        <w:rPr>
          <w:rFonts w:cs="Arial"/>
          <w:noProof/>
        </w:rPr>
        <w:t xml:space="preserve">. The main channel River Murray weirs </w:t>
      </w:r>
      <w:r>
        <w:rPr>
          <w:rFonts w:cs="Arial"/>
          <w:noProof/>
        </w:rPr>
        <w:t xml:space="preserve">also </w:t>
      </w:r>
      <w:r w:rsidRPr="00C56E55">
        <w:rPr>
          <w:rFonts w:cs="Arial"/>
          <w:noProof/>
        </w:rPr>
        <w:t xml:space="preserve">comprise </w:t>
      </w:r>
      <w:r>
        <w:rPr>
          <w:rFonts w:cs="Arial"/>
          <w:noProof/>
        </w:rPr>
        <w:t>varying</w:t>
      </w:r>
      <w:r w:rsidRPr="00C56E55">
        <w:rPr>
          <w:rFonts w:cs="Arial"/>
          <w:noProof/>
        </w:rPr>
        <w:t xml:space="preserve"> </w:t>
      </w:r>
      <w:r w:rsidR="00693B33">
        <w:rPr>
          <w:rFonts w:cs="Arial"/>
          <w:noProof/>
        </w:rPr>
        <w:t xml:space="preserve">fishway </w:t>
      </w:r>
      <w:r w:rsidRPr="00C56E55">
        <w:rPr>
          <w:rFonts w:cs="Arial"/>
          <w:noProof/>
        </w:rPr>
        <w:t>designs</w:t>
      </w:r>
      <w:r>
        <w:rPr>
          <w:rFonts w:cs="Arial"/>
          <w:noProof/>
        </w:rPr>
        <w:t>:</w:t>
      </w:r>
      <w:r w:rsidRPr="00C56E55">
        <w:rPr>
          <w:rFonts w:cs="Arial"/>
          <w:noProof/>
        </w:rPr>
        <w:t xml:space="preserve"> 1) 1:32 </w:t>
      </w:r>
      <w:r>
        <w:rPr>
          <w:rFonts w:cs="Arial"/>
          <w:noProof/>
        </w:rPr>
        <w:t xml:space="preserve">slope </w:t>
      </w:r>
      <w:r w:rsidRPr="00C56E55">
        <w:rPr>
          <w:rFonts w:cs="Arial"/>
          <w:noProof/>
        </w:rPr>
        <w:t>vertical-s</w:t>
      </w:r>
      <w:r>
        <w:rPr>
          <w:rFonts w:cs="Arial"/>
          <w:noProof/>
        </w:rPr>
        <w:t>lot fishways (Locks 1 and 7–10);</w:t>
      </w:r>
      <w:r w:rsidRPr="00C56E55">
        <w:rPr>
          <w:rFonts w:cs="Arial"/>
          <w:noProof/>
        </w:rPr>
        <w:t xml:space="preserve"> 2) 1:23</w:t>
      </w:r>
      <w:r>
        <w:rPr>
          <w:rFonts w:cs="Arial"/>
          <w:noProof/>
        </w:rPr>
        <w:t xml:space="preserve"> slope</w:t>
      </w:r>
      <w:r w:rsidRPr="00C56E55">
        <w:rPr>
          <w:rFonts w:cs="Arial"/>
          <w:noProof/>
        </w:rPr>
        <w:t xml:space="preserve"> vertical-slot fishways paired with a fishlock (Locks 2–6), </w:t>
      </w:r>
      <w:r>
        <w:rPr>
          <w:rFonts w:cs="Arial"/>
          <w:noProof/>
        </w:rPr>
        <w:t>3) a 1:18 slope vertical-slot fishway (Lock 26); or 4</w:t>
      </w:r>
      <w:r w:rsidRPr="00C56E55">
        <w:rPr>
          <w:rFonts w:cs="Arial"/>
          <w:noProof/>
        </w:rPr>
        <w:t>) Denil fishway</w:t>
      </w:r>
      <w:r>
        <w:rPr>
          <w:rFonts w:cs="Arial"/>
          <w:noProof/>
        </w:rPr>
        <w:t>s</w:t>
      </w:r>
      <w:r w:rsidRPr="00C56E55">
        <w:rPr>
          <w:rFonts w:cs="Arial"/>
          <w:noProof/>
        </w:rPr>
        <w:t xml:space="preserve"> </w:t>
      </w:r>
      <w:r>
        <w:rPr>
          <w:rFonts w:cs="Arial"/>
          <w:noProof/>
        </w:rPr>
        <w:t>(</w:t>
      </w:r>
      <w:r w:rsidRPr="00C56E55">
        <w:rPr>
          <w:rFonts w:cs="Arial"/>
          <w:noProof/>
        </w:rPr>
        <w:t>Lock 11</w:t>
      </w:r>
      <w:r>
        <w:rPr>
          <w:rFonts w:cs="Arial"/>
          <w:noProof/>
        </w:rPr>
        <w:t xml:space="preserve"> and 15)</w:t>
      </w:r>
      <w:r w:rsidRPr="00C56E55">
        <w:rPr>
          <w:rFonts w:cs="Arial"/>
          <w:noProof/>
        </w:rPr>
        <w:t xml:space="preserve">.  </w:t>
      </w:r>
    </w:p>
    <w:p w14:paraId="042452CD" w14:textId="77777777" w:rsidR="0020252F" w:rsidRDefault="0020252F">
      <w:pPr>
        <w:spacing w:after="160" w:line="259" w:lineRule="auto"/>
        <w:jc w:val="left"/>
        <w:rPr>
          <w:rFonts w:cs="Arial"/>
          <w:noProof/>
        </w:rPr>
      </w:pPr>
      <w:r>
        <w:rPr>
          <w:rFonts w:cs="Arial"/>
          <w:noProof/>
        </w:rPr>
        <w:br w:type="page"/>
      </w:r>
    </w:p>
    <w:p w14:paraId="00892C83" w14:textId="77777777" w:rsidR="0020252F" w:rsidRDefault="0020252F" w:rsidP="00B735DD">
      <w:pPr>
        <w:spacing w:line="240" w:lineRule="auto"/>
        <w:jc w:val="center"/>
        <w:rPr>
          <w:rFonts w:cs="Arial"/>
          <w:noProof/>
        </w:rPr>
      </w:pPr>
      <w:r w:rsidRPr="00431259">
        <w:rPr>
          <w:noProof/>
          <w:lang w:val="en-AU" w:eastAsia="en-AU"/>
        </w:rPr>
        <w:lastRenderedPageBreak/>
        <w:drawing>
          <wp:inline distT="0" distB="0" distL="0" distR="0" wp14:anchorId="5BF993D4" wp14:editId="10A91392">
            <wp:extent cx="5943600" cy="420059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200599"/>
                    </a:xfrm>
                    <a:prstGeom prst="rect">
                      <a:avLst/>
                    </a:prstGeom>
                    <a:noFill/>
                    <a:ln>
                      <a:noFill/>
                    </a:ln>
                  </pic:spPr>
                </pic:pic>
              </a:graphicData>
            </a:graphic>
          </wp:inline>
        </w:drawing>
      </w:r>
    </w:p>
    <w:p w14:paraId="297D4D3F" w14:textId="6713525C" w:rsidR="0020252F" w:rsidRPr="00504E65" w:rsidRDefault="0020252F" w:rsidP="00B735DD">
      <w:pPr>
        <w:pStyle w:val="Caption"/>
        <w:rPr>
          <w:rFonts w:cs="Arial"/>
          <w:i w:val="0"/>
          <w:noProof/>
          <w:color w:val="auto"/>
          <w:sz w:val="20"/>
          <w:szCs w:val="20"/>
        </w:rPr>
      </w:pPr>
      <w:bookmarkStart w:id="8" w:name="_Ref7617676"/>
      <w:bookmarkStart w:id="9" w:name="_Toc37064890"/>
      <w:r w:rsidRPr="00504E65">
        <w:rPr>
          <w:b/>
          <w:i w:val="0"/>
          <w:color w:val="auto"/>
          <w:sz w:val="20"/>
          <w:szCs w:val="20"/>
        </w:rPr>
        <w:t xml:space="preserve">Figure </w:t>
      </w:r>
      <w:r w:rsidRPr="00504E65">
        <w:rPr>
          <w:b/>
          <w:i w:val="0"/>
          <w:color w:val="auto"/>
          <w:sz w:val="20"/>
          <w:szCs w:val="20"/>
        </w:rPr>
        <w:fldChar w:fldCharType="begin"/>
      </w:r>
      <w:r w:rsidRPr="00504E65">
        <w:rPr>
          <w:b/>
          <w:i w:val="0"/>
          <w:color w:val="auto"/>
          <w:sz w:val="20"/>
          <w:szCs w:val="20"/>
        </w:rPr>
        <w:instrText xml:space="preserve"> SEQ Figure \* ARABIC </w:instrText>
      </w:r>
      <w:r w:rsidRPr="00504E65">
        <w:rPr>
          <w:b/>
          <w:i w:val="0"/>
          <w:color w:val="auto"/>
          <w:sz w:val="20"/>
          <w:szCs w:val="20"/>
        </w:rPr>
        <w:fldChar w:fldCharType="separate"/>
      </w:r>
      <w:r>
        <w:rPr>
          <w:b/>
          <w:i w:val="0"/>
          <w:noProof/>
          <w:color w:val="auto"/>
          <w:sz w:val="20"/>
          <w:szCs w:val="20"/>
        </w:rPr>
        <w:t>1</w:t>
      </w:r>
      <w:r w:rsidRPr="00504E65">
        <w:rPr>
          <w:b/>
          <w:i w:val="0"/>
          <w:color w:val="auto"/>
          <w:sz w:val="20"/>
          <w:szCs w:val="20"/>
        </w:rPr>
        <w:fldChar w:fldCharType="end"/>
      </w:r>
      <w:bookmarkEnd w:id="8"/>
      <w:r w:rsidRPr="00504E65">
        <w:rPr>
          <w:b/>
          <w:i w:val="0"/>
          <w:color w:val="auto"/>
          <w:sz w:val="20"/>
          <w:szCs w:val="20"/>
        </w:rPr>
        <w:t xml:space="preserve">. </w:t>
      </w:r>
      <w:r w:rsidRPr="00504E65">
        <w:rPr>
          <w:i w:val="0"/>
          <w:color w:val="auto"/>
          <w:sz w:val="20"/>
          <w:szCs w:val="20"/>
        </w:rPr>
        <w:t>Map of the River Murray from Lock 15 (Euston) downstream to the Murray Mouth showing the positioning of lock and weir structures. Inset map presents the Murray Barrages, namely Goolwa (GB), Mundoo (MB), Boundary Creek (BC), Ewe Island (EIB) and Tauwitchere (TB)</w:t>
      </w:r>
      <w:r w:rsidR="00B26750">
        <w:rPr>
          <w:i w:val="0"/>
          <w:color w:val="auto"/>
          <w:sz w:val="20"/>
          <w:szCs w:val="20"/>
        </w:rPr>
        <w:t xml:space="preserve">, as well as Hindmarsh (HI) and </w:t>
      </w:r>
      <w:proofErr w:type="spellStart"/>
      <w:r w:rsidR="00B26750">
        <w:rPr>
          <w:i w:val="0"/>
          <w:color w:val="auto"/>
          <w:sz w:val="20"/>
          <w:szCs w:val="20"/>
        </w:rPr>
        <w:t>Mundoo</w:t>
      </w:r>
      <w:proofErr w:type="spellEnd"/>
      <w:r w:rsidR="00B26750">
        <w:rPr>
          <w:i w:val="0"/>
          <w:color w:val="auto"/>
          <w:sz w:val="20"/>
          <w:szCs w:val="20"/>
        </w:rPr>
        <w:t xml:space="preserve"> islands (MI)</w:t>
      </w:r>
      <w:r w:rsidRPr="00504E65">
        <w:rPr>
          <w:i w:val="0"/>
          <w:color w:val="auto"/>
          <w:sz w:val="20"/>
          <w:szCs w:val="20"/>
        </w:rPr>
        <w:t>.</w:t>
      </w:r>
      <w:bookmarkEnd w:id="9"/>
    </w:p>
    <w:p w14:paraId="47093172" w14:textId="77777777" w:rsidR="0020252F" w:rsidRDefault="0020252F" w:rsidP="00A744B7"/>
    <w:p w14:paraId="46BAB34D" w14:textId="77777777" w:rsidR="0020252F" w:rsidRDefault="0020252F" w:rsidP="00B735DD">
      <w:pPr>
        <w:pStyle w:val="Heading2"/>
        <w:numPr>
          <w:ilvl w:val="1"/>
          <w:numId w:val="5"/>
        </w:numPr>
      </w:pPr>
      <w:bookmarkStart w:id="10" w:name="_Toc36554673"/>
      <w:r>
        <w:t>Lamprey sampling and tagging</w:t>
      </w:r>
      <w:bookmarkEnd w:id="10"/>
    </w:p>
    <w:p w14:paraId="037D5AB5" w14:textId="77ACE59B" w:rsidR="0020252F" w:rsidRDefault="0020252F" w:rsidP="00B735DD">
      <w:r w:rsidRPr="00D45EEA">
        <w:rPr>
          <w:rFonts w:cs="Arial"/>
        </w:rPr>
        <w:t xml:space="preserve">Pouched lamprey </w:t>
      </w:r>
      <w:r>
        <w:rPr>
          <w:rFonts w:cs="Arial"/>
        </w:rPr>
        <w:t xml:space="preserve">and short-headed lamprey </w:t>
      </w:r>
      <w:r w:rsidRPr="00D45EEA">
        <w:rPr>
          <w:rFonts w:cs="Arial"/>
        </w:rPr>
        <w:t xml:space="preserve">were </w:t>
      </w:r>
      <w:r>
        <w:rPr>
          <w:rFonts w:cs="Arial"/>
        </w:rPr>
        <w:t>sampl</w:t>
      </w:r>
      <w:r w:rsidRPr="00D45EEA">
        <w:rPr>
          <w:rFonts w:cs="Arial"/>
        </w:rPr>
        <w:t>ed from fishways on the Murray Barrages using fishway traps</w:t>
      </w:r>
      <w:r>
        <w:t xml:space="preserve"> </w:t>
      </w:r>
      <w:r>
        <w:rPr>
          <w:noProof/>
        </w:rPr>
        <w:t>(Bice et al. 2017, Bice et al. 2019a)</w:t>
      </w:r>
      <w:r>
        <w:t xml:space="preserve">. </w:t>
      </w:r>
      <w:r w:rsidR="0002493A">
        <w:t xml:space="preserve">Targeted </w:t>
      </w:r>
      <w:r>
        <w:t>sampling for lamprey was conducted from 9 July</w:t>
      </w:r>
      <w:r>
        <w:rPr>
          <w:rFonts w:cs="Arial"/>
        </w:rPr>
        <w:t>–4</w:t>
      </w:r>
      <w:r>
        <w:t xml:space="preserve"> October 2019 (</w:t>
      </w:r>
      <w:r>
        <w:rPr>
          <w:i/>
        </w:rPr>
        <w:t xml:space="preserve">n </w:t>
      </w:r>
      <w:r>
        <w:t>= 1</w:t>
      </w:r>
      <w:r w:rsidR="00A744B7">
        <w:t>1</w:t>
      </w:r>
      <w:r>
        <w:rPr>
          <w:rFonts w:cs="Arial"/>
        </w:rPr>
        <w:t>–</w:t>
      </w:r>
      <w:r>
        <w:t xml:space="preserve">20 sampling events per fishway) at </w:t>
      </w:r>
      <w:r w:rsidR="000C1860">
        <w:t xml:space="preserve">seven </w:t>
      </w:r>
      <w:r>
        <w:t xml:space="preserve">vertical-slot fishways on Goolwa, Mundoo, Boundary Creek, Ewe Island and </w:t>
      </w:r>
      <w:proofErr w:type="spellStart"/>
      <w:r>
        <w:t>Tauwitchere</w:t>
      </w:r>
      <w:proofErr w:type="spellEnd"/>
      <w:r>
        <w:t xml:space="preserve"> barrages </w:t>
      </w:r>
      <w:r w:rsidRPr="0020252F">
        <w:t>(</w:t>
      </w:r>
      <w:r w:rsidRPr="0020252F">
        <w:fldChar w:fldCharType="begin"/>
      </w:r>
      <w:r w:rsidRPr="0020252F">
        <w:instrText xml:space="preserve"> REF _Ref7617676 \h  \* MERGEFORMAT </w:instrText>
      </w:r>
      <w:r w:rsidRPr="0020252F">
        <w:fldChar w:fldCharType="separate"/>
      </w:r>
      <w:r w:rsidRPr="0020252F">
        <w:t xml:space="preserve">Figure </w:t>
      </w:r>
      <w:r w:rsidRPr="0020252F">
        <w:rPr>
          <w:noProof/>
        </w:rPr>
        <w:t>1</w:t>
      </w:r>
      <w:r w:rsidRPr="0020252F">
        <w:fldChar w:fldCharType="end"/>
      </w:r>
      <w:r w:rsidRPr="0020252F">
        <w:t xml:space="preserve"> and </w:t>
      </w:r>
      <w:r w:rsidRPr="0020252F">
        <w:fldChar w:fldCharType="begin"/>
      </w:r>
      <w:r w:rsidRPr="0020252F">
        <w:instrText xml:space="preserve"> REF _Ref29374373 \h  \* MERGEFORMAT </w:instrText>
      </w:r>
      <w:r w:rsidRPr="0020252F">
        <w:fldChar w:fldCharType="separate"/>
      </w:r>
      <w:r w:rsidRPr="0020252F">
        <w:t xml:space="preserve">Table </w:t>
      </w:r>
      <w:r w:rsidRPr="0020252F">
        <w:rPr>
          <w:noProof/>
        </w:rPr>
        <w:t>1</w:t>
      </w:r>
      <w:r w:rsidRPr="0020252F">
        <w:fldChar w:fldCharType="end"/>
      </w:r>
      <w:r w:rsidRPr="0020252F">
        <w:t>)</w:t>
      </w:r>
      <w:r>
        <w:t>. Additional sampling occurred on 21</w:t>
      </w:r>
      <w:r>
        <w:rPr>
          <w:rFonts w:cs="Arial"/>
        </w:rPr>
        <w:t>–</w:t>
      </w:r>
      <w:r>
        <w:t>25 October and 18</w:t>
      </w:r>
      <w:r>
        <w:rPr>
          <w:rFonts w:cs="Arial"/>
        </w:rPr>
        <w:t>–</w:t>
      </w:r>
      <w:r>
        <w:t xml:space="preserve">22 November at </w:t>
      </w:r>
      <w:r w:rsidR="000C1860">
        <w:t xml:space="preserve">five </w:t>
      </w:r>
      <w:r>
        <w:t xml:space="preserve">fishways on Goolwa and Tauwitchere barrages, and the Hunters creek causeway, as part of </w:t>
      </w:r>
      <w:r w:rsidR="00A744B7">
        <w:t>TLM</w:t>
      </w:r>
      <w:r>
        <w:t xml:space="preserve"> condition</w:t>
      </w:r>
      <w:r w:rsidR="00A744B7">
        <w:t>/intervention</w:t>
      </w:r>
      <w:r>
        <w:t xml:space="preserve"> monitoring, and data on lamprey captures from these events are also reported. During each sampling event, traps were set overnight, and deployed and retrieved using a crane truck. Upon retrieval, all trapped fish were removed and </w:t>
      </w:r>
      <w:r>
        <w:lastRenderedPageBreak/>
        <w:t>placed into aerated holding tanks. Lamprey were sorted from the catch for processing and all remaining fish released upstream.</w:t>
      </w:r>
    </w:p>
    <w:p w14:paraId="7B0D7B09" w14:textId="53212851" w:rsidR="0020252F" w:rsidRPr="00504E65" w:rsidRDefault="0020252F" w:rsidP="00B735DD">
      <w:pPr>
        <w:pStyle w:val="Caption"/>
        <w:rPr>
          <w:i w:val="0"/>
          <w:color w:val="auto"/>
          <w:sz w:val="20"/>
          <w:szCs w:val="20"/>
        </w:rPr>
      </w:pPr>
      <w:bookmarkStart w:id="11" w:name="_Ref29374373"/>
      <w:r w:rsidRPr="00504E65">
        <w:rPr>
          <w:b/>
          <w:i w:val="0"/>
          <w:color w:val="auto"/>
          <w:sz w:val="20"/>
          <w:szCs w:val="20"/>
        </w:rPr>
        <w:t xml:space="preserve">Table </w:t>
      </w:r>
      <w:r w:rsidRPr="00504E65">
        <w:rPr>
          <w:b/>
          <w:i w:val="0"/>
          <w:color w:val="auto"/>
          <w:sz w:val="20"/>
          <w:szCs w:val="20"/>
        </w:rPr>
        <w:fldChar w:fldCharType="begin"/>
      </w:r>
      <w:r w:rsidRPr="00504E65">
        <w:rPr>
          <w:b/>
          <w:i w:val="0"/>
          <w:color w:val="auto"/>
          <w:sz w:val="20"/>
          <w:szCs w:val="20"/>
        </w:rPr>
        <w:instrText xml:space="preserve"> SEQ Table \* ARABIC </w:instrText>
      </w:r>
      <w:r w:rsidRPr="00504E65">
        <w:rPr>
          <w:b/>
          <w:i w:val="0"/>
          <w:color w:val="auto"/>
          <w:sz w:val="20"/>
          <w:szCs w:val="20"/>
        </w:rPr>
        <w:fldChar w:fldCharType="separate"/>
      </w:r>
      <w:r>
        <w:rPr>
          <w:b/>
          <w:i w:val="0"/>
          <w:noProof/>
          <w:color w:val="auto"/>
          <w:sz w:val="20"/>
          <w:szCs w:val="20"/>
        </w:rPr>
        <w:t>1</w:t>
      </w:r>
      <w:r w:rsidRPr="00504E65">
        <w:rPr>
          <w:b/>
          <w:i w:val="0"/>
          <w:color w:val="auto"/>
          <w:sz w:val="20"/>
          <w:szCs w:val="20"/>
        </w:rPr>
        <w:fldChar w:fldCharType="end"/>
      </w:r>
      <w:bookmarkEnd w:id="11"/>
      <w:r w:rsidRPr="00504E65">
        <w:rPr>
          <w:b/>
          <w:i w:val="0"/>
          <w:color w:val="auto"/>
          <w:sz w:val="20"/>
          <w:szCs w:val="20"/>
        </w:rPr>
        <w:t>.</w:t>
      </w:r>
      <w:r w:rsidRPr="00504E65">
        <w:rPr>
          <w:rFonts w:cs="Arial"/>
          <w:i w:val="0"/>
          <w:color w:val="auto"/>
          <w:sz w:val="20"/>
          <w:szCs w:val="20"/>
        </w:rPr>
        <w:t xml:space="preserve"> Details of fishway sampling sites at the Murray Barrages, including number of sampling events during </w:t>
      </w:r>
      <w:r w:rsidR="004A48A3">
        <w:rPr>
          <w:rFonts w:cs="Arial"/>
          <w:i w:val="0"/>
          <w:color w:val="auto"/>
          <w:sz w:val="20"/>
          <w:szCs w:val="20"/>
        </w:rPr>
        <w:t xml:space="preserve">targeted </w:t>
      </w:r>
      <w:r w:rsidRPr="00504E65">
        <w:rPr>
          <w:rFonts w:cs="Arial"/>
          <w:i w:val="0"/>
          <w:color w:val="auto"/>
          <w:sz w:val="20"/>
          <w:szCs w:val="20"/>
        </w:rPr>
        <w:t>lamprey sampling and TLM condition monitoring.</w:t>
      </w:r>
    </w:p>
    <w:tbl>
      <w:tblPr>
        <w:tblStyle w:val="TableGrid"/>
        <w:tblW w:w="0" w:type="auto"/>
        <w:tblLook w:val="04A0" w:firstRow="1" w:lastRow="0" w:firstColumn="1" w:lastColumn="0" w:noHBand="0" w:noVBand="1"/>
      </w:tblPr>
      <w:tblGrid>
        <w:gridCol w:w="2037"/>
        <w:gridCol w:w="1081"/>
        <w:gridCol w:w="1370"/>
        <w:gridCol w:w="1379"/>
        <w:gridCol w:w="1479"/>
        <w:gridCol w:w="1007"/>
        <w:gridCol w:w="1007"/>
      </w:tblGrid>
      <w:tr w:rsidR="004A48A3" w:rsidRPr="006F3059" w14:paraId="3547C256" w14:textId="77777777" w:rsidTr="0002493A">
        <w:trPr>
          <w:trHeight w:val="202"/>
        </w:trPr>
        <w:tc>
          <w:tcPr>
            <w:tcW w:w="2268" w:type="dxa"/>
            <w:tcBorders>
              <w:left w:val="nil"/>
              <w:bottom w:val="single" w:sz="4" w:space="0" w:color="auto"/>
              <w:right w:val="nil"/>
            </w:tcBorders>
          </w:tcPr>
          <w:p w14:paraId="4F360BB1" w14:textId="77777777" w:rsidR="0020252F" w:rsidRPr="00A744B7" w:rsidRDefault="0020252F" w:rsidP="00B735DD">
            <w:pPr>
              <w:spacing w:after="120" w:line="240" w:lineRule="auto"/>
              <w:jc w:val="left"/>
              <w:rPr>
                <w:rFonts w:cs="Arial"/>
                <w:b/>
                <w:sz w:val="18"/>
                <w:szCs w:val="18"/>
              </w:rPr>
            </w:pPr>
            <w:r w:rsidRPr="00A744B7">
              <w:rPr>
                <w:rFonts w:cs="Arial"/>
                <w:b/>
                <w:sz w:val="18"/>
                <w:szCs w:val="18"/>
              </w:rPr>
              <w:t>Name</w:t>
            </w:r>
          </w:p>
        </w:tc>
        <w:tc>
          <w:tcPr>
            <w:tcW w:w="1134" w:type="dxa"/>
            <w:tcBorders>
              <w:left w:val="nil"/>
              <w:bottom w:val="single" w:sz="4" w:space="0" w:color="auto"/>
              <w:right w:val="nil"/>
            </w:tcBorders>
          </w:tcPr>
          <w:p w14:paraId="676B7637" w14:textId="77777777" w:rsidR="0020252F" w:rsidRPr="00A744B7" w:rsidRDefault="0020252F" w:rsidP="00B735DD">
            <w:pPr>
              <w:spacing w:after="120" w:line="240" w:lineRule="auto"/>
              <w:jc w:val="center"/>
              <w:rPr>
                <w:rFonts w:cs="Arial"/>
                <w:b/>
                <w:sz w:val="18"/>
                <w:szCs w:val="18"/>
              </w:rPr>
            </w:pPr>
            <w:r w:rsidRPr="00A744B7">
              <w:rPr>
                <w:rFonts w:cs="Arial"/>
                <w:b/>
                <w:sz w:val="18"/>
                <w:szCs w:val="18"/>
              </w:rPr>
              <w:t>Abbrev.</w:t>
            </w:r>
          </w:p>
        </w:tc>
        <w:tc>
          <w:tcPr>
            <w:tcW w:w="1418" w:type="dxa"/>
            <w:tcBorders>
              <w:left w:val="nil"/>
              <w:bottom w:val="single" w:sz="4" w:space="0" w:color="auto"/>
              <w:right w:val="nil"/>
            </w:tcBorders>
          </w:tcPr>
          <w:p w14:paraId="20A311EB" w14:textId="77777777" w:rsidR="0020252F" w:rsidRPr="00A744B7" w:rsidRDefault="0020252F" w:rsidP="00B735DD">
            <w:pPr>
              <w:spacing w:after="120" w:line="240" w:lineRule="auto"/>
              <w:jc w:val="center"/>
              <w:rPr>
                <w:rFonts w:cs="Arial"/>
                <w:b/>
                <w:sz w:val="18"/>
                <w:szCs w:val="18"/>
              </w:rPr>
            </w:pPr>
            <w:r w:rsidRPr="00A744B7">
              <w:rPr>
                <w:rFonts w:cs="Arial"/>
                <w:b/>
                <w:sz w:val="18"/>
                <w:szCs w:val="18"/>
              </w:rPr>
              <w:t>Barrage</w:t>
            </w:r>
          </w:p>
        </w:tc>
        <w:tc>
          <w:tcPr>
            <w:tcW w:w="1276" w:type="dxa"/>
            <w:tcBorders>
              <w:left w:val="nil"/>
              <w:bottom w:val="single" w:sz="4" w:space="0" w:color="auto"/>
              <w:right w:val="nil"/>
            </w:tcBorders>
          </w:tcPr>
          <w:p w14:paraId="2AF33A77" w14:textId="77777777" w:rsidR="0020252F" w:rsidRPr="00A744B7" w:rsidRDefault="0020252F" w:rsidP="00B735DD">
            <w:pPr>
              <w:spacing w:after="120" w:line="240" w:lineRule="auto"/>
              <w:jc w:val="center"/>
              <w:rPr>
                <w:rFonts w:cs="Arial"/>
                <w:b/>
                <w:sz w:val="18"/>
                <w:szCs w:val="18"/>
              </w:rPr>
            </w:pPr>
            <w:r w:rsidRPr="00A744B7">
              <w:rPr>
                <w:rFonts w:cs="Arial"/>
                <w:b/>
                <w:sz w:val="18"/>
                <w:szCs w:val="18"/>
              </w:rPr>
              <w:t>Latitude</w:t>
            </w:r>
          </w:p>
        </w:tc>
        <w:tc>
          <w:tcPr>
            <w:tcW w:w="1417" w:type="dxa"/>
            <w:tcBorders>
              <w:left w:val="nil"/>
              <w:bottom w:val="single" w:sz="4" w:space="0" w:color="auto"/>
              <w:right w:val="nil"/>
            </w:tcBorders>
          </w:tcPr>
          <w:p w14:paraId="5016B5C1" w14:textId="77777777" w:rsidR="0020252F" w:rsidRPr="00A744B7" w:rsidRDefault="0020252F" w:rsidP="00B735DD">
            <w:pPr>
              <w:spacing w:after="120" w:line="240" w:lineRule="auto"/>
              <w:jc w:val="center"/>
              <w:rPr>
                <w:rFonts w:cs="Arial"/>
                <w:b/>
                <w:sz w:val="18"/>
                <w:szCs w:val="18"/>
              </w:rPr>
            </w:pPr>
            <w:r w:rsidRPr="00A744B7">
              <w:rPr>
                <w:rFonts w:cs="Arial"/>
                <w:b/>
                <w:sz w:val="18"/>
                <w:szCs w:val="18"/>
              </w:rPr>
              <w:t>Longitude</w:t>
            </w:r>
          </w:p>
        </w:tc>
        <w:tc>
          <w:tcPr>
            <w:tcW w:w="928" w:type="dxa"/>
            <w:tcBorders>
              <w:left w:val="nil"/>
              <w:bottom w:val="single" w:sz="4" w:space="0" w:color="auto"/>
              <w:right w:val="nil"/>
            </w:tcBorders>
          </w:tcPr>
          <w:p w14:paraId="124794BE" w14:textId="35F9850D" w:rsidR="0020252F" w:rsidRPr="00A744B7" w:rsidRDefault="004A48A3" w:rsidP="00B23527">
            <w:pPr>
              <w:spacing w:after="120" w:line="240" w:lineRule="auto"/>
              <w:jc w:val="center"/>
              <w:rPr>
                <w:rFonts w:cs="Arial"/>
                <w:b/>
                <w:sz w:val="18"/>
                <w:szCs w:val="18"/>
              </w:rPr>
            </w:pPr>
            <w:r>
              <w:rPr>
                <w:rFonts w:cs="Arial"/>
                <w:b/>
                <w:sz w:val="18"/>
                <w:szCs w:val="18"/>
              </w:rPr>
              <w:t>Targeted l</w:t>
            </w:r>
            <w:r w:rsidR="0020252F" w:rsidRPr="00A744B7">
              <w:rPr>
                <w:rFonts w:cs="Arial"/>
                <w:b/>
                <w:sz w:val="18"/>
                <w:szCs w:val="18"/>
              </w:rPr>
              <w:t xml:space="preserve">amprey  sampling </w:t>
            </w:r>
            <w:r w:rsidR="00B23527">
              <w:rPr>
                <w:rFonts w:cs="Arial"/>
                <w:b/>
                <w:sz w:val="18"/>
                <w:szCs w:val="18"/>
              </w:rPr>
              <w:t>nights</w:t>
            </w:r>
          </w:p>
        </w:tc>
        <w:tc>
          <w:tcPr>
            <w:tcW w:w="919" w:type="dxa"/>
            <w:tcBorders>
              <w:left w:val="nil"/>
              <w:bottom w:val="single" w:sz="4" w:space="0" w:color="auto"/>
              <w:right w:val="nil"/>
            </w:tcBorders>
          </w:tcPr>
          <w:p w14:paraId="5F21F884" w14:textId="77777777" w:rsidR="0020252F" w:rsidRPr="00A744B7" w:rsidRDefault="0020252F" w:rsidP="00B735DD">
            <w:pPr>
              <w:spacing w:after="120" w:line="240" w:lineRule="auto"/>
              <w:jc w:val="center"/>
              <w:rPr>
                <w:rFonts w:cs="Arial"/>
                <w:b/>
                <w:sz w:val="18"/>
                <w:szCs w:val="18"/>
              </w:rPr>
            </w:pPr>
            <w:r w:rsidRPr="00A744B7">
              <w:rPr>
                <w:rFonts w:cs="Arial"/>
                <w:b/>
                <w:sz w:val="18"/>
                <w:szCs w:val="18"/>
              </w:rPr>
              <w:t>TLM sampling events</w:t>
            </w:r>
          </w:p>
        </w:tc>
      </w:tr>
      <w:tr w:rsidR="004A48A3" w:rsidRPr="006F3059" w14:paraId="7ADE19EA" w14:textId="77777777" w:rsidTr="0002493A">
        <w:tc>
          <w:tcPr>
            <w:tcW w:w="2268" w:type="dxa"/>
            <w:tcBorders>
              <w:left w:val="nil"/>
              <w:bottom w:val="nil"/>
              <w:right w:val="nil"/>
            </w:tcBorders>
            <w:vAlign w:val="center"/>
          </w:tcPr>
          <w:p w14:paraId="1CF723AD" w14:textId="77777777" w:rsidR="0020252F" w:rsidRPr="00A744B7" w:rsidRDefault="0020252F" w:rsidP="00B735DD">
            <w:pPr>
              <w:spacing w:before="120" w:after="120" w:line="240" w:lineRule="auto"/>
              <w:jc w:val="left"/>
              <w:rPr>
                <w:rFonts w:cs="Arial"/>
                <w:sz w:val="18"/>
                <w:szCs w:val="18"/>
              </w:rPr>
            </w:pPr>
            <w:r w:rsidRPr="00A744B7">
              <w:rPr>
                <w:rFonts w:cs="Arial"/>
                <w:sz w:val="18"/>
                <w:szCs w:val="18"/>
              </w:rPr>
              <w:t>Tauwitchere large vertical-slot</w:t>
            </w:r>
          </w:p>
        </w:tc>
        <w:tc>
          <w:tcPr>
            <w:tcW w:w="1134" w:type="dxa"/>
            <w:tcBorders>
              <w:left w:val="nil"/>
              <w:bottom w:val="nil"/>
              <w:right w:val="nil"/>
            </w:tcBorders>
            <w:vAlign w:val="center"/>
          </w:tcPr>
          <w:p w14:paraId="502073CC" w14:textId="77777777" w:rsidR="0020252F" w:rsidRPr="00A744B7" w:rsidRDefault="0020252F" w:rsidP="00B735DD">
            <w:pPr>
              <w:spacing w:before="120" w:after="120" w:line="240" w:lineRule="auto"/>
              <w:jc w:val="center"/>
              <w:rPr>
                <w:rFonts w:cs="Arial"/>
                <w:sz w:val="18"/>
                <w:szCs w:val="18"/>
              </w:rPr>
            </w:pPr>
            <w:r w:rsidRPr="00A744B7">
              <w:rPr>
                <w:rFonts w:cs="Arial"/>
                <w:sz w:val="18"/>
                <w:szCs w:val="18"/>
              </w:rPr>
              <w:t>TVS</w:t>
            </w:r>
          </w:p>
        </w:tc>
        <w:tc>
          <w:tcPr>
            <w:tcW w:w="1418" w:type="dxa"/>
            <w:tcBorders>
              <w:left w:val="nil"/>
              <w:bottom w:val="nil"/>
              <w:right w:val="nil"/>
            </w:tcBorders>
            <w:vAlign w:val="center"/>
          </w:tcPr>
          <w:p w14:paraId="08072BAF" w14:textId="77777777" w:rsidR="0020252F" w:rsidRPr="00A744B7" w:rsidRDefault="0020252F" w:rsidP="00B735DD">
            <w:pPr>
              <w:spacing w:before="120" w:after="120" w:line="240" w:lineRule="auto"/>
              <w:jc w:val="center"/>
              <w:rPr>
                <w:rFonts w:cs="Arial"/>
                <w:sz w:val="18"/>
                <w:szCs w:val="18"/>
              </w:rPr>
            </w:pPr>
            <w:r w:rsidRPr="00A744B7">
              <w:rPr>
                <w:rFonts w:cs="Arial"/>
                <w:sz w:val="18"/>
                <w:szCs w:val="18"/>
              </w:rPr>
              <w:t>Tauwitchere</w:t>
            </w:r>
          </w:p>
        </w:tc>
        <w:tc>
          <w:tcPr>
            <w:tcW w:w="1276" w:type="dxa"/>
            <w:tcBorders>
              <w:left w:val="nil"/>
              <w:bottom w:val="nil"/>
              <w:right w:val="nil"/>
            </w:tcBorders>
            <w:vAlign w:val="center"/>
          </w:tcPr>
          <w:p w14:paraId="1623927F" w14:textId="77777777" w:rsidR="0020252F" w:rsidRPr="00A744B7" w:rsidRDefault="0020252F" w:rsidP="00B735DD">
            <w:pPr>
              <w:spacing w:before="120" w:after="120" w:line="240" w:lineRule="auto"/>
              <w:jc w:val="center"/>
              <w:rPr>
                <w:rFonts w:cs="Arial"/>
                <w:sz w:val="18"/>
                <w:szCs w:val="18"/>
              </w:rPr>
            </w:pPr>
            <w:r w:rsidRPr="00A744B7">
              <w:rPr>
                <w:rFonts w:cs="Arial"/>
                <w:sz w:val="18"/>
                <w:szCs w:val="18"/>
              </w:rPr>
              <w:t>35°35’09.35’’S</w:t>
            </w:r>
          </w:p>
        </w:tc>
        <w:tc>
          <w:tcPr>
            <w:tcW w:w="1417" w:type="dxa"/>
            <w:tcBorders>
              <w:left w:val="nil"/>
              <w:bottom w:val="nil"/>
              <w:right w:val="nil"/>
            </w:tcBorders>
            <w:vAlign w:val="center"/>
          </w:tcPr>
          <w:p w14:paraId="6DB7D545" w14:textId="77777777" w:rsidR="0020252F" w:rsidRPr="00A744B7" w:rsidRDefault="0020252F" w:rsidP="00B735DD">
            <w:pPr>
              <w:spacing w:before="120" w:after="120" w:line="240" w:lineRule="auto"/>
              <w:jc w:val="center"/>
              <w:rPr>
                <w:rFonts w:cs="Arial"/>
                <w:sz w:val="18"/>
                <w:szCs w:val="18"/>
              </w:rPr>
            </w:pPr>
            <w:r w:rsidRPr="00A744B7">
              <w:rPr>
                <w:rFonts w:cs="Arial"/>
                <w:sz w:val="18"/>
                <w:szCs w:val="18"/>
              </w:rPr>
              <w:t>139°00’30.58’’E</w:t>
            </w:r>
          </w:p>
        </w:tc>
        <w:tc>
          <w:tcPr>
            <w:tcW w:w="928" w:type="dxa"/>
            <w:tcBorders>
              <w:left w:val="nil"/>
              <w:bottom w:val="nil"/>
              <w:right w:val="nil"/>
            </w:tcBorders>
            <w:vAlign w:val="center"/>
          </w:tcPr>
          <w:p w14:paraId="407DAEAE" w14:textId="77777777" w:rsidR="0020252F" w:rsidRPr="00A744B7" w:rsidRDefault="0020252F" w:rsidP="00B735DD">
            <w:pPr>
              <w:spacing w:before="120" w:after="120" w:line="240" w:lineRule="auto"/>
              <w:jc w:val="center"/>
              <w:rPr>
                <w:rFonts w:cs="Arial"/>
                <w:sz w:val="18"/>
                <w:szCs w:val="18"/>
              </w:rPr>
            </w:pPr>
            <w:r w:rsidRPr="00A744B7">
              <w:rPr>
                <w:rFonts w:cs="Arial"/>
                <w:sz w:val="18"/>
                <w:szCs w:val="18"/>
              </w:rPr>
              <w:t>20</w:t>
            </w:r>
          </w:p>
        </w:tc>
        <w:tc>
          <w:tcPr>
            <w:tcW w:w="919" w:type="dxa"/>
            <w:tcBorders>
              <w:left w:val="nil"/>
              <w:bottom w:val="nil"/>
              <w:right w:val="nil"/>
            </w:tcBorders>
            <w:vAlign w:val="center"/>
          </w:tcPr>
          <w:p w14:paraId="30A3115E" w14:textId="77777777" w:rsidR="0020252F" w:rsidRPr="00A744B7" w:rsidRDefault="0020252F" w:rsidP="00B735DD">
            <w:pPr>
              <w:spacing w:before="120" w:after="120" w:line="240" w:lineRule="auto"/>
              <w:jc w:val="center"/>
              <w:rPr>
                <w:rFonts w:cs="Arial"/>
                <w:sz w:val="18"/>
                <w:szCs w:val="18"/>
              </w:rPr>
            </w:pPr>
            <w:r w:rsidRPr="00A744B7">
              <w:rPr>
                <w:rFonts w:cs="Arial"/>
                <w:sz w:val="18"/>
                <w:szCs w:val="18"/>
              </w:rPr>
              <w:t>4</w:t>
            </w:r>
          </w:p>
        </w:tc>
      </w:tr>
      <w:tr w:rsidR="004A48A3" w:rsidRPr="006F3059" w14:paraId="6E18327A" w14:textId="77777777" w:rsidTr="0002493A">
        <w:tc>
          <w:tcPr>
            <w:tcW w:w="2268" w:type="dxa"/>
            <w:tcBorders>
              <w:top w:val="nil"/>
              <w:left w:val="nil"/>
              <w:bottom w:val="nil"/>
              <w:right w:val="nil"/>
            </w:tcBorders>
            <w:vAlign w:val="center"/>
          </w:tcPr>
          <w:p w14:paraId="35950CE3" w14:textId="77777777" w:rsidR="0020252F" w:rsidRPr="00A744B7" w:rsidRDefault="0020252F" w:rsidP="00B735DD">
            <w:pPr>
              <w:spacing w:after="120" w:line="240" w:lineRule="auto"/>
              <w:jc w:val="left"/>
              <w:rPr>
                <w:rFonts w:cs="Arial"/>
                <w:sz w:val="18"/>
                <w:szCs w:val="18"/>
              </w:rPr>
            </w:pPr>
            <w:r w:rsidRPr="00A744B7">
              <w:rPr>
                <w:rFonts w:cs="Arial"/>
                <w:sz w:val="18"/>
                <w:szCs w:val="18"/>
              </w:rPr>
              <w:t>Tauwitchere small vertical-slot</w:t>
            </w:r>
          </w:p>
        </w:tc>
        <w:tc>
          <w:tcPr>
            <w:tcW w:w="1134" w:type="dxa"/>
            <w:tcBorders>
              <w:top w:val="nil"/>
              <w:left w:val="nil"/>
              <w:bottom w:val="nil"/>
              <w:right w:val="nil"/>
            </w:tcBorders>
            <w:vAlign w:val="center"/>
          </w:tcPr>
          <w:p w14:paraId="321C2314" w14:textId="77777777" w:rsidR="0020252F" w:rsidRPr="00A744B7" w:rsidRDefault="0020252F" w:rsidP="00B735DD">
            <w:pPr>
              <w:spacing w:after="120" w:line="240" w:lineRule="auto"/>
              <w:jc w:val="center"/>
              <w:rPr>
                <w:rFonts w:cs="Arial"/>
                <w:sz w:val="18"/>
                <w:szCs w:val="18"/>
              </w:rPr>
            </w:pPr>
            <w:r w:rsidRPr="00A744B7">
              <w:rPr>
                <w:rFonts w:cs="Arial"/>
                <w:sz w:val="18"/>
                <w:szCs w:val="18"/>
              </w:rPr>
              <w:t>TSVS</w:t>
            </w:r>
          </w:p>
        </w:tc>
        <w:tc>
          <w:tcPr>
            <w:tcW w:w="1418" w:type="dxa"/>
            <w:tcBorders>
              <w:top w:val="nil"/>
              <w:left w:val="nil"/>
              <w:bottom w:val="nil"/>
              <w:right w:val="nil"/>
            </w:tcBorders>
            <w:vAlign w:val="center"/>
          </w:tcPr>
          <w:p w14:paraId="7C7A7C18" w14:textId="77777777" w:rsidR="0020252F" w:rsidRPr="00A744B7" w:rsidRDefault="0020252F" w:rsidP="00B735DD">
            <w:pPr>
              <w:spacing w:after="120" w:line="240" w:lineRule="auto"/>
              <w:jc w:val="center"/>
              <w:rPr>
                <w:rFonts w:cs="Arial"/>
                <w:sz w:val="18"/>
                <w:szCs w:val="18"/>
              </w:rPr>
            </w:pPr>
            <w:r w:rsidRPr="00A744B7">
              <w:rPr>
                <w:rFonts w:cs="Arial"/>
                <w:sz w:val="18"/>
                <w:szCs w:val="18"/>
              </w:rPr>
              <w:t>Tauwitchere</w:t>
            </w:r>
          </w:p>
        </w:tc>
        <w:tc>
          <w:tcPr>
            <w:tcW w:w="1276" w:type="dxa"/>
            <w:tcBorders>
              <w:top w:val="nil"/>
              <w:left w:val="nil"/>
              <w:bottom w:val="nil"/>
              <w:right w:val="nil"/>
            </w:tcBorders>
            <w:vAlign w:val="center"/>
          </w:tcPr>
          <w:p w14:paraId="01F7B004" w14:textId="77777777" w:rsidR="0020252F" w:rsidRPr="00A744B7" w:rsidRDefault="0020252F" w:rsidP="00B735DD">
            <w:pPr>
              <w:spacing w:after="120" w:line="240" w:lineRule="auto"/>
              <w:jc w:val="center"/>
              <w:rPr>
                <w:rFonts w:cs="Arial"/>
                <w:sz w:val="18"/>
                <w:szCs w:val="18"/>
              </w:rPr>
            </w:pPr>
            <w:r w:rsidRPr="00A744B7">
              <w:rPr>
                <w:rFonts w:cs="Arial"/>
                <w:sz w:val="18"/>
                <w:szCs w:val="18"/>
              </w:rPr>
              <w:t>35°35’23.44’’S</w:t>
            </w:r>
          </w:p>
        </w:tc>
        <w:tc>
          <w:tcPr>
            <w:tcW w:w="1417" w:type="dxa"/>
            <w:tcBorders>
              <w:top w:val="nil"/>
              <w:left w:val="nil"/>
              <w:bottom w:val="nil"/>
              <w:right w:val="nil"/>
            </w:tcBorders>
            <w:vAlign w:val="center"/>
          </w:tcPr>
          <w:p w14:paraId="16283058" w14:textId="77777777" w:rsidR="0020252F" w:rsidRPr="00A744B7" w:rsidRDefault="0020252F" w:rsidP="00B735DD">
            <w:pPr>
              <w:spacing w:after="120" w:line="240" w:lineRule="auto"/>
              <w:jc w:val="center"/>
              <w:rPr>
                <w:rFonts w:cs="Arial"/>
                <w:sz w:val="18"/>
                <w:szCs w:val="18"/>
              </w:rPr>
            </w:pPr>
            <w:r w:rsidRPr="00A744B7">
              <w:rPr>
                <w:rFonts w:cs="Arial"/>
                <w:sz w:val="18"/>
                <w:szCs w:val="18"/>
              </w:rPr>
              <w:t>139°00’56.23’’E</w:t>
            </w:r>
          </w:p>
        </w:tc>
        <w:tc>
          <w:tcPr>
            <w:tcW w:w="928" w:type="dxa"/>
            <w:tcBorders>
              <w:top w:val="nil"/>
              <w:left w:val="nil"/>
              <w:bottom w:val="nil"/>
              <w:right w:val="nil"/>
            </w:tcBorders>
            <w:vAlign w:val="center"/>
          </w:tcPr>
          <w:p w14:paraId="1ED35DDD" w14:textId="77777777" w:rsidR="0020252F" w:rsidRPr="00A744B7" w:rsidRDefault="0020252F" w:rsidP="00B735DD">
            <w:pPr>
              <w:spacing w:after="120" w:line="240" w:lineRule="auto"/>
              <w:jc w:val="center"/>
              <w:rPr>
                <w:rFonts w:cs="Arial"/>
                <w:sz w:val="18"/>
                <w:szCs w:val="18"/>
              </w:rPr>
            </w:pPr>
            <w:r w:rsidRPr="00A744B7">
              <w:rPr>
                <w:rFonts w:cs="Arial"/>
                <w:sz w:val="18"/>
                <w:szCs w:val="18"/>
              </w:rPr>
              <w:t>14</w:t>
            </w:r>
          </w:p>
        </w:tc>
        <w:tc>
          <w:tcPr>
            <w:tcW w:w="919" w:type="dxa"/>
            <w:tcBorders>
              <w:top w:val="nil"/>
              <w:left w:val="nil"/>
              <w:bottom w:val="nil"/>
              <w:right w:val="nil"/>
            </w:tcBorders>
            <w:vAlign w:val="center"/>
          </w:tcPr>
          <w:p w14:paraId="2DC4B31D" w14:textId="77777777" w:rsidR="0020252F" w:rsidRPr="00A744B7" w:rsidRDefault="0020252F" w:rsidP="00B735DD">
            <w:pPr>
              <w:spacing w:after="120" w:line="240" w:lineRule="auto"/>
              <w:jc w:val="center"/>
              <w:rPr>
                <w:rFonts w:cs="Arial"/>
                <w:sz w:val="18"/>
                <w:szCs w:val="18"/>
              </w:rPr>
            </w:pPr>
            <w:r w:rsidRPr="00A744B7">
              <w:rPr>
                <w:rFonts w:cs="Arial"/>
                <w:sz w:val="18"/>
                <w:szCs w:val="18"/>
              </w:rPr>
              <w:t>6</w:t>
            </w:r>
          </w:p>
        </w:tc>
      </w:tr>
      <w:tr w:rsidR="004A48A3" w:rsidRPr="006F3059" w14:paraId="62D9A494" w14:textId="77777777" w:rsidTr="0002493A">
        <w:tc>
          <w:tcPr>
            <w:tcW w:w="2268" w:type="dxa"/>
            <w:tcBorders>
              <w:top w:val="nil"/>
              <w:left w:val="nil"/>
              <w:bottom w:val="nil"/>
              <w:right w:val="nil"/>
            </w:tcBorders>
            <w:vAlign w:val="center"/>
          </w:tcPr>
          <w:p w14:paraId="31557572" w14:textId="77777777" w:rsidR="0020252F" w:rsidRPr="00A744B7" w:rsidRDefault="0020252F" w:rsidP="00B735DD">
            <w:pPr>
              <w:spacing w:after="120" w:line="240" w:lineRule="auto"/>
              <w:jc w:val="left"/>
              <w:rPr>
                <w:rFonts w:cs="Arial"/>
                <w:sz w:val="18"/>
                <w:szCs w:val="18"/>
              </w:rPr>
            </w:pPr>
            <w:r w:rsidRPr="00A744B7">
              <w:rPr>
                <w:rFonts w:cs="Arial"/>
                <w:sz w:val="18"/>
                <w:szCs w:val="18"/>
              </w:rPr>
              <w:t>Tauwitchere rock ramp</w:t>
            </w:r>
          </w:p>
        </w:tc>
        <w:tc>
          <w:tcPr>
            <w:tcW w:w="1134" w:type="dxa"/>
            <w:tcBorders>
              <w:top w:val="nil"/>
              <w:left w:val="nil"/>
              <w:bottom w:val="nil"/>
              <w:right w:val="nil"/>
            </w:tcBorders>
            <w:vAlign w:val="center"/>
          </w:tcPr>
          <w:p w14:paraId="36876B75" w14:textId="77777777" w:rsidR="0020252F" w:rsidRPr="00A744B7" w:rsidRDefault="0020252F" w:rsidP="00B735DD">
            <w:pPr>
              <w:spacing w:after="120" w:line="240" w:lineRule="auto"/>
              <w:jc w:val="center"/>
              <w:rPr>
                <w:rFonts w:cs="Arial"/>
                <w:sz w:val="18"/>
                <w:szCs w:val="18"/>
              </w:rPr>
            </w:pPr>
            <w:r w:rsidRPr="00A744B7">
              <w:rPr>
                <w:rFonts w:cs="Arial"/>
                <w:sz w:val="18"/>
                <w:szCs w:val="18"/>
              </w:rPr>
              <w:t>TRR</w:t>
            </w:r>
          </w:p>
        </w:tc>
        <w:tc>
          <w:tcPr>
            <w:tcW w:w="1418" w:type="dxa"/>
            <w:tcBorders>
              <w:top w:val="nil"/>
              <w:left w:val="nil"/>
              <w:bottom w:val="nil"/>
              <w:right w:val="nil"/>
            </w:tcBorders>
            <w:vAlign w:val="center"/>
          </w:tcPr>
          <w:p w14:paraId="04324791" w14:textId="77777777" w:rsidR="0020252F" w:rsidRPr="00A744B7" w:rsidRDefault="0020252F" w:rsidP="00B735DD">
            <w:pPr>
              <w:spacing w:after="120" w:line="240" w:lineRule="auto"/>
              <w:jc w:val="center"/>
              <w:rPr>
                <w:rFonts w:cs="Arial"/>
                <w:sz w:val="18"/>
                <w:szCs w:val="18"/>
              </w:rPr>
            </w:pPr>
            <w:r w:rsidRPr="00A744B7">
              <w:rPr>
                <w:rFonts w:cs="Arial"/>
                <w:sz w:val="18"/>
                <w:szCs w:val="18"/>
              </w:rPr>
              <w:t>Tauwitchere</w:t>
            </w:r>
          </w:p>
        </w:tc>
        <w:tc>
          <w:tcPr>
            <w:tcW w:w="1276" w:type="dxa"/>
            <w:tcBorders>
              <w:top w:val="nil"/>
              <w:left w:val="nil"/>
              <w:bottom w:val="nil"/>
              <w:right w:val="nil"/>
            </w:tcBorders>
            <w:vAlign w:val="center"/>
          </w:tcPr>
          <w:p w14:paraId="17F033E9" w14:textId="77777777" w:rsidR="0020252F" w:rsidRPr="00A744B7" w:rsidRDefault="0020252F" w:rsidP="00B735DD">
            <w:pPr>
              <w:spacing w:after="120" w:line="240" w:lineRule="auto"/>
              <w:jc w:val="center"/>
              <w:rPr>
                <w:rFonts w:cs="Arial"/>
                <w:sz w:val="18"/>
                <w:szCs w:val="18"/>
              </w:rPr>
            </w:pPr>
            <w:r w:rsidRPr="00A744B7">
              <w:rPr>
                <w:rFonts w:cs="Arial"/>
                <w:sz w:val="18"/>
                <w:szCs w:val="18"/>
              </w:rPr>
              <w:t>35°35’23.60’’S</w:t>
            </w:r>
          </w:p>
        </w:tc>
        <w:tc>
          <w:tcPr>
            <w:tcW w:w="1417" w:type="dxa"/>
            <w:tcBorders>
              <w:top w:val="nil"/>
              <w:left w:val="nil"/>
              <w:bottom w:val="nil"/>
              <w:right w:val="nil"/>
            </w:tcBorders>
            <w:vAlign w:val="center"/>
          </w:tcPr>
          <w:p w14:paraId="750427E4" w14:textId="77777777" w:rsidR="0020252F" w:rsidRPr="00A744B7" w:rsidRDefault="0020252F" w:rsidP="00B735DD">
            <w:pPr>
              <w:spacing w:after="120" w:line="240" w:lineRule="auto"/>
              <w:jc w:val="center"/>
              <w:rPr>
                <w:rFonts w:cs="Arial"/>
                <w:sz w:val="18"/>
                <w:szCs w:val="18"/>
              </w:rPr>
            </w:pPr>
            <w:r w:rsidRPr="00A744B7">
              <w:rPr>
                <w:rFonts w:cs="Arial"/>
                <w:sz w:val="18"/>
                <w:szCs w:val="18"/>
              </w:rPr>
              <w:t>139°00’56.30’’E</w:t>
            </w:r>
          </w:p>
        </w:tc>
        <w:tc>
          <w:tcPr>
            <w:tcW w:w="928" w:type="dxa"/>
            <w:tcBorders>
              <w:top w:val="nil"/>
              <w:left w:val="nil"/>
              <w:bottom w:val="nil"/>
              <w:right w:val="nil"/>
            </w:tcBorders>
            <w:vAlign w:val="center"/>
          </w:tcPr>
          <w:p w14:paraId="3B7B4326" w14:textId="77777777" w:rsidR="0020252F" w:rsidRPr="00A744B7" w:rsidRDefault="0020252F" w:rsidP="00B735DD">
            <w:pPr>
              <w:spacing w:after="120" w:line="240" w:lineRule="auto"/>
              <w:jc w:val="center"/>
              <w:rPr>
                <w:rFonts w:cs="Arial"/>
                <w:sz w:val="18"/>
                <w:szCs w:val="18"/>
              </w:rPr>
            </w:pPr>
            <w:r w:rsidRPr="00A744B7">
              <w:rPr>
                <w:rFonts w:cs="Arial"/>
                <w:sz w:val="18"/>
                <w:szCs w:val="18"/>
              </w:rPr>
              <w:t>-</w:t>
            </w:r>
          </w:p>
        </w:tc>
        <w:tc>
          <w:tcPr>
            <w:tcW w:w="919" w:type="dxa"/>
            <w:tcBorders>
              <w:top w:val="nil"/>
              <w:left w:val="nil"/>
              <w:bottom w:val="nil"/>
              <w:right w:val="nil"/>
            </w:tcBorders>
            <w:vAlign w:val="center"/>
          </w:tcPr>
          <w:p w14:paraId="02CBE33F" w14:textId="77777777" w:rsidR="0020252F" w:rsidRPr="00A744B7" w:rsidRDefault="0020252F" w:rsidP="00B735DD">
            <w:pPr>
              <w:spacing w:after="120" w:line="240" w:lineRule="auto"/>
              <w:jc w:val="center"/>
              <w:rPr>
                <w:rFonts w:cs="Arial"/>
                <w:sz w:val="18"/>
                <w:szCs w:val="18"/>
              </w:rPr>
            </w:pPr>
            <w:r w:rsidRPr="00A744B7">
              <w:rPr>
                <w:rFonts w:cs="Arial"/>
                <w:sz w:val="18"/>
                <w:szCs w:val="18"/>
              </w:rPr>
              <w:t>2</w:t>
            </w:r>
          </w:p>
        </w:tc>
      </w:tr>
      <w:tr w:rsidR="004A48A3" w:rsidRPr="006F3059" w14:paraId="48D5CA77" w14:textId="77777777" w:rsidTr="0002493A">
        <w:tc>
          <w:tcPr>
            <w:tcW w:w="2268" w:type="dxa"/>
            <w:tcBorders>
              <w:top w:val="nil"/>
              <w:left w:val="nil"/>
              <w:bottom w:val="nil"/>
              <w:right w:val="nil"/>
            </w:tcBorders>
            <w:vAlign w:val="center"/>
          </w:tcPr>
          <w:p w14:paraId="528BA08D" w14:textId="77777777" w:rsidR="0020252F" w:rsidRPr="00A744B7" w:rsidRDefault="0020252F" w:rsidP="00B735DD">
            <w:pPr>
              <w:spacing w:after="120" w:line="240" w:lineRule="auto"/>
              <w:jc w:val="left"/>
              <w:rPr>
                <w:rFonts w:cs="Arial"/>
                <w:sz w:val="18"/>
                <w:szCs w:val="18"/>
              </w:rPr>
            </w:pPr>
            <w:r w:rsidRPr="00A744B7">
              <w:rPr>
                <w:rFonts w:cs="Arial"/>
                <w:sz w:val="18"/>
                <w:szCs w:val="18"/>
              </w:rPr>
              <w:t>Tauwitchere trapezoidal</w:t>
            </w:r>
          </w:p>
        </w:tc>
        <w:tc>
          <w:tcPr>
            <w:tcW w:w="1134" w:type="dxa"/>
            <w:tcBorders>
              <w:top w:val="nil"/>
              <w:left w:val="nil"/>
              <w:bottom w:val="nil"/>
              <w:right w:val="nil"/>
            </w:tcBorders>
            <w:vAlign w:val="center"/>
          </w:tcPr>
          <w:p w14:paraId="519B2972" w14:textId="77777777" w:rsidR="0020252F" w:rsidRPr="00A744B7" w:rsidRDefault="0020252F" w:rsidP="00B735DD">
            <w:pPr>
              <w:spacing w:after="120" w:line="240" w:lineRule="auto"/>
              <w:jc w:val="center"/>
              <w:rPr>
                <w:rFonts w:cs="Arial"/>
                <w:sz w:val="18"/>
                <w:szCs w:val="18"/>
              </w:rPr>
            </w:pPr>
            <w:r w:rsidRPr="00A744B7">
              <w:rPr>
                <w:rFonts w:cs="Arial"/>
                <w:sz w:val="18"/>
                <w:szCs w:val="18"/>
              </w:rPr>
              <w:t>TT</w:t>
            </w:r>
          </w:p>
        </w:tc>
        <w:tc>
          <w:tcPr>
            <w:tcW w:w="1418" w:type="dxa"/>
            <w:tcBorders>
              <w:top w:val="nil"/>
              <w:left w:val="nil"/>
              <w:bottom w:val="nil"/>
              <w:right w:val="nil"/>
            </w:tcBorders>
            <w:vAlign w:val="center"/>
          </w:tcPr>
          <w:p w14:paraId="4891EDA7" w14:textId="77777777" w:rsidR="0020252F" w:rsidRPr="00A744B7" w:rsidRDefault="0020252F" w:rsidP="00B735DD">
            <w:pPr>
              <w:spacing w:after="120" w:line="240" w:lineRule="auto"/>
              <w:jc w:val="center"/>
              <w:rPr>
                <w:rFonts w:cs="Arial"/>
                <w:sz w:val="18"/>
                <w:szCs w:val="18"/>
              </w:rPr>
            </w:pPr>
            <w:r w:rsidRPr="00A744B7">
              <w:rPr>
                <w:rFonts w:cs="Arial"/>
                <w:sz w:val="18"/>
                <w:szCs w:val="18"/>
              </w:rPr>
              <w:t>Tauwitchere</w:t>
            </w:r>
          </w:p>
        </w:tc>
        <w:tc>
          <w:tcPr>
            <w:tcW w:w="1276" w:type="dxa"/>
            <w:tcBorders>
              <w:top w:val="nil"/>
              <w:left w:val="nil"/>
              <w:bottom w:val="nil"/>
              <w:right w:val="nil"/>
            </w:tcBorders>
            <w:vAlign w:val="center"/>
          </w:tcPr>
          <w:p w14:paraId="21570772" w14:textId="77777777" w:rsidR="0020252F" w:rsidRPr="00A744B7" w:rsidRDefault="0020252F" w:rsidP="00B735DD">
            <w:pPr>
              <w:spacing w:after="120" w:line="240" w:lineRule="auto"/>
              <w:jc w:val="center"/>
              <w:rPr>
                <w:rFonts w:cs="Arial"/>
                <w:sz w:val="18"/>
                <w:szCs w:val="18"/>
              </w:rPr>
            </w:pPr>
            <w:r w:rsidRPr="00A744B7">
              <w:rPr>
                <w:rFonts w:cs="Arial"/>
                <w:sz w:val="18"/>
                <w:szCs w:val="18"/>
              </w:rPr>
              <w:t>35°35’08.74’’S</w:t>
            </w:r>
          </w:p>
        </w:tc>
        <w:tc>
          <w:tcPr>
            <w:tcW w:w="1417" w:type="dxa"/>
            <w:tcBorders>
              <w:top w:val="nil"/>
              <w:left w:val="nil"/>
              <w:bottom w:val="nil"/>
              <w:right w:val="nil"/>
            </w:tcBorders>
            <w:vAlign w:val="center"/>
          </w:tcPr>
          <w:p w14:paraId="22C569D9" w14:textId="77777777" w:rsidR="0020252F" w:rsidRPr="00A744B7" w:rsidRDefault="0020252F" w:rsidP="00B735DD">
            <w:pPr>
              <w:spacing w:after="120" w:line="240" w:lineRule="auto"/>
              <w:jc w:val="center"/>
              <w:rPr>
                <w:rFonts w:cs="Arial"/>
                <w:sz w:val="18"/>
                <w:szCs w:val="18"/>
              </w:rPr>
            </w:pPr>
            <w:r w:rsidRPr="00A744B7">
              <w:rPr>
                <w:rFonts w:cs="Arial"/>
                <w:sz w:val="18"/>
                <w:szCs w:val="18"/>
              </w:rPr>
              <w:t>139°00’29.34’’E</w:t>
            </w:r>
          </w:p>
        </w:tc>
        <w:tc>
          <w:tcPr>
            <w:tcW w:w="928" w:type="dxa"/>
            <w:tcBorders>
              <w:top w:val="nil"/>
              <w:left w:val="nil"/>
              <w:bottom w:val="nil"/>
              <w:right w:val="nil"/>
            </w:tcBorders>
            <w:vAlign w:val="center"/>
          </w:tcPr>
          <w:p w14:paraId="0A7A5D9C" w14:textId="77777777" w:rsidR="0020252F" w:rsidRPr="00A744B7" w:rsidRDefault="0020252F" w:rsidP="00B735DD">
            <w:pPr>
              <w:spacing w:after="120" w:line="240" w:lineRule="auto"/>
              <w:jc w:val="center"/>
              <w:rPr>
                <w:rFonts w:cs="Arial"/>
                <w:sz w:val="18"/>
                <w:szCs w:val="18"/>
              </w:rPr>
            </w:pPr>
            <w:r w:rsidRPr="00A744B7">
              <w:rPr>
                <w:rFonts w:cs="Arial"/>
                <w:sz w:val="18"/>
                <w:szCs w:val="18"/>
              </w:rPr>
              <w:t>-</w:t>
            </w:r>
          </w:p>
        </w:tc>
        <w:tc>
          <w:tcPr>
            <w:tcW w:w="919" w:type="dxa"/>
            <w:tcBorders>
              <w:top w:val="nil"/>
              <w:left w:val="nil"/>
              <w:bottom w:val="nil"/>
              <w:right w:val="nil"/>
            </w:tcBorders>
            <w:vAlign w:val="center"/>
          </w:tcPr>
          <w:p w14:paraId="1365F0DB" w14:textId="77777777" w:rsidR="0020252F" w:rsidRPr="00A744B7" w:rsidRDefault="0020252F" w:rsidP="00B735DD">
            <w:pPr>
              <w:spacing w:after="120" w:line="240" w:lineRule="auto"/>
              <w:jc w:val="center"/>
              <w:rPr>
                <w:rFonts w:cs="Arial"/>
                <w:sz w:val="18"/>
                <w:szCs w:val="18"/>
              </w:rPr>
            </w:pPr>
            <w:r w:rsidRPr="00A744B7">
              <w:rPr>
                <w:rFonts w:cs="Arial"/>
                <w:sz w:val="18"/>
                <w:szCs w:val="18"/>
              </w:rPr>
              <w:t>-</w:t>
            </w:r>
          </w:p>
        </w:tc>
      </w:tr>
      <w:tr w:rsidR="004A48A3" w:rsidRPr="006F3059" w14:paraId="4C1DD122" w14:textId="77777777" w:rsidTr="0002493A">
        <w:tc>
          <w:tcPr>
            <w:tcW w:w="2268" w:type="dxa"/>
            <w:tcBorders>
              <w:top w:val="nil"/>
              <w:left w:val="nil"/>
              <w:bottom w:val="nil"/>
              <w:right w:val="nil"/>
            </w:tcBorders>
            <w:vAlign w:val="center"/>
          </w:tcPr>
          <w:p w14:paraId="4CC506F4" w14:textId="77777777" w:rsidR="0020252F" w:rsidRPr="00A744B7" w:rsidRDefault="0020252F" w:rsidP="00B735DD">
            <w:pPr>
              <w:spacing w:after="120" w:line="240" w:lineRule="auto"/>
              <w:jc w:val="left"/>
              <w:rPr>
                <w:rFonts w:cs="Arial"/>
                <w:sz w:val="18"/>
                <w:szCs w:val="18"/>
              </w:rPr>
            </w:pPr>
            <w:r w:rsidRPr="00A744B7">
              <w:rPr>
                <w:rFonts w:cs="Arial"/>
                <w:sz w:val="18"/>
                <w:szCs w:val="18"/>
              </w:rPr>
              <w:t>Goolwa vertical-slot</w:t>
            </w:r>
          </w:p>
        </w:tc>
        <w:tc>
          <w:tcPr>
            <w:tcW w:w="1134" w:type="dxa"/>
            <w:tcBorders>
              <w:top w:val="nil"/>
              <w:left w:val="nil"/>
              <w:bottom w:val="nil"/>
              <w:right w:val="nil"/>
            </w:tcBorders>
            <w:vAlign w:val="center"/>
          </w:tcPr>
          <w:p w14:paraId="3DA8A2AC" w14:textId="30948C74" w:rsidR="0020252F" w:rsidRPr="00A744B7" w:rsidRDefault="0020252F" w:rsidP="00B735DD">
            <w:pPr>
              <w:spacing w:after="120" w:line="240" w:lineRule="auto"/>
              <w:jc w:val="center"/>
              <w:rPr>
                <w:rFonts w:cs="Arial"/>
                <w:sz w:val="18"/>
                <w:szCs w:val="18"/>
              </w:rPr>
            </w:pPr>
            <w:r w:rsidRPr="00A744B7">
              <w:rPr>
                <w:rFonts w:cs="Arial"/>
                <w:sz w:val="18"/>
                <w:szCs w:val="18"/>
              </w:rPr>
              <w:t>GVS</w:t>
            </w:r>
            <w:r w:rsidR="007174B1">
              <w:rPr>
                <w:rFonts w:cs="Arial"/>
                <w:sz w:val="18"/>
                <w:szCs w:val="18"/>
              </w:rPr>
              <w:t>1</w:t>
            </w:r>
          </w:p>
        </w:tc>
        <w:tc>
          <w:tcPr>
            <w:tcW w:w="1418" w:type="dxa"/>
            <w:tcBorders>
              <w:top w:val="nil"/>
              <w:left w:val="nil"/>
              <w:bottom w:val="nil"/>
              <w:right w:val="nil"/>
            </w:tcBorders>
            <w:vAlign w:val="center"/>
          </w:tcPr>
          <w:p w14:paraId="097566C5" w14:textId="77777777" w:rsidR="0020252F" w:rsidRPr="00A744B7" w:rsidRDefault="0020252F" w:rsidP="00B735DD">
            <w:pPr>
              <w:spacing w:after="120" w:line="240" w:lineRule="auto"/>
              <w:jc w:val="center"/>
              <w:rPr>
                <w:rFonts w:cs="Arial"/>
                <w:sz w:val="18"/>
                <w:szCs w:val="18"/>
              </w:rPr>
            </w:pPr>
            <w:r w:rsidRPr="00A744B7">
              <w:rPr>
                <w:rFonts w:cs="Arial"/>
                <w:sz w:val="18"/>
                <w:szCs w:val="18"/>
              </w:rPr>
              <w:t>Goolwa</w:t>
            </w:r>
          </w:p>
        </w:tc>
        <w:tc>
          <w:tcPr>
            <w:tcW w:w="1276" w:type="dxa"/>
            <w:tcBorders>
              <w:top w:val="nil"/>
              <w:left w:val="nil"/>
              <w:bottom w:val="nil"/>
              <w:right w:val="nil"/>
            </w:tcBorders>
            <w:vAlign w:val="center"/>
          </w:tcPr>
          <w:p w14:paraId="77F45593" w14:textId="77777777" w:rsidR="0020252F" w:rsidRPr="00A744B7" w:rsidRDefault="0020252F" w:rsidP="00B735DD">
            <w:pPr>
              <w:spacing w:after="120" w:line="240" w:lineRule="auto"/>
              <w:jc w:val="center"/>
              <w:rPr>
                <w:rFonts w:cs="Arial"/>
                <w:sz w:val="18"/>
                <w:szCs w:val="18"/>
              </w:rPr>
            </w:pPr>
            <w:r w:rsidRPr="00A744B7">
              <w:rPr>
                <w:rFonts w:cs="Arial"/>
                <w:sz w:val="18"/>
                <w:szCs w:val="18"/>
              </w:rPr>
              <w:t>35°31’34.44’’S</w:t>
            </w:r>
          </w:p>
        </w:tc>
        <w:tc>
          <w:tcPr>
            <w:tcW w:w="1417" w:type="dxa"/>
            <w:tcBorders>
              <w:top w:val="nil"/>
              <w:left w:val="nil"/>
              <w:bottom w:val="nil"/>
              <w:right w:val="nil"/>
            </w:tcBorders>
            <w:vAlign w:val="center"/>
          </w:tcPr>
          <w:p w14:paraId="7383E993" w14:textId="77777777" w:rsidR="0020252F" w:rsidRPr="00A744B7" w:rsidRDefault="0020252F" w:rsidP="00B735DD">
            <w:pPr>
              <w:spacing w:after="120" w:line="240" w:lineRule="auto"/>
              <w:jc w:val="center"/>
              <w:rPr>
                <w:rFonts w:cs="Arial"/>
                <w:sz w:val="18"/>
                <w:szCs w:val="18"/>
              </w:rPr>
            </w:pPr>
            <w:r w:rsidRPr="00A744B7">
              <w:rPr>
                <w:rFonts w:cs="Arial"/>
                <w:sz w:val="18"/>
                <w:szCs w:val="18"/>
              </w:rPr>
              <w:t>138°48’31.12’’E</w:t>
            </w:r>
          </w:p>
        </w:tc>
        <w:tc>
          <w:tcPr>
            <w:tcW w:w="928" w:type="dxa"/>
            <w:tcBorders>
              <w:top w:val="nil"/>
              <w:left w:val="nil"/>
              <w:bottom w:val="nil"/>
              <w:right w:val="nil"/>
            </w:tcBorders>
            <w:vAlign w:val="center"/>
          </w:tcPr>
          <w:p w14:paraId="26A4B24D" w14:textId="77777777" w:rsidR="0020252F" w:rsidRPr="00A744B7" w:rsidRDefault="0020252F" w:rsidP="00B735DD">
            <w:pPr>
              <w:spacing w:after="120" w:line="240" w:lineRule="auto"/>
              <w:jc w:val="center"/>
              <w:rPr>
                <w:rFonts w:cs="Arial"/>
                <w:sz w:val="18"/>
                <w:szCs w:val="18"/>
              </w:rPr>
            </w:pPr>
            <w:r w:rsidRPr="00A744B7">
              <w:rPr>
                <w:rFonts w:cs="Arial"/>
                <w:sz w:val="18"/>
                <w:szCs w:val="18"/>
              </w:rPr>
              <w:t>20</w:t>
            </w:r>
          </w:p>
        </w:tc>
        <w:tc>
          <w:tcPr>
            <w:tcW w:w="919" w:type="dxa"/>
            <w:tcBorders>
              <w:top w:val="nil"/>
              <w:left w:val="nil"/>
              <w:bottom w:val="nil"/>
              <w:right w:val="nil"/>
            </w:tcBorders>
            <w:vAlign w:val="center"/>
          </w:tcPr>
          <w:p w14:paraId="1758FE3B" w14:textId="77777777" w:rsidR="0020252F" w:rsidRPr="00A744B7" w:rsidRDefault="0020252F" w:rsidP="00B735DD">
            <w:pPr>
              <w:spacing w:after="120" w:line="240" w:lineRule="auto"/>
              <w:jc w:val="center"/>
              <w:rPr>
                <w:rFonts w:cs="Arial"/>
                <w:sz w:val="18"/>
                <w:szCs w:val="18"/>
              </w:rPr>
            </w:pPr>
            <w:r w:rsidRPr="00A744B7">
              <w:rPr>
                <w:rFonts w:cs="Arial"/>
                <w:sz w:val="18"/>
                <w:szCs w:val="18"/>
              </w:rPr>
              <w:t>6</w:t>
            </w:r>
          </w:p>
        </w:tc>
      </w:tr>
      <w:tr w:rsidR="004A48A3" w:rsidRPr="006F3059" w14:paraId="1627706E" w14:textId="77777777" w:rsidTr="0002493A">
        <w:tc>
          <w:tcPr>
            <w:tcW w:w="2268" w:type="dxa"/>
            <w:tcBorders>
              <w:top w:val="nil"/>
              <w:left w:val="nil"/>
              <w:bottom w:val="nil"/>
              <w:right w:val="nil"/>
            </w:tcBorders>
            <w:vAlign w:val="center"/>
          </w:tcPr>
          <w:p w14:paraId="2EECEBEE" w14:textId="77777777" w:rsidR="0020252F" w:rsidRPr="00A744B7" w:rsidRDefault="0020252F" w:rsidP="00B735DD">
            <w:pPr>
              <w:spacing w:after="120" w:line="240" w:lineRule="auto"/>
              <w:jc w:val="left"/>
              <w:rPr>
                <w:rFonts w:cs="Arial"/>
                <w:sz w:val="18"/>
                <w:szCs w:val="18"/>
              </w:rPr>
            </w:pPr>
            <w:r w:rsidRPr="00A744B7">
              <w:rPr>
                <w:rFonts w:cs="Arial"/>
                <w:sz w:val="18"/>
                <w:szCs w:val="18"/>
              </w:rPr>
              <w:t>Goolwa vertical-slot 2</w:t>
            </w:r>
          </w:p>
        </w:tc>
        <w:tc>
          <w:tcPr>
            <w:tcW w:w="1134" w:type="dxa"/>
            <w:tcBorders>
              <w:top w:val="nil"/>
              <w:left w:val="nil"/>
              <w:bottom w:val="nil"/>
              <w:right w:val="nil"/>
            </w:tcBorders>
            <w:vAlign w:val="center"/>
          </w:tcPr>
          <w:p w14:paraId="5223D67D" w14:textId="77777777" w:rsidR="0020252F" w:rsidRPr="00A744B7" w:rsidRDefault="0020252F" w:rsidP="00B735DD">
            <w:pPr>
              <w:spacing w:after="120" w:line="240" w:lineRule="auto"/>
              <w:jc w:val="center"/>
              <w:rPr>
                <w:rFonts w:cs="Arial"/>
                <w:sz w:val="18"/>
                <w:szCs w:val="18"/>
              </w:rPr>
            </w:pPr>
            <w:r w:rsidRPr="00A744B7">
              <w:rPr>
                <w:rFonts w:cs="Arial"/>
                <w:sz w:val="18"/>
                <w:szCs w:val="18"/>
              </w:rPr>
              <w:t>GVS2</w:t>
            </w:r>
          </w:p>
        </w:tc>
        <w:tc>
          <w:tcPr>
            <w:tcW w:w="1418" w:type="dxa"/>
            <w:tcBorders>
              <w:top w:val="nil"/>
              <w:left w:val="nil"/>
              <w:bottom w:val="nil"/>
              <w:right w:val="nil"/>
            </w:tcBorders>
            <w:vAlign w:val="center"/>
          </w:tcPr>
          <w:p w14:paraId="43E848C2" w14:textId="77777777" w:rsidR="0020252F" w:rsidRPr="00A744B7" w:rsidRDefault="0020252F" w:rsidP="00B735DD">
            <w:pPr>
              <w:spacing w:after="120" w:line="240" w:lineRule="auto"/>
              <w:jc w:val="center"/>
              <w:rPr>
                <w:rFonts w:cs="Arial"/>
                <w:sz w:val="18"/>
                <w:szCs w:val="18"/>
              </w:rPr>
            </w:pPr>
            <w:r w:rsidRPr="00A744B7">
              <w:rPr>
                <w:rFonts w:cs="Arial"/>
                <w:sz w:val="18"/>
                <w:szCs w:val="18"/>
              </w:rPr>
              <w:t>Goolwa</w:t>
            </w:r>
          </w:p>
        </w:tc>
        <w:tc>
          <w:tcPr>
            <w:tcW w:w="1276" w:type="dxa"/>
            <w:tcBorders>
              <w:top w:val="nil"/>
              <w:left w:val="nil"/>
              <w:bottom w:val="nil"/>
              <w:right w:val="nil"/>
            </w:tcBorders>
            <w:vAlign w:val="center"/>
          </w:tcPr>
          <w:p w14:paraId="413C2207" w14:textId="77777777" w:rsidR="0020252F" w:rsidRPr="00A744B7" w:rsidRDefault="0020252F" w:rsidP="00B735DD">
            <w:pPr>
              <w:spacing w:after="120" w:line="240" w:lineRule="auto"/>
              <w:jc w:val="center"/>
              <w:rPr>
                <w:rFonts w:cs="Arial"/>
                <w:sz w:val="18"/>
                <w:szCs w:val="18"/>
              </w:rPr>
            </w:pPr>
            <w:r w:rsidRPr="00A744B7">
              <w:rPr>
                <w:rFonts w:cs="Arial"/>
                <w:sz w:val="18"/>
                <w:szCs w:val="18"/>
              </w:rPr>
              <w:t>35°31’26.48’’S</w:t>
            </w:r>
          </w:p>
        </w:tc>
        <w:tc>
          <w:tcPr>
            <w:tcW w:w="1417" w:type="dxa"/>
            <w:tcBorders>
              <w:top w:val="nil"/>
              <w:left w:val="nil"/>
              <w:bottom w:val="nil"/>
              <w:right w:val="nil"/>
            </w:tcBorders>
            <w:vAlign w:val="center"/>
          </w:tcPr>
          <w:p w14:paraId="3AF2416E" w14:textId="77777777" w:rsidR="0020252F" w:rsidRPr="00A744B7" w:rsidRDefault="0020252F" w:rsidP="00B735DD">
            <w:pPr>
              <w:spacing w:after="120" w:line="240" w:lineRule="auto"/>
              <w:jc w:val="center"/>
              <w:rPr>
                <w:rFonts w:cs="Arial"/>
                <w:sz w:val="18"/>
                <w:szCs w:val="18"/>
              </w:rPr>
            </w:pPr>
            <w:r w:rsidRPr="00A744B7">
              <w:rPr>
                <w:rFonts w:cs="Arial"/>
                <w:sz w:val="18"/>
                <w:szCs w:val="18"/>
              </w:rPr>
              <w:t>138°48’32.89’’E</w:t>
            </w:r>
          </w:p>
        </w:tc>
        <w:tc>
          <w:tcPr>
            <w:tcW w:w="928" w:type="dxa"/>
            <w:tcBorders>
              <w:top w:val="nil"/>
              <w:left w:val="nil"/>
              <w:bottom w:val="nil"/>
              <w:right w:val="nil"/>
            </w:tcBorders>
            <w:vAlign w:val="center"/>
          </w:tcPr>
          <w:p w14:paraId="7AC4FF76" w14:textId="77777777" w:rsidR="0020252F" w:rsidRPr="00A744B7" w:rsidRDefault="0020252F" w:rsidP="00B735DD">
            <w:pPr>
              <w:spacing w:after="120" w:line="240" w:lineRule="auto"/>
              <w:jc w:val="center"/>
              <w:rPr>
                <w:rFonts w:cs="Arial"/>
                <w:sz w:val="18"/>
                <w:szCs w:val="18"/>
              </w:rPr>
            </w:pPr>
            <w:r w:rsidRPr="00A744B7">
              <w:rPr>
                <w:rFonts w:cs="Arial"/>
                <w:sz w:val="18"/>
                <w:szCs w:val="18"/>
              </w:rPr>
              <w:t>20</w:t>
            </w:r>
          </w:p>
        </w:tc>
        <w:tc>
          <w:tcPr>
            <w:tcW w:w="919" w:type="dxa"/>
            <w:tcBorders>
              <w:top w:val="nil"/>
              <w:left w:val="nil"/>
              <w:bottom w:val="nil"/>
              <w:right w:val="nil"/>
            </w:tcBorders>
            <w:vAlign w:val="center"/>
          </w:tcPr>
          <w:p w14:paraId="72893E49" w14:textId="77777777" w:rsidR="0020252F" w:rsidRPr="00A744B7" w:rsidRDefault="0020252F" w:rsidP="00B735DD">
            <w:pPr>
              <w:spacing w:after="120" w:line="240" w:lineRule="auto"/>
              <w:jc w:val="center"/>
              <w:rPr>
                <w:rFonts w:cs="Arial"/>
                <w:sz w:val="18"/>
                <w:szCs w:val="18"/>
              </w:rPr>
            </w:pPr>
            <w:r w:rsidRPr="00A744B7">
              <w:rPr>
                <w:rFonts w:cs="Arial"/>
                <w:sz w:val="18"/>
                <w:szCs w:val="18"/>
              </w:rPr>
              <w:t>-</w:t>
            </w:r>
          </w:p>
        </w:tc>
      </w:tr>
      <w:tr w:rsidR="004A48A3" w:rsidRPr="006F3059" w14:paraId="0762CD0E" w14:textId="77777777" w:rsidTr="0002493A">
        <w:tc>
          <w:tcPr>
            <w:tcW w:w="2268" w:type="dxa"/>
            <w:tcBorders>
              <w:top w:val="nil"/>
              <w:left w:val="nil"/>
              <w:bottom w:val="nil"/>
              <w:right w:val="nil"/>
            </w:tcBorders>
            <w:vAlign w:val="center"/>
          </w:tcPr>
          <w:p w14:paraId="0210F3D2" w14:textId="77777777" w:rsidR="0020252F" w:rsidRPr="00A744B7" w:rsidRDefault="0020252F" w:rsidP="00B735DD">
            <w:pPr>
              <w:spacing w:after="120" w:line="240" w:lineRule="auto"/>
              <w:jc w:val="left"/>
              <w:rPr>
                <w:rFonts w:cs="Arial"/>
                <w:sz w:val="18"/>
                <w:szCs w:val="18"/>
              </w:rPr>
            </w:pPr>
            <w:r w:rsidRPr="00A744B7">
              <w:rPr>
                <w:rFonts w:cs="Arial"/>
                <w:sz w:val="18"/>
                <w:szCs w:val="18"/>
              </w:rPr>
              <w:t>Goolwa small vertical-slot</w:t>
            </w:r>
          </w:p>
        </w:tc>
        <w:tc>
          <w:tcPr>
            <w:tcW w:w="1134" w:type="dxa"/>
            <w:tcBorders>
              <w:top w:val="nil"/>
              <w:left w:val="nil"/>
              <w:bottom w:val="nil"/>
              <w:right w:val="nil"/>
            </w:tcBorders>
            <w:vAlign w:val="center"/>
          </w:tcPr>
          <w:p w14:paraId="5F667A2E" w14:textId="77777777" w:rsidR="0020252F" w:rsidRPr="00A744B7" w:rsidRDefault="0020252F" w:rsidP="00B735DD">
            <w:pPr>
              <w:spacing w:after="120" w:line="240" w:lineRule="auto"/>
              <w:jc w:val="center"/>
              <w:rPr>
                <w:rFonts w:cs="Arial"/>
                <w:sz w:val="18"/>
                <w:szCs w:val="18"/>
              </w:rPr>
            </w:pPr>
            <w:r w:rsidRPr="00A744B7">
              <w:rPr>
                <w:rFonts w:cs="Arial"/>
                <w:sz w:val="18"/>
                <w:szCs w:val="18"/>
              </w:rPr>
              <w:t>GSVS</w:t>
            </w:r>
          </w:p>
        </w:tc>
        <w:tc>
          <w:tcPr>
            <w:tcW w:w="1418" w:type="dxa"/>
            <w:tcBorders>
              <w:top w:val="nil"/>
              <w:left w:val="nil"/>
              <w:bottom w:val="nil"/>
              <w:right w:val="nil"/>
            </w:tcBorders>
            <w:vAlign w:val="center"/>
          </w:tcPr>
          <w:p w14:paraId="796A2E12" w14:textId="77777777" w:rsidR="0020252F" w:rsidRPr="00A744B7" w:rsidRDefault="0020252F" w:rsidP="00B735DD">
            <w:pPr>
              <w:spacing w:after="120" w:line="240" w:lineRule="auto"/>
              <w:jc w:val="center"/>
              <w:rPr>
                <w:rFonts w:cs="Arial"/>
                <w:sz w:val="18"/>
                <w:szCs w:val="18"/>
              </w:rPr>
            </w:pPr>
            <w:r w:rsidRPr="00A744B7">
              <w:rPr>
                <w:rFonts w:cs="Arial"/>
                <w:sz w:val="18"/>
                <w:szCs w:val="18"/>
              </w:rPr>
              <w:t>Goolwa</w:t>
            </w:r>
          </w:p>
        </w:tc>
        <w:tc>
          <w:tcPr>
            <w:tcW w:w="1276" w:type="dxa"/>
            <w:tcBorders>
              <w:top w:val="nil"/>
              <w:left w:val="nil"/>
              <w:bottom w:val="nil"/>
              <w:right w:val="nil"/>
            </w:tcBorders>
            <w:vAlign w:val="center"/>
          </w:tcPr>
          <w:p w14:paraId="797666F1" w14:textId="77777777" w:rsidR="0020252F" w:rsidRPr="00A744B7" w:rsidRDefault="0020252F" w:rsidP="00B735DD">
            <w:pPr>
              <w:spacing w:after="120" w:line="240" w:lineRule="auto"/>
              <w:jc w:val="center"/>
              <w:rPr>
                <w:rFonts w:cs="Arial"/>
                <w:sz w:val="18"/>
                <w:szCs w:val="18"/>
              </w:rPr>
            </w:pPr>
            <w:r w:rsidRPr="00A744B7">
              <w:rPr>
                <w:rFonts w:cs="Arial"/>
                <w:sz w:val="18"/>
                <w:szCs w:val="18"/>
              </w:rPr>
              <w:t>35°31’37.65’’S</w:t>
            </w:r>
          </w:p>
        </w:tc>
        <w:tc>
          <w:tcPr>
            <w:tcW w:w="1417" w:type="dxa"/>
            <w:tcBorders>
              <w:top w:val="nil"/>
              <w:left w:val="nil"/>
              <w:bottom w:val="nil"/>
              <w:right w:val="nil"/>
            </w:tcBorders>
            <w:vAlign w:val="center"/>
          </w:tcPr>
          <w:p w14:paraId="4E5815E0" w14:textId="77777777" w:rsidR="0020252F" w:rsidRPr="00A744B7" w:rsidRDefault="0020252F" w:rsidP="00B735DD">
            <w:pPr>
              <w:spacing w:after="120" w:line="240" w:lineRule="auto"/>
              <w:jc w:val="center"/>
              <w:rPr>
                <w:rFonts w:cs="Arial"/>
                <w:sz w:val="18"/>
                <w:szCs w:val="18"/>
              </w:rPr>
            </w:pPr>
            <w:r w:rsidRPr="00A744B7">
              <w:rPr>
                <w:rFonts w:cs="Arial"/>
                <w:sz w:val="18"/>
                <w:szCs w:val="18"/>
              </w:rPr>
              <w:t>138°48’30.57’’E</w:t>
            </w:r>
          </w:p>
        </w:tc>
        <w:tc>
          <w:tcPr>
            <w:tcW w:w="928" w:type="dxa"/>
            <w:tcBorders>
              <w:top w:val="nil"/>
              <w:left w:val="nil"/>
              <w:bottom w:val="nil"/>
              <w:right w:val="nil"/>
            </w:tcBorders>
            <w:vAlign w:val="center"/>
          </w:tcPr>
          <w:p w14:paraId="244C02A0" w14:textId="77777777" w:rsidR="0020252F" w:rsidRPr="00A744B7" w:rsidRDefault="0020252F" w:rsidP="00B735DD">
            <w:pPr>
              <w:spacing w:after="120" w:line="240" w:lineRule="auto"/>
              <w:jc w:val="center"/>
              <w:rPr>
                <w:rFonts w:cs="Arial"/>
                <w:sz w:val="18"/>
                <w:szCs w:val="18"/>
              </w:rPr>
            </w:pPr>
            <w:r w:rsidRPr="00A744B7">
              <w:rPr>
                <w:rFonts w:cs="Arial"/>
                <w:sz w:val="18"/>
                <w:szCs w:val="18"/>
              </w:rPr>
              <w:t>-</w:t>
            </w:r>
          </w:p>
        </w:tc>
        <w:tc>
          <w:tcPr>
            <w:tcW w:w="919" w:type="dxa"/>
            <w:tcBorders>
              <w:top w:val="nil"/>
              <w:left w:val="nil"/>
              <w:bottom w:val="nil"/>
              <w:right w:val="nil"/>
            </w:tcBorders>
            <w:vAlign w:val="center"/>
          </w:tcPr>
          <w:p w14:paraId="130D7C36" w14:textId="77777777" w:rsidR="0020252F" w:rsidRPr="00A744B7" w:rsidRDefault="0020252F" w:rsidP="00B735DD">
            <w:pPr>
              <w:spacing w:after="120" w:line="240" w:lineRule="auto"/>
              <w:jc w:val="center"/>
              <w:rPr>
                <w:rFonts w:cs="Arial"/>
                <w:sz w:val="18"/>
                <w:szCs w:val="18"/>
              </w:rPr>
            </w:pPr>
            <w:r w:rsidRPr="00A744B7">
              <w:rPr>
                <w:rFonts w:cs="Arial"/>
                <w:sz w:val="18"/>
                <w:szCs w:val="18"/>
              </w:rPr>
              <w:t>-</w:t>
            </w:r>
          </w:p>
        </w:tc>
      </w:tr>
      <w:tr w:rsidR="004A48A3" w:rsidRPr="006F3059" w14:paraId="2FCE4484" w14:textId="77777777" w:rsidTr="0002493A">
        <w:tc>
          <w:tcPr>
            <w:tcW w:w="2268" w:type="dxa"/>
            <w:tcBorders>
              <w:top w:val="nil"/>
              <w:left w:val="nil"/>
              <w:bottom w:val="nil"/>
              <w:right w:val="nil"/>
            </w:tcBorders>
            <w:vAlign w:val="center"/>
          </w:tcPr>
          <w:p w14:paraId="746156B8" w14:textId="77777777" w:rsidR="0020252F" w:rsidRPr="00A744B7" w:rsidRDefault="0020252F" w:rsidP="00B735DD">
            <w:pPr>
              <w:spacing w:after="120" w:line="240" w:lineRule="auto"/>
              <w:jc w:val="left"/>
              <w:rPr>
                <w:rFonts w:cs="Arial"/>
                <w:sz w:val="18"/>
                <w:szCs w:val="18"/>
              </w:rPr>
            </w:pPr>
            <w:r w:rsidRPr="00A744B7">
              <w:rPr>
                <w:rFonts w:cs="Arial"/>
                <w:sz w:val="18"/>
                <w:szCs w:val="18"/>
              </w:rPr>
              <w:t>Hunters Creek vertical-slot</w:t>
            </w:r>
          </w:p>
        </w:tc>
        <w:tc>
          <w:tcPr>
            <w:tcW w:w="1134" w:type="dxa"/>
            <w:tcBorders>
              <w:top w:val="nil"/>
              <w:left w:val="nil"/>
              <w:bottom w:val="nil"/>
              <w:right w:val="nil"/>
            </w:tcBorders>
            <w:vAlign w:val="center"/>
          </w:tcPr>
          <w:p w14:paraId="5548B95E" w14:textId="77777777" w:rsidR="0020252F" w:rsidRPr="00A744B7" w:rsidRDefault="0020252F" w:rsidP="00B735DD">
            <w:pPr>
              <w:spacing w:after="120" w:line="240" w:lineRule="auto"/>
              <w:jc w:val="center"/>
              <w:rPr>
                <w:rFonts w:cs="Arial"/>
                <w:sz w:val="18"/>
                <w:szCs w:val="18"/>
              </w:rPr>
            </w:pPr>
            <w:r w:rsidRPr="00A744B7">
              <w:rPr>
                <w:rFonts w:cs="Arial"/>
                <w:sz w:val="18"/>
                <w:szCs w:val="18"/>
              </w:rPr>
              <w:t>Hunters</w:t>
            </w:r>
          </w:p>
        </w:tc>
        <w:tc>
          <w:tcPr>
            <w:tcW w:w="1418" w:type="dxa"/>
            <w:tcBorders>
              <w:top w:val="nil"/>
              <w:left w:val="nil"/>
              <w:bottom w:val="nil"/>
              <w:right w:val="nil"/>
            </w:tcBorders>
            <w:vAlign w:val="center"/>
          </w:tcPr>
          <w:p w14:paraId="61FC33F9" w14:textId="77777777" w:rsidR="0020252F" w:rsidRPr="00A744B7" w:rsidRDefault="0020252F" w:rsidP="00B735DD">
            <w:pPr>
              <w:spacing w:after="120" w:line="240" w:lineRule="auto"/>
              <w:jc w:val="center"/>
              <w:rPr>
                <w:rFonts w:cs="Arial"/>
                <w:sz w:val="18"/>
                <w:szCs w:val="18"/>
              </w:rPr>
            </w:pPr>
            <w:r w:rsidRPr="00A744B7">
              <w:rPr>
                <w:rFonts w:cs="Arial"/>
                <w:sz w:val="18"/>
                <w:szCs w:val="18"/>
              </w:rPr>
              <w:t>Hunters Creek causeway</w:t>
            </w:r>
          </w:p>
        </w:tc>
        <w:tc>
          <w:tcPr>
            <w:tcW w:w="1276" w:type="dxa"/>
            <w:tcBorders>
              <w:top w:val="nil"/>
              <w:left w:val="nil"/>
              <w:bottom w:val="nil"/>
              <w:right w:val="nil"/>
            </w:tcBorders>
            <w:vAlign w:val="center"/>
          </w:tcPr>
          <w:p w14:paraId="2362B5B8" w14:textId="77777777" w:rsidR="0020252F" w:rsidRPr="00A744B7" w:rsidRDefault="0020252F" w:rsidP="00B735DD">
            <w:pPr>
              <w:spacing w:after="120" w:line="240" w:lineRule="auto"/>
              <w:jc w:val="center"/>
              <w:rPr>
                <w:rFonts w:cs="Arial"/>
                <w:sz w:val="18"/>
                <w:szCs w:val="18"/>
              </w:rPr>
            </w:pPr>
            <w:r w:rsidRPr="00A744B7">
              <w:rPr>
                <w:rFonts w:cs="Arial"/>
                <w:sz w:val="18"/>
                <w:szCs w:val="18"/>
              </w:rPr>
              <w:t>35°32’07.08’’S</w:t>
            </w:r>
          </w:p>
        </w:tc>
        <w:tc>
          <w:tcPr>
            <w:tcW w:w="1417" w:type="dxa"/>
            <w:tcBorders>
              <w:top w:val="nil"/>
              <w:left w:val="nil"/>
              <w:bottom w:val="nil"/>
              <w:right w:val="nil"/>
            </w:tcBorders>
            <w:vAlign w:val="center"/>
          </w:tcPr>
          <w:p w14:paraId="1CE21AA7" w14:textId="77777777" w:rsidR="0020252F" w:rsidRPr="00A744B7" w:rsidRDefault="0020252F" w:rsidP="00B735DD">
            <w:pPr>
              <w:spacing w:after="120" w:line="240" w:lineRule="auto"/>
              <w:jc w:val="center"/>
              <w:rPr>
                <w:rFonts w:cs="Arial"/>
                <w:sz w:val="18"/>
                <w:szCs w:val="18"/>
              </w:rPr>
            </w:pPr>
            <w:r w:rsidRPr="00A744B7">
              <w:rPr>
                <w:rFonts w:cs="Arial"/>
                <w:sz w:val="18"/>
                <w:szCs w:val="18"/>
              </w:rPr>
              <w:t>138°53’07.48’’E</w:t>
            </w:r>
          </w:p>
        </w:tc>
        <w:tc>
          <w:tcPr>
            <w:tcW w:w="928" w:type="dxa"/>
            <w:tcBorders>
              <w:top w:val="nil"/>
              <w:left w:val="nil"/>
              <w:bottom w:val="nil"/>
              <w:right w:val="nil"/>
            </w:tcBorders>
            <w:vAlign w:val="center"/>
          </w:tcPr>
          <w:p w14:paraId="29254519" w14:textId="77777777" w:rsidR="0020252F" w:rsidRPr="00A744B7" w:rsidRDefault="0020252F" w:rsidP="00B735DD">
            <w:pPr>
              <w:spacing w:after="120" w:line="240" w:lineRule="auto"/>
              <w:jc w:val="center"/>
              <w:rPr>
                <w:rFonts w:cs="Arial"/>
                <w:sz w:val="18"/>
                <w:szCs w:val="18"/>
              </w:rPr>
            </w:pPr>
            <w:r w:rsidRPr="00A744B7">
              <w:rPr>
                <w:rFonts w:cs="Arial"/>
                <w:sz w:val="18"/>
                <w:szCs w:val="18"/>
              </w:rPr>
              <w:t>-</w:t>
            </w:r>
          </w:p>
        </w:tc>
        <w:tc>
          <w:tcPr>
            <w:tcW w:w="919" w:type="dxa"/>
            <w:tcBorders>
              <w:top w:val="nil"/>
              <w:left w:val="nil"/>
              <w:bottom w:val="nil"/>
              <w:right w:val="nil"/>
            </w:tcBorders>
            <w:vAlign w:val="center"/>
          </w:tcPr>
          <w:p w14:paraId="15D88E0D" w14:textId="77777777" w:rsidR="0020252F" w:rsidRPr="00A744B7" w:rsidRDefault="0020252F" w:rsidP="00B735DD">
            <w:pPr>
              <w:spacing w:after="120" w:line="240" w:lineRule="auto"/>
              <w:jc w:val="center"/>
              <w:rPr>
                <w:rFonts w:cs="Arial"/>
                <w:sz w:val="18"/>
                <w:szCs w:val="18"/>
              </w:rPr>
            </w:pPr>
            <w:r w:rsidRPr="00A744B7">
              <w:rPr>
                <w:rFonts w:cs="Arial"/>
                <w:sz w:val="18"/>
                <w:szCs w:val="18"/>
              </w:rPr>
              <w:t>6</w:t>
            </w:r>
          </w:p>
        </w:tc>
      </w:tr>
      <w:tr w:rsidR="004A48A3" w:rsidRPr="006F3059" w14:paraId="2C8C4C0F" w14:textId="77777777" w:rsidTr="0002493A">
        <w:tc>
          <w:tcPr>
            <w:tcW w:w="2268" w:type="dxa"/>
            <w:tcBorders>
              <w:top w:val="nil"/>
              <w:left w:val="nil"/>
              <w:bottom w:val="nil"/>
              <w:right w:val="nil"/>
            </w:tcBorders>
            <w:vAlign w:val="center"/>
          </w:tcPr>
          <w:p w14:paraId="172753D9" w14:textId="77777777" w:rsidR="0020252F" w:rsidRPr="00A744B7" w:rsidRDefault="0020252F" w:rsidP="00B735DD">
            <w:pPr>
              <w:spacing w:after="120" w:line="240" w:lineRule="auto"/>
              <w:jc w:val="left"/>
              <w:rPr>
                <w:rFonts w:cs="Arial"/>
                <w:sz w:val="18"/>
                <w:szCs w:val="18"/>
              </w:rPr>
            </w:pPr>
            <w:r w:rsidRPr="00A744B7">
              <w:rPr>
                <w:rFonts w:cs="Arial"/>
                <w:sz w:val="18"/>
                <w:szCs w:val="18"/>
              </w:rPr>
              <w:t>Mundoo dual vertical-slot</w:t>
            </w:r>
          </w:p>
        </w:tc>
        <w:tc>
          <w:tcPr>
            <w:tcW w:w="1134" w:type="dxa"/>
            <w:tcBorders>
              <w:top w:val="nil"/>
              <w:left w:val="nil"/>
              <w:bottom w:val="nil"/>
              <w:right w:val="nil"/>
            </w:tcBorders>
            <w:vAlign w:val="center"/>
          </w:tcPr>
          <w:p w14:paraId="5AC861C7" w14:textId="77777777" w:rsidR="0020252F" w:rsidRPr="00A744B7" w:rsidRDefault="0020252F" w:rsidP="00B735DD">
            <w:pPr>
              <w:spacing w:after="120" w:line="240" w:lineRule="auto"/>
              <w:jc w:val="center"/>
              <w:rPr>
                <w:rFonts w:cs="Arial"/>
                <w:sz w:val="18"/>
                <w:szCs w:val="18"/>
              </w:rPr>
            </w:pPr>
            <w:r w:rsidRPr="00A744B7">
              <w:rPr>
                <w:rFonts w:cs="Arial"/>
                <w:sz w:val="18"/>
                <w:szCs w:val="18"/>
              </w:rPr>
              <w:t>MDVS</w:t>
            </w:r>
          </w:p>
        </w:tc>
        <w:tc>
          <w:tcPr>
            <w:tcW w:w="1418" w:type="dxa"/>
            <w:tcBorders>
              <w:top w:val="nil"/>
              <w:left w:val="nil"/>
              <w:bottom w:val="nil"/>
              <w:right w:val="nil"/>
            </w:tcBorders>
            <w:vAlign w:val="center"/>
          </w:tcPr>
          <w:p w14:paraId="545C071A" w14:textId="77777777" w:rsidR="0020252F" w:rsidRPr="00A744B7" w:rsidRDefault="0020252F" w:rsidP="00B735DD">
            <w:pPr>
              <w:spacing w:after="120" w:line="240" w:lineRule="auto"/>
              <w:jc w:val="center"/>
              <w:rPr>
                <w:rFonts w:cs="Arial"/>
                <w:sz w:val="18"/>
                <w:szCs w:val="18"/>
              </w:rPr>
            </w:pPr>
            <w:r w:rsidRPr="00A744B7">
              <w:rPr>
                <w:rFonts w:cs="Arial"/>
                <w:sz w:val="18"/>
                <w:szCs w:val="18"/>
              </w:rPr>
              <w:t>Mundoo</w:t>
            </w:r>
          </w:p>
        </w:tc>
        <w:tc>
          <w:tcPr>
            <w:tcW w:w="1276" w:type="dxa"/>
            <w:tcBorders>
              <w:top w:val="nil"/>
              <w:left w:val="nil"/>
              <w:bottom w:val="nil"/>
              <w:right w:val="nil"/>
            </w:tcBorders>
            <w:vAlign w:val="center"/>
          </w:tcPr>
          <w:p w14:paraId="69895B4A" w14:textId="77777777" w:rsidR="0020252F" w:rsidRPr="00A744B7" w:rsidRDefault="0020252F" w:rsidP="00B735DD">
            <w:pPr>
              <w:spacing w:after="120" w:line="240" w:lineRule="auto"/>
              <w:jc w:val="center"/>
              <w:rPr>
                <w:rFonts w:cs="Arial"/>
                <w:sz w:val="18"/>
                <w:szCs w:val="18"/>
              </w:rPr>
            </w:pPr>
            <w:r w:rsidRPr="00A744B7">
              <w:rPr>
                <w:rFonts w:cs="Arial"/>
                <w:sz w:val="18"/>
                <w:szCs w:val="18"/>
              </w:rPr>
              <w:t>35°32’27.59’’S</w:t>
            </w:r>
          </w:p>
        </w:tc>
        <w:tc>
          <w:tcPr>
            <w:tcW w:w="1417" w:type="dxa"/>
            <w:tcBorders>
              <w:top w:val="nil"/>
              <w:left w:val="nil"/>
              <w:bottom w:val="nil"/>
              <w:right w:val="nil"/>
            </w:tcBorders>
            <w:vAlign w:val="center"/>
          </w:tcPr>
          <w:p w14:paraId="558026D5" w14:textId="77777777" w:rsidR="0020252F" w:rsidRPr="00A744B7" w:rsidRDefault="0020252F" w:rsidP="00B735DD">
            <w:pPr>
              <w:spacing w:after="120" w:line="240" w:lineRule="auto"/>
              <w:jc w:val="center"/>
              <w:rPr>
                <w:rFonts w:cs="Arial"/>
                <w:sz w:val="18"/>
                <w:szCs w:val="18"/>
              </w:rPr>
            </w:pPr>
            <w:r w:rsidRPr="00A744B7">
              <w:rPr>
                <w:rFonts w:cs="Arial"/>
                <w:sz w:val="18"/>
                <w:szCs w:val="18"/>
              </w:rPr>
              <w:t>138°54’16.97’’E</w:t>
            </w:r>
          </w:p>
        </w:tc>
        <w:tc>
          <w:tcPr>
            <w:tcW w:w="928" w:type="dxa"/>
            <w:tcBorders>
              <w:top w:val="nil"/>
              <w:left w:val="nil"/>
              <w:bottom w:val="nil"/>
              <w:right w:val="nil"/>
            </w:tcBorders>
            <w:vAlign w:val="center"/>
          </w:tcPr>
          <w:p w14:paraId="305EAA5F" w14:textId="77777777" w:rsidR="0020252F" w:rsidRPr="00A744B7" w:rsidRDefault="0020252F" w:rsidP="00B735DD">
            <w:pPr>
              <w:spacing w:after="120" w:line="240" w:lineRule="auto"/>
              <w:jc w:val="center"/>
              <w:rPr>
                <w:rFonts w:cs="Arial"/>
                <w:sz w:val="18"/>
                <w:szCs w:val="18"/>
              </w:rPr>
            </w:pPr>
            <w:r w:rsidRPr="00A744B7">
              <w:rPr>
                <w:rFonts w:cs="Arial"/>
                <w:sz w:val="18"/>
                <w:szCs w:val="18"/>
              </w:rPr>
              <w:t>19</w:t>
            </w:r>
          </w:p>
        </w:tc>
        <w:tc>
          <w:tcPr>
            <w:tcW w:w="919" w:type="dxa"/>
            <w:tcBorders>
              <w:top w:val="nil"/>
              <w:left w:val="nil"/>
              <w:bottom w:val="nil"/>
              <w:right w:val="nil"/>
            </w:tcBorders>
            <w:vAlign w:val="center"/>
          </w:tcPr>
          <w:p w14:paraId="3ABAD50E" w14:textId="77777777" w:rsidR="0020252F" w:rsidRPr="00A744B7" w:rsidRDefault="0020252F" w:rsidP="00B735DD">
            <w:pPr>
              <w:spacing w:after="120" w:line="240" w:lineRule="auto"/>
              <w:jc w:val="center"/>
              <w:rPr>
                <w:rFonts w:cs="Arial"/>
                <w:sz w:val="18"/>
                <w:szCs w:val="18"/>
              </w:rPr>
            </w:pPr>
            <w:r w:rsidRPr="00A744B7">
              <w:rPr>
                <w:rFonts w:cs="Arial"/>
                <w:sz w:val="18"/>
                <w:szCs w:val="18"/>
              </w:rPr>
              <w:t>-</w:t>
            </w:r>
          </w:p>
        </w:tc>
      </w:tr>
      <w:tr w:rsidR="004A48A3" w:rsidRPr="006F3059" w14:paraId="42071B12" w14:textId="77777777" w:rsidTr="0002493A">
        <w:tc>
          <w:tcPr>
            <w:tcW w:w="2268" w:type="dxa"/>
            <w:tcBorders>
              <w:top w:val="nil"/>
              <w:left w:val="nil"/>
              <w:bottom w:val="nil"/>
              <w:right w:val="nil"/>
            </w:tcBorders>
            <w:vAlign w:val="center"/>
          </w:tcPr>
          <w:p w14:paraId="1D4EAA5A" w14:textId="77777777" w:rsidR="0020252F" w:rsidRPr="00A744B7" w:rsidRDefault="0020252F" w:rsidP="00B735DD">
            <w:pPr>
              <w:spacing w:after="120" w:line="240" w:lineRule="auto"/>
              <w:jc w:val="left"/>
              <w:rPr>
                <w:rFonts w:cs="Arial"/>
                <w:sz w:val="18"/>
                <w:szCs w:val="18"/>
              </w:rPr>
            </w:pPr>
            <w:r w:rsidRPr="00A744B7">
              <w:rPr>
                <w:rFonts w:cs="Arial"/>
                <w:sz w:val="18"/>
                <w:szCs w:val="18"/>
              </w:rPr>
              <w:t>Ewe Island dual vertical-slot</w:t>
            </w:r>
          </w:p>
        </w:tc>
        <w:tc>
          <w:tcPr>
            <w:tcW w:w="1134" w:type="dxa"/>
            <w:tcBorders>
              <w:top w:val="nil"/>
              <w:left w:val="nil"/>
              <w:bottom w:val="nil"/>
              <w:right w:val="nil"/>
            </w:tcBorders>
            <w:vAlign w:val="center"/>
          </w:tcPr>
          <w:p w14:paraId="6DE9FC6F" w14:textId="77777777" w:rsidR="0020252F" w:rsidRPr="00A744B7" w:rsidRDefault="0020252F" w:rsidP="00B735DD">
            <w:pPr>
              <w:spacing w:after="120" w:line="240" w:lineRule="auto"/>
              <w:jc w:val="center"/>
              <w:rPr>
                <w:rFonts w:cs="Arial"/>
                <w:sz w:val="18"/>
                <w:szCs w:val="18"/>
              </w:rPr>
            </w:pPr>
            <w:r w:rsidRPr="00A744B7">
              <w:rPr>
                <w:rFonts w:cs="Arial"/>
                <w:sz w:val="18"/>
                <w:szCs w:val="18"/>
              </w:rPr>
              <w:t>EIDVS</w:t>
            </w:r>
          </w:p>
        </w:tc>
        <w:tc>
          <w:tcPr>
            <w:tcW w:w="1418" w:type="dxa"/>
            <w:tcBorders>
              <w:top w:val="nil"/>
              <w:left w:val="nil"/>
              <w:bottom w:val="nil"/>
              <w:right w:val="nil"/>
            </w:tcBorders>
            <w:vAlign w:val="center"/>
          </w:tcPr>
          <w:p w14:paraId="448621F0" w14:textId="77777777" w:rsidR="0020252F" w:rsidRPr="00A744B7" w:rsidRDefault="0020252F" w:rsidP="00B735DD">
            <w:pPr>
              <w:spacing w:after="120" w:line="240" w:lineRule="auto"/>
              <w:jc w:val="center"/>
              <w:rPr>
                <w:rFonts w:cs="Arial"/>
                <w:sz w:val="18"/>
                <w:szCs w:val="18"/>
              </w:rPr>
            </w:pPr>
            <w:r w:rsidRPr="00A744B7">
              <w:rPr>
                <w:rFonts w:cs="Arial"/>
                <w:sz w:val="18"/>
                <w:szCs w:val="18"/>
              </w:rPr>
              <w:t>Ewe Island</w:t>
            </w:r>
          </w:p>
        </w:tc>
        <w:tc>
          <w:tcPr>
            <w:tcW w:w="1276" w:type="dxa"/>
            <w:tcBorders>
              <w:top w:val="nil"/>
              <w:left w:val="nil"/>
              <w:bottom w:val="nil"/>
              <w:right w:val="nil"/>
            </w:tcBorders>
            <w:vAlign w:val="center"/>
          </w:tcPr>
          <w:p w14:paraId="68D0D884" w14:textId="77777777" w:rsidR="0020252F" w:rsidRPr="00A744B7" w:rsidRDefault="0020252F" w:rsidP="00B735DD">
            <w:pPr>
              <w:spacing w:after="120" w:line="240" w:lineRule="auto"/>
              <w:jc w:val="center"/>
              <w:rPr>
                <w:rFonts w:cs="Arial"/>
                <w:sz w:val="18"/>
                <w:szCs w:val="18"/>
              </w:rPr>
            </w:pPr>
            <w:r w:rsidRPr="00A744B7">
              <w:rPr>
                <w:rFonts w:cs="Arial"/>
                <w:sz w:val="18"/>
                <w:szCs w:val="18"/>
              </w:rPr>
              <w:t>35°33’48.25’’S</w:t>
            </w:r>
          </w:p>
        </w:tc>
        <w:tc>
          <w:tcPr>
            <w:tcW w:w="1417" w:type="dxa"/>
            <w:tcBorders>
              <w:top w:val="nil"/>
              <w:left w:val="nil"/>
              <w:bottom w:val="nil"/>
              <w:right w:val="nil"/>
            </w:tcBorders>
            <w:vAlign w:val="center"/>
          </w:tcPr>
          <w:p w14:paraId="2F0F221C" w14:textId="77777777" w:rsidR="0020252F" w:rsidRPr="00A744B7" w:rsidRDefault="0020252F" w:rsidP="00B735DD">
            <w:pPr>
              <w:spacing w:after="120" w:line="240" w:lineRule="auto"/>
              <w:jc w:val="center"/>
              <w:rPr>
                <w:rFonts w:cs="Arial"/>
                <w:sz w:val="18"/>
                <w:szCs w:val="18"/>
              </w:rPr>
            </w:pPr>
            <w:r w:rsidRPr="00A744B7">
              <w:rPr>
                <w:rFonts w:cs="Arial"/>
                <w:sz w:val="18"/>
                <w:szCs w:val="18"/>
              </w:rPr>
              <w:t>138°57’51.63’’E</w:t>
            </w:r>
          </w:p>
        </w:tc>
        <w:tc>
          <w:tcPr>
            <w:tcW w:w="928" w:type="dxa"/>
            <w:tcBorders>
              <w:top w:val="nil"/>
              <w:left w:val="nil"/>
              <w:bottom w:val="nil"/>
              <w:right w:val="nil"/>
            </w:tcBorders>
            <w:vAlign w:val="center"/>
          </w:tcPr>
          <w:p w14:paraId="729C640F" w14:textId="77777777" w:rsidR="0020252F" w:rsidRPr="00A744B7" w:rsidRDefault="0020252F" w:rsidP="00B735DD">
            <w:pPr>
              <w:spacing w:after="120" w:line="240" w:lineRule="auto"/>
              <w:jc w:val="center"/>
              <w:rPr>
                <w:rFonts w:cs="Arial"/>
                <w:sz w:val="18"/>
                <w:szCs w:val="18"/>
              </w:rPr>
            </w:pPr>
            <w:r w:rsidRPr="00A744B7">
              <w:rPr>
                <w:rFonts w:cs="Arial"/>
                <w:sz w:val="18"/>
                <w:szCs w:val="18"/>
              </w:rPr>
              <w:t>11</w:t>
            </w:r>
          </w:p>
        </w:tc>
        <w:tc>
          <w:tcPr>
            <w:tcW w:w="919" w:type="dxa"/>
            <w:tcBorders>
              <w:top w:val="nil"/>
              <w:left w:val="nil"/>
              <w:bottom w:val="nil"/>
              <w:right w:val="nil"/>
            </w:tcBorders>
            <w:vAlign w:val="center"/>
          </w:tcPr>
          <w:p w14:paraId="74B7961F" w14:textId="77777777" w:rsidR="0020252F" w:rsidRPr="00A744B7" w:rsidRDefault="0020252F" w:rsidP="00B735DD">
            <w:pPr>
              <w:spacing w:after="120" w:line="240" w:lineRule="auto"/>
              <w:jc w:val="center"/>
              <w:rPr>
                <w:rFonts w:cs="Arial"/>
                <w:sz w:val="18"/>
                <w:szCs w:val="18"/>
              </w:rPr>
            </w:pPr>
            <w:r w:rsidRPr="00A744B7">
              <w:rPr>
                <w:rFonts w:cs="Arial"/>
                <w:sz w:val="18"/>
                <w:szCs w:val="18"/>
              </w:rPr>
              <w:t>-</w:t>
            </w:r>
          </w:p>
        </w:tc>
      </w:tr>
      <w:tr w:rsidR="004A48A3" w:rsidRPr="006F3059" w14:paraId="642BC566" w14:textId="77777777" w:rsidTr="0002493A">
        <w:tc>
          <w:tcPr>
            <w:tcW w:w="2268" w:type="dxa"/>
            <w:tcBorders>
              <w:top w:val="nil"/>
              <w:left w:val="nil"/>
              <w:right w:val="nil"/>
            </w:tcBorders>
            <w:vAlign w:val="center"/>
          </w:tcPr>
          <w:p w14:paraId="25A66C77" w14:textId="77777777" w:rsidR="0020252F" w:rsidRPr="00A744B7" w:rsidRDefault="0020252F" w:rsidP="00B735DD">
            <w:pPr>
              <w:spacing w:after="120" w:line="240" w:lineRule="auto"/>
              <w:jc w:val="left"/>
              <w:rPr>
                <w:rFonts w:cs="Arial"/>
                <w:sz w:val="18"/>
                <w:szCs w:val="18"/>
              </w:rPr>
            </w:pPr>
            <w:r w:rsidRPr="00A744B7">
              <w:rPr>
                <w:rFonts w:cs="Arial"/>
                <w:sz w:val="18"/>
                <w:szCs w:val="18"/>
              </w:rPr>
              <w:t>Boundary Creek small vertical-slot</w:t>
            </w:r>
          </w:p>
        </w:tc>
        <w:tc>
          <w:tcPr>
            <w:tcW w:w="1134" w:type="dxa"/>
            <w:tcBorders>
              <w:top w:val="nil"/>
              <w:left w:val="nil"/>
              <w:right w:val="nil"/>
            </w:tcBorders>
            <w:vAlign w:val="center"/>
          </w:tcPr>
          <w:p w14:paraId="7C9BCC6C" w14:textId="77777777" w:rsidR="0020252F" w:rsidRPr="00A744B7" w:rsidRDefault="0020252F" w:rsidP="00B735DD">
            <w:pPr>
              <w:spacing w:after="120" w:line="240" w:lineRule="auto"/>
              <w:jc w:val="center"/>
              <w:rPr>
                <w:rFonts w:cs="Arial"/>
                <w:sz w:val="18"/>
                <w:szCs w:val="18"/>
              </w:rPr>
            </w:pPr>
            <w:r w:rsidRPr="00A744B7">
              <w:rPr>
                <w:rFonts w:cs="Arial"/>
                <w:sz w:val="18"/>
                <w:szCs w:val="18"/>
              </w:rPr>
              <w:t>BCVS</w:t>
            </w:r>
          </w:p>
        </w:tc>
        <w:tc>
          <w:tcPr>
            <w:tcW w:w="1418" w:type="dxa"/>
            <w:tcBorders>
              <w:top w:val="nil"/>
              <w:left w:val="nil"/>
              <w:right w:val="nil"/>
            </w:tcBorders>
            <w:vAlign w:val="center"/>
          </w:tcPr>
          <w:p w14:paraId="7FFE381A" w14:textId="77777777" w:rsidR="0020252F" w:rsidRPr="00A744B7" w:rsidRDefault="0020252F" w:rsidP="00B735DD">
            <w:pPr>
              <w:spacing w:after="120" w:line="240" w:lineRule="auto"/>
              <w:jc w:val="center"/>
              <w:rPr>
                <w:rFonts w:cs="Arial"/>
                <w:sz w:val="18"/>
                <w:szCs w:val="18"/>
              </w:rPr>
            </w:pPr>
            <w:r w:rsidRPr="00A744B7">
              <w:rPr>
                <w:rFonts w:cs="Arial"/>
                <w:sz w:val="18"/>
                <w:szCs w:val="18"/>
              </w:rPr>
              <w:t>Boundary Creek</w:t>
            </w:r>
          </w:p>
        </w:tc>
        <w:tc>
          <w:tcPr>
            <w:tcW w:w="1276" w:type="dxa"/>
            <w:tcBorders>
              <w:top w:val="nil"/>
              <w:left w:val="nil"/>
              <w:right w:val="nil"/>
            </w:tcBorders>
            <w:vAlign w:val="center"/>
          </w:tcPr>
          <w:p w14:paraId="56BB3ACD" w14:textId="77777777" w:rsidR="0020252F" w:rsidRPr="00A744B7" w:rsidRDefault="0020252F" w:rsidP="00B735DD">
            <w:pPr>
              <w:spacing w:after="120" w:line="240" w:lineRule="auto"/>
              <w:jc w:val="center"/>
              <w:rPr>
                <w:rFonts w:cs="Arial"/>
                <w:sz w:val="18"/>
                <w:szCs w:val="18"/>
              </w:rPr>
            </w:pPr>
            <w:r w:rsidRPr="00A744B7">
              <w:rPr>
                <w:rFonts w:cs="Arial"/>
                <w:sz w:val="18"/>
                <w:szCs w:val="18"/>
              </w:rPr>
              <w:t>35°33’13.05’’S</w:t>
            </w:r>
          </w:p>
        </w:tc>
        <w:tc>
          <w:tcPr>
            <w:tcW w:w="1417" w:type="dxa"/>
            <w:tcBorders>
              <w:top w:val="nil"/>
              <w:left w:val="nil"/>
              <w:right w:val="nil"/>
            </w:tcBorders>
            <w:vAlign w:val="center"/>
          </w:tcPr>
          <w:p w14:paraId="67CB9FF7" w14:textId="77777777" w:rsidR="0020252F" w:rsidRPr="00A744B7" w:rsidRDefault="0020252F" w:rsidP="00B735DD">
            <w:pPr>
              <w:spacing w:after="120" w:line="240" w:lineRule="auto"/>
              <w:jc w:val="center"/>
              <w:rPr>
                <w:rFonts w:cs="Arial"/>
                <w:sz w:val="18"/>
                <w:szCs w:val="18"/>
              </w:rPr>
            </w:pPr>
            <w:r w:rsidRPr="00A744B7">
              <w:rPr>
                <w:rFonts w:cs="Arial"/>
                <w:sz w:val="18"/>
                <w:szCs w:val="18"/>
              </w:rPr>
              <w:t>138°56’48.42’’E</w:t>
            </w:r>
          </w:p>
        </w:tc>
        <w:tc>
          <w:tcPr>
            <w:tcW w:w="928" w:type="dxa"/>
            <w:tcBorders>
              <w:top w:val="nil"/>
              <w:left w:val="nil"/>
              <w:right w:val="nil"/>
            </w:tcBorders>
            <w:vAlign w:val="center"/>
          </w:tcPr>
          <w:p w14:paraId="09C4AA3D" w14:textId="77777777" w:rsidR="0020252F" w:rsidRPr="00A744B7" w:rsidRDefault="0020252F" w:rsidP="00B735DD">
            <w:pPr>
              <w:spacing w:after="120" w:line="240" w:lineRule="auto"/>
              <w:jc w:val="center"/>
              <w:rPr>
                <w:rFonts w:cs="Arial"/>
                <w:sz w:val="18"/>
                <w:szCs w:val="18"/>
              </w:rPr>
            </w:pPr>
            <w:r w:rsidRPr="00A744B7">
              <w:rPr>
                <w:rFonts w:cs="Arial"/>
                <w:sz w:val="18"/>
                <w:szCs w:val="18"/>
              </w:rPr>
              <w:t>20</w:t>
            </w:r>
          </w:p>
        </w:tc>
        <w:tc>
          <w:tcPr>
            <w:tcW w:w="919" w:type="dxa"/>
            <w:tcBorders>
              <w:top w:val="nil"/>
              <w:left w:val="nil"/>
              <w:right w:val="nil"/>
            </w:tcBorders>
            <w:vAlign w:val="center"/>
          </w:tcPr>
          <w:p w14:paraId="58C3A207" w14:textId="77777777" w:rsidR="0020252F" w:rsidRPr="00A744B7" w:rsidRDefault="0020252F" w:rsidP="00B735DD">
            <w:pPr>
              <w:spacing w:after="120" w:line="240" w:lineRule="auto"/>
              <w:jc w:val="center"/>
              <w:rPr>
                <w:rFonts w:cs="Arial"/>
                <w:sz w:val="18"/>
                <w:szCs w:val="18"/>
              </w:rPr>
            </w:pPr>
            <w:r w:rsidRPr="00A744B7">
              <w:rPr>
                <w:rFonts w:cs="Arial"/>
                <w:sz w:val="18"/>
                <w:szCs w:val="18"/>
              </w:rPr>
              <w:t>-</w:t>
            </w:r>
          </w:p>
        </w:tc>
      </w:tr>
    </w:tbl>
    <w:p w14:paraId="7E40D89B" w14:textId="77777777" w:rsidR="0020252F" w:rsidRDefault="0020252F" w:rsidP="00B735DD"/>
    <w:p w14:paraId="7F138B19" w14:textId="131E077B" w:rsidR="0020252F" w:rsidRDefault="0020252F" w:rsidP="00B735DD">
      <w:r w:rsidRPr="00A77ABE">
        <w:rPr>
          <w:rFonts w:cs="Arial"/>
        </w:rPr>
        <w:t>Following capture, lamprey were anaesthetised individually</w:t>
      </w:r>
      <w:r w:rsidR="002C5125">
        <w:rPr>
          <w:rFonts w:cs="Arial"/>
        </w:rPr>
        <w:t xml:space="preserve"> </w:t>
      </w:r>
      <w:r w:rsidRPr="00A77ABE">
        <w:rPr>
          <w:rFonts w:cs="Arial"/>
        </w:rPr>
        <w:t>using a 0.05 ml.L</w:t>
      </w:r>
      <w:r w:rsidRPr="00677CAD">
        <w:rPr>
          <w:rFonts w:cs="Arial"/>
          <w:vertAlign w:val="superscript"/>
        </w:rPr>
        <w:t>-1</w:t>
      </w:r>
      <w:r w:rsidR="008433F8">
        <w:rPr>
          <w:rFonts w:cs="Arial"/>
        </w:rPr>
        <w:t xml:space="preserve"> </w:t>
      </w:r>
      <w:r w:rsidRPr="008433F8">
        <w:rPr>
          <w:rFonts w:cs="Arial"/>
        </w:rPr>
        <w:t>solution</w:t>
      </w:r>
      <w:r w:rsidRPr="00A77ABE">
        <w:rPr>
          <w:rFonts w:cs="Arial"/>
        </w:rPr>
        <w:t xml:space="preserve"> of AQUI-S (AQUI-S, Lower Hutt, New Zealand)</w:t>
      </w:r>
      <w:r w:rsidR="00677CAD">
        <w:rPr>
          <w:rFonts w:cs="Arial"/>
        </w:rPr>
        <w:t xml:space="preserve"> in a 20L dosing tank</w:t>
      </w:r>
      <w:r w:rsidRPr="00A77ABE">
        <w:rPr>
          <w:rFonts w:cs="Arial"/>
        </w:rPr>
        <w:t xml:space="preserve">. </w:t>
      </w:r>
      <w:proofErr w:type="spellStart"/>
      <w:r w:rsidRPr="00A77ABE">
        <w:rPr>
          <w:rFonts w:cs="Arial"/>
        </w:rPr>
        <w:t>Anaesthesia</w:t>
      </w:r>
      <w:proofErr w:type="spellEnd"/>
      <w:r w:rsidRPr="00A77ABE">
        <w:rPr>
          <w:rFonts w:cs="Arial"/>
        </w:rPr>
        <w:t xml:space="preserve"> </w:t>
      </w:r>
      <w:r>
        <w:rPr>
          <w:rFonts w:cs="Arial"/>
        </w:rPr>
        <w:t>times were typically &lt;10</w:t>
      </w:r>
      <w:r w:rsidR="009D6EEC">
        <w:rPr>
          <w:rFonts w:cs="Arial"/>
        </w:rPr>
        <w:t> </w:t>
      </w:r>
      <w:r>
        <w:rPr>
          <w:rFonts w:cs="Arial"/>
        </w:rPr>
        <w:t xml:space="preserve">min. </w:t>
      </w:r>
      <w:r w:rsidRPr="00A77ABE">
        <w:rPr>
          <w:rFonts w:cs="Arial"/>
        </w:rPr>
        <w:t xml:space="preserve">Individuals were then measured for total length </w:t>
      </w:r>
      <w:r w:rsidR="00CB5F3B">
        <w:rPr>
          <w:rFonts w:cs="Arial"/>
        </w:rPr>
        <w:t>(TL</w:t>
      </w:r>
      <w:r w:rsidR="00677CAD">
        <w:rPr>
          <w:rFonts w:cs="Arial"/>
        </w:rPr>
        <w:t xml:space="preserve">, </w:t>
      </w:r>
      <w:r w:rsidRPr="00A77ABE">
        <w:rPr>
          <w:rFonts w:cs="Arial"/>
        </w:rPr>
        <w:t xml:space="preserve">mm) and weight (g), </w:t>
      </w:r>
      <w:r>
        <w:rPr>
          <w:rFonts w:cs="Arial"/>
        </w:rPr>
        <w:t>and placed in an elongated v-shaped support. A</w:t>
      </w:r>
      <w:r w:rsidRPr="00A77ABE">
        <w:rPr>
          <w:rFonts w:cs="Arial"/>
        </w:rPr>
        <w:t xml:space="preserve"> short (~5 mm) incision </w:t>
      </w:r>
      <w:r>
        <w:rPr>
          <w:rFonts w:cs="Arial"/>
        </w:rPr>
        <w:t xml:space="preserve">was made </w:t>
      </w:r>
      <w:r w:rsidRPr="00A77ABE">
        <w:rPr>
          <w:rFonts w:cs="Arial"/>
        </w:rPr>
        <w:t xml:space="preserve">on the ventral surface, anterior </w:t>
      </w:r>
      <w:r>
        <w:rPr>
          <w:rFonts w:cs="Arial"/>
        </w:rPr>
        <w:t xml:space="preserve">to </w:t>
      </w:r>
      <w:r w:rsidRPr="00A77ABE">
        <w:rPr>
          <w:rFonts w:cs="Arial"/>
        </w:rPr>
        <w:t xml:space="preserve">the first dorsal fin, and </w:t>
      </w:r>
      <w:r>
        <w:rPr>
          <w:rFonts w:cs="Arial"/>
        </w:rPr>
        <w:t>a</w:t>
      </w:r>
      <w:r w:rsidRPr="00A77ABE">
        <w:rPr>
          <w:rFonts w:cs="Arial"/>
        </w:rPr>
        <w:t xml:space="preserve"> PIT tag </w:t>
      </w:r>
      <w:r>
        <w:rPr>
          <w:rFonts w:cs="Arial"/>
        </w:rPr>
        <w:t xml:space="preserve">inserted </w:t>
      </w:r>
      <w:r w:rsidRPr="00A77ABE">
        <w:rPr>
          <w:rFonts w:cs="Arial"/>
        </w:rPr>
        <w:t>in</w:t>
      </w:r>
      <w:r>
        <w:rPr>
          <w:rFonts w:cs="Arial"/>
        </w:rPr>
        <w:t>to</w:t>
      </w:r>
      <w:r w:rsidRPr="00A77ABE">
        <w:rPr>
          <w:rFonts w:cs="Arial"/>
        </w:rPr>
        <w:t xml:space="preserve"> the </w:t>
      </w:r>
      <w:r>
        <w:rPr>
          <w:rFonts w:cs="Arial"/>
        </w:rPr>
        <w:t>peritoneal</w:t>
      </w:r>
      <w:r w:rsidRPr="00A77ABE">
        <w:rPr>
          <w:rFonts w:cs="Arial"/>
        </w:rPr>
        <w:t xml:space="preserve"> cavity. Surg</w:t>
      </w:r>
      <w:r>
        <w:rPr>
          <w:rFonts w:cs="Arial"/>
        </w:rPr>
        <w:t xml:space="preserve">ical openings were closed with </w:t>
      </w:r>
      <w:proofErr w:type="spellStart"/>
      <w:r>
        <w:rPr>
          <w:rFonts w:cs="Arial"/>
        </w:rPr>
        <w:t>V</w:t>
      </w:r>
      <w:r w:rsidRPr="00A77ABE">
        <w:rPr>
          <w:rFonts w:cs="Arial"/>
        </w:rPr>
        <w:t>etbond</w:t>
      </w:r>
      <w:proofErr w:type="spellEnd"/>
      <w:r>
        <w:rPr>
          <w:rFonts w:cs="Arial"/>
        </w:rPr>
        <w:t xml:space="preserve"> surgical glue (3M, Sydney, NSW, </w:t>
      </w:r>
      <w:proofErr w:type="gramStart"/>
      <w:r>
        <w:rPr>
          <w:rFonts w:cs="Arial"/>
        </w:rPr>
        <w:t>Australia</w:t>
      </w:r>
      <w:proofErr w:type="gramEnd"/>
      <w:r>
        <w:rPr>
          <w:rFonts w:cs="Arial"/>
        </w:rPr>
        <w:t xml:space="preserve">) and procedures </w:t>
      </w:r>
      <w:r w:rsidRPr="00A77ABE">
        <w:rPr>
          <w:rFonts w:cs="Arial"/>
        </w:rPr>
        <w:t>typically completed within one minute.</w:t>
      </w:r>
      <w:r>
        <w:rPr>
          <w:rFonts w:cs="Arial"/>
        </w:rPr>
        <w:t xml:space="preserve"> A</w:t>
      </w:r>
      <w:r w:rsidRPr="007563A8">
        <w:rPr>
          <w:rFonts w:cs="Arial"/>
        </w:rPr>
        <w:t>ll tagged lamprey were observed until they exhibited natural behaviors</w:t>
      </w:r>
      <w:r w:rsidRPr="009E338D">
        <w:t xml:space="preserve"> </w:t>
      </w:r>
      <w:r>
        <w:t xml:space="preserve">(e.g. ability to </w:t>
      </w:r>
      <w:r w:rsidRPr="009E338D">
        <w:rPr>
          <w:rFonts w:cs="Arial"/>
        </w:rPr>
        <w:t>maintain balance and swim freely</w:t>
      </w:r>
      <w:r>
        <w:rPr>
          <w:rFonts w:cs="Arial"/>
        </w:rPr>
        <w:t>)</w:t>
      </w:r>
      <w:r w:rsidRPr="007563A8">
        <w:rPr>
          <w:rFonts w:cs="Arial"/>
        </w:rPr>
        <w:t xml:space="preserve">, </w:t>
      </w:r>
      <w:r>
        <w:rPr>
          <w:rFonts w:cs="Arial"/>
        </w:rPr>
        <w:t>which typically occurred</w:t>
      </w:r>
      <w:r w:rsidRPr="007563A8">
        <w:rPr>
          <w:rFonts w:cs="Arial"/>
        </w:rPr>
        <w:t xml:space="preserve"> within </w:t>
      </w:r>
      <w:r w:rsidR="00CF210C">
        <w:rPr>
          <w:rFonts w:cs="Arial"/>
        </w:rPr>
        <w:t>five minutes</w:t>
      </w:r>
      <w:r w:rsidRPr="007563A8">
        <w:rPr>
          <w:rFonts w:cs="Arial"/>
        </w:rPr>
        <w:t xml:space="preserve"> of procedures</w:t>
      </w:r>
      <w:r>
        <w:rPr>
          <w:rFonts w:cs="Arial"/>
        </w:rPr>
        <w:t>, and were subsequently released upstream</w:t>
      </w:r>
      <w:r w:rsidR="00677CAD">
        <w:rPr>
          <w:rFonts w:cs="Arial"/>
        </w:rPr>
        <w:t xml:space="preserve"> of the barrages</w:t>
      </w:r>
      <w:r>
        <w:rPr>
          <w:rFonts w:cs="Arial"/>
        </w:rPr>
        <w:t>.</w:t>
      </w:r>
    </w:p>
    <w:p w14:paraId="2BCC2A6E" w14:textId="77777777" w:rsidR="0020252F" w:rsidRDefault="0020252F" w:rsidP="0020252F">
      <w:pPr>
        <w:pStyle w:val="Heading2"/>
        <w:numPr>
          <w:ilvl w:val="1"/>
          <w:numId w:val="1"/>
        </w:numPr>
      </w:pPr>
      <w:bookmarkStart w:id="12" w:name="_Toc36554674"/>
      <w:r>
        <w:lastRenderedPageBreak/>
        <w:t>Tracking upstream movements</w:t>
      </w:r>
      <w:bookmarkEnd w:id="12"/>
    </w:p>
    <w:p w14:paraId="52848A9D" w14:textId="72AB611F" w:rsidR="0020252F" w:rsidRPr="007E6DF6" w:rsidRDefault="0020252F" w:rsidP="00B735DD">
      <w:pPr>
        <w:rPr>
          <w:rFonts w:cs="Arial"/>
        </w:rPr>
      </w:pPr>
      <w:r w:rsidRPr="007E6DF6">
        <w:rPr>
          <w:rFonts w:cs="Arial"/>
        </w:rPr>
        <w:t xml:space="preserve">All fishways on main channel weirs of the River Murray from Lock 1 to Lock 26 are fitted with </w:t>
      </w:r>
      <w:proofErr w:type="spellStart"/>
      <w:r w:rsidRPr="007E6DF6">
        <w:rPr>
          <w:rFonts w:cs="Arial"/>
          <w:bCs/>
        </w:rPr>
        <w:t>KarlTek</w:t>
      </w:r>
      <w:proofErr w:type="spellEnd"/>
      <w:r w:rsidRPr="007E6DF6">
        <w:rPr>
          <w:rFonts w:cs="Arial"/>
          <w:bCs/>
        </w:rPr>
        <w:t xml:space="preserve"> KLK5000 PIT reader systems (</w:t>
      </w:r>
      <w:proofErr w:type="spellStart"/>
      <w:r w:rsidRPr="007E6DF6">
        <w:rPr>
          <w:rFonts w:cs="Arial"/>
          <w:bCs/>
        </w:rPr>
        <w:t>KarlTek</w:t>
      </w:r>
      <w:proofErr w:type="spellEnd"/>
      <w:r w:rsidRPr="007E6DF6">
        <w:rPr>
          <w:rFonts w:cs="Arial"/>
          <w:bCs/>
        </w:rPr>
        <w:t xml:space="preserve"> Pty Ltd, Melbourne, Australia). These systems are half- and full-duplex compatible and comprise multiple digital-signal-processing (DSP) decoders (‘readers’) and waterproof antennas. The antennas are mounted around the vertical-slots of each fishway to detect tagged fish passing through. The number of antennas at each fishway ranges from two to five; at a minimum, each fishway has an antenna at the fishway entrance and exit slots, while some fishways have additional antennas between the entrances and exits. The systems are auto-tuning, providing optimal tag read-range year-rou</w:t>
      </w:r>
      <w:r>
        <w:rPr>
          <w:rFonts w:cs="Arial"/>
          <w:bCs/>
        </w:rPr>
        <w:t xml:space="preserve">nd, and data are </w:t>
      </w:r>
      <w:r w:rsidR="00677CAD">
        <w:rPr>
          <w:rFonts w:cs="Arial"/>
          <w:bCs/>
        </w:rPr>
        <w:t xml:space="preserve">transmitted </w:t>
      </w:r>
      <w:r w:rsidRPr="007E6DF6">
        <w:rPr>
          <w:rFonts w:cs="Arial"/>
          <w:bCs/>
        </w:rPr>
        <w:t>to a central database</w:t>
      </w:r>
      <w:r w:rsidRPr="007E6DF6">
        <w:rPr>
          <w:rFonts w:cs="Arial"/>
        </w:rPr>
        <w:t xml:space="preserve">. At sites where vertical-slot fishways are paired with </w:t>
      </w:r>
      <w:proofErr w:type="spellStart"/>
      <w:r w:rsidRPr="007E6DF6">
        <w:rPr>
          <w:rFonts w:cs="Arial"/>
        </w:rPr>
        <w:t>fishlocks</w:t>
      </w:r>
      <w:proofErr w:type="spellEnd"/>
      <w:r w:rsidRPr="007E6DF6">
        <w:rPr>
          <w:rFonts w:cs="Arial"/>
        </w:rPr>
        <w:t xml:space="preserve"> (Locks 2–6), PIT readers are not installed on </w:t>
      </w:r>
      <w:proofErr w:type="spellStart"/>
      <w:r w:rsidRPr="007E6DF6">
        <w:rPr>
          <w:rFonts w:cs="Arial"/>
        </w:rPr>
        <w:t>fishlocks</w:t>
      </w:r>
      <w:proofErr w:type="spellEnd"/>
      <w:r w:rsidRPr="007E6DF6">
        <w:rPr>
          <w:rFonts w:cs="Arial"/>
        </w:rPr>
        <w:t xml:space="preserve">. The MDB fishway PIT telemetry database was interrogated for detections of </w:t>
      </w:r>
      <w:r>
        <w:rPr>
          <w:rFonts w:cs="Arial"/>
        </w:rPr>
        <w:t>l</w:t>
      </w:r>
      <w:r w:rsidRPr="007E6DF6">
        <w:rPr>
          <w:rFonts w:cs="Arial"/>
        </w:rPr>
        <w:t>amprey tagged in the current study</w:t>
      </w:r>
      <w:r>
        <w:rPr>
          <w:rFonts w:cs="Arial"/>
        </w:rPr>
        <w:t xml:space="preserve">. </w:t>
      </w:r>
    </w:p>
    <w:p w14:paraId="41C67BE8" w14:textId="77777777" w:rsidR="0020252F" w:rsidRDefault="0020252F" w:rsidP="0020252F">
      <w:pPr>
        <w:pStyle w:val="Heading2"/>
        <w:numPr>
          <w:ilvl w:val="1"/>
          <w:numId w:val="1"/>
        </w:numPr>
      </w:pPr>
      <w:bookmarkStart w:id="13" w:name="_Toc36554675"/>
      <w:r>
        <w:t>Data interpretation and analysis</w:t>
      </w:r>
      <w:bookmarkEnd w:id="13"/>
    </w:p>
    <w:p w14:paraId="768C4912" w14:textId="70FD1125" w:rsidR="0020252F" w:rsidRDefault="0020252F" w:rsidP="00B735DD">
      <w:r>
        <w:t xml:space="preserve">Abundance </w:t>
      </w:r>
      <w:r w:rsidR="002C5125">
        <w:t xml:space="preserve">of </w:t>
      </w:r>
      <w:r>
        <w:t>pouched lamprey was compared among fishways and years in which targeted lamprey sampling has occurred (2015</w:t>
      </w:r>
      <w:r>
        <w:rPr>
          <w:rFonts w:cs="Arial"/>
        </w:rPr>
        <w:t>–</w:t>
      </w:r>
      <w:r>
        <w:t xml:space="preserve">2019). </w:t>
      </w:r>
      <w:r w:rsidRPr="007C2CC5">
        <w:t>Differences in relative abundance (fish.hour</w:t>
      </w:r>
      <w:r w:rsidRPr="007C2CC5">
        <w:rPr>
          <w:vertAlign w:val="superscript"/>
        </w:rPr>
        <w:t>-1</w:t>
      </w:r>
      <w:r w:rsidRPr="007C2CC5">
        <w:t>.trap event</w:t>
      </w:r>
      <w:r w:rsidRPr="007C2CC5">
        <w:rPr>
          <w:vertAlign w:val="superscript"/>
        </w:rPr>
        <w:t>-1</w:t>
      </w:r>
      <w:r w:rsidRPr="007C2CC5">
        <w:t xml:space="preserve">) </w:t>
      </w:r>
      <w:r>
        <w:t xml:space="preserve">among fishways and years </w:t>
      </w:r>
      <w:r w:rsidRPr="007C2CC5">
        <w:t xml:space="preserve">were </w:t>
      </w:r>
      <w:proofErr w:type="spellStart"/>
      <w:r w:rsidRPr="007C2CC5">
        <w:t>analysed</w:t>
      </w:r>
      <w:proofErr w:type="spellEnd"/>
      <w:r w:rsidRPr="007C2CC5">
        <w:t xml:space="preserve"> using </w:t>
      </w:r>
      <w:proofErr w:type="spellStart"/>
      <w:r w:rsidRPr="007C2CC5">
        <w:t>uni</w:t>
      </w:r>
      <w:proofErr w:type="spellEnd"/>
      <w:r w:rsidRPr="007C2CC5">
        <w:t xml:space="preserve">-variate </w:t>
      </w:r>
      <w:r>
        <w:t>two</w:t>
      </w:r>
      <w:r w:rsidRPr="007C2CC5">
        <w:t>-factor PERMANOVA (</w:t>
      </w:r>
      <w:proofErr w:type="spellStart"/>
      <w:r w:rsidRPr="007C2CC5">
        <w:t>permutational</w:t>
      </w:r>
      <w:proofErr w:type="spellEnd"/>
      <w:r w:rsidRPr="007C2CC5">
        <w:t xml:space="preserve"> ANOVA and MANOVA), in </w:t>
      </w:r>
      <w:r w:rsidR="007A6C62">
        <w:t>the software package PRIMER v. 7</w:t>
      </w:r>
      <w:r w:rsidRPr="007C2CC5">
        <w:t>.</w:t>
      </w:r>
      <w:r w:rsidR="007A6C62">
        <w:t>0</w:t>
      </w:r>
      <w:r w:rsidRPr="007C2CC5">
        <w:t>.</w:t>
      </w:r>
      <w:r w:rsidR="007A6C62">
        <w:t>13</w:t>
      </w:r>
      <w:r w:rsidRPr="007C2CC5">
        <w:t xml:space="preserve"> and PERMANOVA+</w:t>
      </w:r>
      <w:r w:rsidR="007A6C62">
        <w:t>1</w:t>
      </w:r>
      <w:r w:rsidRPr="007C2CC5">
        <w:t xml:space="preserve"> </w:t>
      </w:r>
      <w:r>
        <w:rPr>
          <w:noProof/>
        </w:rPr>
        <w:t>(Anderson et al. 2008)</w:t>
      </w:r>
      <w:r w:rsidRPr="007C2CC5">
        <w:t>.</w:t>
      </w:r>
      <w:r>
        <w:t xml:space="preserve"> Differences are interpreted in the context of discharge, including Commonwealth </w:t>
      </w:r>
      <w:r w:rsidR="002C5125">
        <w:t>e</w:t>
      </w:r>
      <w:r>
        <w:t xml:space="preserve">nvironmental </w:t>
      </w:r>
      <w:r w:rsidR="002C5125">
        <w:t>w</w:t>
      </w:r>
      <w:r>
        <w:t xml:space="preserve">ater, from the associated barrages. Migration was characterised by calculating the extent, timing and rate of movement. Extent of migration </w:t>
      </w:r>
      <w:r w:rsidR="00677CAD">
        <w:t xml:space="preserve">(distance) </w:t>
      </w:r>
      <w:r>
        <w:t xml:space="preserve">was defined as the reach </w:t>
      </w:r>
      <w:r w:rsidR="00677CAD">
        <w:t>(i.e. weir</w:t>
      </w:r>
      <w:r w:rsidR="00B40FFF">
        <w:t xml:space="preserve"> </w:t>
      </w:r>
      <w:r w:rsidR="00677CAD">
        <w:t xml:space="preserve">pool) </w:t>
      </w:r>
      <w:r>
        <w:t>in which migration appeared to cease based upon detections on PIT reader systems. Migration timing was estimated for the point of capture (Murray barrages ~7 km MTD</w:t>
      </w:r>
      <w:r w:rsidR="00677CAD">
        <w:t>, middle thread distance</w:t>
      </w:r>
      <w:r>
        <w:t>), and PIT system locations (Lock 1</w:t>
      </w:r>
      <w:r>
        <w:rPr>
          <w:rFonts w:cs="Arial"/>
        </w:rPr>
        <w:t>–10</w:t>
      </w:r>
      <w:r>
        <w:t>), and presented as median dates, as well as date of first and last detections at each site. Migration rates (km.d</w:t>
      </w:r>
      <w:r>
        <w:rPr>
          <w:vertAlign w:val="superscript"/>
        </w:rPr>
        <w:t>-1</w:t>
      </w:r>
      <w:r>
        <w:t>) were calculated from date</w:t>
      </w:r>
      <w:r>
        <w:rPr>
          <w:rFonts w:cs="Arial"/>
        </w:rPr>
        <w:t>–</w:t>
      </w:r>
      <w:r>
        <w:t xml:space="preserve">time stamps from PIT reader systems and known distances between systems. </w:t>
      </w:r>
      <w:r w:rsidRPr="00F95611">
        <w:t xml:space="preserve">Estimated daily barrage discharge and salinity data were obtained from the Department </w:t>
      </w:r>
      <w:r w:rsidR="00402487">
        <w:t>for</w:t>
      </w:r>
      <w:r w:rsidRPr="00F95611">
        <w:t xml:space="preserve"> Environment</w:t>
      </w:r>
      <w:r w:rsidR="00402487">
        <w:t xml:space="preserve"> and</w:t>
      </w:r>
      <w:r w:rsidRPr="00F95611">
        <w:t xml:space="preserve"> Water (DEW)</w:t>
      </w:r>
      <w:r>
        <w:t xml:space="preserve">, while data on flow </w:t>
      </w:r>
      <w:r w:rsidR="00402487">
        <w:t xml:space="preserve">at </w:t>
      </w:r>
      <w:r w:rsidR="00280EA7">
        <w:t xml:space="preserve">the </w:t>
      </w:r>
      <w:r>
        <w:t>South Australia</w:t>
      </w:r>
      <w:r w:rsidR="00402487">
        <w:t>n border</w:t>
      </w:r>
      <w:r>
        <w:t xml:space="preserve"> (QSA) and contributions of environmental water and entitlement were obtained from the Murray</w:t>
      </w:r>
      <w:r w:rsidR="00402487">
        <w:rPr>
          <w:rFonts w:cs="Arial"/>
        </w:rPr>
        <w:t>–</w:t>
      </w:r>
      <w:r>
        <w:t>Darling Basin Authority</w:t>
      </w:r>
      <w:r w:rsidRPr="00F95611">
        <w:t>.</w:t>
      </w:r>
    </w:p>
    <w:p w14:paraId="7EDC36EA" w14:textId="77777777" w:rsidR="0020252F" w:rsidRDefault="0020252F" w:rsidP="00B735DD"/>
    <w:p w14:paraId="6133A71E" w14:textId="27C909B8" w:rsidR="0020252F" w:rsidRDefault="00072E17" w:rsidP="0020252F">
      <w:pPr>
        <w:pStyle w:val="Heading1"/>
        <w:numPr>
          <w:ilvl w:val="0"/>
          <w:numId w:val="1"/>
        </w:numPr>
      </w:pPr>
      <w:bookmarkStart w:id="14" w:name="_Toc36554676"/>
      <w:r>
        <w:lastRenderedPageBreak/>
        <w:t>R</w:t>
      </w:r>
      <w:r w:rsidR="0020252F">
        <w:t>esults</w:t>
      </w:r>
      <w:bookmarkEnd w:id="14"/>
    </w:p>
    <w:p w14:paraId="159F0A56" w14:textId="77777777" w:rsidR="0020252F" w:rsidRDefault="0020252F" w:rsidP="0020252F">
      <w:pPr>
        <w:pStyle w:val="Heading2"/>
        <w:numPr>
          <w:ilvl w:val="1"/>
          <w:numId w:val="1"/>
        </w:numPr>
      </w:pPr>
      <w:bookmarkStart w:id="15" w:name="_Toc36554677"/>
      <w:r>
        <w:t>Hydrology</w:t>
      </w:r>
      <w:bookmarkEnd w:id="15"/>
    </w:p>
    <w:p w14:paraId="115C2FF4" w14:textId="2C30BE38" w:rsidR="0020252F" w:rsidRDefault="0020252F" w:rsidP="00B735DD">
      <w:r>
        <w:t>From May</w:t>
      </w:r>
      <w:r>
        <w:rPr>
          <w:rFonts w:cs="Arial"/>
        </w:rPr>
        <w:t>–</w:t>
      </w:r>
      <w:r>
        <w:t>December 2019, discharge at the South Australian border (QSA) was characterised by flow &lt;8,000 ML.d</w:t>
      </w:r>
      <w:r>
        <w:rPr>
          <w:vertAlign w:val="superscript"/>
        </w:rPr>
        <w:t>-1</w:t>
      </w:r>
      <w:r>
        <w:t xml:space="preserve">, punctuated by conspicuous within-channel flow </w:t>
      </w:r>
      <w:r w:rsidR="007041C9">
        <w:t xml:space="preserve">pulses </w:t>
      </w:r>
      <w:r>
        <w:t>that peaked at ~10,000 and ~15,000 ML.d</w:t>
      </w:r>
      <w:r>
        <w:rPr>
          <w:vertAlign w:val="superscript"/>
        </w:rPr>
        <w:t>-1</w:t>
      </w:r>
      <w:r>
        <w:t xml:space="preserve"> in August and October, respectively (</w:t>
      </w:r>
      <w:r w:rsidRPr="006222A2">
        <w:fldChar w:fldCharType="begin"/>
      </w:r>
      <w:r w:rsidRPr="006222A2">
        <w:instrText xml:space="preserve"> REF _Ref36551629 \h  \* MERGEFORMAT </w:instrText>
      </w:r>
      <w:r w:rsidRPr="006222A2">
        <w:fldChar w:fldCharType="separate"/>
      </w:r>
      <w:r w:rsidRPr="006222A2">
        <w:t xml:space="preserve">Figure </w:t>
      </w:r>
      <w:r w:rsidRPr="006222A2">
        <w:rPr>
          <w:noProof/>
        </w:rPr>
        <w:t>2</w:t>
      </w:r>
      <w:r w:rsidRPr="006222A2">
        <w:fldChar w:fldCharType="end"/>
      </w:r>
      <w:r>
        <w:t xml:space="preserve">a). Delivery of South Australian entitlement </w:t>
      </w:r>
      <w:r w:rsidR="007041C9">
        <w:t xml:space="preserve">flow </w:t>
      </w:r>
      <w:r>
        <w:t xml:space="preserve">comprised the majority of QSA </w:t>
      </w:r>
      <w:r w:rsidR="00B23527">
        <w:t>except for</w:t>
      </w:r>
      <w:r>
        <w:t xml:space="preserve"> the winter and spring flow </w:t>
      </w:r>
      <w:r w:rsidR="00280EA7">
        <w:t>pulses</w:t>
      </w:r>
      <w:r>
        <w:t>, wh</w:t>
      </w:r>
      <w:r w:rsidR="00B23527">
        <w:t>en</w:t>
      </w:r>
      <w:r>
        <w:t xml:space="preserve"> Commonwealth </w:t>
      </w:r>
      <w:r w:rsidR="007041C9">
        <w:t>e</w:t>
      </w:r>
      <w:r>
        <w:t xml:space="preserve">nvironmental </w:t>
      </w:r>
      <w:r w:rsidR="007041C9">
        <w:t>w</w:t>
      </w:r>
      <w:r>
        <w:t>ater</w:t>
      </w:r>
      <w:r w:rsidR="00B23527">
        <w:t xml:space="preserve"> comprised a major proportion (up to 70%) (</w:t>
      </w:r>
      <w:r w:rsidR="00B23527" w:rsidRPr="00B23527">
        <w:fldChar w:fldCharType="begin"/>
      </w:r>
      <w:r w:rsidR="00B23527" w:rsidRPr="00B23527">
        <w:instrText xml:space="preserve"> REF _Ref36551629 \h  \* MERGEFORMAT </w:instrText>
      </w:r>
      <w:r w:rsidR="00B23527" w:rsidRPr="00B23527">
        <w:fldChar w:fldCharType="separate"/>
      </w:r>
      <w:r w:rsidR="00B23527" w:rsidRPr="00B23527">
        <w:t xml:space="preserve">Figure </w:t>
      </w:r>
      <w:r w:rsidR="00B23527" w:rsidRPr="00B23527">
        <w:rPr>
          <w:noProof/>
        </w:rPr>
        <w:t>2</w:t>
      </w:r>
      <w:r w:rsidR="00B23527" w:rsidRPr="00B23527">
        <w:fldChar w:fldCharType="end"/>
      </w:r>
      <w:r w:rsidR="00B23527">
        <w:t>a)</w:t>
      </w:r>
      <w:r>
        <w:t>.</w:t>
      </w:r>
    </w:p>
    <w:p w14:paraId="18A86BA6" w14:textId="268C3AC8" w:rsidR="0020252F" w:rsidRDefault="0020252F" w:rsidP="00B735DD">
      <w:r>
        <w:t>Over the same period, discharge from the Murray Barrages was more variable, ranging 0</w:t>
      </w:r>
      <w:r>
        <w:rPr>
          <w:rFonts w:cs="Arial"/>
        </w:rPr>
        <w:t>–</w:t>
      </w:r>
      <w:r w:rsidR="009F0BDF">
        <w:t>24,908 </w:t>
      </w:r>
      <w:r>
        <w:t>ML.d</w:t>
      </w:r>
      <w:r>
        <w:rPr>
          <w:vertAlign w:val="superscript"/>
        </w:rPr>
        <w:t>-1</w:t>
      </w:r>
      <w:r>
        <w:t xml:space="preserve"> (</w:t>
      </w:r>
      <w:r w:rsidRPr="006222A2">
        <w:fldChar w:fldCharType="begin"/>
      </w:r>
      <w:r w:rsidRPr="006222A2">
        <w:instrText xml:space="preserve"> REF _Ref36551629 \h  \* MERGEFORMAT </w:instrText>
      </w:r>
      <w:r w:rsidRPr="006222A2">
        <w:fldChar w:fldCharType="separate"/>
      </w:r>
      <w:r w:rsidRPr="006222A2">
        <w:t xml:space="preserve">Figure </w:t>
      </w:r>
      <w:r w:rsidRPr="006222A2">
        <w:rPr>
          <w:noProof/>
        </w:rPr>
        <w:t>2</w:t>
      </w:r>
      <w:r w:rsidRPr="006222A2">
        <w:fldChar w:fldCharType="end"/>
      </w:r>
      <w:r>
        <w:t>b). During sampling from 9 July</w:t>
      </w:r>
      <w:r>
        <w:rPr>
          <w:rFonts w:cs="Arial"/>
        </w:rPr>
        <w:t>–</w:t>
      </w:r>
      <w:r>
        <w:t>4 October, discharge ranged 0</w:t>
      </w:r>
      <w:r>
        <w:rPr>
          <w:rFonts w:cs="Arial"/>
        </w:rPr>
        <w:t>–19</w:t>
      </w:r>
      <w:r>
        <w:t>,166</w:t>
      </w:r>
      <w:r w:rsidR="009F0BDF">
        <w:t> </w:t>
      </w:r>
      <w:r>
        <w:t>ML.d</w:t>
      </w:r>
      <w:r>
        <w:rPr>
          <w:vertAlign w:val="superscript"/>
        </w:rPr>
        <w:t>-1</w:t>
      </w:r>
      <w:r w:rsidR="009F0BDF">
        <w:t>,</w:t>
      </w:r>
      <w:r>
        <w:t xml:space="preserve"> with a mean discharge (</w:t>
      </w:r>
      <w:r>
        <w:rPr>
          <w:rFonts w:cs="Arial"/>
        </w:rPr>
        <w:t>±</w:t>
      </w:r>
      <w:r>
        <w:t xml:space="preserve"> SE) of 3</w:t>
      </w:r>
      <w:r w:rsidR="006D149D">
        <w:t>,</w:t>
      </w:r>
      <w:r>
        <w:t xml:space="preserve">236 </w:t>
      </w:r>
      <w:r>
        <w:rPr>
          <w:rFonts w:cs="Arial"/>
        </w:rPr>
        <w:t>±</w:t>
      </w:r>
      <w:r>
        <w:t xml:space="preserve"> 327 ML.d</w:t>
      </w:r>
      <w:r>
        <w:rPr>
          <w:vertAlign w:val="superscript"/>
        </w:rPr>
        <w:t>-1</w:t>
      </w:r>
      <w:r>
        <w:t xml:space="preserve">. Throughout this period, </w:t>
      </w:r>
      <w:r w:rsidR="008760F3">
        <w:t>most</w:t>
      </w:r>
      <w:r>
        <w:t xml:space="preserve"> water was discharged through Tauwitchere (mean daily proportion of barrage discharge = 50%), followed by Goolwa (~29%) and Mundoo barrages (~19%), with minor proportions discharged through Ewe Island (~2%) and Boundary Creek (~0.3 %). Correspondingly, salinity (measured as electrical conductivity) was also variable across the sampling period, and of the major barrages, was generally lowest downstream of Goolwa (range = 9</w:t>
      </w:r>
      <w:r w:rsidR="006D149D">
        <w:t>,</w:t>
      </w:r>
      <w:r>
        <w:t>090</w:t>
      </w:r>
      <w:r>
        <w:rPr>
          <w:rFonts w:cs="Arial"/>
        </w:rPr>
        <w:t>–</w:t>
      </w:r>
      <w:r>
        <w:t xml:space="preserve">49,096 </w:t>
      </w:r>
      <w:r>
        <w:rPr>
          <w:rFonts w:cs="Arial"/>
        </w:rPr>
        <w:t>µ</w:t>
      </w:r>
      <w:r>
        <w:t>S.cm</w:t>
      </w:r>
      <w:r>
        <w:rPr>
          <w:vertAlign w:val="superscript"/>
        </w:rPr>
        <w:t>-1</w:t>
      </w:r>
      <w:r>
        <w:t xml:space="preserve">, mean </w:t>
      </w:r>
      <w:r>
        <w:rPr>
          <w:rFonts w:cs="Arial"/>
        </w:rPr>
        <w:t>±</w:t>
      </w:r>
      <w:r>
        <w:t xml:space="preserve"> SE = 30,587 </w:t>
      </w:r>
      <w:r>
        <w:rPr>
          <w:rFonts w:cs="Arial"/>
        </w:rPr>
        <w:t>±</w:t>
      </w:r>
      <w:r>
        <w:t xml:space="preserve"> 1</w:t>
      </w:r>
      <w:r w:rsidR="009F0BDF">
        <w:t>,</w:t>
      </w:r>
      <w:r>
        <w:t>367</w:t>
      </w:r>
      <w:r w:rsidR="0045168E">
        <w:t xml:space="preserve"> </w:t>
      </w:r>
      <w:r w:rsidR="0045168E">
        <w:rPr>
          <w:rFonts w:cs="Arial"/>
        </w:rPr>
        <w:t>µ</w:t>
      </w:r>
      <w:r w:rsidR="0045168E">
        <w:t>S.cm</w:t>
      </w:r>
      <w:r w:rsidR="0045168E">
        <w:rPr>
          <w:vertAlign w:val="superscript"/>
        </w:rPr>
        <w:t>-1</w:t>
      </w:r>
      <w:r>
        <w:t>), followed by Mundoo (range = 18,404</w:t>
      </w:r>
      <w:r>
        <w:rPr>
          <w:rFonts w:cs="Arial"/>
        </w:rPr>
        <w:t>–46</w:t>
      </w:r>
      <w:r>
        <w:t xml:space="preserve">,096 </w:t>
      </w:r>
      <w:r>
        <w:rPr>
          <w:rFonts w:cs="Arial"/>
        </w:rPr>
        <w:t>µ</w:t>
      </w:r>
      <w:r>
        <w:t>S.cm</w:t>
      </w:r>
      <w:r>
        <w:rPr>
          <w:vertAlign w:val="superscript"/>
        </w:rPr>
        <w:t>-1</w:t>
      </w:r>
      <w:r>
        <w:t xml:space="preserve">, mean </w:t>
      </w:r>
      <w:r>
        <w:rPr>
          <w:rFonts w:cs="Arial"/>
        </w:rPr>
        <w:t>±</w:t>
      </w:r>
      <w:r>
        <w:t xml:space="preserve"> SE = 3</w:t>
      </w:r>
      <w:r w:rsidR="0045168E">
        <w:t>8</w:t>
      </w:r>
      <w:r>
        <w:t>,</w:t>
      </w:r>
      <w:r w:rsidR="0045168E">
        <w:t>707</w:t>
      </w:r>
      <w:r>
        <w:t xml:space="preserve"> </w:t>
      </w:r>
      <w:r>
        <w:rPr>
          <w:rFonts w:cs="Arial"/>
        </w:rPr>
        <w:t>±</w:t>
      </w:r>
      <w:r>
        <w:t xml:space="preserve"> </w:t>
      </w:r>
      <w:r w:rsidR="0045168E">
        <w:t xml:space="preserve">619 </w:t>
      </w:r>
      <w:r w:rsidR="0045168E">
        <w:rPr>
          <w:rFonts w:cs="Arial"/>
        </w:rPr>
        <w:t>µ</w:t>
      </w:r>
      <w:r w:rsidR="0045168E">
        <w:t>S.cm</w:t>
      </w:r>
      <w:r w:rsidR="0045168E">
        <w:rPr>
          <w:vertAlign w:val="superscript"/>
        </w:rPr>
        <w:t>-1</w:t>
      </w:r>
      <w:r>
        <w:t xml:space="preserve">) and Tauwitchere (range = </w:t>
      </w:r>
      <w:r w:rsidR="0045168E">
        <w:t>21</w:t>
      </w:r>
      <w:r w:rsidR="006D149D">
        <w:t>,</w:t>
      </w:r>
      <w:r w:rsidR="0045168E">
        <w:t>897</w:t>
      </w:r>
      <w:r>
        <w:rPr>
          <w:rFonts w:cs="Arial"/>
        </w:rPr>
        <w:t>–</w:t>
      </w:r>
      <w:r w:rsidR="0045168E">
        <w:t>55</w:t>
      </w:r>
      <w:r>
        <w:t>,</w:t>
      </w:r>
      <w:r w:rsidR="0045168E">
        <w:t>766</w:t>
      </w:r>
      <w:r>
        <w:t xml:space="preserve"> </w:t>
      </w:r>
      <w:r>
        <w:rPr>
          <w:rFonts w:cs="Arial"/>
        </w:rPr>
        <w:t>µ</w:t>
      </w:r>
      <w:r>
        <w:t>S.cm</w:t>
      </w:r>
      <w:r>
        <w:rPr>
          <w:vertAlign w:val="superscript"/>
        </w:rPr>
        <w:t>-1</w:t>
      </w:r>
      <w:r>
        <w:t xml:space="preserve">, mean </w:t>
      </w:r>
      <w:r>
        <w:rPr>
          <w:rFonts w:cs="Arial"/>
        </w:rPr>
        <w:t>±</w:t>
      </w:r>
      <w:r>
        <w:t xml:space="preserve"> SE = </w:t>
      </w:r>
      <w:r w:rsidR="0045168E">
        <w:t>41</w:t>
      </w:r>
      <w:r>
        <w:t>,</w:t>
      </w:r>
      <w:r w:rsidR="0045168E">
        <w:t>294</w:t>
      </w:r>
      <w:r>
        <w:t xml:space="preserve"> </w:t>
      </w:r>
      <w:r>
        <w:rPr>
          <w:rFonts w:cs="Arial"/>
        </w:rPr>
        <w:t>±</w:t>
      </w:r>
      <w:r>
        <w:t xml:space="preserve"> 1</w:t>
      </w:r>
      <w:r w:rsidR="00F27466">
        <w:t>,</w:t>
      </w:r>
      <w:r w:rsidR="0045168E">
        <w:t xml:space="preserve">094 </w:t>
      </w:r>
      <w:r w:rsidR="0045168E">
        <w:rPr>
          <w:rFonts w:cs="Arial"/>
        </w:rPr>
        <w:t>µ</w:t>
      </w:r>
      <w:r w:rsidR="0045168E">
        <w:t>S.cm</w:t>
      </w:r>
      <w:r w:rsidR="0045168E">
        <w:rPr>
          <w:vertAlign w:val="superscript"/>
        </w:rPr>
        <w:t>-1</w:t>
      </w:r>
      <w:r>
        <w:t>) barrages (</w:t>
      </w:r>
      <w:r w:rsidRPr="006222A2">
        <w:fldChar w:fldCharType="begin"/>
      </w:r>
      <w:r w:rsidRPr="006222A2">
        <w:instrText xml:space="preserve"> REF _Ref36551629 \h  \* MERGEFORMAT </w:instrText>
      </w:r>
      <w:r w:rsidRPr="006222A2">
        <w:fldChar w:fldCharType="separate"/>
      </w:r>
      <w:r w:rsidRPr="006222A2">
        <w:t xml:space="preserve">Figure </w:t>
      </w:r>
      <w:r w:rsidRPr="006222A2">
        <w:rPr>
          <w:noProof/>
        </w:rPr>
        <w:t>2</w:t>
      </w:r>
      <w:r w:rsidRPr="006222A2">
        <w:fldChar w:fldCharType="end"/>
      </w:r>
      <w:r>
        <w:t xml:space="preserve">c). Over the sampling period there were three events of complete closure (zero barrage discharge) due to storm surges and high </w:t>
      </w:r>
      <w:r w:rsidR="008760F3">
        <w:t xml:space="preserve">water levels in the </w:t>
      </w:r>
      <w:r>
        <w:t xml:space="preserve">Coorong in July, August and September. All water discharged from the barrages in 2019 was Commonwealth </w:t>
      </w:r>
      <w:r w:rsidR="00F27466">
        <w:t>e</w:t>
      </w:r>
      <w:r>
        <w:t xml:space="preserve">nvironmental </w:t>
      </w:r>
      <w:r w:rsidR="00F27466">
        <w:t>w</w:t>
      </w:r>
      <w:r>
        <w:t>ater.</w:t>
      </w:r>
    </w:p>
    <w:p w14:paraId="10368823" w14:textId="77777777" w:rsidR="0020252F" w:rsidRPr="003F2581" w:rsidRDefault="0020252F" w:rsidP="00B735DD"/>
    <w:p w14:paraId="17116F79" w14:textId="77777777" w:rsidR="0020252F" w:rsidRDefault="0020252F" w:rsidP="00B735DD"/>
    <w:p w14:paraId="12EE36BF" w14:textId="035D8E6B" w:rsidR="0020252F" w:rsidRDefault="006E2A8C" w:rsidP="00B735DD">
      <w:pPr>
        <w:jc w:val="center"/>
      </w:pPr>
      <w:r w:rsidRPr="006E2A8C">
        <w:rPr>
          <w:noProof/>
          <w:lang w:val="en-AU" w:eastAsia="en-AU"/>
        </w:rPr>
        <w:lastRenderedPageBreak/>
        <w:drawing>
          <wp:inline distT="0" distB="0" distL="0" distR="0" wp14:anchorId="245B00E3" wp14:editId="4B64CE0E">
            <wp:extent cx="4684684" cy="6643484"/>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8238" cy="6648524"/>
                    </a:xfrm>
                    <a:prstGeom prst="rect">
                      <a:avLst/>
                    </a:prstGeom>
                    <a:noFill/>
                    <a:ln>
                      <a:noFill/>
                    </a:ln>
                  </pic:spPr>
                </pic:pic>
              </a:graphicData>
            </a:graphic>
          </wp:inline>
        </w:drawing>
      </w:r>
    </w:p>
    <w:p w14:paraId="57B7034B" w14:textId="6FF67246" w:rsidR="0020252F" w:rsidRPr="003E2ED1" w:rsidRDefault="0020252F" w:rsidP="00B735DD">
      <w:pPr>
        <w:pStyle w:val="Caption"/>
        <w:rPr>
          <w:i w:val="0"/>
          <w:color w:val="auto"/>
          <w:sz w:val="22"/>
          <w:szCs w:val="22"/>
        </w:rPr>
      </w:pPr>
      <w:bookmarkStart w:id="16" w:name="_Ref36551629"/>
      <w:bookmarkStart w:id="17" w:name="_Toc37064891"/>
      <w:r w:rsidRPr="003E2ED1">
        <w:rPr>
          <w:b/>
          <w:i w:val="0"/>
          <w:color w:val="auto"/>
          <w:sz w:val="22"/>
          <w:szCs w:val="22"/>
        </w:rPr>
        <w:t xml:space="preserve">Figure </w:t>
      </w:r>
      <w:r w:rsidRPr="003E2ED1">
        <w:rPr>
          <w:b/>
          <w:i w:val="0"/>
          <w:color w:val="auto"/>
          <w:sz w:val="22"/>
          <w:szCs w:val="22"/>
        </w:rPr>
        <w:fldChar w:fldCharType="begin"/>
      </w:r>
      <w:r w:rsidRPr="003E2ED1">
        <w:rPr>
          <w:b/>
          <w:i w:val="0"/>
          <w:color w:val="auto"/>
          <w:sz w:val="22"/>
          <w:szCs w:val="22"/>
        </w:rPr>
        <w:instrText xml:space="preserve"> SEQ Figure \* ARABIC </w:instrText>
      </w:r>
      <w:r w:rsidRPr="003E2ED1">
        <w:rPr>
          <w:b/>
          <w:i w:val="0"/>
          <w:color w:val="auto"/>
          <w:sz w:val="22"/>
          <w:szCs w:val="22"/>
        </w:rPr>
        <w:fldChar w:fldCharType="separate"/>
      </w:r>
      <w:r>
        <w:rPr>
          <w:b/>
          <w:i w:val="0"/>
          <w:noProof/>
          <w:color w:val="auto"/>
          <w:sz w:val="22"/>
          <w:szCs w:val="22"/>
        </w:rPr>
        <w:t>2</w:t>
      </w:r>
      <w:r w:rsidRPr="003E2ED1">
        <w:rPr>
          <w:b/>
          <w:i w:val="0"/>
          <w:color w:val="auto"/>
          <w:sz w:val="22"/>
          <w:szCs w:val="22"/>
        </w:rPr>
        <w:fldChar w:fldCharType="end"/>
      </w:r>
      <w:bookmarkEnd w:id="16"/>
      <w:r w:rsidRPr="003E2ED1">
        <w:rPr>
          <w:b/>
          <w:i w:val="0"/>
          <w:color w:val="auto"/>
          <w:sz w:val="22"/>
          <w:szCs w:val="22"/>
        </w:rPr>
        <w:t xml:space="preserve">. </w:t>
      </w:r>
      <w:r w:rsidRPr="003E2ED1">
        <w:rPr>
          <w:i w:val="0"/>
          <w:color w:val="auto"/>
          <w:sz w:val="22"/>
          <w:szCs w:val="22"/>
        </w:rPr>
        <w:t>a) Discharge (ML.d</w:t>
      </w:r>
      <w:r w:rsidRPr="003E2ED1">
        <w:rPr>
          <w:i w:val="0"/>
          <w:color w:val="auto"/>
          <w:sz w:val="22"/>
          <w:szCs w:val="22"/>
          <w:vertAlign w:val="superscript"/>
        </w:rPr>
        <w:t>-1</w:t>
      </w:r>
      <w:r w:rsidRPr="003E2ED1">
        <w:rPr>
          <w:i w:val="0"/>
          <w:color w:val="auto"/>
          <w:sz w:val="22"/>
          <w:szCs w:val="22"/>
        </w:rPr>
        <w:t>) at the South Australian border from May</w:t>
      </w:r>
      <w:r w:rsidRPr="003E2ED1">
        <w:rPr>
          <w:rFonts w:cs="Arial"/>
          <w:i w:val="0"/>
          <w:color w:val="auto"/>
          <w:sz w:val="22"/>
          <w:szCs w:val="22"/>
        </w:rPr>
        <w:t>–</w:t>
      </w:r>
      <w:r w:rsidRPr="003E2ED1">
        <w:rPr>
          <w:i w:val="0"/>
          <w:color w:val="auto"/>
          <w:sz w:val="22"/>
          <w:szCs w:val="22"/>
        </w:rPr>
        <w:t xml:space="preserve">December 2019, including contributions of entitlement flow and </w:t>
      </w:r>
      <w:r w:rsidR="00F27466">
        <w:rPr>
          <w:i w:val="0"/>
          <w:color w:val="auto"/>
          <w:sz w:val="22"/>
          <w:szCs w:val="22"/>
        </w:rPr>
        <w:t>e</w:t>
      </w:r>
      <w:r w:rsidRPr="003E2ED1">
        <w:rPr>
          <w:i w:val="0"/>
          <w:color w:val="auto"/>
          <w:sz w:val="22"/>
          <w:szCs w:val="22"/>
        </w:rPr>
        <w:t xml:space="preserve">nvironmental </w:t>
      </w:r>
      <w:r w:rsidR="00F27466">
        <w:rPr>
          <w:i w:val="0"/>
          <w:color w:val="auto"/>
          <w:sz w:val="22"/>
          <w:szCs w:val="22"/>
        </w:rPr>
        <w:t>w</w:t>
      </w:r>
      <w:r w:rsidRPr="003E2ED1">
        <w:rPr>
          <w:i w:val="0"/>
          <w:color w:val="auto"/>
          <w:sz w:val="22"/>
          <w:szCs w:val="22"/>
        </w:rPr>
        <w:t>ater; b) discharge at the Murray Barrages from May</w:t>
      </w:r>
      <w:r w:rsidRPr="003E2ED1">
        <w:rPr>
          <w:rFonts w:cs="Arial"/>
          <w:i w:val="0"/>
          <w:color w:val="auto"/>
          <w:sz w:val="22"/>
          <w:szCs w:val="22"/>
        </w:rPr>
        <w:t>–</w:t>
      </w:r>
      <w:r w:rsidRPr="003E2ED1">
        <w:rPr>
          <w:i w:val="0"/>
          <w:color w:val="auto"/>
          <w:sz w:val="22"/>
          <w:szCs w:val="22"/>
        </w:rPr>
        <w:t xml:space="preserve">December 2019, including </w:t>
      </w:r>
      <w:r w:rsidR="00800147">
        <w:rPr>
          <w:i w:val="0"/>
          <w:color w:val="auto"/>
          <w:sz w:val="22"/>
          <w:szCs w:val="22"/>
        </w:rPr>
        <w:t xml:space="preserve">releases </w:t>
      </w:r>
      <w:r w:rsidRPr="003E2ED1">
        <w:rPr>
          <w:i w:val="0"/>
          <w:color w:val="auto"/>
          <w:sz w:val="22"/>
          <w:szCs w:val="22"/>
        </w:rPr>
        <w:t>from different barrages; and c) electrical conductivity downstream of Goolwa</w:t>
      </w:r>
      <w:r>
        <w:rPr>
          <w:i w:val="0"/>
          <w:color w:val="auto"/>
          <w:sz w:val="22"/>
          <w:szCs w:val="22"/>
        </w:rPr>
        <w:t xml:space="preserve"> (Reedy Island station)</w:t>
      </w:r>
      <w:r w:rsidRPr="003E2ED1">
        <w:rPr>
          <w:i w:val="0"/>
          <w:color w:val="auto"/>
          <w:sz w:val="22"/>
          <w:szCs w:val="22"/>
        </w:rPr>
        <w:t xml:space="preserve">, Mundoo </w:t>
      </w:r>
      <w:r>
        <w:rPr>
          <w:i w:val="0"/>
          <w:color w:val="auto"/>
          <w:sz w:val="22"/>
          <w:szCs w:val="22"/>
        </w:rPr>
        <w:t xml:space="preserve">(Barkers Knoll station) </w:t>
      </w:r>
      <w:r w:rsidRPr="003E2ED1">
        <w:rPr>
          <w:i w:val="0"/>
          <w:color w:val="auto"/>
          <w:sz w:val="22"/>
          <w:szCs w:val="22"/>
        </w:rPr>
        <w:t>and Tauwitchere barrages</w:t>
      </w:r>
      <w:r>
        <w:rPr>
          <w:i w:val="0"/>
          <w:color w:val="auto"/>
          <w:sz w:val="22"/>
          <w:szCs w:val="22"/>
        </w:rPr>
        <w:t xml:space="preserve"> (Pelican Point station)</w:t>
      </w:r>
      <w:r w:rsidRPr="003E2ED1">
        <w:rPr>
          <w:i w:val="0"/>
          <w:color w:val="auto"/>
          <w:sz w:val="22"/>
          <w:szCs w:val="22"/>
        </w:rPr>
        <w:t xml:space="preserve">. Horizontal black bar in plot </w:t>
      </w:r>
      <w:r>
        <w:rPr>
          <w:i w:val="0"/>
          <w:color w:val="auto"/>
          <w:sz w:val="22"/>
          <w:szCs w:val="22"/>
        </w:rPr>
        <w:t>‘</w:t>
      </w:r>
      <w:r w:rsidRPr="003E2ED1">
        <w:rPr>
          <w:i w:val="0"/>
          <w:color w:val="auto"/>
          <w:sz w:val="22"/>
          <w:szCs w:val="22"/>
        </w:rPr>
        <w:t>a</w:t>
      </w:r>
      <w:r>
        <w:rPr>
          <w:i w:val="0"/>
          <w:color w:val="auto"/>
          <w:sz w:val="22"/>
          <w:szCs w:val="22"/>
        </w:rPr>
        <w:t>’</w:t>
      </w:r>
      <w:r w:rsidRPr="003E2ED1">
        <w:rPr>
          <w:i w:val="0"/>
          <w:color w:val="auto"/>
          <w:sz w:val="22"/>
          <w:szCs w:val="22"/>
        </w:rPr>
        <w:t xml:space="preserve"> represents the period of fishway PIT reader detections for tagged lamprey, and in plots b</w:t>
      </w:r>
      <w:r w:rsidRPr="003E2ED1">
        <w:rPr>
          <w:rFonts w:cs="Arial"/>
          <w:i w:val="0"/>
          <w:color w:val="auto"/>
          <w:sz w:val="22"/>
          <w:szCs w:val="22"/>
        </w:rPr>
        <w:t>–</w:t>
      </w:r>
      <w:r w:rsidRPr="003E2ED1">
        <w:rPr>
          <w:i w:val="0"/>
          <w:color w:val="auto"/>
          <w:sz w:val="22"/>
          <w:szCs w:val="22"/>
        </w:rPr>
        <w:t>c, represents the sampling period at the barrages. Note all discharge f</w:t>
      </w:r>
      <w:r>
        <w:rPr>
          <w:i w:val="0"/>
          <w:color w:val="auto"/>
          <w:sz w:val="22"/>
          <w:szCs w:val="22"/>
        </w:rPr>
        <w:t xml:space="preserve">rom the barrages in 2019 was Commonwealth </w:t>
      </w:r>
      <w:r w:rsidR="00800147">
        <w:rPr>
          <w:i w:val="0"/>
          <w:color w:val="auto"/>
          <w:sz w:val="22"/>
          <w:szCs w:val="22"/>
        </w:rPr>
        <w:t>e</w:t>
      </w:r>
      <w:r>
        <w:rPr>
          <w:i w:val="0"/>
          <w:color w:val="auto"/>
          <w:sz w:val="22"/>
          <w:szCs w:val="22"/>
        </w:rPr>
        <w:t xml:space="preserve">nvironmental </w:t>
      </w:r>
      <w:r w:rsidR="00800147">
        <w:rPr>
          <w:i w:val="0"/>
          <w:color w:val="auto"/>
          <w:sz w:val="22"/>
          <w:szCs w:val="22"/>
        </w:rPr>
        <w:t>w</w:t>
      </w:r>
      <w:r>
        <w:rPr>
          <w:i w:val="0"/>
          <w:color w:val="auto"/>
          <w:sz w:val="22"/>
          <w:szCs w:val="22"/>
        </w:rPr>
        <w:t>ater</w:t>
      </w:r>
      <w:r w:rsidR="00EF171B">
        <w:rPr>
          <w:i w:val="0"/>
          <w:color w:val="auto"/>
          <w:sz w:val="22"/>
          <w:szCs w:val="22"/>
        </w:rPr>
        <w:t xml:space="preserve"> (CEW)</w:t>
      </w:r>
      <w:r w:rsidRPr="003E2ED1">
        <w:rPr>
          <w:i w:val="0"/>
          <w:color w:val="auto"/>
          <w:sz w:val="22"/>
          <w:szCs w:val="22"/>
        </w:rPr>
        <w:t>.</w:t>
      </w:r>
      <w:bookmarkEnd w:id="17"/>
      <w:r w:rsidR="00EF171B">
        <w:rPr>
          <w:i w:val="0"/>
          <w:color w:val="auto"/>
          <w:sz w:val="22"/>
          <w:szCs w:val="22"/>
        </w:rPr>
        <w:t xml:space="preserve"> TLM = </w:t>
      </w:r>
      <w:proofErr w:type="gramStart"/>
      <w:r w:rsidR="00EF171B">
        <w:rPr>
          <w:i w:val="0"/>
          <w:color w:val="auto"/>
          <w:sz w:val="22"/>
          <w:szCs w:val="22"/>
        </w:rPr>
        <w:t>The</w:t>
      </w:r>
      <w:proofErr w:type="gramEnd"/>
      <w:r w:rsidR="00EF171B">
        <w:rPr>
          <w:i w:val="0"/>
          <w:color w:val="auto"/>
          <w:sz w:val="22"/>
          <w:szCs w:val="22"/>
        </w:rPr>
        <w:t xml:space="preserve"> Living Murray.</w:t>
      </w:r>
    </w:p>
    <w:p w14:paraId="23064025" w14:textId="77777777" w:rsidR="0020252F" w:rsidRDefault="0020252F" w:rsidP="0020252F">
      <w:pPr>
        <w:pStyle w:val="Heading2"/>
        <w:numPr>
          <w:ilvl w:val="1"/>
          <w:numId w:val="1"/>
        </w:numPr>
      </w:pPr>
      <w:bookmarkStart w:id="18" w:name="_Toc36554678"/>
      <w:r>
        <w:lastRenderedPageBreak/>
        <w:t>Lamprey abundance and timing of freshwater entry</w:t>
      </w:r>
      <w:bookmarkEnd w:id="18"/>
    </w:p>
    <w:p w14:paraId="41D7947F" w14:textId="0EFD5914" w:rsidR="0020252F" w:rsidRDefault="008760F3" w:rsidP="00B735DD">
      <w:r>
        <w:t>In winter</w:t>
      </w:r>
      <w:r>
        <w:rPr>
          <w:rFonts w:cs="Arial"/>
        </w:rPr>
        <w:t>–</w:t>
      </w:r>
      <w:r>
        <w:t>spring 2019, a</w:t>
      </w:r>
      <w:r w:rsidR="0020252F">
        <w:t xml:space="preserve"> total of 4</w:t>
      </w:r>
      <w:r w:rsidR="00E1065D">
        <w:t>5</w:t>
      </w:r>
      <w:r w:rsidR="0020252F">
        <w:t xml:space="preserve"> pouched lamprey and 13 short-headed lamprey were captured from fishways during </w:t>
      </w:r>
      <w:r w:rsidR="0002493A">
        <w:t xml:space="preserve">targeted </w:t>
      </w:r>
      <w:r w:rsidR="0020252F">
        <w:t xml:space="preserve">lamprey sampling at the Murray Barrages. </w:t>
      </w:r>
      <w:r w:rsidR="006E2A8C">
        <w:t>I</w:t>
      </w:r>
      <w:r>
        <w:t>n late October and early November 2019, a</w:t>
      </w:r>
      <w:r w:rsidR="0020252F">
        <w:t xml:space="preserve"> further three short-headed lamprey were sampled during TLM monitoring of fishways. Overall, the greatest numbers of pouched lamprey (</w:t>
      </w:r>
      <w:r w:rsidR="00EF171B">
        <w:t>PL</w:t>
      </w:r>
      <w:r w:rsidR="004D5D8B">
        <w:t>,</w:t>
      </w:r>
      <w:r w:rsidR="00EF171B">
        <w:t xml:space="preserve"> </w:t>
      </w:r>
      <w:r w:rsidR="0020252F">
        <w:rPr>
          <w:i/>
        </w:rPr>
        <w:t xml:space="preserve">n </w:t>
      </w:r>
      <w:r w:rsidR="0020252F">
        <w:t>= 3</w:t>
      </w:r>
      <w:r w:rsidR="00E1065D">
        <w:t>4</w:t>
      </w:r>
      <w:r w:rsidR="0020252F">
        <w:t>) and short-headed lamprey (</w:t>
      </w:r>
      <w:r w:rsidR="00EF171B">
        <w:t>SHL</w:t>
      </w:r>
      <w:r w:rsidR="004D5D8B">
        <w:t>,</w:t>
      </w:r>
      <w:r w:rsidR="00EF171B">
        <w:t xml:space="preserve"> </w:t>
      </w:r>
      <w:r w:rsidR="0020252F">
        <w:rPr>
          <w:i/>
        </w:rPr>
        <w:t xml:space="preserve">n </w:t>
      </w:r>
      <w:r w:rsidR="00E1065D">
        <w:t>= 14</w:t>
      </w:r>
      <w:r w:rsidR="0020252F">
        <w:t xml:space="preserve">) were sampled from fishways on Goolwa Barrage, with lower numbers from Mundoo (PL </w:t>
      </w:r>
      <w:r w:rsidR="0020252F">
        <w:rPr>
          <w:i/>
        </w:rPr>
        <w:t xml:space="preserve">n = </w:t>
      </w:r>
      <w:r w:rsidR="0020252F">
        <w:t xml:space="preserve">9 and SHL </w:t>
      </w:r>
      <w:r w:rsidR="0020252F">
        <w:rPr>
          <w:i/>
        </w:rPr>
        <w:t xml:space="preserve">n </w:t>
      </w:r>
      <w:r w:rsidR="0020252F">
        <w:t xml:space="preserve">= 1), Tauwitchere (PL </w:t>
      </w:r>
      <w:r w:rsidR="0020252F">
        <w:rPr>
          <w:i/>
        </w:rPr>
        <w:t xml:space="preserve">n = </w:t>
      </w:r>
      <w:r w:rsidR="0020252F">
        <w:t xml:space="preserve">1 and SHL </w:t>
      </w:r>
      <w:r w:rsidR="0020252F">
        <w:rPr>
          <w:i/>
        </w:rPr>
        <w:t xml:space="preserve">n </w:t>
      </w:r>
      <w:r w:rsidR="0020252F">
        <w:t xml:space="preserve">= 1) and Boundary Creek (PL </w:t>
      </w:r>
      <w:r w:rsidR="0020252F">
        <w:rPr>
          <w:i/>
        </w:rPr>
        <w:t xml:space="preserve">n = </w:t>
      </w:r>
      <w:r w:rsidR="0020252F">
        <w:t xml:space="preserve">1 and SHL </w:t>
      </w:r>
      <w:r w:rsidR="0020252F">
        <w:rPr>
          <w:i/>
        </w:rPr>
        <w:t xml:space="preserve">n </w:t>
      </w:r>
      <w:r w:rsidR="0020252F">
        <w:t>= 0), whilst neither species was detected at Ewe Island. Pouched lamprey were captured from fishways from 9 July t</w:t>
      </w:r>
      <w:r w:rsidR="00EF171B">
        <w:t>o</w:t>
      </w:r>
      <w:r w:rsidR="0020252F">
        <w:t xml:space="preserve"> 2 October, but the greatest number (</w:t>
      </w:r>
      <w:r w:rsidR="0020252F">
        <w:rPr>
          <w:i/>
        </w:rPr>
        <w:t xml:space="preserve">n </w:t>
      </w:r>
      <w:r>
        <w:t xml:space="preserve">= 21) were sampled in August </w:t>
      </w:r>
      <w:r w:rsidR="0020252F">
        <w:t>(</w:t>
      </w:r>
      <w:r w:rsidR="0020252F" w:rsidRPr="005721B1">
        <w:fldChar w:fldCharType="begin"/>
      </w:r>
      <w:r w:rsidR="0020252F" w:rsidRPr="005721B1">
        <w:instrText xml:space="preserve"> REF _Ref36552260 \h  \* MERGEFORMAT </w:instrText>
      </w:r>
      <w:r w:rsidR="0020252F" w:rsidRPr="005721B1">
        <w:fldChar w:fldCharType="separate"/>
      </w:r>
      <w:r w:rsidR="0020252F" w:rsidRPr="005721B1">
        <w:t xml:space="preserve">Figure </w:t>
      </w:r>
      <w:r w:rsidR="0020252F" w:rsidRPr="005721B1">
        <w:rPr>
          <w:noProof/>
        </w:rPr>
        <w:t>3</w:t>
      </w:r>
      <w:r w:rsidR="0020252F" w:rsidRPr="005721B1">
        <w:fldChar w:fldCharType="end"/>
      </w:r>
      <w:r w:rsidR="0020252F">
        <w:t>a). Short-headed lamprey were detected from 10 July to 21 November, but the greatest number were sampled in September (</w:t>
      </w:r>
      <w:r w:rsidR="0020252F">
        <w:rPr>
          <w:i/>
        </w:rPr>
        <w:t xml:space="preserve">n </w:t>
      </w:r>
      <w:r w:rsidR="0020252F">
        <w:t>= 5) and October (</w:t>
      </w:r>
      <w:r w:rsidR="0020252F">
        <w:rPr>
          <w:i/>
        </w:rPr>
        <w:t xml:space="preserve">n </w:t>
      </w:r>
      <w:r w:rsidR="0020252F">
        <w:t>= 6) (</w:t>
      </w:r>
      <w:r w:rsidR="0020252F" w:rsidRPr="005721B1">
        <w:fldChar w:fldCharType="begin"/>
      </w:r>
      <w:r w:rsidR="0020252F" w:rsidRPr="005721B1">
        <w:instrText xml:space="preserve"> REF _Ref36552260 \h  \* MERGEFORMAT </w:instrText>
      </w:r>
      <w:r w:rsidR="0020252F" w:rsidRPr="005721B1">
        <w:fldChar w:fldCharType="separate"/>
      </w:r>
      <w:r w:rsidR="0020252F" w:rsidRPr="005721B1">
        <w:t xml:space="preserve">Figure </w:t>
      </w:r>
      <w:r w:rsidR="0020252F" w:rsidRPr="005721B1">
        <w:rPr>
          <w:noProof/>
        </w:rPr>
        <w:t>3</w:t>
      </w:r>
      <w:r w:rsidR="0020252F" w:rsidRPr="005721B1">
        <w:fldChar w:fldCharType="end"/>
      </w:r>
      <w:r w:rsidR="0020252F">
        <w:t>a). Of the lamprey sampled, 4</w:t>
      </w:r>
      <w:r w:rsidR="00E1065D">
        <w:t>3</w:t>
      </w:r>
      <w:r w:rsidR="0020252F">
        <w:t xml:space="preserve"> pouched lamprey (mean TL </w:t>
      </w:r>
      <w:r w:rsidR="0020252F">
        <w:rPr>
          <w:rFonts w:cs="Arial"/>
        </w:rPr>
        <w:t>±</w:t>
      </w:r>
      <w:r w:rsidR="0020252F">
        <w:t xml:space="preserve"> SE = 554 </w:t>
      </w:r>
      <w:r w:rsidR="0020252F">
        <w:rPr>
          <w:rFonts w:cs="Arial"/>
        </w:rPr>
        <w:t>±</w:t>
      </w:r>
      <w:r w:rsidR="00EF171B">
        <w:t xml:space="preserve"> 5 </w:t>
      </w:r>
      <w:r w:rsidR="0020252F">
        <w:t>mm) and 1</w:t>
      </w:r>
      <w:r w:rsidR="00E1065D">
        <w:t>5</w:t>
      </w:r>
      <w:r w:rsidR="0020252F">
        <w:t xml:space="preserve"> short-headed lamprey (mean TL </w:t>
      </w:r>
      <w:r w:rsidR="0020252F">
        <w:rPr>
          <w:rFonts w:cs="Arial"/>
        </w:rPr>
        <w:t>±</w:t>
      </w:r>
      <w:r w:rsidR="0020252F">
        <w:t xml:space="preserve"> SE = 429 </w:t>
      </w:r>
      <w:r w:rsidR="0020252F">
        <w:rPr>
          <w:rFonts w:cs="Arial"/>
        </w:rPr>
        <w:t>±</w:t>
      </w:r>
      <w:r w:rsidR="0020252F">
        <w:t xml:space="preserve"> 6 mm) were implanted with PIT tags. </w:t>
      </w:r>
    </w:p>
    <w:p w14:paraId="0668A9CD" w14:textId="44971262" w:rsidR="0020252F" w:rsidRDefault="0020252F" w:rsidP="00B735DD">
      <w:r>
        <w:t xml:space="preserve">Across years, overall numbers and abundances of pouched lamprey varied substantially, with greatest </w:t>
      </w:r>
      <w:r w:rsidR="009659B5">
        <w:t xml:space="preserve">relative </w:t>
      </w:r>
      <w:r>
        <w:t xml:space="preserve">abundance in 2015, followed by 2017 and 2019, and lowest abundance in 2016 and 2018. </w:t>
      </w:r>
      <w:r w:rsidR="007174B1">
        <w:t xml:space="preserve">PERMANOVA </w:t>
      </w:r>
      <w:r w:rsidR="003C4367">
        <w:t>indicated</w:t>
      </w:r>
      <w:r>
        <w:t xml:space="preserve"> a significant interaction between year and fishway (</w:t>
      </w:r>
      <w:r>
        <w:rPr>
          <w:i/>
        </w:rPr>
        <w:t>Pseudo-F</w:t>
      </w:r>
      <w:r>
        <w:rPr>
          <w:i/>
          <w:vertAlign w:val="subscript"/>
        </w:rPr>
        <w:t>9, 242</w:t>
      </w:r>
      <w:r>
        <w:rPr>
          <w:i/>
        </w:rPr>
        <w:t xml:space="preserve"> </w:t>
      </w:r>
      <w:r>
        <w:t xml:space="preserve">= 2.11, </w:t>
      </w:r>
      <w:r>
        <w:rPr>
          <w:i/>
        </w:rPr>
        <w:t xml:space="preserve">p </w:t>
      </w:r>
      <w:r>
        <w:t>= 0.036)</w:t>
      </w:r>
      <w:r w:rsidR="007174B1">
        <w:t>,</w:t>
      </w:r>
      <w:r>
        <w:t xml:space="preserve"> suggest</w:t>
      </w:r>
      <w:r w:rsidR="007174B1">
        <w:t>ing</w:t>
      </w:r>
      <w:r>
        <w:t xml:space="preserve"> that </w:t>
      </w:r>
      <w:r w:rsidR="009659B5">
        <w:t xml:space="preserve">the pattern of </w:t>
      </w:r>
      <w:r w:rsidR="007174B1">
        <w:t xml:space="preserve">variability among </w:t>
      </w:r>
      <w:r>
        <w:t xml:space="preserve">fishways </w:t>
      </w:r>
      <w:r w:rsidR="009659B5">
        <w:t>was</w:t>
      </w:r>
      <w:r>
        <w:t xml:space="preserve"> not consistent across years. This is best illustrated by peak abundance at the barrages occurring at different fishways in given years, namely the GVS</w:t>
      </w:r>
      <w:r w:rsidR="00593876">
        <w:t>1</w:t>
      </w:r>
      <w:r>
        <w:t xml:space="preserve"> (2015, 2016 and 2018), TVS and Mundoo (2017) and GVS2 (2019)</w:t>
      </w:r>
      <w:r w:rsidR="002139F6">
        <w:t xml:space="preserve"> (Figure 3)</w:t>
      </w:r>
      <w:r>
        <w:t xml:space="preserve">. </w:t>
      </w:r>
    </w:p>
    <w:p w14:paraId="7846D2E5" w14:textId="61186032" w:rsidR="0020252F" w:rsidRPr="005E2BCA" w:rsidRDefault="00FE26E9" w:rsidP="00B735DD">
      <w:pPr>
        <w:jc w:val="center"/>
      </w:pPr>
      <w:r w:rsidRPr="00FE26E9">
        <w:lastRenderedPageBreak/>
        <w:t xml:space="preserve"> </w:t>
      </w:r>
      <w:r w:rsidR="00CF210C" w:rsidRPr="00CF210C">
        <w:rPr>
          <w:noProof/>
          <w:lang w:val="en-AU" w:eastAsia="en-AU"/>
        </w:rPr>
        <w:drawing>
          <wp:inline distT="0" distB="0" distL="0" distR="0" wp14:anchorId="77F1D751" wp14:editId="1EF12F08">
            <wp:extent cx="5300636" cy="645713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1875" cy="6458647"/>
                    </a:xfrm>
                    <a:prstGeom prst="rect">
                      <a:avLst/>
                    </a:prstGeom>
                    <a:noFill/>
                    <a:ln>
                      <a:noFill/>
                    </a:ln>
                  </pic:spPr>
                </pic:pic>
              </a:graphicData>
            </a:graphic>
          </wp:inline>
        </w:drawing>
      </w:r>
    </w:p>
    <w:p w14:paraId="50158896" w14:textId="503467D3" w:rsidR="0020252F" w:rsidRPr="0065051B" w:rsidRDefault="0020252F" w:rsidP="00B735DD">
      <w:pPr>
        <w:pStyle w:val="Caption"/>
        <w:rPr>
          <w:i w:val="0"/>
          <w:color w:val="auto"/>
          <w:sz w:val="22"/>
          <w:szCs w:val="22"/>
        </w:rPr>
      </w:pPr>
      <w:bookmarkStart w:id="19" w:name="_Ref36552260"/>
      <w:bookmarkStart w:id="20" w:name="_Toc37064892"/>
      <w:r w:rsidRPr="0065051B">
        <w:rPr>
          <w:b/>
          <w:i w:val="0"/>
          <w:color w:val="auto"/>
          <w:sz w:val="22"/>
          <w:szCs w:val="22"/>
        </w:rPr>
        <w:t xml:space="preserve">Figure </w:t>
      </w:r>
      <w:r w:rsidRPr="0065051B">
        <w:rPr>
          <w:b/>
          <w:i w:val="0"/>
          <w:color w:val="auto"/>
          <w:sz w:val="22"/>
          <w:szCs w:val="22"/>
        </w:rPr>
        <w:fldChar w:fldCharType="begin"/>
      </w:r>
      <w:r w:rsidRPr="0065051B">
        <w:rPr>
          <w:b/>
          <w:i w:val="0"/>
          <w:color w:val="auto"/>
          <w:sz w:val="22"/>
          <w:szCs w:val="22"/>
        </w:rPr>
        <w:instrText xml:space="preserve"> SEQ Figure \* ARABIC </w:instrText>
      </w:r>
      <w:r w:rsidRPr="0065051B">
        <w:rPr>
          <w:b/>
          <w:i w:val="0"/>
          <w:color w:val="auto"/>
          <w:sz w:val="22"/>
          <w:szCs w:val="22"/>
        </w:rPr>
        <w:fldChar w:fldCharType="separate"/>
      </w:r>
      <w:r w:rsidRPr="0065051B">
        <w:rPr>
          <w:b/>
          <w:i w:val="0"/>
          <w:noProof/>
          <w:color w:val="auto"/>
          <w:sz w:val="22"/>
          <w:szCs w:val="22"/>
        </w:rPr>
        <w:t>3</w:t>
      </w:r>
      <w:r w:rsidRPr="0065051B">
        <w:rPr>
          <w:b/>
          <w:i w:val="0"/>
          <w:color w:val="auto"/>
          <w:sz w:val="22"/>
          <w:szCs w:val="22"/>
        </w:rPr>
        <w:fldChar w:fldCharType="end"/>
      </w:r>
      <w:bookmarkEnd w:id="19"/>
      <w:r w:rsidRPr="0065051B">
        <w:rPr>
          <w:b/>
          <w:i w:val="0"/>
          <w:color w:val="auto"/>
          <w:sz w:val="22"/>
          <w:szCs w:val="22"/>
        </w:rPr>
        <w:t xml:space="preserve">. </w:t>
      </w:r>
      <w:r w:rsidRPr="0065051B">
        <w:rPr>
          <w:i w:val="0"/>
          <w:color w:val="auto"/>
          <w:sz w:val="22"/>
          <w:szCs w:val="22"/>
        </w:rPr>
        <w:t>a) Numbers and date of capture for pouched and short-headed lamprey in 2019, presented with total daily barrage discharge (ML.d</w:t>
      </w:r>
      <w:r w:rsidRPr="0065051B">
        <w:rPr>
          <w:i w:val="0"/>
          <w:color w:val="auto"/>
          <w:sz w:val="22"/>
          <w:szCs w:val="22"/>
          <w:vertAlign w:val="superscript"/>
        </w:rPr>
        <w:t>-1</w:t>
      </w:r>
      <w:r w:rsidRPr="0065051B">
        <w:rPr>
          <w:i w:val="0"/>
          <w:color w:val="auto"/>
          <w:sz w:val="22"/>
          <w:szCs w:val="22"/>
        </w:rPr>
        <w:t>)</w:t>
      </w:r>
      <w:r w:rsidR="00CF210C">
        <w:rPr>
          <w:i w:val="0"/>
          <w:color w:val="auto"/>
          <w:sz w:val="22"/>
          <w:szCs w:val="22"/>
        </w:rPr>
        <w:t>. Horizontal back bar represents period of targeted lamprey sampling</w:t>
      </w:r>
      <w:r w:rsidRPr="0065051B">
        <w:rPr>
          <w:i w:val="0"/>
          <w:color w:val="auto"/>
          <w:sz w:val="22"/>
          <w:szCs w:val="22"/>
        </w:rPr>
        <w:t xml:space="preserve">; and b) relative abundance (lamprey </w:t>
      </w:r>
      <w:r w:rsidR="003C4367">
        <w:rPr>
          <w:i w:val="0"/>
          <w:color w:val="auto"/>
          <w:sz w:val="22"/>
          <w:szCs w:val="22"/>
        </w:rPr>
        <w:t xml:space="preserve">per hour </w:t>
      </w:r>
      <w:r w:rsidRPr="0065051B">
        <w:rPr>
          <w:i w:val="0"/>
          <w:color w:val="auto"/>
          <w:sz w:val="22"/>
          <w:szCs w:val="22"/>
        </w:rPr>
        <w:t>per trap event) of pouched lamprey sampled from various fishways from 201</w:t>
      </w:r>
      <w:r w:rsidR="00593876">
        <w:rPr>
          <w:i w:val="0"/>
          <w:color w:val="auto"/>
          <w:sz w:val="22"/>
          <w:szCs w:val="22"/>
        </w:rPr>
        <w:t>5</w:t>
      </w:r>
      <w:r w:rsidRPr="0065051B">
        <w:rPr>
          <w:rFonts w:cs="Arial"/>
          <w:i w:val="0"/>
          <w:color w:val="auto"/>
          <w:sz w:val="22"/>
          <w:szCs w:val="22"/>
        </w:rPr>
        <w:t>–</w:t>
      </w:r>
      <w:r w:rsidRPr="0065051B">
        <w:rPr>
          <w:i w:val="0"/>
          <w:color w:val="auto"/>
          <w:sz w:val="22"/>
          <w:szCs w:val="22"/>
        </w:rPr>
        <w:t xml:space="preserve">2019 (total numbers sampled in each year are </w:t>
      </w:r>
      <w:r w:rsidR="00CF210C">
        <w:rPr>
          <w:i w:val="0"/>
          <w:color w:val="auto"/>
          <w:sz w:val="22"/>
          <w:szCs w:val="22"/>
        </w:rPr>
        <w:t>also presented</w:t>
      </w:r>
      <w:r w:rsidRPr="0065051B">
        <w:rPr>
          <w:i w:val="0"/>
          <w:color w:val="auto"/>
          <w:sz w:val="22"/>
          <w:szCs w:val="22"/>
        </w:rPr>
        <w:t>). See Table 1 for fishway acronyms. Note MDVS was not sampled in 2015 or 2016, while GVS2, EIDVS and BCVS were not sampled in 2015.</w:t>
      </w:r>
      <w:bookmarkEnd w:id="20"/>
    </w:p>
    <w:p w14:paraId="6525C3D2" w14:textId="77777777" w:rsidR="0020252F" w:rsidRDefault="0020252F" w:rsidP="00B735DD">
      <w:pPr>
        <w:rPr>
          <w:highlight w:val="yellow"/>
        </w:rPr>
      </w:pPr>
    </w:p>
    <w:p w14:paraId="74D64D9E" w14:textId="77777777" w:rsidR="0020252F" w:rsidRDefault="0020252F" w:rsidP="00B735DD"/>
    <w:p w14:paraId="5C6C89AD" w14:textId="77777777" w:rsidR="0020252F" w:rsidRDefault="0020252F" w:rsidP="0020252F">
      <w:pPr>
        <w:pStyle w:val="Heading2"/>
        <w:numPr>
          <w:ilvl w:val="1"/>
          <w:numId w:val="1"/>
        </w:numPr>
      </w:pPr>
      <w:bookmarkStart w:id="21" w:name="_Toc36554679"/>
      <w:r>
        <w:t>Fishway PIT reader detections and riverine migration</w:t>
      </w:r>
      <w:bookmarkEnd w:id="21"/>
    </w:p>
    <w:p w14:paraId="4AEAA59D" w14:textId="2E89638B" w:rsidR="0020252F" w:rsidRDefault="0020252F" w:rsidP="00B735DD">
      <w:r>
        <w:t xml:space="preserve">Of </w:t>
      </w:r>
      <w:r w:rsidR="00CF210C">
        <w:t xml:space="preserve">the </w:t>
      </w:r>
      <w:r>
        <w:t>4</w:t>
      </w:r>
      <w:r w:rsidR="00CF210C">
        <w:t>3</w:t>
      </w:r>
      <w:r>
        <w:t xml:space="preserve"> pouched lamprey implanted with PIT tags, 19 (4</w:t>
      </w:r>
      <w:r w:rsidR="00E1065D">
        <w:t>4</w:t>
      </w:r>
      <w:r>
        <w:t>%) were subsequently detected on main channel weir fishway PIT reader systems from Lock 1 to Lock 8. This included 19 (4</w:t>
      </w:r>
      <w:r w:rsidR="00E1065D">
        <w:t>4</w:t>
      </w:r>
      <w:r>
        <w:t>%) at Lock 1 (274 km MTD), 12 (2</w:t>
      </w:r>
      <w:r w:rsidR="00E1065D">
        <w:t>8</w:t>
      </w:r>
      <w:r>
        <w:t xml:space="preserve">%) at locks 2 and 3 (362 and 431 km MTD), three at locks 4 and 5 (516 and 562 km MTD), two at Lock 7 (697 km MTD), and one at Lock 8 (726 km MTD). No individuals were detected </w:t>
      </w:r>
      <w:r w:rsidR="00FE26E9">
        <w:t>at</w:t>
      </w:r>
      <w:r>
        <w:t xml:space="preserve"> the Lock 6 fishway</w:t>
      </w:r>
      <w:r w:rsidR="00C06431">
        <w:t xml:space="preserve">, suggesting some individuals passed </w:t>
      </w:r>
      <w:r w:rsidR="008760F3">
        <w:t>this weir</w:t>
      </w:r>
      <w:r w:rsidR="00C06431">
        <w:t xml:space="preserve"> via </w:t>
      </w:r>
      <w:r w:rsidR="008760F3">
        <w:t>t</w:t>
      </w:r>
      <w:r w:rsidR="00C06431">
        <w:t>he fish lock, navigation lock or Chowilla Anabranch</w:t>
      </w:r>
      <w:r>
        <w:t>.</w:t>
      </w:r>
      <w:r w:rsidR="00C06431">
        <w:t xml:space="preserve"> Similar cases of missed detections at given fishways followed by detection at an upstream fishway also occurred at Locks 2, 4 and 5.</w:t>
      </w:r>
      <w:r>
        <w:t xml:space="preserve"> Timing of first detections at fishways ranged from 22 July to 2 November, and the median date of first detections generally increased with distance upstream (</w:t>
      </w:r>
      <w:r w:rsidRPr="005721B1">
        <w:fldChar w:fldCharType="begin"/>
      </w:r>
      <w:r w:rsidRPr="005721B1">
        <w:instrText xml:space="preserve"> REF _Ref36552387 \h  \* MERGEFORMAT </w:instrText>
      </w:r>
      <w:r w:rsidRPr="005721B1">
        <w:fldChar w:fldCharType="separate"/>
      </w:r>
      <w:r w:rsidRPr="005721B1">
        <w:t xml:space="preserve">Figure </w:t>
      </w:r>
      <w:r w:rsidRPr="005721B1">
        <w:rPr>
          <w:noProof/>
        </w:rPr>
        <w:t>4</w:t>
      </w:r>
      <w:r w:rsidRPr="005721B1">
        <w:fldChar w:fldCharType="end"/>
      </w:r>
      <w:r>
        <w:t xml:space="preserve">). Of </w:t>
      </w:r>
      <w:r w:rsidR="00CF210C">
        <w:t xml:space="preserve">the </w:t>
      </w:r>
      <w:r>
        <w:t>14 short-headed lamprey implanted with PIT tags, just one was detected on the fishway PIT reader systems. Nonetheless, this individual was detected passing eight of the fishways, and was last detected exiting the Lock 10 fishway (825 km MTD) on 3 November (</w:t>
      </w:r>
      <w:r w:rsidRPr="005721B1">
        <w:fldChar w:fldCharType="begin"/>
      </w:r>
      <w:r w:rsidRPr="005721B1">
        <w:instrText xml:space="preserve"> REF _Ref36552387 \h  \* MERGEFORMAT </w:instrText>
      </w:r>
      <w:r w:rsidRPr="005721B1">
        <w:fldChar w:fldCharType="separate"/>
      </w:r>
      <w:r w:rsidRPr="005721B1">
        <w:t xml:space="preserve">Figure </w:t>
      </w:r>
      <w:r w:rsidRPr="005721B1">
        <w:rPr>
          <w:noProof/>
        </w:rPr>
        <w:t>4</w:t>
      </w:r>
      <w:r w:rsidRPr="005721B1">
        <w:fldChar w:fldCharType="end"/>
      </w:r>
      <w:r>
        <w:t xml:space="preserve">). </w:t>
      </w:r>
    </w:p>
    <w:p w14:paraId="26E043DD" w14:textId="77777777" w:rsidR="0020252F" w:rsidRDefault="0020252F" w:rsidP="00B735DD">
      <w:r w:rsidRPr="00524EF0">
        <w:rPr>
          <w:noProof/>
          <w:lang w:val="en-AU" w:eastAsia="en-AU"/>
        </w:rPr>
        <w:drawing>
          <wp:inline distT="0" distB="0" distL="0" distR="0" wp14:anchorId="411708A1" wp14:editId="2BB2E6E6">
            <wp:extent cx="5943600" cy="337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72400"/>
                    </a:xfrm>
                    <a:prstGeom prst="rect">
                      <a:avLst/>
                    </a:prstGeom>
                    <a:noFill/>
                    <a:ln>
                      <a:noFill/>
                    </a:ln>
                  </pic:spPr>
                </pic:pic>
              </a:graphicData>
            </a:graphic>
          </wp:inline>
        </w:drawing>
      </w:r>
    </w:p>
    <w:p w14:paraId="0498483C" w14:textId="353B7AD5" w:rsidR="0020252F" w:rsidRDefault="0020252F" w:rsidP="00B735DD">
      <w:pPr>
        <w:pStyle w:val="Caption"/>
      </w:pPr>
      <w:bookmarkStart w:id="22" w:name="_Ref36552387"/>
      <w:bookmarkStart w:id="23" w:name="_Toc37064893"/>
      <w:r w:rsidRPr="003E2ED1">
        <w:rPr>
          <w:b/>
          <w:i w:val="0"/>
          <w:color w:val="auto"/>
          <w:sz w:val="22"/>
          <w:szCs w:val="22"/>
        </w:rPr>
        <w:t xml:space="preserve">Figure </w:t>
      </w:r>
      <w:r w:rsidRPr="003E2ED1">
        <w:rPr>
          <w:b/>
          <w:i w:val="0"/>
          <w:color w:val="auto"/>
          <w:sz w:val="22"/>
          <w:szCs w:val="22"/>
        </w:rPr>
        <w:fldChar w:fldCharType="begin"/>
      </w:r>
      <w:r w:rsidRPr="003E2ED1">
        <w:rPr>
          <w:b/>
          <w:i w:val="0"/>
          <w:color w:val="auto"/>
          <w:sz w:val="22"/>
          <w:szCs w:val="22"/>
        </w:rPr>
        <w:instrText xml:space="preserve"> SEQ Figure \* ARABIC </w:instrText>
      </w:r>
      <w:r w:rsidRPr="003E2ED1">
        <w:rPr>
          <w:b/>
          <w:i w:val="0"/>
          <w:color w:val="auto"/>
          <w:sz w:val="22"/>
          <w:szCs w:val="22"/>
        </w:rPr>
        <w:fldChar w:fldCharType="separate"/>
      </w:r>
      <w:r w:rsidRPr="003E2ED1">
        <w:rPr>
          <w:b/>
          <w:i w:val="0"/>
          <w:noProof/>
          <w:color w:val="auto"/>
          <w:sz w:val="22"/>
          <w:szCs w:val="22"/>
        </w:rPr>
        <w:t>4</w:t>
      </w:r>
      <w:r w:rsidRPr="003E2ED1">
        <w:rPr>
          <w:b/>
          <w:i w:val="0"/>
          <w:color w:val="auto"/>
          <w:sz w:val="22"/>
          <w:szCs w:val="22"/>
        </w:rPr>
        <w:fldChar w:fldCharType="end"/>
      </w:r>
      <w:bookmarkEnd w:id="22"/>
      <w:r w:rsidRPr="003E2ED1">
        <w:rPr>
          <w:b/>
          <w:i w:val="0"/>
          <w:color w:val="auto"/>
          <w:sz w:val="22"/>
          <w:szCs w:val="22"/>
        </w:rPr>
        <w:t>.</w:t>
      </w:r>
      <w:r>
        <w:rPr>
          <w:b/>
          <w:i w:val="0"/>
          <w:color w:val="auto"/>
          <w:sz w:val="22"/>
          <w:szCs w:val="22"/>
        </w:rPr>
        <w:t xml:space="preserve"> </w:t>
      </w:r>
      <w:r>
        <w:rPr>
          <w:i w:val="0"/>
          <w:color w:val="auto"/>
          <w:sz w:val="22"/>
          <w:szCs w:val="22"/>
        </w:rPr>
        <w:t>Migration timing</w:t>
      </w:r>
      <w:r w:rsidRPr="00381E10">
        <w:rPr>
          <w:i w:val="0"/>
          <w:color w:val="auto"/>
          <w:sz w:val="22"/>
          <w:szCs w:val="22"/>
        </w:rPr>
        <w:t xml:space="preserve"> distributions for upstream migrating pouched </w:t>
      </w:r>
      <w:r>
        <w:rPr>
          <w:i w:val="0"/>
          <w:color w:val="auto"/>
          <w:sz w:val="22"/>
          <w:szCs w:val="22"/>
        </w:rPr>
        <w:t>lamprey (</w:t>
      </w:r>
      <w:r>
        <w:rPr>
          <w:color w:val="auto"/>
          <w:sz w:val="22"/>
          <w:szCs w:val="22"/>
        </w:rPr>
        <w:t>black circle</w:t>
      </w:r>
      <w:r>
        <w:rPr>
          <w:i w:val="0"/>
          <w:color w:val="auto"/>
          <w:sz w:val="22"/>
          <w:szCs w:val="22"/>
        </w:rPr>
        <w:t xml:space="preserve">) and short-headed </w:t>
      </w:r>
      <w:r w:rsidRPr="00381E10">
        <w:rPr>
          <w:i w:val="0"/>
          <w:color w:val="auto"/>
          <w:sz w:val="22"/>
          <w:szCs w:val="22"/>
        </w:rPr>
        <w:t>lamprey</w:t>
      </w:r>
      <w:r>
        <w:rPr>
          <w:i w:val="0"/>
          <w:color w:val="auto"/>
          <w:sz w:val="22"/>
          <w:szCs w:val="22"/>
        </w:rPr>
        <w:t xml:space="preserve"> (</w:t>
      </w:r>
      <w:r>
        <w:rPr>
          <w:color w:val="auto"/>
          <w:sz w:val="22"/>
          <w:szCs w:val="22"/>
        </w:rPr>
        <w:t>red circle</w:t>
      </w:r>
      <w:r>
        <w:rPr>
          <w:i w:val="0"/>
          <w:color w:val="auto"/>
          <w:sz w:val="22"/>
          <w:szCs w:val="22"/>
        </w:rPr>
        <w:t>)</w:t>
      </w:r>
      <w:r w:rsidRPr="00381E10">
        <w:rPr>
          <w:i w:val="0"/>
          <w:color w:val="auto"/>
          <w:sz w:val="22"/>
          <w:szCs w:val="22"/>
        </w:rPr>
        <w:t>, presenting the median, and earliest and latest dates (error bars), of first detection on fishway PIT readers in 201</w:t>
      </w:r>
      <w:r w:rsidR="00FE26E9">
        <w:rPr>
          <w:i w:val="0"/>
          <w:color w:val="auto"/>
          <w:sz w:val="22"/>
          <w:szCs w:val="22"/>
        </w:rPr>
        <w:t>9</w:t>
      </w:r>
      <w:r w:rsidRPr="00381E10">
        <w:rPr>
          <w:i w:val="0"/>
          <w:color w:val="auto"/>
          <w:sz w:val="22"/>
          <w:szCs w:val="22"/>
        </w:rPr>
        <w:t>.</w:t>
      </w:r>
      <w:bookmarkEnd w:id="23"/>
    </w:p>
    <w:p w14:paraId="6117DC31" w14:textId="77777777" w:rsidR="0020252F" w:rsidRDefault="0020252F" w:rsidP="00B735DD"/>
    <w:p w14:paraId="6B673F0E" w14:textId="2BEF24AC" w:rsidR="0020252F" w:rsidRPr="002A1C5D" w:rsidRDefault="0020252F" w:rsidP="00B735DD">
      <w:r>
        <w:lastRenderedPageBreak/>
        <w:t xml:space="preserve">Migration rates were calculated for pouched lamprey through the following reaches: barrages to Lock 1 (274 km; </w:t>
      </w:r>
      <w:r>
        <w:rPr>
          <w:i/>
        </w:rPr>
        <w:t xml:space="preserve">n </w:t>
      </w:r>
      <w:r>
        <w:t xml:space="preserve">= 19); Lock 1 to Lock 2 (88 km; </w:t>
      </w:r>
      <w:r>
        <w:rPr>
          <w:i/>
        </w:rPr>
        <w:t xml:space="preserve">n </w:t>
      </w:r>
      <w:r>
        <w:t xml:space="preserve">= 12); Lock 2 to Lock 3 (69 km; </w:t>
      </w:r>
      <w:r>
        <w:rPr>
          <w:i/>
        </w:rPr>
        <w:t xml:space="preserve">n </w:t>
      </w:r>
      <w:r>
        <w:t xml:space="preserve">= 11); and Lock 3 to Lock 4 (85 km; </w:t>
      </w:r>
      <w:r>
        <w:rPr>
          <w:i/>
        </w:rPr>
        <w:t xml:space="preserve">n </w:t>
      </w:r>
      <w:r>
        <w:t>= 3). Migration rates for the remaining reaches could not be calculated due to absence of PIT reader data at either the upstream or downstream boundary of the reach, which signifies passage past a weir via a route other than the vertical-slot fishway (e.g. via fish lock or navigation lock). Within reaches, rates of migration among individuals varied over similar ranges, but the median rate was lowest from the barrages to Lock 1 (median = 10 km.d</w:t>
      </w:r>
      <w:r>
        <w:rPr>
          <w:vertAlign w:val="superscript"/>
        </w:rPr>
        <w:t>-1</w:t>
      </w:r>
      <w:r>
        <w:t>, range = 4</w:t>
      </w:r>
      <w:r>
        <w:rPr>
          <w:rFonts w:cs="Arial"/>
        </w:rPr>
        <w:t>–</w:t>
      </w:r>
      <w:r>
        <w:t>32 km.d</w:t>
      </w:r>
      <w:r>
        <w:rPr>
          <w:vertAlign w:val="superscript"/>
        </w:rPr>
        <w:t>-1</w:t>
      </w:r>
      <w:r>
        <w:t>), followed by Lock 1 to Lock 2 (median = 22 km.d</w:t>
      </w:r>
      <w:r>
        <w:rPr>
          <w:vertAlign w:val="superscript"/>
        </w:rPr>
        <w:t>-1</w:t>
      </w:r>
      <w:r>
        <w:t>, range = 2</w:t>
      </w:r>
      <w:r>
        <w:rPr>
          <w:rFonts w:cs="Arial"/>
        </w:rPr>
        <w:t>–</w:t>
      </w:r>
      <w:r>
        <w:t>31 km.d</w:t>
      </w:r>
      <w:r>
        <w:rPr>
          <w:vertAlign w:val="superscript"/>
        </w:rPr>
        <w:t>-1</w:t>
      </w:r>
      <w:r>
        <w:t>), and was greatest for Lock 2</w:t>
      </w:r>
      <w:r>
        <w:rPr>
          <w:rFonts w:cs="Arial"/>
        </w:rPr>
        <w:t xml:space="preserve"> to Lock </w:t>
      </w:r>
      <w:r>
        <w:t>3 (median = 34 km.d</w:t>
      </w:r>
      <w:r>
        <w:rPr>
          <w:vertAlign w:val="superscript"/>
        </w:rPr>
        <w:t>-1</w:t>
      </w:r>
      <w:r>
        <w:t>, range = 3</w:t>
      </w:r>
      <w:r>
        <w:rPr>
          <w:rFonts w:cs="Arial"/>
        </w:rPr>
        <w:t>–</w:t>
      </w:r>
      <w:r>
        <w:t>37 km.d</w:t>
      </w:r>
      <w:r>
        <w:rPr>
          <w:vertAlign w:val="superscript"/>
        </w:rPr>
        <w:t>-1</w:t>
      </w:r>
      <w:r>
        <w:t>) and Lock 3 to Lock 4 (median = 30 km.d</w:t>
      </w:r>
      <w:r>
        <w:rPr>
          <w:vertAlign w:val="superscript"/>
        </w:rPr>
        <w:t>-1</w:t>
      </w:r>
      <w:r>
        <w:t>, range = 29</w:t>
      </w:r>
      <w:r>
        <w:rPr>
          <w:rFonts w:cs="Arial"/>
        </w:rPr>
        <w:t>–</w:t>
      </w:r>
      <w:r>
        <w:t>31 km.d</w:t>
      </w:r>
      <w:r>
        <w:rPr>
          <w:vertAlign w:val="superscript"/>
        </w:rPr>
        <w:t>-1</w:t>
      </w:r>
      <w:r>
        <w:t xml:space="preserve">). </w:t>
      </w:r>
    </w:p>
    <w:p w14:paraId="72EAF491" w14:textId="38B9FA62" w:rsidR="0020252F" w:rsidRDefault="0020252F" w:rsidP="00B735DD">
      <w:r>
        <w:t>At all weirs where pouched lamprey were detected on PIT reader systems, with the exception of Lock 3 (83%), vertical-slot fishway passage efficiency</w:t>
      </w:r>
      <w:r w:rsidR="003F05A4">
        <w:t xml:space="preserve"> (i.e.</w:t>
      </w:r>
      <w:r>
        <w:t xml:space="preserve"> proportion of fish detected in the fishway that successfully ascended the fishway</w:t>
      </w:r>
      <w:r w:rsidR="003F05A4">
        <w:t>)</w:t>
      </w:r>
      <w:r>
        <w:t xml:space="preserve"> was 100%. </w:t>
      </w:r>
      <w:r w:rsidR="008760F3">
        <w:t>Most</w:t>
      </w:r>
      <w:r>
        <w:t xml:space="preserve"> lamprey-fishway interactions involved single successful ascents of the fishways.</w:t>
      </w:r>
      <w:r w:rsidRPr="00A264BA">
        <w:t xml:space="preserve"> </w:t>
      </w:r>
      <w:r>
        <w:t>There were, however, instances of multiple successful ascents by individual pouched lamprey at Lock 1, 2 and 3 suggesting that some ascents were followed by fallback</w:t>
      </w:r>
      <w:r w:rsidR="008A5827">
        <w:t xml:space="preserve"> over the weirs</w:t>
      </w:r>
      <w:r>
        <w:t>.</w:t>
      </w:r>
    </w:p>
    <w:p w14:paraId="3AB561E0" w14:textId="77777777" w:rsidR="0020252F" w:rsidRDefault="0020252F" w:rsidP="00B735DD"/>
    <w:p w14:paraId="5B78AA50" w14:textId="77777777" w:rsidR="0020252F" w:rsidRDefault="0020252F" w:rsidP="0020252F">
      <w:pPr>
        <w:pStyle w:val="Heading1"/>
        <w:numPr>
          <w:ilvl w:val="0"/>
          <w:numId w:val="1"/>
        </w:numPr>
        <w:rPr>
          <w:sz w:val="24"/>
          <w:szCs w:val="24"/>
        </w:rPr>
      </w:pPr>
      <w:bookmarkStart w:id="24" w:name="_Toc36554680"/>
      <w:r>
        <w:rPr>
          <w:sz w:val="24"/>
          <w:szCs w:val="24"/>
        </w:rPr>
        <w:lastRenderedPageBreak/>
        <w:t>Discussion</w:t>
      </w:r>
      <w:bookmarkEnd w:id="24"/>
    </w:p>
    <w:p w14:paraId="3F2A9408" w14:textId="436127A5" w:rsidR="0020252F" w:rsidRDefault="0020252F" w:rsidP="00B735DD">
      <w:r>
        <w:t>The current study aimed to assess the abundance of lamprey migrating upstream at the Murray Barrages in winter</w:t>
      </w:r>
      <w:r>
        <w:rPr>
          <w:rFonts w:cs="Arial"/>
        </w:rPr>
        <w:t>–</w:t>
      </w:r>
      <w:r>
        <w:t>spring 2019 and monito</w:t>
      </w:r>
      <w:r w:rsidR="008760F3">
        <w:t>r subsequent upstream migration</w:t>
      </w:r>
      <w:r>
        <w:t xml:space="preserve">. Pouched lamprey were sampled in </w:t>
      </w:r>
      <w:r w:rsidR="008760F3">
        <w:t>similar or greater</w:t>
      </w:r>
      <w:r>
        <w:t xml:space="preserve"> numbers relative to previous years when similar sampling effort was undertaken (2015</w:t>
      </w:r>
      <w:r>
        <w:rPr>
          <w:rFonts w:cs="Arial"/>
        </w:rPr>
        <w:t>–</w:t>
      </w:r>
      <w:r>
        <w:t>201</w:t>
      </w:r>
      <w:r w:rsidR="004232DD">
        <w:t>8</w:t>
      </w:r>
      <w:r>
        <w:t xml:space="preserve">), while short-headed lamprey were sampled in the greatest numbers since 2006/07 </w:t>
      </w:r>
      <w:r>
        <w:rPr>
          <w:noProof/>
        </w:rPr>
        <w:t>(Bice et al. 2019a)</w:t>
      </w:r>
      <w:r>
        <w:t xml:space="preserve">.  </w:t>
      </w:r>
      <w:r w:rsidR="004232DD">
        <w:t>In 201</w:t>
      </w:r>
      <w:r w:rsidR="00401E22">
        <w:t>9, a</w:t>
      </w:r>
      <w:r>
        <w:t xml:space="preserve">ll water discharged from the Murray Barrages and associated fishways over the migration period was Commonwealth </w:t>
      </w:r>
      <w:r w:rsidR="00401E22">
        <w:t>e</w:t>
      </w:r>
      <w:r>
        <w:t xml:space="preserve">nvironmental </w:t>
      </w:r>
      <w:r w:rsidR="00401E22">
        <w:t>w</w:t>
      </w:r>
      <w:r>
        <w:t xml:space="preserve">ater, and as such, directly resulted in maintenance of connectivity between freshwater, estuarine and marine environments, and migration outcomes for lamprey. </w:t>
      </w:r>
    </w:p>
    <w:p w14:paraId="5F7DCFFF" w14:textId="77777777" w:rsidR="0020252F" w:rsidRDefault="0020252F" w:rsidP="0020252F">
      <w:pPr>
        <w:pStyle w:val="Heading2"/>
        <w:numPr>
          <w:ilvl w:val="1"/>
          <w:numId w:val="1"/>
        </w:numPr>
      </w:pPr>
      <w:bookmarkStart w:id="25" w:name="_Toc36554681"/>
      <w:r>
        <w:t>Timing of freshwater entry and abundance at the barrages</w:t>
      </w:r>
      <w:bookmarkEnd w:id="25"/>
    </w:p>
    <w:p w14:paraId="78A14259" w14:textId="0A23599D" w:rsidR="0020252F" w:rsidRDefault="0020252F" w:rsidP="00B735DD">
      <w:r>
        <w:t>Pouched lamprey were sampled at the Murray Barrages from 9 July to 2 October</w:t>
      </w:r>
      <w:r w:rsidR="00A61B7F">
        <w:t xml:space="preserve"> 2019</w:t>
      </w:r>
      <w:r>
        <w:t xml:space="preserve">, with peak migration occurring in early August. Migration may have commenced in June, prior to commencement of sampling, but this general migration season with a peak in August is consistent with previous years monitoring </w:t>
      </w:r>
      <w:r w:rsidRPr="0020252F">
        <w:rPr>
          <w:noProof/>
        </w:rPr>
        <w:t>(Bice et al. 2019</w:t>
      </w:r>
      <w:r>
        <w:rPr>
          <w:noProof/>
        </w:rPr>
        <w:t>a and b</w:t>
      </w:r>
      <w:r w:rsidRPr="0020252F">
        <w:rPr>
          <w:noProof/>
        </w:rPr>
        <w:t>)</w:t>
      </w:r>
      <w:r w:rsidRPr="0020252F">
        <w:t>. Short</w:t>
      </w:r>
      <w:r>
        <w:t>-headed lamprey were sampled from 10 July to 21 November, but greatest numbers were captured in September and October. This project represented the first year in which fishways at the Murray Barrages were sampled continuously through late winter and spring, and confirmed the</w:t>
      </w:r>
      <w:r w:rsidR="009C0DE0">
        <w:t xml:space="preserve"> expectation that this period i</w:t>
      </w:r>
      <w:r>
        <w:t xml:space="preserve">s the peak upstream migration period for short-headed lamprey at the barrages </w:t>
      </w:r>
      <w:r>
        <w:rPr>
          <w:noProof/>
        </w:rPr>
        <w:t>(Bice et al. 2019a)</w:t>
      </w:r>
      <w:r>
        <w:t xml:space="preserve">. </w:t>
      </w:r>
    </w:p>
    <w:p w14:paraId="5D7B52EE" w14:textId="54AD2D42" w:rsidR="0020252F" w:rsidRDefault="0020252F" w:rsidP="00B735DD">
      <w:r>
        <w:t>Abundance of pouched lamprey in winter</w:t>
      </w:r>
      <w:r>
        <w:rPr>
          <w:rFonts w:cs="Arial"/>
        </w:rPr>
        <w:t>–</w:t>
      </w:r>
      <w:r>
        <w:t>spring 2019 was similar to that in 2017, greater than</w:t>
      </w:r>
      <w:r w:rsidR="000C01E8">
        <w:t xml:space="preserve"> that</w:t>
      </w:r>
      <w:r>
        <w:t xml:space="preserve"> recorded in 2016 and 2018, but less than that in 2015. </w:t>
      </w:r>
      <w:r w:rsidR="004232DD">
        <w:t>Inter-a</w:t>
      </w:r>
      <w:r>
        <w:t xml:space="preserve">nnual </w:t>
      </w:r>
      <w:r w:rsidR="004232DD">
        <w:t>differences</w:t>
      </w:r>
      <w:r>
        <w:t xml:space="preserve"> in </w:t>
      </w:r>
      <w:r w:rsidR="004232DD">
        <w:t xml:space="preserve">the </w:t>
      </w:r>
      <w:r>
        <w:t>abundance of pouched lamprey appears associated with varying hydrology during winter and associated influences on migration and detectability. Lowest abundance was recorded in 2018, when daily barrage discharge during winter averaged ~1</w:t>
      </w:r>
      <w:r w:rsidR="00494037">
        <w:t>,</w:t>
      </w:r>
      <w:r>
        <w:t>370 ML.d</w:t>
      </w:r>
      <w:r>
        <w:rPr>
          <w:vertAlign w:val="superscript"/>
        </w:rPr>
        <w:t>-1</w:t>
      </w:r>
      <w:r w:rsidR="009C0DE0">
        <w:rPr>
          <w:vertAlign w:val="superscript"/>
        </w:rPr>
        <w:t xml:space="preserve"> </w:t>
      </w:r>
      <w:r w:rsidR="009C0DE0">
        <w:t>(max = 10,743 ML.d</w:t>
      </w:r>
      <w:r w:rsidR="009C0DE0">
        <w:rPr>
          <w:vertAlign w:val="superscript"/>
        </w:rPr>
        <w:t>-1</w:t>
      </w:r>
      <w:r w:rsidR="009C0DE0">
        <w:t>)</w:t>
      </w:r>
      <w:r>
        <w:t xml:space="preserve">, while higher abundances </w:t>
      </w:r>
      <w:r w:rsidR="00494037">
        <w:t xml:space="preserve">were associated with intermediate </w:t>
      </w:r>
      <w:r w:rsidR="003679B5">
        <w:t xml:space="preserve">mean </w:t>
      </w:r>
      <w:r w:rsidR="00494037">
        <w:t>daily discharge</w:t>
      </w:r>
      <w:r w:rsidR="003679B5">
        <w:t>, but</w:t>
      </w:r>
      <w:r w:rsidR="00494037">
        <w:t xml:space="preserve"> </w:t>
      </w:r>
      <w:r w:rsidR="009C0DE0">
        <w:t xml:space="preserve">more </w:t>
      </w:r>
      <w:r w:rsidR="00494037">
        <w:t>conspicuous peaks</w:t>
      </w:r>
      <w:r w:rsidR="003679B5">
        <w:t>,</w:t>
      </w:r>
      <w:r w:rsidR="00494037">
        <w:t xml:space="preserve"> in </w:t>
      </w:r>
      <w:r w:rsidR="003679B5">
        <w:t>the winters of</w:t>
      </w:r>
      <w:r>
        <w:t xml:space="preserve"> 2015 (mean = 2</w:t>
      </w:r>
      <w:r w:rsidR="006D149D">
        <w:t>,</w:t>
      </w:r>
      <w:r>
        <w:t>819 ML.d</w:t>
      </w:r>
      <w:r>
        <w:rPr>
          <w:vertAlign w:val="superscript"/>
        </w:rPr>
        <w:t>-1</w:t>
      </w:r>
      <w:r>
        <w:t>, max = 18,437 ML.d</w:t>
      </w:r>
      <w:r>
        <w:rPr>
          <w:vertAlign w:val="superscript"/>
        </w:rPr>
        <w:t>-1</w:t>
      </w:r>
      <w:r>
        <w:t>), 2017 (mean = 4</w:t>
      </w:r>
      <w:r w:rsidR="006D149D">
        <w:t>,</w:t>
      </w:r>
      <w:r>
        <w:t>557 ML.d</w:t>
      </w:r>
      <w:r>
        <w:rPr>
          <w:vertAlign w:val="superscript"/>
        </w:rPr>
        <w:t>-1</w:t>
      </w:r>
      <w:r>
        <w:t>, max = 15,910 ML.d</w:t>
      </w:r>
      <w:r>
        <w:rPr>
          <w:vertAlign w:val="superscript"/>
        </w:rPr>
        <w:t>-1</w:t>
      </w:r>
      <w:r>
        <w:t>) and 2019 (mean = 2</w:t>
      </w:r>
      <w:r w:rsidR="006D149D">
        <w:t>,</w:t>
      </w:r>
      <w:r>
        <w:t>557 ML.d</w:t>
      </w:r>
      <w:r>
        <w:rPr>
          <w:vertAlign w:val="superscript"/>
        </w:rPr>
        <w:t>-1</w:t>
      </w:r>
      <w:r>
        <w:t>, max = 19,166 ML.d</w:t>
      </w:r>
      <w:r>
        <w:rPr>
          <w:vertAlign w:val="superscript"/>
        </w:rPr>
        <w:t>-1</w:t>
      </w:r>
      <w:r>
        <w:t>). An exception to this pattern was 2016. Discharge in June and early July 2016 was limited to fishways (typ</w:t>
      </w:r>
      <w:r w:rsidR="006E2A8C">
        <w:t>ically &lt;17</w:t>
      </w:r>
      <w:r>
        <w:t>0 ML.d</w:t>
      </w:r>
      <w:r>
        <w:rPr>
          <w:vertAlign w:val="superscript"/>
        </w:rPr>
        <w:t>-1</w:t>
      </w:r>
      <w:r>
        <w:t>), but increased drastically in</w:t>
      </w:r>
      <w:r w:rsidR="000C01E8">
        <w:t xml:space="preserve"> mid-July and averaged ~18,000 </w:t>
      </w:r>
      <w:r>
        <w:t>ML.d</w:t>
      </w:r>
      <w:r>
        <w:rPr>
          <w:vertAlign w:val="superscript"/>
        </w:rPr>
        <w:t>-1</w:t>
      </w:r>
      <w:r>
        <w:t xml:space="preserve"> for the remainder of winter with a peak discharge of ~48,000 ML.d</w:t>
      </w:r>
      <w:r>
        <w:rPr>
          <w:vertAlign w:val="superscript"/>
        </w:rPr>
        <w:t>-1</w:t>
      </w:r>
      <w:r>
        <w:t xml:space="preserve">. Under such conditions, numerous gates are opened on all barrages, and fishway discharge represents a minor proportion of overall discharge </w:t>
      </w:r>
      <w:r>
        <w:rPr>
          <w:noProof/>
        </w:rPr>
        <w:t>(Bice et al. 2017)</w:t>
      </w:r>
      <w:r>
        <w:t xml:space="preserve">. </w:t>
      </w:r>
      <w:r w:rsidR="009C0DE0">
        <w:t xml:space="preserve">These conditions may result in </w:t>
      </w:r>
      <w:r>
        <w:t xml:space="preserve">low attraction of individuals </w:t>
      </w:r>
      <w:r>
        <w:lastRenderedPageBreak/>
        <w:t xml:space="preserve">to fishways, and </w:t>
      </w:r>
      <w:r w:rsidR="009C0DE0">
        <w:t xml:space="preserve">increased </w:t>
      </w:r>
      <w:r>
        <w:t>potential for individuals to pass upstream via gate openings</w:t>
      </w:r>
      <w:r w:rsidR="009C0DE0">
        <w:t>, and thus,</w:t>
      </w:r>
      <w:r>
        <w:t xml:space="preserve"> </w:t>
      </w:r>
      <w:r w:rsidR="009C0DE0">
        <w:t xml:space="preserve">overall </w:t>
      </w:r>
      <w:r>
        <w:t xml:space="preserve">abundances of </w:t>
      </w:r>
      <w:r w:rsidR="009C0DE0">
        <w:t xml:space="preserve">migrating </w:t>
      </w:r>
      <w:r>
        <w:t xml:space="preserve">lamprey are likely to </w:t>
      </w:r>
      <w:r w:rsidR="00927374">
        <w:t xml:space="preserve">be </w:t>
      </w:r>
      <w:r>
        <w:t xml:space="preserve">underestimated. </w:t>
      </w:r>
    </w:p>
    <w:p w14:paraId="63011D0D" w14:textId="77777777" w:rsidR="00DE70D9" w:rsidRPr="00B832BB" w:rsidRDefault="0020252F" w:rsidP="00DE70D9">
      <w:r>
        <w:t xml:space="preserve">Spatial variability in the abundance of upstream migrating lamprey among barrages is likely a result of a combination of </w:t>
      </w:r>
      <w:r w:rsidR="00927374">
        <w:t xml:space="preserve">variability in discharge from individual barrages and </w:t>
      </w:r>
      <w:r>
        <w:t>sampling bias. In winter</w:t>
      </w:r>
      <w:r>
        <w:rPr>
          <w:rFonts w:cs="Arial"/>
        </w:rPr>
        <w:t>–</w:t>
      </w:r>
      <w:r>
        <w:t xml:space="preserve">spring 2019, pouched lamprey were sampled in greatest numbers from fishways on Goolwa and Mundoo barrages, with lower numbers from fishways on Tauwitchere and Boundary Creek barrages. Historically, the species has commonly been sampled in greatest abundance from Goolwa Barrage </w:t>
      </w:r>
      <w:r>
        <w:rPr>
          <w:noProof/>
        </w:rPr>
        <w:t>(Bice et al. 2019a and b)</w:t>
      </w:r>
      <w:r>
        <w:t xml:space="preserve">, but in some years, notably 2015 and 2017, </w:t>
      </w:r>
      <w:r w:rsidR="00927374">
        <w:t>were</w:t>
      </w:r>
      <w:r>
        <w:t xml:space="preserve"> sampled in high numbers from Tauwitchere Barrage. In these years, particularly 2017, greater volumes of water were discharged from Tauwitchere than in 2018 and 2019, and the Tauwitchere trapezoidal fishway had yet to be completed, meaning all upstream migration at this barrage was limited to the original large and small vertical-slot fishways. By winter 2018, however, the trapezoidal fishway had been completed, but was not sampled in either 2018 or 2019 as traps for this fishway had yet to be constructed. This fishway discharges considerable volumes of water and is likely to provide favourable attraction flow to upstream migrating lamprey</w:t>
      </w:r>
      <w:r w:rsidR="00926884">
        <w:t>.</w:t>
      </w:r>
      <w:r>
        <w:t xml:space="preserve"> </w:t>
      </w:r>
      <w:r w:rsidR="00926884">
        <w:t xml:space="preserve">Therefore, </w:t>
      </w:r>
      <w:r>
        <w:t xml:space="preserve">low abundances </w:t>
      </w:r>
      <w:r w:rsidR="00300715">
        <w:t xml:space="preserve">recorded </w:t>
      </w:r>
      <w:r w:rsidR="00926884">
        <w:t>from</w:t>
      </w:r>
      <w:r w:rsidR="00300715">
        <w:t xml:space="preserve"> vertical-slot fishways </w:t>
      </w:r>
      <w:r w:rsidR="00926884">
        <w:t>on</w:t>
      </w:r>
      <w:r>
        <w:t xml:space="preserve"> Tauwitchere Barrage in 2018 and 2019 may be in part due to individuals migrating upstream through th</w:t>
      </w:r>
      <w:r w:rsidR="00926884">
        <w:t>e trapezoidal</w:t>
      </w:r>
      <w:r>
        <w:t xml:space="preserve"> fishway and thus </w:t>
      </w:r>
      <w:r w:rsidR="00DE70D9">
        <w:t xml:space="preserve">not accounted for </w:t>
      </w:r>
      <w:r>
        <w:t xml:space="preserve">in </w:t>
      </w:r>
      <w:r w:rsidR="00DE70D9">
        <w:t xml:space="preserve">existing </w:t>
      </w:r>
      <w:r>
        <w:t xml:space="preserve">monitoring. </w:t>
      </w:r>
      <w:r w:rsidR="00DE70D9">
        <w:t>Consequently, trapping of the Tauwitchere trapezoidal fishway, in conjunction with the fishways already sampled, is a priority for monitoring in coming winter</w:t>
      </w:r>
      <w:r w:rsidR="00DE70D9">
        <w:rPr>
          <w:rFonts w:cs="Arial"/>
        </w:rPr>
        <w:t>–</w:t>
      </w:r>
      <w:r w:rsidR="00DE70D9">
        <w:t xml:space="preserve">spring seasons to better elucidate the influence of individual barrage discharge on lamprey migration.  </w:t>
      </w:r>
    </w:p>
    <w:p w14:paraId="5F296560" w14:textId="24590748" w:rsidR="0020252F" w:rsidRPr="00B832BB" w:rsidRDefault="00DE70D9" w:rsidP="00B735DD">
      <w:r>
        <w:t xml:space="preserve">Other factors may also promote discrepancies in catch among barrages. Freshwater discharge into the </w:t>
      </w:r>
      <w:r w:rsidR="0020252F">
        <w:t>narrow</w:t>
      </w:r>
      <w:r>
        <w:t>er</w:t>
      </w:r>
      <w:r w:rsidR="0020252F">
        <w:t xml:space="preserve"> channels downstream of both Goolwa and Mundoo barrages, relative to Tauwitchere, is associated with greater reductions in salinity downstream of these barrages. Despite </w:t>
      </w:r>
      <w:r>
        <w:t xml:space="preserve">Goolwa and Mundoo barrages </w:t>
      </w:r>
      <w:r w:rsidR="0020252F">
        <w:t xml:space="preserve">discharging lower absolute and proportional volumes of water, </w:t>
      </w:r>
      <w:r>
        <w:t xml:space="preserve">compared to Tauwitchere, </w:t>
      </w:r>
      <w:r w:rsidR="0020252F">
        <w:t xml:space="preserve">the closer proximity </w:t>
      </w:r>
      <w:r>
        <w:t xml:space="preserve">of these barrages </w:t>
      </w:r>
      <w:r w:rsidR="0020252F">
        <w:t xml:space="preserve">to the Murray Mouth, </w:t>
      </w:r>
      <w:r>
        <w:t>may attract</w:t>
      </w:r>
      <w:r w:rsidR="0020252F">
        <w:t xml:space="preserve"> greater abundance</w:t>
      </w:r>
      <w:r w:rsidR="00300715">
        <w:t>s</w:t>
      </w:r>
      <w:r w:rsidR="0020252F">
        <w:t xml:space="preserve"> </w:t>
      </w:r>
      <w:r>
        <w:t>lamprey</w:t>
      </w:r>
      <w:r w:rsidR="0020252F">
        <w:t>. As such, during times of limited water availability, releases from Goolwa and Mundoo barrages may elicit greater outcomes with regard to lamprey migration. Nonetheless, trapping of the Tauwitchere trapezoidal fishway, in conjunction with the fishways already sampled, is a priority for monitoring in coming winter</w:t>
      </w:r>
      <w:r w:rsidR="0020252F">
        <w:rPr>
          <w:rFonts w:cs="Arial"/>
        </w:rPr>
        <w:t>–</w:t>
      </w:r>
      <w:r w:rsidR="0020252F">
        <w:t xml:space="preserve">spring seasons to better elucidate the influence of individual barrage discharge on lamprey migration.  </w:t>
      </w:r>
    </w:p>
    <w:p w14:paraId="522309D0" w14:textId="77777777" w:rsidR="0020252F" w:rsidRDefault="0020252F" w:rsidP="0020252F">
      <w:pPr>
        <w:pStyle w:val="Heading2"/>
        <w:numPr>
          <w:ilvl w:val="1"/>
          <w:numId w:val="1"/>
        </w:numPr>
      </w:pPr>
      <w:bookmarkStart w:id="26" w:name="_Toc36554682"/>
      <w:r>
        <w:lastRenderedPageBreak/>
        <w:t>Extent, timing and rate of riverine migration</w:t>
      </w:r>
      <w:bookmarkEnd w:id="26"/>
    </w:p>
    <w:p w14:paraId="253C46A8" w14:textId="100E740E" w:rsidR="0020252F" w:rsidRDefault="0020252F" w:rsidP="00B735DD">
      <w:pPr>
        <w:rPr>
          <w:rFonts w:cs="Arial"/>
        </w:rPr>
      </w:pPr>
      <w:r>
        <w:t xml:space="preserve">For tagged pouched lamprey subsequently detected on PIT reader systems in 2019, </w:t>
      </w:r>
      <w:r w:rsidR="003B70B6">
        <w:t xml:space="preserve">the </w:t>
      </w:r>
      <w:r>
        <w:t>estimated extent of migration ranged 274</w:t>
      </w:r>
      <w:r>
        <w:rPr>
          <w:rFonts w:cs="Arial"/>
        </w:rPr>
        <w:t>–726</w:t>
      </w:r>
      <w:r>
        <w:t xml:space="preserve"> km MTD. The proportion of </w:t>
      </w:r>
      <w:r w:rsidR="006E2A8C">
        <w:t xml:space="preserve">PIT tagged </w:t>
      </w:r>
      <w:r>
        <w:t xml:space="preserve">pouched lamprey that ceased migration in given reaches was highest for the barrages to Lock 1 (56%, </w:t>
      </w:r>
      <w:r>
        <w:rPr>
          <w:i/>
        </w:rPr>
        <w:t xml:space="preserve">n </w:t>
      </w:r>
      <w:r>
        <w:t>= 22), followed by Lock 3</w:t>
      </w:r>
      <w:r>
        <w:rPr>
          <w:rFonts w:cs="Arial"/>
        </w:rPr>
        <w:t>–4</w:t>
      </w:r>
      <w:r>
        <w:t xml:space="preserve"> (17%, </w:t>
      </w:r>
      <w:r>
        <w:rPr>
          <w:i/>
        </w:rPr>
        <w:t xml:space="preserve">n </w:t>
      </w:r>
      <w:r>
        <w:t>= 7) and Lock 1</w:t>
      </w:r>
      <w:r>
        <w:rPr>
          <w:rFonts w:cs="Arial"/>
        </w:rPr>
        <w:t>–</w:t>
      </w:r>
      <w:r>
        <w:t xml:space="preserve">2 (15%, </w:t>
      </w:r>
      <w:r>
        <w:rPr>
          <w:i/>
        </w:rPr>
        <w:t xml:space="preserve">n </w:t>
      </w:r>
      <w:r>
        <w:t>= 6), with lower proportions from Lock 4</w:t>
      </w:r>
      <w:r>
        <w:rPr>
          <w:rFonts w:cs="Arial"/>
        </w:rPr>
        <w:t>–</w:t>
      </w:r>
      <w:r>
        <w:t>5, Lock 5</w:t>
      </w:r>
      <w:r>
        <w:rPr>
          <w:rFonts w:cs="Arial"/>
        </w:rPr>
        <w:t>–</w:t>
      </w:r>
      <w:r>
        <w:t>6, Lock 7</w:t>
      </w:r>
      <w:r>
        <w:rPr>
          <w:rFonts w:cs="Arial"/>
        </w:rPr>
        <w:t>–</w:t>
      </w:r>
      <w:r>
        <w:t>8 and Lock 8</w:t>
      </w:r>
      <w:r>
        <w:rPr>
          <w:rFonts w:cs="Arial"/>
        </w:rPr>
        <w:t>–</w:t>
      </w:r>
      <w:r>
        <w:t>9 (</w:t>
      </w:r>
      <w:r w:rsidRPr="00762626">
        <w:t>2.5</w:t>
      </w:r>
      <w:r w:rsidRPr="00762626">
        <w:rPr>
          <w:rFonts w:cs="Arial"/>
        </w:rPr>
        <w:t>–</w:t>
      </w:r>
      <w:r w:rsidRPr="00762626">
        <w:t xml:space="preserve">5%, </w:t>
      </w:r>
      <w:r w:rsidRPr="00762626">
        <w:rPr>
          <w:i/>
        </w:rPr>
        <w:t xml:space="preserve">n </w:t>
      </w:r>
      <w:r w:rsidRPr="00762626">
        <w:t>= 1</w:t>
      </w:r>
      <w:r w:rsidRPr="00762626">
        <w:rPr>
          <w:rFonts w:cs="Arial"/>
        </w:rPr>
        <w:t>–</w:t>
      </w:r>
      <w:r w:rsidRPr="00762626">
        <w:t>2</w:t>
      </w:r>
      <w:r>
        <w:t xml:space="preserve">). </w:t>
      </w:r>
      <w:r w:rsidR="006E2A8C">
        <w:t xml:space="preserve">Upstream migration of pouched and short-headed lamprey is an obligate reproductive movement and locating favorable spawning habitat promotes cessation of lamprey migration (Moser </w:t>
      </w:r>
      <w:r w:rsidR="006E2A8C">
        <w:rPr>
          <w:i/>
        </w:rPr>
        <w:t xml:space="preserve">et al. </w:t>
      </w:r>
      <w:r w:rsidR="006E2A8C">
        <w:t xml:space="preserve">2015). </w:t>
      </w:r>
      <w:r>
        <w:t>In previous years, i</w:t>
      </w:r>
      <w:r>
        <w:rPr>
          <w:rFonts w:cs="Arial"/>
        </w:rPr>
        <w:t>ndividual</w:t>
      </w:r>
      <w:r w:rsidR="006E2A8C">
        <w:rPr>
          <w:rFonts w:cs="Arial"/>
        </w:rPr>
        <w:t xml:space="preserve"> pouched lamprey</w:t>
      </w:r>
      <w:r>
        <w:rPr>
          <w:rFonts w:cs="Arial"/>
        </w:rPr>
        <w:t xml:space="preserve"> caught at the Murray Barrages and tagged with acoustic tags have been detected migrating upstream into the </w:t>
      </w:r>
      <w:proofErr w:type="spellStart"/>
      <w:r>
        <w:rPr>
          <w:rFonts w:cs="Arial"/>
        </w:rPr>
        <w:t>Finniss</w:t>
      </w:r>
      <w:proofErr w:type="spellEnd"/>
      <w:r>
        <w:rPr>
          <w:rFonts w:cs="Arial"/>
        </w:rPr>
        <w:t xml:space="preserve"> River and Currency Creek </w:t>
      </w:r>
      <w:r>
        <w:rPr>
          <w:rFonts w:cs="Arial"/>
          <w:noProof/>
        </w:rPr>
        <w:t>(Bice et al. 2019b)</w:t>
      </w:r>
      <w:r>
        <w:rPr>
          <w:rFonts w:cs="Arial"/>
        </w:rPr>
        <w:t xml:space="preserve">, while </w:t>
      </w:r>
      <w:proofErr w:type="spellStart"/>
      <w:r>
        <w:rPr>
          <w:rFonts w:cs="Arial"/>
        </w:rPr>
        <w:t>ammocoetes</w:t>
      </w:r>
      <w:proofErr w:type="spellEnd"/>
      <w:r>
        <w:rPr>
          <w:rFonts w:cs="Arial"/>
        </w:rPr>
        <w:t xml:space="preserve"> have in the past been sampled downstream of Lock 1</w:t>
      </w:r>
      <w:r w:rsidR="006E2A8C">
        <w:rPr>
          <w:rFonts w:cs="Arial"/>
        </w:rPr>
        <w:t xml:space="preserve"> (SARDI unpublished data)</w:t>
      </w:r>
      <w:r>
        <w:rPr>
          <w:rFonts w:cs="Arial"/>
        </w:rPr>
        <w:t xml:space="preserve">. This suggests that individuals locating favourable spawning sites downstream of Lock 1 </w:t>
      </w:r>
      <w:r w:rsidR="006E2A8C">
        <w:rPr>
          <w:rFonts w:cs="Arial"/>
        </w:rPr>
        <w:t xml:space="preserve">may have </w:t>
      </w:r>
      <w:r>
        <w:rPr>
          <w:rFonts w:cs="Arial"/>
        </w:rPr>
        <w:t xml:space="preserve">contributed to the high proportion of cessation of migration in this reach, and </w:t>
      </w:r>
      <w:r w:rsidR="006E2A8C">
        <w:rPr>
          <w:rFonts w:cs="Arial"/>
        </w:rPr>
        <w:t>may</w:t>
      </w:r>
      <w:r>
        <w:rPr>
          <w:rFonts w:cs="Arial"/>
        </w:rPr>
        <w:t xml:space="preserve"> explain cessation of migration in other reaches. Predation </w:t>
      </w:r>
      <w:r w:rsidR="006E2A8C">
        <w:rPr>
          <w:rFonts w:cs="Arial"/>
        </w:rPr>
        <w:t xml:space="preserve">may also interrupt migration, and whilst </w:t>
      </w:r>
      <w:r>
        <w:rPr>
          <w:rFonts w:cs="Arial"/>
        </w:rPr>
        <w:t>rates</w:t>
      </w:r>
      <w:r w:rsidR="006E2A8C">
        <w:rPr>
          <w:rFonts w:cs="Arial"/>
        </w:rPr>
        <w:t xml:space="preserve"> of predation on</w:t>
      </w:r>
      <w:r>
        <w:rPr>
          <w:rFonts w:cs="Arial"/>
        </w:rPr>
        <w:t xml:space="preserve"> upstream migrating lamprey in the River Murray are unknown, this mechanism also likely contributes to perceived cessation of migration throughout the river.  </w:t>
      </w:r>
    </w:p>
    <w:p w14:paraId="146F698F" w14:textId="62C62559" w:rsidR="0020252F" w:rsidRPr="007D16B2" w:rsidRDefault="0020252F" w:rsidP="00B735DD">
      <w:r>
        <w:rPr>
          <w:rFonts w:cs="Arial"/>
        </w:rPr>
        <w:t>Similarly for short-headed lamprey</w:t>
      </w:r>
      <w:r w:rsidR="00B75BB1">
        <w:rPr>
          <w:rFonts w:cs="Arial"/>
        </w:rPr>
        <w:t xml:space="preserve"> in 2019</w:t>
      </w:r>
      <w:r>
        <w:rPr>
          <w:rFonts w:cs="Arial"/>
        </w:rPr>
        <w:t>, &gt;90% of tagged individuals (</w:t>
      </w:r>
      <w:r>
        <w:rPr>
          <w:rFonts w:cs="Arial"/>
          <w:i/>
        </w:rPr>
        <w:t xml:space="preserve">n </w:t>
      </w:r>
      <w:r>
        <w:rPr>
          <w:rFonts w:cs="Arial"/>
        </w:rPr>
        <w:t xml:space="preserve">= 13) were not detected </w:t>
      </w:r>
      <w:r w:rsidR="00AE65A6">
        <w:rPr>
          <w:rFonts w:cs="Arial"/>
        </w:rPr>
        <w:t xml:space="preserve">after capture </w:t>
      </w:r>
      <w:r>
        <w:rPr>
          <w:rFonts w:cs="Arial"/>
        </w:rPr>
        <w:t xml:space="preserve">suggesting migration ceased downstream of Lock 1. The upstream migration of this species is less understood than pouched lamprey, but mechanisms for cessation of migration are likely the same. The one individual that was subsequently detected, however, undertook a </w:t>
      </w:r>
      <w:r w:rsidR="006E2A8C">
        <w:rPr>
          <w:rFonts w:cs="Arial"/>
        </w:rPr>
        <w:t>substantial</w:t>
      </w:r>
      <w:r>
        <w:rPr>
          <w:rFonts w:cs="Arial"/>
        </w:rPr>
        <w:t xml:space="preserve"> upstream migration of at least 825 km. Pre-regulation, this species undertook upstream migrations of up to 2</w:t>
      </w:r>
      <w:r w:rsidR="00B75BB1">
        <w:rPr>
          <w:rFonts w:cs="Arial"/>
        </w:rPr>
        <w:t>,</w:t>
      </w:r>
      <w:r>
        <w:rPr>
          <w:rFonts w:cs="Arial"/>
        </w:rPr>
        <w:t xml:space="preserve">000 km </w:t>
      </w:r>
      <w:r>
        <w:rPr>
          <w:rFonts w:cs="Arial"/>
          <w:noProof/>
        </w:rPr>
        <w:t>(Potter and Strahan 1968)</w:t>
      </w:r>
      <w:r>
        <w:rPr>
          <w:rFonts w:cs="Arial"/>
        </w:rPr>
        <w:t xml:space="preserve">. The results from this study represent the first contemporary data on the upstream migration of this species, and suggest long-distance upstream migration still occurs in the MDB. This individual passed through eight main channel weir vertical-slot fishways; whilst data on fish passage </w:t>
      </w:r>
      <w:r w:rsidR="00B75BB1">
        <w:rPr>
          <w:rFonts w:cs="Arial"/>
        </w:rPr>
        <w:t xml:space="preserve">are </w:t>
      </w:r>
      <w:r>
        <w:rPr>
          <w:rFonts w:cs="Arial"/>
        </w:rPr>
        <w:t xml:space="preserve">obviously limited, this provides a preliminary indication that the vertical-slot fishways </w:t>
      </w:r>
      <w:r w:rsidR="00E1065D">
        <w:rPr>
          <w:rFonts w:cs="Arial"/>
        </w:rPr>
        <w:t>install</w:t>
      </w:r>
      <w:r>
        <w:rPr>
          <w:rFonts w:cs="Arial"/>
        </w:rPr>
        <w:t xml:space="preserve">ed on the lower River Murray successfully facilitate the upstream passage of this species. </w:t>
      </w:r>
    </w:p>
    <w:p w14:paraId="11315437" w14:textId="2862719C" w:rsidR="0020252F" w:rsidRDefault="0020252F" w:rsidP="00B735DD">
      <w:pPr>
        <w:rPr>
          <w:rFonts w:cs="Arial"/>
        </w:rPr>
      </w:pPr>
      <w:r>
        <w:rPr>
          <w:rFonts w:cs="Arial"/>
        </w:rPr>
        <w:t>Overall</w:t>
      </w:r>
      <w:r w:rsidR="006E2A8C">
        <w:rPr>
          <w:rFonts w:cs="Arial"/>
        </w:rPr>
        <w:t>,</w:t>
      </w:r>
      <w:r>
        <w:rPr>
          <w:rFonts w:cs="Arial"/>
        </w:rPr>
        <w:t xml:space="preserve"> migration timing for pouched and short-headed lamprey, based on fishway detections, exten</w:t>
      </w:r>
      <w:r w:rsidR="003679B5">
        <w:rPr>
          <w:rFonts w:cs="Arial"/>
        </w:rPr>
        <w:t>ded from July to early-November</w:t>
      </w:r>
      <w:r>
        <w:rPr>
          <w:rFonts w:cs="Arial"/>
        </w:rPr>
        <w:t xml:space="preserve">. This result is consistent with migration timing of pouched lamprey in the River Murray from previous studies </w:t>
      </w:r>
      <w:r>
        <w:rPr>
          <w:rFonts w:cs="Arial"/>
          <w:noProof/>
        </w:rPr>
        <w:t>(Bice and Zampatti 2015, Bice et al. 2019b)</w:t>
      </w:r>
      <w:r>
        <w:rPr>
          <w:rFonts w:cs="Arial"/>
        </w:rPr>
        <w:t xml:space="preserve">. Nevertheless, the temporal extent of upstream migration likely extends over a broader period than indicated by data from 2019. Indeed, </w:t>
      </w:r>
      <w:r w:rsidR="006E2A8C">
        <w:rPr>
          <w:rFonts w:cs="Arial"/>
        </w:rPr>
        <w:t xml:space="preserve">in early December in 2015, </w:t>
      </w:r>
      <w:r>
        <w:rPr>
          <w:rFonts w:cs="Arial"/>
        </w:rPr>
        <w:t xml:space="preserve">a PIT tagged lamprey was detected at Lock 10 (Wentworth, 825 km MTD), whilst newspaper articles </w:t>
      </w:r>
      <w:r w:rsidR="006E2A8C">
        <w:rPr>
          <w:rFonts w:cs="Arial"/>
        </w:rPr>
        <w:t>from</w:t>
      </w:r>
      <w:r>
        <w:rPr>
          <w:rFonts w:cs="Arial"/>
        </w:rPr>
        <w:t xml:space="preserve"> 1949/50 note </w:t>
      </w:r>
      <w:r w:rsidR="006E2A8C">
        <w:rPr>
          <w:rFonts w:cs="Arial"/>
        </w:rPr>
        <w:t xml:space="preserve">the </w:t>
      </w:r>
      <w:r>
        <w:rPr>
          <w:rFonts w:cs="Arial"/>
        </w:rPr>
        <w:lastRenderedPageBreak/>
        <w:t xml:space="preserve">presence of ‘lamprey’ at </w:t>
      </w:r>
      <w:proofErr w:type="spellStart"/>
      <w:r>
        <w:rPr>
          <w:rFonts w:cs="Arial"/>
        </w:rPr>
        <w:t>Mildura</w:t>
      </w:r>
      <w:proofErr w:type="spellEnd"/>
      <w:r>
        <w:rPr>
          <w:rFonts w:cs="Arial"/>
        </w:rPr>
        <w:t xml:space="preserve"> (Lock 11) and Euston (Lock 15) in January </w:t>
      </w:r>
      <w:r>
        <w:rPr>
          <w:rFonts w:cs="Arial"/>
          <w:noProof/>
        </w:rPr>
        <w:t>(The Riverine Herald 1950)</w:t>
      </w:r>
      <w:r>
        <w:rPr>
          <w:rFonts w:cs="Arial"/>
        </w:rPr>
        <w:t xml:space="preserve">. Consequently, </w:t>
      </w:r>
      <w:r w:rsidR="006E2A8C">
        <w:rPr>
          <w:rFonts w:cs="Arial"/>
        </w:rPr>
        <w:t xml:space="preserve">in the southern MDB, </w:t>
      </w:r>
      <w:r w:rsidR="00460149">
        <w:rPr>
          <w:rFonts w:cs="Arial"/>
        </w:rPr>
        <w:t>migration</w:t>
      </w:r>
      <w:r>
        <w:rPr>
          <w:rFonts w:cs="Arial"/>
        </w:rPr>
        <w:t xml:space="preserve"> </w:t>
      </w:r>
      <w:r w:rsidR="006E2A8C">
        <w:rPr>
          <w:rFonts w:cs="Arial"/>
        </w:rPr>
        <w:t>of</w:t>
      </w:r>
      <w:r>
        <w:rPr>
          <w:rFonts w:cs="Arial"/>
        </w:rPr>
        <w:t xml:space="preserve"> pouched lamprey, and potentially short-headed lamprey, likely extends from at least June to January.</w:t>
      </w:r>
    </w:p>
    <w:p w14:paraId="2C787D7A" w14:textId="12397912" w:rsidR="0020252F" w:rsidRDefault="0020252F" w:rsidP="00B735DD">
      <w:pPr>
        <w:rPr>
          <w:rFonts w:cs="Arial"/>
        </w:rPr>
      </w:pPr>
      <w:r>
        <w:rPr>
          <w:rFonts w:cs="Arial"/>
        </w:rPr>
        <w:t>Migration rates of individual pouched lamprey ranged 2–37 km.d</w:t>
      </w:r>
      <w:r>
        <w:rPr>
          <w:rFonts w:cs="Arial"/>
          <w:vertAlign w:val="superscript"/>
        </w:rPr>
        <w:t>-1</w:t>
      </w:r>
      <w:r>
        <w:rPr>
          <w:rFonts w:cs="Arial"/>
        </w:rPr>
        <w:t xml:space="preserve">, consistent with rates previously reported from the River Murray </w:t>
      </w:r>
      <w:r>
        <w:rPr>
          <w:rFonts w:cs="Arial"/>
          <w:noProof/>
        </w:rPr>
        <w:t>(Bice et al. 2019b)</w:t>
      </w:r>
      <w:r>
        <w:rPr>
          <w:rFonts w:cs="Arial"/>
        </w:rPr>
        <w:t xml:space="preserve">. In addition, migration rates were lowest between the barrages and Lock 1, </w:t>
      </w:r>
      <w:r w:rsidR="006E2A8C">
        <w:rPr>
          <w:rFonts w:cs="Arial"/>
        </w:rPr>
        <w:t xml:space="preserve">incorporating the lacustrine habitats of Lake Alexandrina, </w:t>
      </w:r>
      <w:r>
        <w:rPr>
          <w:rFonts w:cs="Arial"/>
        </w:rPr>
        <w:t xml:space="preserve">and greatest in riverine reaches (e.g. Lock 2 to Lock 3). This aspect of migration is comparable to the similar-sized Pacific lamprey </w:t>
      </w:r>
      <w:r w:rsidR="00AE65A6">
        <w:rPr>
          <w:rFonts w:cs="Arial"/>
        </w:rPr>
        <w:t>(</w:t>
      </w:r>
      <w:proofErr w:type="spellStart"/>
      <w:r w:rsidR="00AE65A6" w:rsidRPr="00460149">
        <w:rPr>
          <w:rFonts w:cs="Arial"/>
          <w:i/>
        </w:rPr>
        <w:t>Entosphenus</w:t>
      </w:r>
      <w:proofErr w:type="spellEnd"/>
      <w:r w:rsidR="00AE65A6" w:rsidRPr="00460149">
        <w:rPr>
          <w:rFonts w:cs="Arial"/>
          <w:i/>
        </w:rPr>
        <w:t xml:space="preserve"> </w:t>
      </w:r>
      <w:proofErr w:type="spellStart"/>
      <w:r w:rsidR="00AE65A6" w:rsidRPr="00460149">
        <w:rPr>
          <w:rFonts w:cs="Arial"/>
          <w:i/>
        </w:rPr>
        <w:t>tridentatus</w:t>
      </w:r>
      <w:proofErr w:type="spellEnd"/>
      <w:r w:rsidR="00AE65A6">
        <w:rPr>
          <w:rFonts w:cs="Arial"/>
        </w:rPr>
        <w:t xml:space="preserve">) </w:t>
      </w:r>
      <w:r>
        <w:rPr>
          <w:rFonts w:cs="Arial"/>
        </w:rPr>
        <w:t>in the Snake River Basin, USA, which also exhibit</w:t>
      </w:r>
      <w:r w:rsidR="00AE65A6">
        <w:rPr>
          <w:rFonts w:cs="Arial"/>
        </w:rPr>
        <w:t>s</w:t>
      </w:r>
      <w:r>
        <w:rPr>
          <w:rFonts w:cs="Arial"/>
        </w:rPr>
        <w:t xml:space="preserve"> lowest rates between release and location of first detection, and similar migration rates to pouched lamprey post first detection </w:t>
      </w:r>
      <w:r>
        <w:rPr>
          <w:rFonts w:cs="Arial"/>
          <w:noProof/>
        </w:rPr>
        <w:t xml:space="preserve">(McIlraith </w:t>
      </w:r>
      <w:r w:rsidRPr="00460149">
        <w:rPr>
          <w:rFonts w:cs="Arial"/>
          <w:noProof/>
        </w:rPr>
        <w:t>et al.</w:t>
      </w:r>
      <w:r>
        <w:rPr>
          <w:rFonts w:cs="Arial"/>
          <w:noProof/>
        </w:rPr>
        <w:t xml:space="preserve"> 2015)</w:t>
      </w:r>
      <w:r>
        <w:rPr>
          <w:rFonts w:cs="Arial"/>
        </w:rPr>
        <w:t>. These slower initial rates may reflect recovery from tagging, physiological adaptation following transition from marine to fresh waters</w:t>
      </w:r>
      <w:r w:rsidR="004F1EE9">
        <w:rPr>
          <w:rFonts w:cs="Arial"/>
        </w:rPr>
        <w:t xml:space="preserve"> or</w:t>
      </w:r>
      <w:r>
        <w:rPr>
          <w:rFonts w:cs="Arial"/>
        </w:rPr>
        <w:t xml:space="preserve"> in the case of pouched lamprey in the River Murray, greater difficulty in navigating upstream through Lake Alexandrina in comparison to linear river reaches. </w:t>
      </w:r>
    </w:p>
    <w:p w14:paraId="25726D57" w14:textId="511AE636" w:rsidR="0020252F" w:rsidRDefault="0020252F" w:rsidP="0020252F">
      <w:pPr>
        <w:pStyle w:val="Heading2"/>
        <w:numPr>
          <w:ilvl w:val="1"/>
          <w:numId w:val="1"/>
        </w:numPr>
      </w:pPr>
      <w:bookmarkStart w:id="27" w:name="_Toc36554683"/>
      <w:r>
        <w:t xml:space="preserve">Contribution of Commonwealth </w:t>
      </w:r>
      <w:r w:rsidR="004F1EE9">
        <w:t>e</w:t>
      </w:r>
      <w:r>
        <w:t xml:space="preserve">nvironmental </w:t>
      </w:r>
      <w:r w:rsidR="004F1EE9">
        <w:t>w</w:t>
      </w:r>
      <w:r>
        <w:t>ater</w:t>
      </w:r>
      <w:bookmarkEnd w:id="27"/>
    </w:p>
    <w:p w14:paraId="31D9690A" w14:textId="3BE2CDCE" w:rsidR="0020252F" w:rsidRDefault="00E4315A" w:rsidP="00B735DD">
      <w:r>
        <w:t>In 2019, a</w:t>
      </w:r>
      <w:r w:rsidR="0020252F">
        <w:t xml:space="preserve">ll water discharged </w:t>
      </w:r>
      <w:r>
        <w:t>through</w:t>
      </w:r>
      <w:r w:rsidR="0020252F">
        <w:t xml:space="preserve"> the Murray Barrages</w:t>
      </w:r>
      <w:r>
        <w:t xml:space="preserve"> </w:t>
      </w:r>
      <w:r w:rsidR="0020252F">
        <w:t xml:space="preserve">was Commonwealth </w:t>
      </w:r>
      <w:r w:rsidR="004F1EE9">
        <w:t>e</w:t>
      </w:r>
      <w:r w:rsidR="0020252F">
        <w:t xml:space="preserve">nvironmental </w:t>
      </w:r>
      <w:r w:rsidR="004F1EE9">
        <w:t>w</w:t>
      </w:r>
      <w:r w:rsidR="0020252F">
        <w:t xml:space="preserve">ater. This included a substantial volume of water delivered in winter, largely supported by return flows from watering </w:t>
      </w:r>
      <w:r w:rsidR="004F1EE9">
        <w:t xml:space="preserve">events </w:t>
      </w:r>
      <w:r w:rsidR="0020252F">
        <w:t xml:space="preserve">in the </w:t>
      </w:r>
      <w:proofErr w:type="spellStart"/>
      <w:r w:rsidR="0020252F">
        <w:t>Goulburn</w:t>
      </w:r>
      <w:proofErr w:type="spellEnd"/>
      <w:r w:rsidR="0020252F">
        <w:t xml:space="preserve"> River</w:t>
      </w:r>
      <w:r>
        <w:t>.</w:t>
      </w:r>
      <w:r w:rsidR="0020252F">
        <w:t xml:space="preserve"> </w:t>
      </w:r>
      <w:r>
        <w:t>In winter</w:t>
      </w:r>
      <w:r>
        <w:rPr>
          <w:rFonts w:cs="Arial"/>
        </w:rPr>
        <w:t>–</w:t>
      </w:r>
      <w:r>
        <w:t xml:space="preserve">spring 2019, </w:t>
      </w:r>
      <w:r w:rsidR="0020252F">
        <w:t xml:space="preserve">Commonwealth </w:t>
      </w:r>
      <w:r w:rsidR="004F1EE9">
        <w:t>e</w:t>
      </w:r>
      <w:r w:rsidR="0020252F">
        <w:t xml:space="preserve">nvironmental </w:t>
      </w:r>
      <w:r w:rsidR="004F1EE9">
        <w:t>w</w:t>
      </w:r>
      <w:r w:rsidR="0020252F">
        <w:t>ater provid</w:t>
      </w:r>
      <w:r>
        <w:t>ed</w:t>
      </w:r>
      <w:r w:rsidR="0020252F">
        <w:t xml:space="preserve"> connectivity between freshwater, estuarine and marine environments and migration outcomes for lamprey, including: high abundances of both pouched and short-headed lamprey passing the Murray </w:t>
      </w:r>
      <w:r w:rsidR="004F1EE9">
        <w:t>B</w:t>
      </w:r>
      <w:r w:rsidR="0020252F">
        <w:t>arrages, and ultimately, migrations that continued for at least 726 and 835 km upstream, respectively.</w:t>
      </w:r>
    </w:p>
    <w:p w14:paraId="7C9F7494" w14:textId="77777777" w:rsidR="0020252F" w:rsidRDefault="0020252F" w:rsidP="0020252F">
      <w:pPr>
        <w:pStyle w:val="Heading2"/>
        <w:numPr>
          <w:ilvl w:val="1"/>
          <w:numId w:val="1"/>
        </w:numPr>
      </w:pPr>
      <w:bookmarkStart w:id="28" w:name="_Toc36554684"/>
      <w:r>
        <w:t>Future research and management</w:t>
      </w:r>
      <w:bookmarkEnd w:id="28"/>
    </w:p>
    <w:p w14:paraId="5DCEBDD3" w14:textId="06F452E3" w:rsidR="003C6439" w:rsidRDefault="002A3867" w:rsidP="00B735DD">
      <w:pPr>
        <w:rPr>
          <w:rFonts w:cs="Arial"/>
        </w:rPr>
      </w:pPr>
      <w:r>
        <w:rPr>
          <w:rFonts w:cs="Arial"/>
        </w:rPr>
        <w:t>Understanding of contemporary ecology of lamprey in the MDB has improved in recent years, particularly with regard to upstream migration. Yet many knowledge gaps remain and represent</w:t>
      </w:r>
      <w:r w:rsidR="003C6439">
        <w:rPr>
          <w:rFonts w:cs="Arial"/>
        </w:rPr>
        <w:t xml:space="preserve"> priorities for future research to</w:t>
      </w:r>
      <w:r>
        <w:rPr>
          <w:rFonts w:cs="Arial"/>
        </w:rPr>
        <w:t xml:space="preserve"> better support management, and are related to</w:t>
      </w:r>
      <w:r w:rsidR="003C6439">
        <w:rPr>
          <w:rFonts w:cs="Arial"/>
        </w:rPr>
        <w:t xml:space="preserve">: 1) spawning and the ecology of early life stages; 2) downstream migration of sub-adults (i.e. </w:t>
      </w:r>
      <w:proofErr w:type="spellStart"/>
      <w:r w:rsidR="003C6439">
        <w:rPr>
          <w:rFonts w:cs="Arial"/>
        </w:rPr>
        <w:t>macrophthalmia</w:t>
      </w:r>
      <w:proofErr w:type="spellEnd"/>
      <w:r w:rsidR="003C6439">
        <w:rPr>
          <w:rFonts w:cs="Arial"/>
        </w:rPr>
        <w:t xml:space="preserve">); 3) the ecology of the parasitic marine life phase; and 4) upstream spawning migrations. </w:t>
      </w:r>
    </w:p>
    <w:p w14:paraId="50797166" w14:textId="64FC9B2B" w:rsidR="003C6439" w:rsidRDefault="003C6439" w:rsidP="00B735DD">
      <w:pPr>
        <w:rPr>
          <w:rFonts w:cs="Arial"/>
        </w:rPr>
      </w:pPr>
      <w:r>
        <w:rPr>
          <w:rFonts w:cs="Arial"/>
        </w:rPr>
        <w:t>I</w:t>
      </w:r>
      <w:r w:rsidR="00460149">
        <w:rPr>
          <w:rFonts w:cs="Arial"/>
        </w:rPr>
        <w:t xml:space="preserve">dentifying locations </w:t>
      </w:r>
      <w:r w:rsidR="0020252F">
        <w:rPr>
          <w:rFonts w:cs="Arial"/>
        </w:rPr>
        <w:t>(i.e. streams and specific river reaches) that provide spawning and nursery habitats for pouched and short-headed lamprey</w:t>
      </w:r>
      <w:r>
        <w:rPr>
          <w:rFonts w:cs="Arial"/>
        </w:rPr>
        <w:t xml:space="preserve"> should be a focus of future investigations to support the protection and enhancement of these habitats</w:t>
      </w:r>
      <w:r w:rsidR="0020252F">
        <w:rPr>
          <w:rFonts w:cs="Arial"/>
        </w:rPr>
        <w:t>.</w:t>
      </w:r>
      <w:r>
        <w:rPr>
          <w:rFonts w:cs="Arial"/>
        </w:rPr>
        <w:t xml:space="preserve"> </w:t>
      </w:r>
      <w:r w:rsidR="0020252F">
        <w:rPr>
          <w:rFonts w:cs="Arial"/>
        </w:rPr>
        <w:t xml:space="preserve"> Previous det</w:t>
      </w:r>
      <w:r w:rsidR="00E4315A">
        <w:rPr>
          <w:rFonts w:cs="Arial"/>
        </w:rPr>
        <w:t>ection of individuals entering E</w:t>
      </w:r>
      <w:r w:rsidR="0020252F">
        <w:rPr>
          <w:rFonts w:cs="Arial"/>
        </w:rPr>
        <w:t xml:space="preserve">astern Mount Lofty Ranges tributaries (e.g. Currency Creek and the </w:t>
      </w:r>
      <w:proofErr w:type="spellStart"/>
      <w:r w:rsidR="0020252F">
        <w:rPr>
          <w:rFonts w:cs="Arial"/>
        </w:rPr>
        <w:t>Finniss</w:t>
      </w:r>
      <w:proofErr w:type="spellEnd"/>
      <w:r w:rsidR="0020252F">
        <w:rPr>
          <w:rFonts w:cs="Arial"/>
        </w:rPr>
        <w:t xml:space="preserve"> River)</w:t>
      </w:r>
      <w:r w:rsidR="00B40FFF">
        <w:rPr>
          <w:rFonts w:cs="Arial"/>
        </w:rPr>
        <w:t xml:space="preserve"> (Bice </w:t>
      </w:r>
      <w:r w:rsidR="00B40FFF">
        <w:rPr>
          <w:rFonts w:cs="Arial"/>
          <w:i/>
        </w:rPr>
        <w:lastRenderedPageBreak/>
        <w:t xml:space="preserve">et al. </w:t>
      </w:r>
      <w:r w:rsidR="00B40FFF">
        <w:rPr>
          <w:rFonts w:cs="Arial"/>
        </w:rPr>
        <w:t>2019b)</w:t>
      </w:r>
      <w:r w:rsidR="0020252F">
        <w:rPr>
          <w:rFonts w:cs="Arial"/>
        </w:rPr>
        <w:t xml:space="preserve"> and cessation of migration across multiple reaches of the River Murray suggests spawning/nursery sites may be widespread. Nonetheless, confidently identifying such sites relies on detecting </w:t>
      </w:r>
      <w:proofErr w:type="spellStart"/>
      <w:r w:rsidR="0020252F">
        <w:rPr>
          <w:rFonts w:cs="Arial"/>
        </w:rPr>
        <w:t>ammocoetes</w:t>
      </w:r>
      <w:proofErr w:type="spellEnd"/>
      <w:r w:rsidR="0020252F">
        <w:rPr>
          <w:rFonts w:cs="Arial"/>
        </w:rPr>
        <w:t xml:space="preserve">, which often requires specialised </w:t>
      </w:r>
      <w:r w:rsidR="00A94695">
        <w:rPr>
          <w:rFonts w:cs="Arial"/>
        </w:rPr>
        <w:t xml:space="preserve">sampling </w:t>
      </w:r>
      <w:r w:rsidR="0020252F">
        <w:rPr>
          <w:rFonts w:cs="Arial"/>
        </w:rPr>
        <w:t xml:space="preserve">approaches </w:t>
      </w:r>
      <w:r w:rsidR="00A94695">
        <w:rPr>
          <w:rFonts w:cs="Arial"/>
        </w:rPr>
        <w:t xml:space="preserve">due to their cryptic benthic habit </w:t>
      </w:r>
      <w:r w:rsidR="0020252F">
        <w:rPr>
          <w:rFonts w:cs="Arial"/>
          <w:noProof/>
        </w:rPr>
        <w:t xml:space="preserve">(Moser </w:t>
      </w:r>
      <w:r w:rsidR="0020252F" w:rsidRPr="00460149">
        <w:rPr>
          <w:rFonts w:cs="Arial"/>
          <w:noProof/>
        </w:rPr>
        <w:t>et al.</w:t>
      </w:r>
      <w:r w:rsidR="0020252F">
        <w:rPr>
          <w:rFonts w:cs="Arial"/>
          <w:noProof/>
        </w:rPr>
        <w:t xml:space="preserve"> 2007)</w:t>
      </w:r>
      <w:r w:rsidR="0020252F">
        <w:rPr>
          <w:rFonts w:cs="Arial"/>
        </w:rPr>
        <w:t xml:space="preserve">. We suggest that a combined methodology of active </w:t>
      </w:r>
      <w:r w:rsidR="002A3867">
        <w:rPr>
          <w:rFonts w:cs="Arial"/>
        </w:rPr>
        <w:t xml:space="preserve">(e.g. electrofishing) </w:t>
      </w:r>
      <w:r w:rsidR="0020252F">
        <w:rPr>
          <w:rFonts w:cs="Arial"/>
        </w:rPr>
        <w:t xml:space="preserve">and passive </w:t>
      </w:r>
      <w:r w:rsidR="002A3867">
        <w:rPr>
          <w:rFonts w:cs="Arial"/>
        </w:rPr>
        <w:t xml:space="preserve">(e.g. environmental DNA) </w:t>
      </w:r>
      <w:r w:rsidR="0020252F">
        <w:rPr>
          <w:rFonts w:cs="Arial"/>
        </w:rPr>
        <w:t>sampling would be appropriate to assess nursery habitat distribution in the southern MDB, particularly targeting tributary streams and tailwaters of weirs in reaches of the lower and mid River Murray.</w:t>
      </w:r>
      <w:r w:rsidR="000D4BBA">
        <w:rPr>
          <w:rFonts w:cs="Arial"/>
        </w:rPr>
        <w:t xml:space="preserve"> </w:t>
      </w:r>
    </w:p>
    <w:p w14:paraId="7202D2E8" w14:textId="2A0A6169" w:rsidR="003C6439" w:rsidRDefault="00B56FA9" w:rsidP="00B735DD">
      <w:pPr>
        <w:rPr>
          <w:rFonts w:cs="Arial"/>
        </w:rPr>
      </w:pPr>
      <w:r>
        <w:rPr>
          <w:rFonts w:cs="Arial"/>
        </w:rPr>
        <w:t>For pouched lamprey and short-headed lamprey, k</w:t>
      </w:r>
      <w:r w:rsidR="00477BEB">
        <w:rPr>
          <w:rFonts w:cs="Arial"/>
        </w:rPr>
        <w:t xml:space="preserve">nowledge of downstream migration of recently metamorphosed </w:t>
      </w:r>
      <w:proofErr w:type="spellStart"/>
      <w:r w:rsidR="00477BEB">
        <w:rPr>
          <w:rFonts w:cs="Arial"/>
        </w:rPr>
        <w:t>macrophthalmia</w:t>
      </w:r>
      <w:proofErr w:type="spellEnd"/>
      <w:r w:rsidR="00477BEB">
        <w:rPr>
          <w:rFonts w:cs="Arial"/>
        </w:rPr>
        <w:t>, as well as the general ecology of the parasitic marine phase, is limited</w:t>
      </w:r>
      <w:r w:rsidR="00B43E5B">
        <w:rPr>
          <w:rFonts w:cs="Arial"/>
        </w:rPr>
        <w:t xml:space="preserve">. In New Zealand and southwestern Australia, downstream migration </w:t>
      </w:r>
      <w:r>
        <w:rPr>
          <w:rFonts w:cs="Arial"/>
        </w:rPr>
        <w:t xml:space="preserve">of pouched lamprey </w:t>
      </w:r>
      <w:proofErr w:type="spellStart"/>
      <w:r>
        <w:rPr>
          <w:rFonts w:cs="Arial"/>
        </w:rPr>
        <w:t>macrophthalmia</w:t>
      </w:r>
      <w:proofErr w:type="spellEnd"/>
      <w:r>
        <w:rPr>
          <w:rFonts w:cs="Arial"/>
        </w:rPr>
        <w:t xml:space="preserve"> </w:t>
      </w:r>
      <w:r w:rsidR="00B43E5B">
        <w:rPr>
          <w:rFonts w:cs="Arial"/>
        </w:rPr>
        <w:t>is sugge</w:t>
      </w:r>
      <w:r>
        <w:rPr>
          <w:rFonts w:cs="Arial"/>
        </w:rPr>
        <w:t>s</w:t>
      </w:r>
      <w:r w:rsidR="00B43E5B">
        <w:rPr>
          <w:rFonts w:cs="Arial"/>
        </w:rPr>
        <w:t>ted to occur in winter and spring, respectively (</w:t>
      </w:r>
      <w:proofErr w:type="spellStart"/>
      <w:r>
        <w:rPr>
          <w:rFonts w:cs="Arial"/>
        </w:rPr>
        <w:t>Empson</w:t>
      </w:r>
      <w:proofErr w:type="spellEnd"/>
      <w:r>
        <w:rPr>
          <w:rFonts w:cs="Arial"/>
        </w:rPr>
        <w:t xml:space="preserve"> and Meredith 1987; Potter 1980</w:t>
      </w:r>
      <w:r w:rsidR="00B43E5B">
        <w:rPr>
          <w:rFonts w:cs="Arial"/>
        </w:rPr>
        <w:t>)</w:t>
      </w:r>
      <w:r>
        <w:rPr>
          <w:rFonts w:cs="Arial"/>
        </w:rPr>
        <w:t>, but there is no data from southeastern Australia for this species, or short-headed lamprey</w:t>
      </w:r>
      <w:r w:rsidR="00B43E5B">
        <w:rPr>
          <w:rFonts w:cs="Arial"/>
        </w:rPr>
        <w:t xml:space="preserve">. Importantly, these migrations may be threatened by physical (e.g. closed barrages) and hydraulic </w:t>
      </w:r>
      <w:r w:rsidR="00B40FFF">
        <w:rPr>
          <w:rFonts w:cs="Arial"/>
        </w:rPr>
        <w:t xml:space="preserve">barriers </w:t>
      </w:r>
      <w:r w:rsidR="00B43E5B">
        <w:rPr>
          <w:rFonts w:cs="Arial"/>
        </w:rPr>
        <w:t>(</w:t>
      </w:r>
      <w:r w:rsidR="00B40FFF">
        <w:rPr>
          <w:rFonts w:cs="Arial"/>
        </w:rPr>
        <w:t xml:space="preserve">e.g. </w:t>
      </w:r>
      <w:r w:rsidR="00B43E5B">
        <w:rPr>
          <w:rFonts w:cs="Arial"/>
        </w:rPr>
        <w:t>altered hydraulics in weir</w:t>
      </w:r>
      <w:r w:rsidR="00B40FFF">
        <w:rPr>
          <w:rFonts w:cs="Arial"/>
        </w:rPr>
        <w:t xml:space="preserve"> </w:t>
      </w:r>
      <w:r w:rsidR="00B43E5B">
        <w:rPr>
          <w:rFonts w:cs="Arial"/>
        </w:rPr>
        <w:t>pools)</w:t>
      </w:r>
      <w:r>
        <w:rPr>
          <w:rFonts w:cs="Arial"/>
        </w:rPr>
        <w:t xml:space="preserve"> (Maitland </w:t>
      </w:r>
      <w:r>
        <w:rPr>
          <w:rFonts w:cs="Arial"/>
          <w:i/>
        </w:rPr>
        <w:t xml:space="preserve">et al. </w:t>
      </w:r>
      <w:r>
        <w:rPr>
          <w:rFonts w:cs="Arial"/>
        </w:rPr>
        <w:t>2015)</w:t>
      </w:r>
      <w:r w:rsidR="00B40FFF">
        <w:rPr>
          <w:rFonts w:cs="Arial"/>
        </w:rPr>
        <w:t>, which are prevalent in the lower River Murray</w:t>
      </w:r>
      <w:r w:rsidR="00B43E5B">
        <w:rPr>
          <w:rFonts w:cs="Arial"/>
        </w:rPr>
        <w:t>. Very little is known regarding the ecology of the marine</w:t>
      </w:r>
      <w:r>
        <w:rPr>
          <w:rFonts w:cs="Arial"/>
        </w:rPr>
        <w:t xml:space="preserve"> parasitic life phases of pouched lamprey </w:t>
      </w:r>
      <w:r w:rsidR="00B40FFF">
        <w:rPr>
          <w:rFonts w:cs="Arial"/>
        </w:rPr>
        <w:t>or</w:t>
      </w:r>
      <w:r>
        <w:rPr>
          <w:rFonts w:cs="Arial"/>
        </w:rPr>
        <w:t xml:space="preserve"> short-headed lamprey across their potential ranges, including general distribution, movements, feeding ecology and threats (James </w:t>
      </w:r>
      <w:r>
        <w:rPr>
          <w:rFonts w:cs="Arial"/>
          <w:i/>
        </w:rPr>
        <w:t xml:space="preserve">et al. </w:t>
      </w:r>
      <w:r>
        <w:rPr>
          <w:rFonts w:cs="Arial"/>
        </w:rPr>
        <w:t xml:space="preserve">2008). </w:t>
      </w:r>
      <w:r w:rsidR="00B43E5B">
        <w:rPr>
          <w:rFonts w:cs="Arial"/>
        </w:rPr>
        <w:t xml:space="preserve">   </w:t>
      </w:r>
      <w:r w:rsidR="00477BEB">
        <w:rPr>
          <w:rFonts w:cs="Arial"/>
        </w:rPr>
        <w:t xml:space="preserve"> </w:t>
      </w:r>
    </w:p>
    <w:p w14:paraId="1680A0F1" w14:textId="5D6307A5" w:rsidR="0020252F" w:rsidRDefault="0020252F" w:rsidP="00B735DD">
      <w:r w:rsidRPr="00CF27EA">
        <w:rPr>
          <w:rFonts w:cs="Arial"/>
        </w:rPr>
        <w:t xml:space="preserve">Data collected in this and allied monitoring projects </w:t>
      </w:r>
      <w:r>
        <w:rPr>
          <w:rFonts w:cs="Arial"/>
          <w:noProof/>
        </w:rPr>
        <w:t>(e.g. Bice et al. 2016, Bice and Zampatti 2019, Bice et al. 2019b)</w:t>
      </w:r>
      <w:r w:rsidRPr="00CF27EA">
        <w:rPr>
          <w:rFonts w:cs="Arial"/>
        </w:rPr>
        <w:t xml:space="preserve"> </w:t>
      </w:r>
      <w:r w:rsidR="002A3867">
        <w:rPr>
          <w:rFonts w:cs="Arial"/>
        </w:rPr>
        <w:t>have improved understanding of upstream migration of pouched lamprey, and generated the first ever tracking data on the upstream migration of short-headed lamprey. This understanding may</w:t>
      </w:r>
      <w:r w:rsidRPr="00CF27EA">
        <w:rPr>
          <w:rFonts w:cs="Arial"/>
        </w:rPr>
        <w:t xml:space="preserve"> inform </w:t>
      </w:r>
      <w:r>
        <w:rPr>
          <w:rFonts w:cs="Arial"/>
        </w:rPr>
        <w:t>environmental water delivery</w:t>
      </w:r>
      <w:r w:rsidRPr="00CF27EA">
        <w:rPr>
          <w:rFonts w:cs="Arial"/>
        </w:rPr>
        <w:t xml:space="preserve"> and structure management in the southern MDB</w:t>
      </w:r>
      <w:r w:rsidR="00E4315A">
        <w:rPr>
          <w:rFonts w:cs="Arial"/>
        </w:rPr>
        <w:t>,</w:t>
      </w:r>
      <w:r>
        <w:rPr>
          <w:rFonts w:cs="Arial"/>
        </w:rPr>
        <w:t xml:space="preserve"> with the objective of promoting </w:t>
      </w:r>
      <w:r w:rsidR="002A3867">
        <w:rPr>
          <w:rFonts w:cs="Arial"/>
        </w:rPr>
        <w:t xml:space="preserve">spawning </w:t>
      </w:r>
      <w:r>
        <w:rPr>
          <w:rFonts w:cs="Arial"/>
        </w:rPr>
        <w:t>migration outcomes for lamprey</w:t>
      </w:r>
      <w:r w:rsidR="002A3867">
        <w:rPr>
          <w:rFonts w:cs="Arial"/>
        </w:rPr>
        <w:t>,</w:t>
      </w:r>
      <w:r w:rsidR="00E4315A">
        <w:rPr>
          <w:rFonts w:cs="Arial"/>
        </w:rPr>
        <w:t xml:space="preserve"> and </w:t>
      </w:r>
      <w:r w:rsidR="002A3867">
        <w:rPr>
          <w:rFonts w:cs="Arial"/>
        </w:rPr>
        <w:t xml:space="preserve">the migrations of </w:t>
      </w:r>
      <w:r w:rsidR="00E4315A">
        <w:rPr>
          <w:rFonts w:cs="Arial"/>
        </w:rPr>
        <w:t xml:space="preserve">other diadromous species (e.g. congolli, </w:t>
      </w:r>
      <w:r w:rsidR="00E4315A">
        <w:rPr>
          <w:rFonts w:cs="Arial"/>
          <w:i/>
        </w:rPr>
        <w:t>Pseudaphritis urvillii</w:t>
      </w:r>
      <w:r w:rsidR="00E4315A">
        <w:rPr>
          <w:rFonts w:cs="Arial"/>
        </w:rPr>
        <w:t>)</w:t>
      </w:r>
      <w:r w:rsidRPr="00CF27EA">
        <w:rPr>
          <w:rFonts w:cs="Arial"/>
        </w:rPr>
        <w:t xml:space="preserve">. Of importance is attraction of lamprey to the Murray Mouth and subsequent river ingress. The reliance of lamprey on </w:t>
      </w:r>
      <w:proofErr w:type="spellStart"/>
      <w:r w:rsidRPr="00CF27EA">
        <w:rPr>
          <w:rFonts w:cs="Arial"/>
        </w:rPr>
        <w:t>physico</w:t>
      </w:r>
      <w:proofErr w:type="spellEnd"/>
      <w:r w:rsidRPr="00CF27EA">
        <w:rPr>
          <w:rFonts w:cs="Arial"/>
        </w:rPr>
        <w:t xml:space="preserve">-chemical and olfactory cues to stimulate </w:t>
      </w:r>
      <w:r>
        <w:rPr>
          <w:rFonts w:cs="Arial"/>
        </w:rPr>
        <w:t>marine–freshwater transition, and connectivity between estuarine and freshwater environments to facilitate migrations, highlights the importance of</w:t>
      </w:r>
      <w:r w:rsidRPr="00CF27EA">
        <w:rPr>
          <w:rFonts w:cs="Arial"/>
        </w:rPr>
        <w:t xml:space="preserve"> maintaining discharge from the Murray Barrages </w:t>
      </w:r>
      <w:r>
        <w:rPr>
          <w:rFonts w:cs="Arial"/>
        </w:rPr>
        <w:t>during winter–spring. C</w:t>
      </w:r>
      <w:r w:rsidRPr="00CF27EA">
        <w:rPr>
          <w:rFonts w:cs="Arial"/>
        </w:rPr>
        <w:t xml:space="preserve">onspicuous </w:t>
      </w:r>
      <w:r w:rsidR="000A1739">
        <w:rPr>
          <w:rFonts w:cs="Arial"/>
        </w:rPr>
        <w:t xml:space="preserve">barrage </w:t>
      </w:r>
      <w:r w:rsidRPr="00CF27EA">
        <w:rPr>
          <w:rFonts w:cs="Arial"/>
        </w:rPr>
        <w:t>flow</w:t>
      </w:r>
      <w:r w:rsidR="000A1739">
        <w:rPr>
          <w:rFonts w:cs="Arial"/>
        </w:rPr>
        <w:t>s,</w:t>
      </w:r>
      <w:r>
        <w:rPr>
          <w:rFonts w:cs="Arial"/>
        </w:rPr>
        <w:t xml:space="preserve"> supported</w:t>
      </w:r>
      <w:r w:rsidRPr="00CF27EA">
        <w:rPr>
          <w:rFonts w:cs="Arial"/>
        </w:rPr>
        <w:t xml:space="preserve"> by </w:t>
      </w:r>
      <w:r>
        <w:rPr>
          <w:rFonts w:cs="Arial"/>
        </w:rPr>
        <w:t xml:space="preserve">Commonwealth </w:t>
      </w:r>
      <w:r w:rsidR="00A94695">
        <w:rPr>
          <w:rFonts w:cs="Arial"/>
        </w:rPr>
        <w:t>e</w:t>
      </w:r>
      <w:r>
        <w:rPr>
          <w:rFonts w:cs="Arial"/>
        </w:rPr>
        <w:t xml:space="preserve">nvironmental </w:t>
      </w:r>
      <w:r w:rsidR="00A94695">
        <w:rPr>
          <w:rFonts w:cs="Arial"/>
        </w:rPr>
        <w:t>w</w:t>
      </w:r>
      <w:r w:rsidRPr="00CF27EA">
        <w:rPr>
          <w:rFonts w:cs="Arial"/>
        </w:rPr>
        <w:t>ater</w:t>
      </w:r>
      <w:r w:rsidR="000A1739">
        <w:rPr>
          <w:rFonts w:cs="Arial"/>
        </w:rPr>
        <w:t>,</w:t>
      </w:r>
      <w:r w:rsidRPr="00CF27EA">
        <w:rPr>
          <w:rFonts w:cs="Arial"/>
        </w:rPr>
        <w:t xml:space="preserve"> </w:t>
      </w:r>
      <w:r>
        <w:rPr>
          <w:rFonts w:cs="Arial"/>
        </w:rPr>
        <w:t>have been delivered</w:t>
      </w:r>
      <w:r w:rsidRPr="00CF27EA">
        <w:rPr>
          <w:rFonts w:cs="Arial"/>
        </w:rPr>
        <w:t xml:space="preserve"> </w:t>
      </w:r>
      <w:r>
        <w:rPr>
          <w:rFonts w:cs="Arial"/>
        </w:rPr>
        <w:t>during</w:t>
      </w:r>
      <w:r w:rsidRPr="00CF27EA">
        <w:rPr>
          <w:rFonts w:cs="Arial"/>
        </w:rPr>
        <w:t xml:space="preserve"> winter </w:t>
      </w:r>
      <w:r>
        <w:rPr>
          <w:rFonts w:cs="Arial"/>
        </w:rPr>
        <w:t>in the past five years</w:t>
      </w:r>
      <w:r w:rsidR="000A1739">
        <w:rPr>
          <w:rFonts w:cs="Arial"/>
        </w:rPr>
        <w:t>,</w:t>
      </w:r>
      <w:r>
        <w:rPr>
          <w:rFonts w:cs="Arial"/>
        </w:rPr>
        <w:t xml:space="preserve"> </w:t>
      </w:r>
      <w:r w:rsidRPr="00CF27EA">
        <w:rPr>
          <w:rFonts w:cs="Arial"/>
        </w:rPr>
        <w:t xml:space="preserve">and pouched lamprey </w:t>
      </w:r>
      <w:r>
        <w:rPr>
          <w:rFonts w:cs="Arial"/>
        </w:rPr>
        <w:t>have been</w:t>
      </w:r>
      <w:r w:rsidRPr="00CF27EA">
        <w:rPr>
          <w:rFonts w:cs="Arial"/>
        </w:rPr>
        <w:t xml:space="preserve"> sampled in association with </w:t>
      </w:r>
      <w:r>
        <w:rPr>
          <w:rFonts w:cs="Arial"/>
        </w:rPr>
        <w:t xml:space="preserve">each of </w:t>
      </w:r>
      <w:r w:rsidRPr="00CF27EA">
        <w:rPr>
          <w:rFonts w:cs="Arial"/>
        </w:rPr>
        <w:t>these events</w:t>
      </w:r>
      <w:r>
        <w:rPr>
          <w:rFonts w:cs="Arial"/>
        </w:rPr>
        <w:t>, albeit in variable abundance</w:t>
      </w:r>
      <w:r w:rsidRPr="00CF27EA">
        <w:rPr>
          <w:rFonts w:cs="Arial"/>
        </w:rPr>
        <w:t>.</w:t>
      </w:r>
      <w:r>
        <w:rPr>
          <w:rFonts w:cs="Arial"/>
        </w:rPr>
        <w:t xml:space="preserve"> Greatest abundance</w:t>
      </w:r>
      <w:r w:rsidR="00B40FFF">
        <w:rPr>
          <w:rFonts w:cs="Arial"/>
        </w:rPr>
        <w:t>s</w:t>
      </w:r>
      <w:r>
        <w:rPr>
          <w:rFonts w:cs="Arial"/>
        </w:rPr>
        <w:t xml:space="preserve"> ha</w:t>
      </w:r>
      <w:r w:rsidR="00E1065D">
        <w:rPr>
          <w:rFonts w:cs="Arial"/>
        </w:rPr>
        <w:t>ve</w:t>
      </w:r>
      <w:r>
        <w:rPr>
          <w:rFonts w:cs="Arial"/>
        </w:rPr>
        <w:t xml:space="preserve"> </w:t>
      </w:r>
      <w:r w:rsidR="00E1065D">
        <w:rPr>
          <w:rFonts w:cs="Arial"/>
        </w:rPr>
        <w:t>been detected</w:t>
      </w:r>
      <w:r>
        <w:rPr>
          <w:rFonts w:cs="Arial"/>
        </w:rPr>
        <w:t xml:space="preserve"> during years of moderate discharge (mean daily discharge ≥2</w:t>
      </w:r>
      <w:r w:rsidR="006B6C8B">
        <w:rPr>
          <w:rFonts w:cs="Arial"/>
        </w:rPr>
        <w:t>,</w:t>
      </w:r>
      <w:r>
        <w:rPr>
          <w:rFonts w:cs="Arial"/>
        </w:rPr>
        <w:t xml:space="preserve">500 </w:t>
      </w:r>
      <w:r>
        <w:t>ML.d</w:t>
      </w:r>
      <w:r>
        <w:rPr>
          <w:vertAlign w:val="superscript"/>
        </w:rPr>
        <w:t>-1</w:t>
      </w:r>
      <w:r>
        <w:t>) with short periods of peak discharge of ~15,000 ML.d</w:t>
      </w:r>
      <w:r>
        <w:rPr>
          <w:vertAlign w:val="superscript"/>
        </w:rPr>
        <w:t>-1</w:t>
      </w:r>
      <w:r>
        <w:t xml:space="preserve">. </w:t>
      </w:r>
      <w:r w:rsidR="00460149">
        <w:t xml:space="preserve">Abundances during years of high flow remain </w:t>
      </w:r>
      <w:r w:rsidR="00460149">
        <w:lastRenderedPageBreak/>
        <w:t>unquantified due to difficulty of sampling. Nonetheless</w:t>
      </w:r>
      <w:r>
        <w:t xml:space="preserve">, the hydrographs delivered in 2015, 2017 and 2019 likely represent appropriate templates for future environmental water planning. </w:t>
      </w:r>
      <w:r w:rsidR="00AB7998">
        <w:t>P</w:t>
      </w:r>
      <w:r>
        <w:t xml:space="preserve">ouched lamprey were detected during lower discharge in 2018; as such lamprey migration remains an objective of the delivery of similar </w:t>
      </w:r>
      <w:r w:rsidR="00AB7998">
        <w:t xml:space="preserve">low </w:t>
      </w:r>
      <w:r>
        <w:t xml:space="preserve">volumes, but expected outcomes are likely to be reduced in magnitude. </w:t>
      </w:r>
      <w:r w:rsidRPr="00CF27EA">
        <w:rPr>
          <w:rFonts w:cs="Arial"/>
        </w:rPr>
        <w:t xml:space="preserve"> </w:t>
      </w:r>
    </w:p>
    <w:p w14:paraId="5FAB058E" w14:textId="4958A2AE" w:rsidR="0020252F" w:rsidRDefault="0020252F" w:rsidP="00B735DD">
      <w:pPr>
        <w:rPr>
          <w:rFonts w:cs="Arial"/>
        </w:rPr>
      </w:pPr>
      <w:r>
        <w:rPr>
          <w:rFonts w:cs="Arial"/>
        </w:rPr>
        <w:t xml:space="preserve">Regarding discharge from individual barrages, lamprey appear to primarily </w:t>
      </w:r>
      <w:r w:rsidR="00E4315A">
        <w:rPr>
          <w:rFonts w:cs="Arial"/>
        </w:rPr>
        <w:t xml:space="preserve">enter freshwater </w:t>
      </w:r>
      <w:r>
        <w:rPr>
          <w:rFonts w:cs="Arial"/>
        </w:rPr>
        <w:t xml:space="preserve">via Goolwa, Mundoo and Tauwitchere barrages. Releases from these three barrages typically comprise </w:t>
      </w:r>
      <w:r w:rsidR="00E4315A">
        <w:rPr>
          <w:rFonts w:cs="Arial"/>
        </w:rPr>
        <w:t>most of the</w:t>
      </w:r>
      <w:r>
        <w:rPr>
          <w:rFonts w:cs="Arial"/>
        </w:rPr>
        <w:t xml:space="preserve"> overall </w:t>
      </w:r>
      <w:r w:rsidR="00E4315A">
        <w:rPr>
          <w:rFonts w:cs="Arial"/>
        </w:rPr>
        <w:t xml:space="preserve">barrage </w:t>
      </w:r>
      <w:r>
        <w:rPr>
          <w:rFonts w:cs="Arial"/>
        </w:rPr>
        <w:t>discharge. In 2019, abundance of upstream migrating lamprey was greatest at Goolwa and Mundoo barrages, despite greater volumes of water being discharged from Tauwitchere Barrage. This may be a result of sampling bias (passage through the Tauwitchere trapezoidal fishway was not monitored), but also the closer proximity to the Murray Mouth and greater relative influence of discharge on salinity downstream of Goolwa and Mundoo than Tauwitchere</w:t>
      </w:r>
      <w:r w:rsidR="00E4315A">
        <w:rPr>
          <w:rFonts w:cs="Arial"/>
        </w:rPr>
        <w:t xml:space="preserve"> barrage</w:t>
      </w:r>
      <w:r>
        <w:rPr>
          <w:rFonts w:cs="Arial"/>
        </w:rPr>
        <w:t xml:space="preserve">. </w:t>
      </w:r>
      <w:r w:rsidR="00E4315A">
        <w:rPr>
          <w:rFonts w:cs="Arial"/>
        </w:rPr>
        <w:t>To support this assertion, however, a</w:t>
      </w:r>
      <w:r>
        <w:rPr>
          <w:rFonts w:cs="Arial"/>
        </w:rPr>
        <w:t xml:space="preserve">ssessment of migration through the Tauwitchere trapezoidal fishway, and the Goolwa small vertical-slot fishway are key priorities for monitoring in coming winter–spring seasons. </w:t>
      </w:r>
    </w:p>
    <w:p w14:paraId="3F0107C8" w14:textId="61A967D5" w:rsidR="0020252F" w:rsidRDefault="0020252F" w:rsidP="00B735DD">
      <w:pPr>
        <w:rPr>
          <w:rFonts w:cs="Arial"/>
        </w:rPr>
      </w:pPr>
      <w:r>
        <w:rPr>
          <w:rFonts w:cs="Arial"/>
        </w:rPr>
        <w:t xml:space="preserve">For both pouched and short-headed lamprey, the use of olfaction to detect cues from conspecifics (e.g. larval pheromones) and guide migration </w:t>
      </w:r>
      <w:r>
        <w:rPr>
          <w:rFonts w:cs="Arial"/>
          <w:noProof/>
        </w:rPr>
        <w:t>(see Bett and Hinch 2016)</w:t>
      </w:r>
      <w:r>
        <w:rPr>
          <w:rFonts w:cs="Arial"/>
        </w:rPr>
        <w:t xml:space="preserve"> warrants further investigation, particularly in regard to the source and longitudinal integrity of riverine flows. Riverine ingress is likely influenced by </w:t>
      </w:r>
      <w:r w:rsidR="00970E3E">
        <w:rPr>
          <w:rFonts w:cs="Arial"/>
        </w:rPr>
        <w:t xml:space="preserve">conspecific </w:t>
      </w:r>
      <w:r>
        <w:rPr>
          <w:rFonts w:cs="Arial"/>
        </w:rPr>
        <w:t xml:space="preserve">pheromones in outflowing water together with salinity </w:t>
      </w:r>
      <w:r>
        <w:rPr>
          <w:rFonts w:cs="Arial"/>
          <w:noProof/>
        </w:rPr>
        <w:t xml:space="preserve">(Meckley </w:t>
      </w:r>
      <w:r w:rsidRPr="00AB7998">
        <w:rPr>
          <w:rFonts w:cs="Arial"/>
          <w:noProof/>
        </w:rPr>
        <w:t>et al.</w:t>
      </w:r>
      <w:r>
        <w:rPr>
          <w:rFonts w:cs="Arial"/>
          <w:noProof/>
        </w:rPr>
        <w:t xml:space="preserve"> 2014)</w:t>
      </w:r>
      <w:r>
        <w:rPr>
          <w:rFonts w:cs="Arial"/>
        </w:rPr>
        <w:t xml:space="preserve">, but the ultimate extent of riverine migration may also be influenced by discharge and pheromones </w:t>
      </w:r>
      <w:r>
        <w:rPr>
          <w:rFonts w:cs="Arial"/>
          <w:noProof/>
        </w:rPr>
        <w:t xml:space="preserve">(Moser </w:t>
      </w:r>
      <w:r w:rsidRPr="00AB7998">
        <w:rPr>
          <w:rFonts w:cs="Arial"/>
          <w:noProof/>
        </w:rPr>
        <w:t>et al.</w:t>
      </w:r>
      <w:r>
        <w:rPr>
          <w:rFonts w:cs="Arial"/>
          <w:noProof/>
        </w:rPr>
        <w:t xml:space="preserve"> 2015)</w:t>
      </w:r>
      <w:r>
        <w:rPr>
          <w:rFonts w:cs="Arial"/>
        </w:rPr>
        <w:t xml:space="preserve">. As such, overall river discharge and tributary contributions, as well as densities of </w:t>
      </w:r>
      <w:proofErr w:type="spellStart"/>
      <w:r>
        <w:rPr>
          <w:rFonts w:cs="Arial"/>
        </w:rPr>
        <w:t>ammocoetes</w:t>
      </w:r>
      <w:proofErr w:type="spellEnd"/>
      <w:r>
        <w:rPr>
          <w:rFonts w:cs="Arial"/>
        </w:rPr>
        <w:t xml:space="preserve"> in different localities may influence </w:t>
      </w:r>
      <w:r w:rsidR="00970E3E">
        <w:rPr>
          <w:rFonts w:cs="Arial"/>
        </w:rPr>
        <w:t xml:space="preserve">lamprey </w:t>
      </w:r>
      <w:r>
        <w:rPr>
          <w:rFonts w:cs="Arial"/>
        </w:rPr>
        <w:t xml:space="preserve">migratory behaviour. In the context of the River Murray, discharge from </w:t>
      </w:r>
      <w:r w:rsidR="00CF210C">
        <w:rPr>
          <w:rFonts w:cs="Arial"/>
        </w:rPr>
        <w:t xml:space="preserve">Eastern </w:t>
      </w:r>
      <w:r>
        <w:rPr>
          <w:rFonts w:cs="Arial"/>
        </w:rPr>
        <w:t xml:space="preserve">Mount Lofty </w:t>
      </w:r>
      <w:r w:rsidR="00CF210C">
        <w:rPr>
          <w:rFonts w:cs="Arial"/>
        </w:rPr>
        <w:t xml:space="preserve">Ranges </w:t>
      </w:r>
      <w:r>
        <w:rPr>
          <w:rFonts w:cs="Arial"/>
        </w:rPr>
        <w:t xml:space="preserve">tributaries due to local rainfall, or from upstream tributaries due to dam releases (e.g. the </w:t>
      </w:r>
      <w:proofErr w:type="spellStart"/>
      <w:r>
        <w:rPr>
          <w:rFonts w:cs="Arial"/>
        </w:rPr>
        <w:t>Goulburn</w:t>
      </w:r>
      <w:proofErr w:type="spellEnd"/>
      <w:r>
        <w:rPr>
          <w:rFonts w:cs="Arial"/>
        </w:rPr>
        <w:t xml:space="preserve"> River), and re-regulation of flow through Lake Victoria, may all influence behaviour, migratory extent, and ultimately population dynamics. However, improved knowledge of the influence of flow on migration and population dynamics is first reliant on </w:t>
      </w:r>
      <w:r w:rsidR="00AB7998">
        <w:rPr>
          <w:rFonts w:cs="Arial"/>
        </w:rPr>
        <w:t>identifying</w:t>
      </w:r>
      <w:r w:rsidR="00970E3E">
        <w:rPr>
          <w:rFonts w:cs="Arial"/>
        </w:rPr>
        <w:t xml:space="preserve"> </w:t>
      </w:r>
      <w:r>
        <w:rPr>
          <w:rFonts w:cs="Arial"/>
        </w:rPr>
        <w:t xml:space="preserve">spawning and nursery locations. </w:t>
      </w:r>
    </w:p>
    <w:p w14:paraId="25944C6A" w14:textId="77777777" w:rsidR="0020252F" w:rsidRPr="0094579A" w:rsidRDefault="0020252F" w:rsidP="0020252F">
      <w:pPr>
        <w:pStyle w:val="Heading1"/>
        <w:numPr>
          <w:ilvl w:val="0"/>
          <w:numId w:val="1"/>
        </w:numPr>
        <w:rPr>
          <w:sz w:val="24"/>
          <w:szCs w:val="24"/>
        </w:rPr>
      </w:pPr>
      <w:bookmarkStart w:id="29" w:name="_Toc36554685"/>
      <w:r w:rsidRPr="0094579A">
        <w:rPr>
          <w:sz w:val="24"/>
          <w:szCs w:val="24"/>
        </w:rPr>
        <w:lastRenderedPageBreak/>
        <w:t>Conclusion</w:t>
      </w:r>
      <w:bookmarkEnd w:id="29"/>
    </w:p>
    <w:p w14:paraId="4544404B" w14:textId="590A22DD" w:rsidR="0020252F" w:rsidRPr="001766DA" w:rsidRDefault="0020252F" w:rsidP="00B735DD">
      <w:r>
        <w:t xml:space="preserve">This project has collected </w:t>
      </w:r>
      <w:r w:rsidR="002A3867">
        <w:t xml:space="preserve">essential </w:t>
      </w:r>
      <w:r>
        <w:t xml:space="preserve">data to </w:t>
      </w:r>
      <w:r w:rsidR="00970E3E">
        <w:t xml:space="preserve">evaluate </w:t>
      </w:r>
      <w:r>
        <w:t xml:space="preserve">the contribution of Commonwealth </w:t>
      </w:r>
      <w:r w:rsidR="00970E3E">
        <w:t>e</w:t>
      </w:r>
      <w:r>
        <w:t xml:space="preserve">nvironmental </w:t>
      </w:r>
      <w:r w:rsidR="00970E3E">
        <w:t>w</w:t>
      </w:r>
      <w:r>
        <w:t>ater to lamprey migration at the Murray Barrages. It has also contributed to general understanding of upstream spawning migrations of pouched and short-headed lamprey in the River Murray</w:t>
      </w:r>
      <w:r>
        <w:rPr>
          <w:rFonts w:cs="Arial"/>
        </w:rPr>
        <w:t xml:space="preserve">. Migrations of both species occur over a defined period, may be long-distance (100s </w:t>
      </w:r>
      <w:r w:rsidR="00CF210C">
        <w:rPr>
          <w:rFonts w:cs="Arial"/>
        </w:rPr>
        <w:t xml:space="preserve">of </w:t>
      </w:r>
      <w:r>
        <w:rPr>
          <w:rFonts w:cs="Arial"/>
        </w:rPr>
        <w:t xml:space="preserve">km) and rapid, and are aided by </w:t>
      </w:r>
      <w:r w:rsidR="00094B56">
        <w:rPr>
          <w:rFonts w:cs="Arial"/>
        </w:rPr>
        <w:t xml:space="preserve">barrage and fishway </w:t>
      </w:r>
      <w:r w:rsidR="00AB7998">
        <w:rPr>
          <w:rFonts w:cs="Arial"/>
        </w:rPr>
        <w:t>discharge</w:t>
      </w:r>
      <w:r>
        <w:rPr>
          <w:rFonts w:cs="Arial"/>
        </w:rPr>
        <w:t xml:space="preserve">. Importantly, </w:t>
      </w:r>
      <w:r w:rsidR="0031603F">
        <w:rPr>
          <w:rFonts w:cs="Arial"/>
        </w:rPr>
        <w:t xml:space="preserve">all water discharged from the barrages </w:t>
      </w:r>
      <w:r>
        <w:rPr>
          <w:rFonts w:cs="Arial"/>
        </w:rPr>
        <w:t>in 2019</w:t>
      </w:r>
      <w:r w:rsidR="0031603F">
        <w:rPr>
          <w:rFonts w:cs="Arial"/>
        </w:rPr>
        <w:t xml:space="preserve"> was</w:t>
      </w:r>
      <w:r>
        <w:rPr>
          <w:rFonts w:cs="Arial"/>
        </w:rPr>
        <w:t xml:space="preserve"> Commonwealth </w:t>
      </w:r>
      <w:r w:rsidR="00C9749D">
        <w:rPr>
          <w:rFonts w:cs="Arial"/>
        </w:rPr>
        <w:t>e</w:t>
      </w:r>
      <w:r>
        <w:rPr>
          <w:rFonts w:cs="Arial"/>
        </w:rPr>
        <w:t xml:space="preserve">nvironmental </w:t>
      </w:r>
      <w:r w:rsidR="00C9749D">
        <w:rPr>
          <w:rFonts w:cs="Arial"/>
        </w:rPr>
        <w:t>w</w:t>
      </w:r>
      <w:r>
        <w:rPr>
          <w:rFonts w:cs="Arial"/>
        </w:rPr>
        <w:t>ater</w:t>
      </w:r>
      <w:r w:rsidR="0031603F">
        <w:rPr>
          <w:rFonts w:cs="Arial"/>
        </w:rPr>
        <w:t>, and this</w:t>
      </w:r>
      <w:r>
        <w:rPr>
          <w:rFonts w:cs="Arial"/>
        </w:rPr>
        <w:t xml:space="preserve"> directly contributed to positive outcomes for both species. Many aspects of pouched and short-headed </w:t>
      </w:r>
      <w:r w:rsidR="00CF210C">
        <w:rPr>
          <w:rFonts w:cs="Arial"/>
        </w:rPr>
        <w:t xml:space="preserve">lamprey </w:t>
      </w:r>
      <w:r>
        <w:rPr>
          <w:rFonts w:cs="Arial"/>
        </w:rPr>
        <w:t>ecology remain unknown, but the current project serves to provide direction for future research and management.</w:t>
      </w:r>
    </w:p>
    <w:p w14:paraId="66636984" w14:textId="77777777" w:rsidR="0020252F" w:rsidRDefault="0020252F" w:rsidP="00B735DD">
      <w:pPr>
        <w:rPr>
          <w:rFonts w:cs="Arial"/>
        </w:rPr>
      </w:pPr>
    </w:p>
    <w:p w14:paraId="0ED3D8DA" w14:textId="77777777" w:rsidR="0020252F" w:rsidRDefault="0020252F" w:rsidP="00B735DD">
      <w:pPr>
        <w:rPr>
          <w:rFonts w:cs="Arial"/>
        </w:rPr>
      </w:pPr>
    </w:p>
    <w:p w14:paraId="7032EC3F" w14:textId="1D128C83" w:rsidR="0020252F" w:rsidRPr="001043F9" w:rsidRDefault="0020252F" w:rsidP="00B735DD">
      <w:r>
        <w:rPr>
          <w:rFonts w:cs="Arial"/>
        </w:rPr>
        <w:t xml:space="preserve">  </w:t>
      </w:r>
    </w:p>
    <w:p w14:paraId="6C9E30E8" w14:textId="77777777" w:rsidR="0020252F" w:rsidRPr="00271CE4" w:rsidRDefault="0020252F" w:rsidP="0020252F">
      <w:pPr>
        <w:pStyle w:val="Heading1"/>
        <w:numPr>
          <w:ilvl w:val="0"/>
          <w:numId w:val="1"/>
        </w:numPr>
      </w:pPr>
      <w:bookmarkStart w:id="30" w:name="_Toc36554686"/>
      <w:r w:rsidRPr="00271CE4">
        <w:lastRenderedPageBreak/>
        <w:t>References</w:t>
      </w:r>
      <w:bookmarkEnd w:id="30"/>
    </w:p>
    <w:p w14:paraId="7485C72B" w14:textId="01EF2811" w:rsidR="0020252F" w:rsidRPr="009D1619" w:rsidRDefault="0020252F" w:rsidP="00A3514B">
      <w:pPr>
        <w:pStyle w:val="EndNoteBibliography"/>
        <w:rPr>
          <w:sz w:val="22"/>
        </w:rPr>
      </w:pPr>
      <w:r w:rsidRPr="009D1619">
        <w:rPr>
          <w:sz w:val="22"/>
        </w:rPr>
        <w:t xml:space="preserve">Anderson, M. J., R. N. Gorley and K. R. Clarke (2008). </w:t>
      </w:r>
      <w:r w:rsidRPr="009D1619">
        <w:rPr>
          <w:sz w:val="22"/>
          <w:u w:val="single"/>
        </w:rPr>
        <w:t>PERMANOVA+ for PRIMER: Guide to Software and Statistical Methods</w:t>
      </w:r>
      <w:r w:rsidR="00A3514B">
        <w:rPr>
          <w:sz w:val="22"/>
        </w:rPr>
        <w:t>, PRIMER-E: Plymouth, UK.</w:t>
      </w:r>
      <w:r w:rsidRPr="009D1619">
        <w:rPr>
          <w:sz w:val="22"/>
        </w:rPr>
        <w:tab/>
      </w:r>
    </w:p>
    <w:p w14:paraId="0EE551BE" w14:textId="12C811FB" w:rsidR="0020252F" w:rsidRPr="009D1619" w:rsidRDefault="0020252F" w:rsidP="00A3514B">
      <w:pPr>
        <w:pStyle w:val="EndNoteBibliography"/>
        <w:rPr>
          <w:sz w:val="22"/>
        </w:rPr>
      </w:pPr>
      <w:r w:rsidRPr="009D1619">
        <w:rPr>
          <w:sz w:val="22"/>
        </w:rPr>
        <w:t xml:space="preserve">Barrett, J. and M. Mallen-Cooper (2006). The Murray River's 'Sea to Hume Dam' fish passage program: Progress to date and lessons learned. </w:t>
      </w:r>
      <w:r w:rsidRPr="009D1619">
        <w:rPr>
          <w:i/>
          <w:sz w:val="22"/>
        </w:rPr>
        <w:t>Ecological Management and Restoration</w:t>
      </w:r>
      <w:r w:rsidRPr="009D1619">
        <w:rPr>
          <w:sz w:val="22"/>
        </w:rPr>
        <w:t xml:space="preserve"> </w:t>
      </w:r>
      <w:r w:rsidRPr="009D1619">
        <w:rPr>
          <w:b/>
          <w:sz w:val="22"/>
        </w:rPr>
        <w:t>7</w:t>
      </w:r>
      <w:r w:rsidR="00A3514B">
        <w:rPr>
          <w:sz w:val="22"/>
        </w:rPr>
        <w:t>: 173-183.</w:t>
      </w:r>
      <w:r w:rsidRPr="009D1619">
        <w:rPr>
          <w:sz w:val="22"/>
        </w:rPr>
        <w:tab/>
      </w:r>
    </w:p>
    <w:p w14:paraId="05F79856" w14:textId="7CF688C7" w:rsidR="0020252F" w:rsidRPr="009D1619" w:rsidRDefault="0020252F" w:rsidP="00A3514B">
      <w:pPr>
        <w:pStyle w:val="EndNoteBibliography"/>
        <w:rPr>
          <w:sz w:val="22"/>
        </w:rPr>
      </w:pPr>
      <w:r w:rsidRPr="009D1619">
        <w:rPr>
          <w:sz w:val="22"/>
        </w:rPr>
        <w:t xml:space="preserve">Baumgartner, L., B. Zampatti, M. Jones, I. Stuart and M. Mallen-Cooper (2014). Fish passage in the Murray-Darling Basin, Australia: Not just an upstream battle. </w:t>
      </w:r>
      <w:r w:rsidRPr="009D1619">
        <w:rPr>
          <w:i/>
          <w:sz w:val="22"/>
        </w:rPr>
        <w:t>Ecological Management &amp; Restoration</w:t>
      </w:r>
      <w:r w:rsidRPr="009D1619">
        <w:rPr>
          <w:sz w:val="22"/>
        </w:rPr>
        <w:t xml:space="preserve"> </w:t>
      </w:r>
      <w:r w:rsidRPr="009D1619">
        <w:rPr>
          <w:b/>
          <w:sz w:val="22"/>
        </w:rPr>
        <w:t>15</w:t>
      </w:r>
      <w:r w:rsidR="00A3514B">
        <w:rPr>
          <w:sz w:val="22"/>
        </w:rPr>
        <w:t>: 28-39.</w:t>
      </w:r>
      <w:r w:rsidRPr="009D1619">
        <w:rPr>
          <w:sz w:val="22"/>
        </w:rPr>
        <w:tab/>
      </w:r>
    </w:p>
    <w:p w14:paraId="22871852" w14:textId="6309BA14" w:rsidR="0020252F" w:rsidRPr="009D1619" w:rsidRDefault="0020252F" w:rsidP="00A3514B">
      <w:pPr>
        <w:pStyle w:val="EndNoteBibliography"/>
        <w:rPr>
          <w:sz w:val="22"/>
        </w:rPr>
      </w:pPr>
      <w:r w:rsidRPr="009D1619">
        <w:rPr>
          <w:sz w:val="22"/>
        </w:rPr>
        <w:t xml:space="preserve">Bett, N. N. and S. G. Hinch (2016). Olfactory navigation during spawning migrations: a review and introduction of the Hierarchical Navigation Hypothesis. </w:t>
      </w:r>
      <w:r w:rsidRPr="009D1619">
        <w:rPr>
          <w:i/>
          <w:sz w:val="22"/>
        </w:rPr>
        <w:t>Biological Reviews</w:t>
      </w:r>
      <w:r w:rsidRPr="009D1619">
        <w:rPr>
          <w:sz w:val="22"/>
        </w:rPr>
        <w:t xml:space="preserve"> </w:t>
      </w:r>
      <w:r w:rsidRPr="009D1619">
        <w:rPr>
          <w:b/>
          <w:sz w:val="22"/>
        </w:rPr>
        <w:t>91</w:t>
      </w:r>
      <w:r w:rsidR="00A3514B">
        <w:rPr>
          <w:sz w:val="22"/>
        </w:rPr>
        <w:t>: 728-759.</w:t>
      </w:r>
    </w:p>
    <w:p w14:paraId="6A7158A3" w14:textId="461B2613" w:rsidR="0020252F" w:rsidRPr="009D1619" w:rsidRDefault="0020252F" w:rsidP="00A3514B">
      <w:pPr>
        <w:pStyle w:val="EndNoteBibliography"/>
        <w:rPr>
          <w:sz w:val="22"/>
        </w:rPr>
      </w:pPr>
      <w:r w:rsidRPr="009D1619">
        <w:rPr>
          <w:sz w:val="22"/>
        </w:rPr>
        <w:t xml:space="preserve">Bice, C. M. and B. P. Zampatti (2015). Fish assemblage structure, movement and recruitment in the Coorong and Lower Lakes in 2014/15, South Australian Research and Development Institute (Aquatic Sciences), Adelaide. SARDI publication No. F2011/000186-5. SARDI Research Report Series No. </w:t>
      </w:r>
      <w:r w:rsidR="00A3514B">
        <w:rPr>
          <w:sz w:val="22"/>
        </w:rPr>
        <w:t>862. 64 pp.</w:t>
      </w:r>
      <w:r w:rsidRPr="009D1619">
        <w:rPr>
          <w:sz w:val="22"/>
        </w:rPr>
        <w:tab/>
      </w:r>
    </w:p>
    <w:p w14:paraId="6F43E6C1" w14:textId="2C7841DE" w:rsidR="0020252F" w:rsidRPr="009D1619" w:rsidRDefault="0020252F" w:rsidP="00A3514B">
      <w:pPr>
        <w:pStyle w:val="EndNoteBibliography"/>
        <w:rPr>
          <w:sz w:val="22"/>
        </w:rPr>
      </w:pPr>
      <w:r w:rsidRPr="009D1619">
        <w:rPr>
          <w:sz w:val="22"/>
        </w:rPr>
        <w:t>Bice, C. M. and B. P. Zampatti (2019). Fish assemblage structure, movement and recruitment in the Coorong and Lower Lakes in 2017/18, South Australian Research and Development Institute (Aquatic Sciences), Adelaide. SARDI Publication No. F2011/000186-6. SARDI Research</w:t>
      </w:r>
      <w:r w:rsidR="00A3514B">
        <w:rPr>
          <w:sz w:val="22"/>
        </w:rPr>
        <w:t xml:space="preserve"> Report Series No. 1007. 81 pp.</w:t>
      </w:r>
      <w:r w:rsidRPr="009D1619">
        <w:rPr>
          <w:sz w:val="22"/>
        </w:rPr>
        <w:tab/>
      </w:r>
    </w:p>
    <w:p w14:paraId="498D6658" w14:textId="6E801CE4" w:rsidR="0020252F" w:rsidRPr="009D1619" w:rsidRDefault="0020252F" w:rsidP="00A3514B">
      <w:pPr>
        <w:pStyle w:val="EndNoteBibliography"/>
        <w:rPr>
          <w:sz w:val="22"/>
        </w:rPr>
      </w:pPr>
      <w:r w:rsidRPr="009D1619">
        <w:rPr>
          <w:sz w:val="22"/>
        </w:rPr>
        <w:t>Bice, C. M., B. P. Zampatti and J. Fredberg (2017). Assessment of biological effectiveness of newly constructed fishways on the Murray Barrages, South Australia, 2015-2017, South Australian Research and Development Institute (Aquatic Sciences), Adelaide. SARDI Publication No. F2016/000452-2. SARDI Resear</w:t>
      </w:r>
      <w:r w:rsidR="00A3514B">
        <w:rPr>
          <w:sz w:val="22"/>
        </w:rPr>
        <w:t>ch Report Series No. 952. 65pp.</w:t>
      </w:r>
      <w:r w:rsidRPr="009D1619">
        <w:rPr>
          <w:sz w:val="22"/>
        </w:rPr>
        <w:tab/>
      </w:r>
    </w:p>
    <w:p w14:paraId="0CFCEC63" w14:textId="1FADD83F" w:rsidR="0020252F" w:rsidRPr="009D1619" w:rsidRDefault="0020252F" w:rsidP="00A3514B">
      <w:pPr>
        <w:pStyle w:val="EndNoteBibliography"/>
        <w:rPr>
          <w:sz w:val="22"/>
        </w:rPr>
      </w:pPr>
      <w:r w:rsidRPr="009D1619">
        <w:rPr>
          <w:sz w:val="22"/>
        </w:rPr>
        <w:t>Bice, C. M., B. P. Zampatti and J. Fredberg (2019</w:t>
      </w:r>
      <w:r>
        <w:rPr>
          <w:sz w:val="22"/>
        </w:rPr>
        <w:t>a</w:t>
      </w:r>
      <w:r w:rsidRPr="009D1619">
        <w:rPr>
          <w:sz w:val="22"/>
        </w:rPr>
        <w:t>). Fish assemblage structure, movement and recruitment in the Coorong and Lower Lakes in 2018/19. South Australian Research and Development Institute (Aquatic Sciences), Adelaide. SARDI Publication No. F2011/000186-9. SARDI Research</w:t>
      </w:r>
      <w:r w:rsidR="00A3514B">
        <w:rPr>
          <w:sz w:val="22"/>
        </w:rPr>
        <w:t xml:space="preserve"> Report Series No. 1043. 67 pp.</w:t>
      </w:r>
      <w:r w:rsidRPr="009D1619">
        <w:rPr>
          <w:sz w:val="22"/>
        </w:rPr>
        <w:tab/>
      </w:r>
    </w:p>
    <w:p w14:paraId="0B543114" w14:textId="0E9C4E3C" w:rsidR="0020252F" w:rsidRPr="009D1619" w:rsidRDefault="0020252F" w:rsidP="00A3514B">
      <w:pPr>
        <w:pStyle w:val="EndNoteBibliography"/>
        <w:rPr>
          <w:sz w:val="22"/>
        </w:rPr>
      </w:pPr>
      <w:r w:rsidRPr="009D1619">
        <w:rPr>
          <w:sz w:val="22"/>
        </w:rPr>
        <w:t>Bice, C. M., B. P. Zampatti and J. F. Fredberg (2016). Fish assemblage structure, movement and recruitment in the Coorong and Lower Lakes in 2015/16 South Australian Research and Development Institute (Aquatic Sciences), Adelaide. SARDI Publication No. F2011/000186-6. SARDI Research Report Series No. 921. 77</w:t>
      </w:r>
      <w:r w:rsidR="00A3514B">
        <w:rPr>
          <w:sz w:val="22"/>
        </w:rPr>
        <w:t xml:space="preserve"> pp.</w:t>
      </w:r>
      <w:r w:rsidRPr="009D1619">
        <w:rPr>
          <w:sz w:val="22"/>
        </w:rPr>
        <w:tab/>
      </w:r>
    </w:p>
    <w:p w14:paraId="63286FD2" w14:textId="4D2C0920" w:rsidR="0020252F" w:rsidRPr="009D1619" w:rsidRDefault="0020252F" w:rsidP="00A3514B">
      <w:pPr>
        <w:pStyle w:val="EndNoteBibliography"/>
        <w:rPr>
          <w:sz w:val="22"/>
        </w:rPr>
      </w:pPr>
      <w:r w:rsidRPr="009D1619">
        <w:rPr>
          <w:sz w:val="22"/>
        </w:rPr>
        <w:t>Bice, C. M., B. P. Zampatti and W. Koster (2019</w:t>
      </w:r>
      <w:r>
        <w:rPr>
          <w:sz w:val="22"/>
        </w:rPr>
        <w:t>b</w:t>
      </w:r>
      <w:r w:rsidRPr="009D1619">
        <w:rPr>
          <w:sz w:val="22"/>
        </w:rPr>
        <w:t>). Tracking lamprey spawning migrations in the River Murray, South Australian Research and Development Institute (Aquatic Sciences), Adelaide. SARDI Publication No. F2019/000190-1. SARDI Research Repor</w:t>
      </w:r>
      <w:r w:rsidR="00A3514B">
        <w:rPr>
          <w:sz w:val="22"/>
        </w:rPr>
        <w:t>t Series No. 1027. 36 pp.</w:t>
      </w:r>
      <w:r w:rsidRPr="009D1619">
        <w:rPr>
          <w:sz w:val="22"/>
        </w:rPr>
        <w:tab/>
      </w:r>
    </w:p>
    <w:p w14:paraId="15098927" w14:textId="7C9F52A5" w:rsidR="0020252F" w:rsidRPr="009D1619" w:rsidRDefault="0020252F" w:rsidP="00A3514B">
      <w:pPr>
        <w:pStyle w:val="EndNoteBibliography"/>
        <w:rPr>
          <w:sz w:val="22"/>
        </w:rPr>
      </w:pPr>
      <w:r w:rsidRPr="009D1619">
        <w:rPr>
          <w:sz w:val="22"/>
        </w:rPr>
        <w:t xml:space="preserve">Bice, C. M., B. P. Zampatti and M. Mallen-Cooper (2017). Paired hydraulically distinct vertical-slot fishways provide complementary fish passage at an estuarine barrier. </w:t>
      </w:r>
      <w:r w:rsidRPr="009D1619">
        <w:rPr>
          <w:i/>
          <w:sz w:val="22"/>
        </w:rPr>
        <w:t>Ecological Engineering</w:t>
      </w:r>
      <w:r w:rsidRPr="009D1619">
        <w:rPr>
          <w:sz w:val="22"/>
        </w:rPr>
        <w:t xml:space="preserve"> </w:t>
      </w:r>
      <w:r w:rsidRPr="009D1619">
        <w:rPr>
          <w:b/>
          <w:sz w:val="22"/>
        </w:rPr>
        <w:t>98</w:t>
      </w:r>
      <w:r w:rsidR="00A3514B">
        <w:rPr>
          <w:sz w:val="22"/>
        </w:rPr>
        <w:t>: 246-256.</w:t>
      </w:r>
      <w:r w:rsidRPr="009D1619">
        <w:rPr>
          <w:sz w:val="22"/>
        </w:rPr>
        <w:tab/>
      </w:r>
    </w:p>
    <w:p w14:paraId="26924DB1" w14:textId="77777777" w:rsidR="00A3514B" w:rsidRDefault="00A3514B" w:rsidP="00B735DD">
      <w:pPr>
        <w:pStyle w:val="EndNoteBibliography"/>
        <w:rPr>
          <w:sz w:val="22"/>
        </w:rPr>
      </w:pPr>
    </w:p>
    <w:p w14:paraId="0EB972DE" w14:textId="77777777" w:rsidR="00A3514B" w:rsidRDefault="00A3514B">
      <w:pPr>
        <w:spacing w:after="160" w:line="259" w:lineRule="auto"/>
        <w:jc w:val="left"/>
        <w:rPr>
          <w:rFonts w:cs="Arial"/>
          <w:noProof/>
        </w:rPr>
      </w:pPr>
      <w:r>
        <w:br w:type="page"/>
      </w:r>
    </w:p>
    <w:p w14:paraId="7FD25ED4" w14:textId="577A36CF" w:rsidR="00D91328" w:rsidRDefault="007041C9" w:rsidP="00B735DD">
      <w:pPr>
        <w:pStyle w:val="EndNoteBibliography"/>
        <w:rPr>
          <w:sz w:val="22"/>
        </w:rPr>
      </w:pPr>
      <w:r w:rsidRPr="007041C9">
        <w:rPr>
          <w:sz w:val="22"/>
        </w:rPr>
        <w:lastRenderedPageBreak/>
        <w:t xml:space="preserve">Department of Environment, Water and Natural Resources (2015). South Australian River Murray Long-Term Environmental Watering Plan. November 2015. </w:t>
      </w:r>
      <w:hyperlink r:id="rId27" w:history="1">
        <w:r w:rsidR="00AB7998" w:rsidRPr="00CB5096">
          <w:rPr>
            <w:rStyle w:val="Hyperlink"/>
            <w:sz w:val="22"/>
          </w:rPr>
          <w:t>https://www.mdba.gov.au/sites/default/files/pubs/long-term-e-water-plan-sa-river-murray-nov-15.PDF</w:t>
        </w:r>
      </w:hyperlink>
      <w:r w:rsidRPr="007041C9">
        <w:rPr>
          <w:sz w:val="22"/>
        </w:rPr>
        <w:t>.</w:t>
      </w:r>
    </w:p>
    <w:p w14:paraId="5BB46550" w14:textId="099157CB" w:rsidR="00094B56" w:rsidRPr="00094B56" w:rsidRDefault="00094B56" w:rsidP="00A3514B">
      <w:pPr>
        <w:pStyle w:val="EndNoteBibliography"/>
        <w:rPr>
          <w:sz w:val="22"/>
        </w:rPr>
      </w:pPr>
      <w:r>
        <w:rPr>
          <w:sz w:val="22"/>
        </w:rPr>
        <w:t xml:space="preserve">Empson, P. W. and A. S. Meredith (1987). Downstream migration of </w:t>
      </w:r>
      <w:r>
        <w:rPr>
          <w:i/>
          <w:sz w:val="22"/>
        </w:rPr>
        <w:t xml:space="preserve">Geotria australis </w:t>
      </w:r>
      <w:r>
        <w:rPr>
          <w:sz w:val="22"/>
        </w:rPr>
        <w:t xml:space="preserve">juveniles in the lower Waikato River (note). </w:t>
      </w:r>
      <w:r>
        <w:rPr>
          <w:i/>
          <w:sz w:val="22"/>
        </w:rPr>
        <w:t xml:space="preserve">New Zealand Journal of Marine and Freshwater Research </w:t>
      </w:r>
      <w:r>
        <w:rPr>
          <w:b/>
          <w:sz w:val="22"/>
        </w:rPr>
        <w:t>21</w:t>
      </w:r>
      <w:r>
        <w:rPr>
          <w:sz w:val="22"/>
        </w:rPr>
        <w:t>: 643-644.</w:t>
      </w:r>
    </w:p>
    <w:p w14:paraId="799B1F4A" w14:textId="42D40AF0" w:rsidR="0020252F" w:rsidRPr="009D1619" w:rsidRDefault="0020252F" w:rsidP="00A3514B">
      <w:pPr>
        <w:pStyle w:val="EndNoteBibliography"/>
        <w:rPr>
          <w:sz w:val="22"/>
        </w:rPr>
      </w:pPr>
      <w:r w:rsidRPr="009D1619">
        <w:rPr>
          <w:sz w:val="22"/>
        </w:rPr>
        <w:t xml:space="preserve">Jonsson, B., R. S. Waples and K. D. Friedland (1999). Extinction considerations for diadromous fishes. </w:t>
      </w:r>
      <w:r w:rsidRPr="009D1619">
        <w:rPr>
          <w:i/>
          <w:sz w:val="22"/>
        </w:rPr>
        <w:t>ICES Journal of Marine Science</w:t>
      </w:r>
      <w:r w:rsidRPr="009D1619">
        <w:rPr>
          <w:sz w:val="22"/>
        </w:rPr>
        <w:t xml:space="preserve"> </w:t>
      </w:r>
      <w:r w:rsidRPr="009D1619">
        <w:rPr>
          <w:b/>
          <w:sz w:val="22"/>
        </w:rPr>
        <w:t>56</w:t>
      </w:r>
      <w:r w:rsidR="00A3514B">
        <w:rPr>
          <w:sz w:val="22"/>
        </w:rPr>
        <w:t>: 405-409.</w:t>
      </w:r>
      <w:r w:rsidRPr="009D1619">
        <w:rPr>
          <w:sz w:val="22"/>
        </w:rPr>
        <w:tab/>
      </w:r>
    </w:p>
    <w:p w14:paraId="24D2533B" w14:textId="4F245340" w:rsidR="0020252F" w:rsidRPr="009D1619" w:rsidRDefault="0020252F" w:rsidP="00A3514B">
      <w:pPr>
        <w:pStyle w:val="EndNoteBibliography"/>
        <w:rPr>
          <w:sz w:val="22"/>
        </w:rPr>
      </w:pPr>
      <w:r w:rsidRPr="009D1619">
        <w:rPr>
          <w:sz w:val="22"/>
        </w:rPr>
        <w:t xml:space="preserve">Maitland, P. S., C. B. Renaud, B. R. Quintella, D. A. Close and M. F. Docker (2015). Conservation of native lampreys. </w:t>
      </w:r>
      <w:r w:rsidRPr="009D1619">
        <w:rPr>
          <w:sz w:val="22"/>
          <w:u w:val="single"/>
        </w:rPr>
        <w:t>Lampreys: biology, conservation and control</w:t>
      </w:r>
      <w:r w:rsidRPr="009D1619">
        <w:rPr>
          <w:sz w:val="22"/>
        </w:rPr>
        <w:t xml:space="preserve">. M. F. Docker, Springer. </w:t>
      </w:r>
      <w:r w:rsidRPr="009D1619">
        <w:rPr>
          <w:b/>
          <w:sz w:val="22"/>
        </w:rPr>
        <w:t xml:space="preserve">Vol 1.: </w:t>
      </w:r>
      <w:r w:rsidR="00A3514B">
        <w:rPr>
          <w:sz w:val="22"/>
        </w:rPr>
        <w:t>375-428.</w:t>
      </w:r>
      <w:r w:rsidRPr="009D1619">
        <w:rPr>
          <w:sz w:val="22"/>
        </w:rPr>
        <w:tab/>
      </w:r>
    </w:p>
    <w:p w14:paraId="44F40645" w14:textId="09496C1B" w:rsidR="0020252F" w:rsidRPr="009D1619" w:rsidRDefault="0020252F" w:rsidP="00A3514B">
      <w:pPr>
        <w:pStyle w:val="EndNoteBibliography"/>
        <w:rPr>
          <w:sz w:val="22"/>
        </w:rPr>
      </w:pPr>
      <w:r w:rsidRPr="009D1619">
        <w:rPr>
          <w:sz w:val="22"/>
        </w:rPr>
        <w:t>MDBA (2014). Basin-wide environmental watering strategy, Murray-Darling Basin Authority, Canber</w:t>
      </w:r>
      <w:r w:rsidR="00A3514B">
        <w:rPr>
          <w:sz w:val="22"/>
        </w:rPr>
        <w:t>ra. MDBA Publication No. 20/14.</w:t>
      </w:r>
      <w:r w:rsidRPr="009D1619">
        <w:rPr>
          <w:sz w:val="22"/>
        </w:rPr>
        <w:tab/>
      </w:r>
    </w:p>
    <w:p w14:paraId="290DA41A" w14:textId="34A1B6A6" w:rsidR="0020252F" w:rsidRPr="009D1619" w:rsidRDefault="0020252F" w:rsidP="00A3514B">
      <w:pPr>
        <w:pStyle w:val="EndNoteBibliography"/>
        <w:rPr>
          <w:sz w:val="22"/>
        </w:rPr>
      </w:pPr>
      <w:r w:rsidRPr="009D1619">
        <w:rPr>
          <w:sz w:val="22"/>
        </w:rPr>
        <w:t>Meckley, T. D., C. M. Wagner and E. Gurarie (2014). Coastal movements of migrating sea lamprey (</w:t>
      </w:r>
      <w:r w:rsidRPr="009D1619">
        <w:rPr>
          <w:i/>
          <w:sz w:val="22"/>
        </w:rPr>
        <w:t>Petromyzon marinus</w:t>
      </w:r>
      <w:r w:rsidRPr="009D1619">
        <w:rPr>
          <w:sz w:val="22"/>
        </w:rPr>
        <w:t xml:space="preserve">) in response to partial pheromone added to river water: implications for management of invasive populations. </w:t>
      </w:r>
      <w:r w:rsidRPr="009D1619">
        <w:rPr>
          <w:i/>
          <w:sz w:val="22"/>
        </w:rPr>
        <w:t>Canadian Journal of Fisheries and Aquatic Sciences</w:t>
      </w:r>
      <w:r w:rsidRPr="009D1619">
        <w:rPr>
          <w:sz w:val="22"/>
        </w:rPr>
        <w:t xml:space="preserve"> </w:t>
      </w:r>
      <w:r w:rsidRPr="009D1619">
        <w:rPr>
          <w:b/>
          <w:sz w:val="22"/>
        </w:rPr>
        <w:t>71</w:t>
      </w:r>
      <w:r w:rsidR="00A3514B">
        <w:rPr>
          <w:sz w:val="22"/>
        </w:rPr>
        <w:t>: 533-544.</w:t>
      </w:r>
      <w:r w:rsidRPr="009D1619">
        <w:rPr>
          <w:sz w:val="22"/>
        </w:rPr>
        <w:tab/>
      </w:r>
    </w:p>
    <w:p w14:paraId="14E9995C" w14:textId="033CE7CD" w:rsidR="0020252F" w:rsidRPr="009D1619" w:rsidRDefault="0020252F" w:rsidP="00A3514B">
      <w:pPr>
        <w:pStyle w:val="EndNoteBibliography"/>
        <w:rPr>
          <w:sz w:val="22"/>
        </w:rPr>
      </w:pPr>
      <w:r w:rsidRPr="009D1619">
        <w:rPr>
          <w:sz w:val="22"/>
        </w:rPr>
        <w:t>Moser, M. L., P. R. Almeida, P. S. Kemp and P. W</w:t>
      </w:r>
      <w:r w:rsidR="00D91328">
        <w:rPr>
          <w:sz w:val="22"/>
        </w:rPr>
        <w:t>. Sorenson</w:t>
      </w:r>
      <w:r w:rsidRPr="009D1619">
        <w:rPr>
          <w:sz w:val="22"/>
        </w:rPr>
        <w:t xml:space="preserve"> (2015). Lamprey spawning migration. </w:t>
      </w:r>
      <w:r w:rsidRPr="009D1619">
        <w:rPr>
          <w:sz w:val="22"/>
          <w:u w:val="single"/>
        </w:rPr>
        <w:t>Lampreys: biology, conservation and control</w:t>
      </w:r>
      <w:r w:rsidRPr="009D1619">
        <w:rPr>
          <w:sz w:val="22"/>
        </w:rPr>
        <w:t xml:space="preserve">. M. F. Docker, Springer. </w:t>
      </w:r>
      <w:r w:rsidRPr="009D1619">
        <w:rPr>
          <w:b/>
          <w:sz w:val="22"/>
        </w:rPr>
        <w:t xml:space="preserve">Vol. 1: </w:t>
      </w:r>
      <w:r w:rsidR="00A3514B">
        <w:rPr>
          <w:sz w:val="22"/>
        </w:rPr>
        <w:t>215-263</w:t>
      </w:r>
      <w:r w:rsidRPr="009D1619">
        <w:rPr>
          <w:sz w:val="22"/>
        </w:rPr>
        <w:tab/>
      </w:r>
    </w:p>
    <w:p w14:paraId="1822BA82" w14:textId="692D0E97" w:rsidR="00094B56" w:rsidRPr="00094B56" w:rsidRDefault="00094B56" w:rsidP="00A3514B">
      <w:pPr>
        <w:pStyle w:val="EndNoteBibliography"/>
        <w:rPr>
          <w:sz w:val="22"/>
        </w:rPr>
      </w:pPr>
      <w:r>
        <w:rPr>
          <w:sz w:val="22"/>
        </w:rPr>
        <w:t xml:space="preserve">Potter, I. C. (1980). Ecology of larval and metamorphosing lampreys. </w:t>
      </w:r>
      <w:r>
        <w:rPr>
          <w:i/>
          <w:sz w:val="22"/>
        </w:rPr>
        <w:t>Canadian Journal of Fisheries and Aquatic Sciences</w:t>
      </w:r>
      <w:r>
        <w:rPr>
          <w:sz w:val="22"/>
        </w:rPr>
        <w:t xml:space="preserve"> </w:t>
      </w:r>
      <w:r>
        <w:rPr>
          <w:b/>
          <w:sz w:val="22"/>
        </w:rPr>
        <w:t>37</w:t>
      </w:r>
      <w:r>
        <w:rPr>
          <w:sz w:val="22"/>
        </w:rPr>
        <w:t>: 1641-1657.</w:t>
      </w:r>
    </w:p>
    <w:p w14:paraId="6CF8BAAD" w14:textId="4B084A99" w:rsidR="0020252F" w:rsidRPr="009D1619" w:rsidRDefault="0020252F" w:rsidP="00A3514B">
      <w:pPr>
        <w:pStyle w:val="EndNoteBibliography"/>
        <w:rPr>
          <w:sz w:val="22"/>
        </w:rPr>
      </w:pPr>
      <w:r w:rsidRPr="009D1619">
        <w:rPr>
          <w:sz w:val="22"/>
        </w:rPr>
        <w:t xml:space="preserve">Potter, I. C. and F. L. S. Strahan (1968). The taxonomy of the lampreys </w:t>
      </w:r>
      <w:r w:rsidRPr="009D1619">
        <w:rPr>
          <w:i/>
          <w:sz w:val="22"/>
        </w:rPr>
        <w:t xml:space="preserve">Geotria </w:t>
      </w:r>
      <w:r w:rsidRPr="009D1619">
        <w:rPr>
          <w:sz w:val="22"/>
        </w:rPr>
        <w:t xml:space="preserve">and </w:t>
      </w:r>
      <w:r w:rsidRPr="009D1619">
        <w:rPr>
          <w:i/>
          <w:sz w:val="22"/>
        </w:rPr>
        <w:t xml:space="preserve">Mordacia </w:t>
      </w:r>
      <w:r w:rsidRPr="009D1619">
        <w:rPr>
          <w:sz w:val="22"/>
        </w:rPr>
        <w:t xml:space="preserve">and their distribution in Australia. </w:t>
      </w:r>
      <w:r w:rsidRPr="009D1619">
        <w:rPr>
          <w:i/>
          <w:sz w:val="22"/>
        </w:rPr>
        <w:t>Proceedings of the Linnean Society of London</w:t>
      </w:r>
      <w:r w:rsidRPr="009D1619">
        <w:rPr>
          <w:sz w:val="22"/>
        </w:rPr>
        <w:t xml:space="preserve"> </w:t>
      </w:r>
      <w:r w:rsidRPr="009D1619">
        <w:rPr>
          <w:b/>
          <w:sz w:val="22"/>
        </w:rPr>
        <w:t>179</w:t>
      </w:r>
      <w:r w:rsidR="00A3514B">
        <w:rPr>
          <w:sz w:val="22"/>
        </w:rPr>
        <w:t>: 229-240.</w:t>
      </w:r>
      <w:r w:rsidRPr="009D1619">
        <w:rPr>
          <w:sz w:val="22"/>
        </w:rPr>
        <w:tab/>
      </w:r>
    </w:p>
    <w:p w14:paraId="369B006F" w14:textId="04565D02" w:rsidR="0020252F" w:rsidRPr="009D1619" w:rsidRDefault="0020252F" w:rsidP="00A3514B">
      <w:pPr>
        <w:pStyle w:val="EndNoteBibliography"/>
        <w:rPr>
          <w:sz w:val="22"/>
        </w:rPr>
      </w:pPr>
      <w:r w:rsidRPr="009D1619">
        <w:rPr>
          <w:sz w:val="22"/>
        </w:rPr>
        <w:t xml:space="preserve">Quinn, T. P. and D. J. Adams (1996). Envoironmental changes affecting the migratory timing of American shad and sockeye salmon. </w:t>
      </w:r>
      <w:r w:rsidRPr="009D1619">
        <w:rPr>
          <w:i/>
          <w:sz w:val="22"/>
        </w:rPr>
        <w:t>Ecology</w:t>
      </w:r>
      <w:r w:rsidRPr="009D1619">
        <w:rPr>
          <w:sz w:val="22"/>
        </w:rPr>
        <w:t xml:space="preserve"> </w:t>
      </w:r>
      <w:r w:rsidRPr="009D1619">
        <w:rPr>
          <w:b/>
          <w:sz w:val="22"/>
        </w:rPr>
        <w:t>77</w:t>
      </w:r>
      <w:r w:rsidR="00A3514B">
        <w:rPr>
          <w:sz w:val="22"/>
        </w:rPr>
        <w:t>: 1151+.</w:t>
      </w:r>
      <w:r w:rsidRPr="009D1619">
        <w:rPr>
          <w:sz w:val="22"/>
        </w:rPr>
        <w:tab/>
      </w:r>
    </w:p>
    <w:p w14:paraId="21E72C3C" w14:textId="0DE2E0E4" w:rsidR="00C9749D" w:rsidRPr="00A3514B" w:rsidRDefault="0020252F" w:rsidP="00B735DD">
      <w:pPr>
        <w:pStyle w:val="EndNoteBibliography"/>
        <w:rPr>
          <w:sz w:val="22"/>
        </w:rPr>
      </w:pPr>
      <w:r w:rsidRPr="009D1619">
        <w:rPr>
          <w:sz w:val="22"/>
        </w:rPr>
        <w:t xml:space="preserve">Walker, K. F. and M. C. Thoms (1993). Environmental effects of flow regulation on the lower River Murray, Australia. </w:t>
      </w:r>
      <w:r w:rsidRPr="009D1619">
        <w:rPr>
          <w:i/>
          <w:sz w:val="22"/>
        </w:rPr>
        <w:t>Regulated Rivers: Research &amp; Management</w:t>
      </w:r>
      <w:r w:rsidRPr="009D1619">
        <w:rPr>
          <w:sz w:val="22"/>
        </w:rPr>
        <w:t xml:space="preserve"> </w:t>
      </w:r>
      <w:r w:rsidRPr="009D1619">
        <w:rPr>
          <w:b/>
          <w:sz w:val="22"/>
        </w:rPr>
        <w:t>8</w:t>
      </w:r>
      <w:r w:rsidRPr="009D1619">
        <w:rPr>
          <w:sz w:val="22"/>
        </w:rPr>
        <w:t>: 103-119.</w:t>
      </w:r>
      <w:r w:rsidR="00C9749D" w:rsidRPr="00C9749D">
        <w:t xml:space="preserve"> </w:t>
      </w:r>
    </w:p>
    <w:p w14:paraId="3E9F2916" w14:textId="0823894B" w:rsidR="00C36F55" w:rsidRDefault="00C47788" w:rsidP="00C9749D">
      <w:pPr>
        <w:pStyle w:val="EndNoteBibliography"/>
      </w:pPr>
      <w:r>
        <w:rPr>
          <w:sz w:val="22"/>
        </w:rPr>
        <w:t>Ye, Q.</w:t>
      </w:r>
      <w:r w:rsidRPr="00C47788">
        <w:rPr>
          <w:sz w:val="22"/>
        </w:rPr>
        <w:t xml:space="preserve">, </w:t>
      </w:r>
      <w:r>
        <w:rPr>
          <w:sz w:val="22"/>
        </w:rPr>
        <w:t xml:space="preserve">G. </w:t>
      </w:r>
      <w:r w:rsidRPr="00C47788">
        <w:rPr>
          <w:sz w:val="22"/>
        </w:rPr>
        <w:t xml:space="preserve">Giatas, </w:t>
      </w:r>
      <w:r>
        <w:rPr>
          <w:sz w:val="22"/>
        </w:rPr>
        <w:t>J.</w:t>
      </w:r>
      <w:r w:rsidRPr="00C47788">
        <w:rPr>
          <w:sz w:val="22"/>
        </w:rPr>
        <w:t xml:space="preserve"> Brookes, </w:t>
      </w:r>
      <w:r>
        <w:rPr>
          <w:sz w:val="22"/>
        </w:rPr>
        <w:t xml:space="preserve">D. </w:t>
      </w:r>
      <w:r w:rsidRPr="00C47788">
        <w:rPr>
          <w:sz w:val="22"/>
        </w:rPr>
        <w:t xml:space="preserve">Furst, </w:t>
      </w:r>
      <w:r>
        <w:rPr>
          <w:sz w:val="22"/>
        </w:rPr>
        <w:t xml:space="preserve">M. Gibbs, R. </w:t>
      </w:r>
      <w:r w:rsidRPr="00C47788">
        <w:rPr>
          <w:sz w:val="22"/>
        </w:rPr>
        <w:t xml:space="preserve">Oliver, </w:t>
      </w:r>
      <w:r>
        <w:rPr>
          <w:sz w:val="22"/>
        </w:rPr>
        <w:t xml:space="preserve">R. </w:t>
      </w:r>
      <w:r w:rsidRPr="00C47788">
        <w:rPr>
          <w:sz w:val="22"/>
        </w:rPr>
        <w:t xml:space="preserve">Shiel, </w:t>
      </w:r>
      <w:r>
        <w:rPr>
          <w:sz w:val="22"/>
        </w:rPr>
        <w:t xml:space="preserve">B. </w:t>
      </w:r>
      <w:r w:rsidRPr="00C47788">
        <w:rPr>
          <w:sz w:val="22"/>
        </w:rPr>
        <w:t xml:space="preserve">Zampatti, </w:t>
      </w:r>
      <w:r>
        <w:rPr>
          <w:sz w:val="22"/>
        </w:rPr>
        <w:t xml:space="preserve">K. </w:t>
      </w:r>
      <w:r w:rsidRPr="00C47788">
        <w:rPr>
          <w:sz w:val="22"/>
        </w:rPr>
        <w:t xml:space="preserve">Aldridge, </w:t>
      </w:r>
      <w:r>
        <w:rPr>
          <w:sz w:val="22"/>
        </w:rPr>
        <w:t xml:space="preserve">L. </w:t>
      </w:r>
      <w:r w:rsidRPr="00C47788">
        <w:rPr>
          <w:sz w:val="22"/>
        </w:rPr>
        <w:t xml:space="preserve">Bucater, </w:t>
      </w:r>
      <w:r>
        <w:rPr>
          <w:sz w:val="22"/>
        </w:rPr>
        <w:t xml:space="preserve">B. </w:t>
      </w:r>
      <w:r w:rsidRPr="00C47788">
        <w:rPr>
          <w:sz w:val="22"/>
        </w:rPr>
        <w:t xml:space="preserve">Busch, </w:t>
      </w:r>
      <w:r>
        <w:rPr>
          <w:sz w:val="22"/>
        </w:rPr>
        <w:t xml:space="preserve">M. </w:t>
      </w:r>
      <w:r w:rsidRPr="00C47788">
        <w:rPr>
          <w:sz w:val="22"/>
        </w:rPr>
        <w:t xml:space="preserve">Hipsey, </w:t>
      </w:r>
      <w:r>
        <w:rPr>
          <w:sz w:val="22"/>
        </w:rPr>
        <w:t xml:space="preserve">Z. </w:t>
      </w:r>
      <w:r w:rsidRPr="00C47788">
        <w:rPr>
          <w:sz w:val="22"/>
        </w:rPr>
        <w:t xml:space="preserve">Lorenz, </w:t>
      </w:r>
      <w:r>
        <w:rPr>
          <w:sz w:val="22"/>
        </w:rPr>
        <w:t xml:space="preserve">R. Maas and J. </w:t>
      </w:r>
      <w:r w:rsidRPr="00C47788">
        <w:rPr>
          <w:sz w:val="22"/>
        </w:rPr>
        <w:t>Woodhead (2020). Commonwealth Environmental Water Office Long-Term Intervention Monitoring Project 2014–2019: Lower Murray River Technical Report. A report prepared for the Commonwealth Environmental Water Office by the South Australian Research and Development Institute, Aquatic Sciences.</w:t>
      </w:r>
    </w:p>
    <w:sectPr w:rsidR="00C36F55" w:rsidSect="001E4CD9">
      <w:headerReference w:type="even" r:id="rId28"/>
      <w:headerReference w:type="default" r:id="rId29"/>
      <w:footerReference w:type="default" r:id="rId30"/>
      <w:headerReference w:type="first" r:id="rId31"/>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4E9A4B" w14:textId="77777777" w:rsidR="00A14913" w:rsidRDefault="00A14913">
      <w:pPr>
        <w:spacing w:after="0" w:line="240" w:lineRule="auto"/>
      </w:pPr>
      <w:r>
        <w:separator/>
      </w:r>
    </w:p>
  </w:endnote>
  <w:endnote w:type="continuationSeparator" w:id="0">
    <w:p w14:paraId="2A25ED6B" w14:textId="77777777" w:rsidR="00A14913" w:rsidRDefault="00A14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BFBCB" w14:textId="77777777" w:rsidR="00663FEB" w:rsidRDefault="00663F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97C72" w14:textId="77777777" w:rsidR="00B40FFF" w:rsidRDefault="00B40FFF" w:rsidP="00B735DD">
    <w:pPr>
      <w:pStyle w:val="Footer"/>
      <w:tabs>
        <w:tab w:val="clear" w:pos="4680"/>
        <w:tab w:val="clear" w:pos="9360"/>
        <w:tab w:val="left" w:pos="2415"/>
      </w:tabs>
    </w:pPr>
    <w:r w:rsidRPr="00B71CAD">
      <w:rPr>
        <w:noProof/>
        <w:lang w:val="en-AU" w:eastAsia="en-AU"/>
      </w:rPr>
      <w:drawing>
        <wp:anchor distT="0" distB="0" distL="114300" distR="114300" simplePos="0" relativeHeight="251661312" behindDoc="1" locked="0" layoutInCell="1" allowOverlap="1" wp14:anchorId="1D9277CC" wp14:editId="170A975E">
          <wp:simplePos x="0" y="0"/>
          <wp:positionH relativeFrom="column">
            <wp:posOffset>-685800</wp:posOffset>
          </wp:positionH>
          <wp:positionV relativeFrom="paragraph">
            <wp:posOffset>-386080</wp:posOffset>
          </wp:positionV>
          <wp:extent cx="937260" cy="937260"/>
          <wp:effectExtent l="0" t="0" r="0" b="0"/>
          <wp:wrapTight wrapText="bothSides">
            <wp:wrapPolygon edited="0">
              <wp:start x="8780" y="0"/>
              <wp:lineTo x="2195" y="4829"/>
              <wp:lineTo x="439" y="6585"/>
              <wp:lineTo x="878" y="11854"/>
              <wp:lineTo x="4829" y="14927"/>
              <wp:lineTo x="3951" y="14927"/>
              <wp:lineTo x="2634" y="15805"/>
              <wp:lineTo x="3073" y="21073"/>
              <wp:lineTo x="18000" y="21073"/>
              <wp:lineTo x="17122" y="14927"/>
              <wp:lineTo x="21073" y="12293"/>
              <wp:lineTo x="21073" y="7902"/>
              <wp:lineTo x="18000" y="0"/>
              <wp:lineTo x="8780" y="0"/>
            </wp:wrapPolygon>
          </wp:wrapTight>
          <wp:docPr id="10" name="Picture 31" descr="Brand_SouthAust1_rever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_SouthAust1_reverse (2).png"/>
                  <pic:cNvPicPr/>
                </pic:nvPicPr>
                <pic:blipFill>
                  <a:blip r:embed="rId1"/>
                  <a:stretch>
                    <a:fillRect/>
                  </a:stretch>
                </pic:blipFill>
                <pic:spPr>
                  <a:xfrm>
                    <a:off x="0" y="0"/>
                    <a:ext cx="937260" cy="93726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2336" behindDoc="1" locked="0" layoutInCell="1" allowOverlap="1" wp14:anchorId="0C5DA4DA" wp14:editId="7F89FF68">
          <wp:simplePos x="0" y="0"/>
          <wp:positionH relativeFrom="column">
            <wp:posOffset>5895975</wp:posOffset>
          </wp:positionH>
          <wp:positionV relativeFrom="paragraph">
            <wp:posOffset>-393700</wp:posOffset>
          </wp:positionV>
          <wp:extent cx="542925" cy="971550"/>
          <wp:effectExtent l="19050" t="0" r="9525" b="0"/>
          <wp:wrapTight wrapText="bothSides">
            <wp:wrapPolygon edited="0">
              <wp:start x="-758" y="0"/>
              <wp:lineTo x="0" y="6776"/>
              <wp:lineTo x="4547" y="6776"/>
              <wp:lineTo x="-758" y="8894"/>
              <wp:lineTo x="-758" y="9741"/>
              <wp:lineTo x="4547" y="13553"/>
              <wp:lineTo x="-758" y="13976"/>
              <wp:lineTo x="-758" y="19906"/>
              <wp:lineTo x="6063" y="21176"/>
              <wp:lineTo x="11368" y="21176"/>
              <wp:lineTo x="17432" y="21176"/>
              <wp:lineTo x="17432" y="20329"/>
              <wp:lineTo x="21979" y="19482"/>
              <wp:lineTo x="21979" y="14400"/>
              <wp:lineTo x="18947" y="13553"/>
              <wp:lineTo x="21979" y="9318"/>
              <wp:lineTo x="21979" y="0"/>
              <wp:lineTo x="-758" y="0"/>
            </wp:wrapPolygon>
          </wp:wrapTight>
          <wp:docPr id="8" name="Picture 0" descr="sardi trans_no drop shad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di trans_no drop shadow.tif"/>
                  <pic:cNvPicPr/>
                </pic:nvPicPr>
                <pic:blipFill>
                  <a:blip r:embed="rId2"/>
                  <a:stretch>
                    <a:fillRect/>
                  </a:stretch>
                </pic:blipFill>
                <pic:spPr>
                  <a:xfrm>
                    <a:off x="0" y="0"/>
                    <a:ext cx="542925" cy="971550"/>
                  </a:xfrm>
                  <a:prstGeom prst="rect">
                    <a:avLst/>
                  </a:prstGeom>
                </pic:spPr>
              </pic:pic>
            </a:graphicData>
          </a:graphic>
        </wp:anchor>
      </w:drawing>
    </w:r>
    <w:r>
      <w:tab/>
    </w:r>
    <w:r w:rsidRPr="00B71CAD">
      <w:rPr>
        <w:noProof/>
        <w:lang w:val="en-AU" w:eastAsia="en-AU"/>
      </w:rPr>
      <w:drawing>
        <wp:anchor distT="0" distB="0" distL="114300" distR="114300" simplePos="0" relativeHeight="251660288" behindDoc="1" locked="0" layoutInCell="1" allowOverlap="1" wp14:anchorId="6C182C2B" wp14:editId="76636355">
          <wp:simplePos x="0" y="0"/>
          <wp:positionH relativeFrom="column">
            <wp:posOffset>4762500</wp:posOffset>
          </wp:positionH>
          <wp:positionV relativeFrom="paragraph">
            <wp:posOffset>-429895</wp:posOffset>
          </wp:positionV>
          <wp:extent cx="1085850" cy="990600"/>
          <wp:effectExtent l="0" t="0" r="0" b="0"/>
          <wp:wrapTight wrapText="bothSides">
            <wp:wrapPolygon edited="0">
              <wp:start x="8716" y="831"/>
              <wp:lineTo x="6442" y="3323"/>
              <wp:lineTo x="6442" y="7477"/>
              <wp:lineTo x="1895" y="14123"/>
              <wp:lineTo x="1516" y="17862"/>
              <wp:lineTo x="4926" y="20769"/>
              <wp:lineTo x="9474" y="20769"/>
              <wp:lineTo x="11368" y="20769"/>
              <wp:lineTo x="16674" y="20769"/>
              <wp:lineTo x="20084" y="17862"/>
              <wp:lineTo x="20084" y="14123"/>
              <wp:lineTo x="16674" y="9554"/>
              <wp:lineTo x="15158" y="7477"/>
              <wp:lineTo x="15537" y="5400"/>
              <wp:lineTo x="14400" y="1662"/>
              <wp:lineTo x="12505" y="831"/>
              <wp:lineTo x="8716" y="831"/>
            </wp:wrapPolygon>
          </wp:wrapTight>
          <wp:docPr id="9" name="Picture 29" descr="PIRSA_reverse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SA_reverse_V.png"/>
                  <pic:cNvPicPr/>
                </pic:nvPicPr>
                <pic:blipFill>
                  <a:blip r:embed="rId3"/>
                  <a:stretch>
                    <a:fillRect/>
                  </a:stretch>
                </pic:blipFill>
                <pic:spPr>
                  <a:xfrm>
                    <a:off x="0" y="0"/>
                    <a:ext cx="1085850" cy="9906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CEE82" w14:textId="77777777" w:rsidR="00663FEB" w:rsidRDefault="00663F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495F4" w14:textId="27D29D01" w:rsidR="00B40FFF" w:rsidRDefault="00B40FFF">
    <w:pPr>
      <w:pStyle w:val="Footer"/>
      <w:jc w:val="center"/>
    </w:pPr>
    <w:r>
      <w:fldChar w:fldCharType="begin"/>
    </w:r>
    <w:r>
      <w:instrText xml:space="preserve"> PAGE   \* MERGEFORMAT </w:instrText>
    </w:r>
    <w:r>
      <w:fldChar w:fldCharType="separate"/>
    </w:r>
    <w:r w:rsidR="00663FEB">
      <w:rPr>
        <w:noProof/>
      </w:rPr>
      <w:t>VI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76338" w14:textId="52CCC0F4" w:rsidR="00B40FFF" w:rsidRDefault="00B40FFF">
    <w:pPr>
      <w:pStyle w:val="Footer"/>
      <w:jc w:val="center"/>
    </w:pPr>
    <w:r>
      <w:fldChar w:fldCharType="begin"/>
    </w:r>
    <w:r>
      <w:instrText xml:space="preserve"> PAGE   \* MERGEFORMAT </w:instrText>
    </w:r>
    <w:r>
      <w:fldChar w:fldCharType="separate"/>
    </w:r>
    <w:r w:rsidR="00663FEB">
      <w:rPr>
        <w:noProof/>
      </w:rPr>
      <w:t>15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D695A" w14:textId="77777777" w:rsidR="00A14913" w:rsidRDefault="00A14913">
      <w:pPr>
        <w:spacing w:after="0" w:line="240" w:lineRule="auto"/>
      </w:pPr>
      <w:r>
        <w:separator/>
      </w:r>
    </w:p>
  </w:footnote>
  <w:footnote w:type="continuationSeparator" w:id="0">
    <w:p w14:paraId="246E3D35" w14:textId="77777777" w:rsidR="00A14913" w:rsidRDefault="00A149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2F967" w14:textId="77777777" w:rsidR="00663FEB" w:rsidRDefault="00663F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C5F26" w14:textId="77777777" w:rsidR="00B40FFF" w:rsidRDefault="00B40FFF">
    <w:pPr>
      <w:pStyle w:val="Header"/>
    </w:pPr>
    <w:r>
      <w:rPr>
        <w:noProof/>
        <w:lang w:val="en-AU" w:eastAsia="en-AU"/>
      </w:rPr>
      <w:drawing>
        <wp:anchor distT="0" distB="0" distL="114300" distR="114300" simplePos="0" relativeHeight="251659264" behindDoc="1" locked="0" layoutInCell="1" allowOverlap="1" wp14:anchorId="40B15011" wp14:editId="6D59800E">
          <wp:simplePos x="0" y="0"/>
          <wp:positionH relativeFrom="column">
            <wp:posOffset>-914400</wp:posOffset>
          </wp:positionH>
          <wp:positionV relativeFrom="paragraph">
            <wp:posOffset>-469265</wp:posOffset>
          </wp:positionV>
          <wp:extent cx="7776000" cy="11018391"/>
          <wp:effectExtent l="19050" t="0" r="0" b="0"/>
          <wp:wrapNone/>
          <wp:docPr id="7" name="Picture 7" descr="inland waters word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and waters word bg"/>
                  <pic:cNvPicPr>
                    <a:picLocks noChangeAspect="1" noChangeArrowheads="1"/>
                  </pic:cNvPicPr>
                </pic:nvPicPr>
                <pic:blipFill>
                  <a:blip r:embed="rId1"/>
                  <a:stretch>
                    <a:fillRect/>
                  </a:stretch>
                </pic:blipFill>
                <pic:spPr bwMode="auto">
                  <a:xfrm>
                    <a:off x="0" y="0"/>
                    <a:ext cx="7776000" cy="11018391"/>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D1E51" w14:textId="77777777" w:rsidR="00663FEB" w:rsidRDefault="00663F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5111D" w14:textId="77777777" w:rsidR="00B40FFF" w:rsidRDefault="00B40FF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BCC30" w14:textId="202C15D6" w:rsidR="00B40FFF" w:rsidRPr="00176B8A" w:rsidRDefault="00B40FFF" w:rsidP="00B735DD">
    <w:pPr>
      <w:pStyle w:val="Header"/>
      <w:tabs>
        <w:tab w:val="clear" w:pos="4680"/>
        <w:tab w:val="left" w:pos="1407"/>
        <w:tab w:val="center" w:pos="8647"/>
      </w:tabs>
      <w:spacing w:after="0" w:line="240" w:lineRule="auto"/>
      <w:jc w:val="left"/>
      <w:rPr>
        <w:szCs w:val="16"/>
      </w:rPr>
    </w:pPr>
    <w:r w:rsidRPr="00BB216C">
      <w:t xml:space="preserve">Bice </w:t>
    </w:r>
    <w:r>
      <w:rPr>
        <w:i/>
      </w:rPr>
      <w:t>et al.</w:t>
    </w:r>
    <w:r w:rsidRPr="00BB216C">
      <w:t xml:space="preserve"> (20</w:t>
    </w:r>
    <w:r>
      <w:t>20</w:t>
    </w:r>
    <w:r w:rsidRPr="00BB216C">
      <w:t>)</w:t>
    </w:r>
    <w:r>
      <w:tab/>
      <w:t xml:space="preserve">                                                                                                            Lamprey migration in the lower River Murray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341D5" w14:textId="77777777" w:rsidR="00B40FFF" w:rsidRDefault="00B40FF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D04C8" w14:textId="77777777" w:rsidR="00B40FFF" w:rsidRDefault="00B40FF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DD3B4" w14:textId="1AC8DE9B" w:rsidR="00B40FFF" w:rsidRPr="00176B8A" w:rsidRDefault="00B40FFF" w:rsidP="00B735DD">
    <w:pPr>
      <w:pStyle w:val="Header"/>
      <w:tabs>
        <w:tab w:val="clear" w:pos="4680"/>
        <w:tab w:val="left" w:pos="1407"/>
        <w:tab w:val="center" w:pos="8647"/>
      </w:tabs>
      <w:spacing w:after="0" w:line="240" w:lineRule="auto"/>
      <w:jc w:val="left"/>
      <w:rPr>
        <w:szCs w:val="16"/>
      </w:rPr>
    </w:pPr>
    <w:r w:rsidRPr="00BB216C">
      <w:t xml:space="preserve">Bice </w:t>
    </w:r>
    <w:r>
      <w:rPr>
        <w:i/>
      </w:rPr>
      <w:t>et al.</w:t>
    </w:r>
    <w:r w:rsidRPr="00BB216C">
      <w:t xml:space="preserve"> (20</w:t>
    </w:r>
    <w:r>
      <w:t>20</w:t>
    </w:r>
    <w:r w:rsidRPr="00BB216C">
      <w:t>)</w:t>
    </w:r>
    <w:r>
      <w:tab/>
      <w:t xml:space="preserve">                                                                                                            Lamprey migration in the lower River Murray</w:t>
    </w:r>
  </w:p>
  <w:p w14:paraId="4FCF9BCC" w14:textId="77777777" w:rsidR="00B40FFF" w:rsidRDefault="00B40FF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DBB2D" w14:textId="77777777" w:rsidR="00B40FFF" w:rsidRDefault="00B40F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0352F"/>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15:restartNumberingAfterBreak="0">
    <w:nsid w:val="0E631F8E"/>
    <w:multiLevelType w:val="hybridMultilevel"/>
    <w:tmpl w:val="9B76AF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259464E7"/>
    <w:multiLevelType w:val="hybridMultilevel"/>
    <w:tmpl w:val="D0B2E384"/>
    <w:lvl w:ilvl="0" w:tplc="0C09000F">
      <w:start w:val="1"/>
      <w:numFmt w:val="decimal"/>
      <w:lvlText w:val="%1."/>
      <w:lvlJc w:val="left"/>
      <w:pPr>
        <w:ind w:left="842" w:hanging="360"/>
      </w:pPr>
    </w:lvl>
    <w:lvl w:ilvl="1" w:tplc="0C090019" w:tentative="1">
      <w:start w:val="1"/>
      <w:numFmt w:val="lowerLetter"/>
      <w:lvlText w:val="%2."/>
      <w:lvlJc w:val="left"/>
      <w:pPr>
        <w:ind w:left="1562" w:hanging="360"/>
      </w:pPr>
    </w:lvl>
    <w:lvl w:ilvl="2" w:tplc="0C09001B" w:tentative="1">
      <w:start w:val="1"/>
      <w:numFmt w:val="lowerRoman"/>
      <w:lvlText w:val="%3."/>
      <w:lvlJc w:val="right"/>
      <w:pPr>
        <w:ind w:left="2282" w:hanging="180"/>
      </w:pPr>
    </w:lvl>
    <w:lvl w:ilvl="3" w:tplc="0C09000F" w:tentative="1">
      <w:start w:val="1"/>
      <w:numFmt w:val="decimal"/>
      <w:lvlText w:val="%4."/>
      <w:lvlJc w:val="left"/>
      <w:pPr>
        <w:ind w:left="3002" w:hanging="360"/>
      </w:pPr>
    </w:lvl>
    <w:lvl w:ilvl="4" w:tplc="0C090019" w:tentative="1">
      <w:start w:val="1"/>
      <w:numFmt w:val="lowerLetter"/>
      <w:lvlText w:val="%5."/>
      <w:lvlJc w:val="left"/>
      <w:pPr>
        <w:ind w:left="3722" w:hanging="360"/>
      </w:pPr>
    </w:lvl>
    <w:lvl w:ilvl="5" w:tplc="0C09001B" w:tentative="1">
      <w:start w:val="1"/>
      <w:numFmt w:val="lowerRoman"/>
      <w:lvlText w:val="%6."/>
      <w:lvlJc w:val="right"/>
      <w:pPr>
        <w:ind w:left="4442" w:hanging="180"/>
      </w:pPr>
    </w:lvl>
    <w:lvl w:ilvl="6" w:tplc="0C09000F" w:tentative="1">
      <w:start w:val="1"/>
      <w:numFmt w:val="decimal"/>
      <w:lvlText w:val="%7."/>
      <w:lvlJc w:val="left"/>
      <w:pPr>
        <w:ind w:left="5162" w:hanging="360"/>
      </w:pPr>
    </w:lvl>
    <w:lvl w:ilvl="7" w:tplc="0C090019" w:tentative="1">
      <w:start w:val="1"/>
      <w:numFmt w:val="lowerLetter"/>
      <w:lvlText w:val="%8."/>
      <w:lvlJc w:val="left"/>
      <w:pPr>
        <w:ind w:left="5882" w:hanging="360"/>
      </w:pPr>
    </w:lvl>
    <w:lvl w:ilvl="8" w:tplc="0C09001B" w:tentative="1">
      <w:start w:val="1"/>
      <w:numFmt w:val="lowerRoman"/>
      <w:lvlText w:val="%9."/>
      <w:lvlJc w:val="right"/>
      <w:pPr>
        <w:ind w:left="6602" w:hanging="180"/>
      </w:pPr>
    </w:lvl>
  </w:abstractNum>
  <w:abstractNum w:abstractNumId="3" w15:restartNumberingAfterBreak="0">
    <w:nsid w:val="2C2677DC"/>
    <w:multiLevelType w:val="hybridMultilevel"/>
    <w:tmpl w:val="D0B2E384"/>
    <w:lvl w:ilvl="0" w:tplc="0C09000F">
      <w:start w:val="1"/>
      <w:numFmt w:val="decimal"/>
      <w:lvlText w:val="%1."/>
      <w:lvlJc w:val="left"/>
      <w:pPr>
        <w:ind w:left="842" w:hanging="360"/>
      </w:pPr>
    </w:lvl>
    <w:lvl w:ilvl="1" w:tplc="0C090019" w:tentative="1">
      <w:start w:val="1"/>
      <w:numFmt w:val="lowerLetter"/>
      <w:lvlText w:val="%2."/>
      <w:lvlJc w:val="left"/>
      <w:pPr>
        <w:ind w:left="1562" w:hanging="360"/>
      </w:pPr>
    </w:lvl>
    <w:lvl w:ilvl="2" w:tplc="0C09001B" w:tentative="1">
      <w:start w:val="1"/>
      <w:numFmt w:val="lowerRoman"/>
      <w:lvlText w:val="%3."/>
      <w:lvlJc w:val="right"/>
      <w:pPr>
        <w:ind w:left="2282" w:hanging="180"/>
      </w:pPr>
    </w:lvl>
    <w:lvl w:ilvl="3" w:tplc="0C09000F" w:tentative="1">
      <w:start w:val="1"/>
      <w:numFmt w:val="decimal"/>
      <w:lvlText w:val="%4."/>
      <w:lvlJc w:val="left"/>
      <w:pPr>
        <w:ind w:left="3002" w:hanging="360"/>
      </w:pPr>
    </w:lvl>
    <w:lvl w:ilvl="4" w:tplc="0C090019" w:tentative="1">
      <w:start w:val="1"/>
      <w:numFmt w:val="lowerLetter"/>
      <w:lvlText w:val="%5."/>
      <w:lvlJc w:val="left"/>
      <w:pPr>
        <w:ind w:left="3722" w:hanging="360"/>
      </w:pPr>
    </w:lvl>
    <w:lvl w:ilvl="5" w:tplc="0C09001B" w:tentative="1">
      <w:start w:val="1"/>
      <w:numFmt w:val="lowerRoman"/>
      <w:lvlText w:val="%6."/>
      <w:lvlJc w:val="right"/>
      <w:pPr>
        <w:ind w:left="4442" w:hanging="180"/>
      </w:pPr>
    </w:lvl>
    <w:lvl w:ilvl="6" w:tplc="0C09000F" w:tentative="1">
      <w:start w:val="1"/>
      <w:numFmt w:val="decimal"/>
      <w:lvlText w:val="%7."/>
      <w:lvlJc w:val="left"/>
      <w:pPr>
        <w:ind w:left="5162" w:hanging="360"/>
      </w:pPr>
    </w:lvl>
    <w:lvl w:ilvl="7" w:tplc="0C090019" w:tentative="1">
      <w:start w:val="1"/>
      <w:numFmt w:val="lowerLetter"/>
      <w:lvlText w:val="%8."/>
      <w:lvlJc w:val="left"/>
      <w:pPr>
        <w:ind w:left="5882" w:hanging="360"/>
      </w:pPr>
    </w:lvl>
    <w:lvl w:ilvl="8" w:tplc="0C09001B" w:tentative="1">
      <w:start w:val="1"/>
      <w:numFmt w:val="lowerRoman"/>
      <w:lvlText w:val="%9."/>
      <w:lvlJc w:val="right"/>
      <w:pPr>
        <w:ind w:left="6602" w:hanging="180"/>
      </w:pPr>
    </w:lvl>
  </w:abstractNum>
  <w:abstractNum w:abstractNumId="4" w15:restartNumberingAfterBreak="0">
    <w:nsid w:val="4DEB79ED"/>
    <w:multiLevelType w:val="multilevel"/>
    <w:tmpl w:val="6B1A3A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7517878"/>
    <w:multiLevelType w:val="hybridMultilevel"/>
    <w:tmpl w:val="D0B2E384"/>
    <w:lvl w:ilvl="0" w:tplc="0C09000F">
      <w:start w:val="1"/>
      <w:numFmt w:val="decimal"/>
      <w:lvlText w:val="%1."/>
      <w:lvlJc w:val="left"/>
      <w:pPr>
        <w:ind w:left="842" w:hanging="360"/>
      </w:pPr>
    </w:lvl>
    <w:lvl w:ilvl="1" w:tplc="0C090019" w:tentative="1">
      <w:start w:val="1"/>
      <w:numFmt w:val="lowerLetter"/>
      <w:lvlText w:val="%2."/>
      <w:lvlJc w:val="left"/>
      <w:pPr>
        <w:ind w:left="1562" w:hanging="360"/>
      </w:pPr>
    </w:lvl>
    <w:lvl w:ilvl="2" w:tplc="0C09001B" w:tentative="1">
      <w:start w:val="1"/>
      <w:numFmt w:val="lowerRoman"/>
      <w:lvlText w:val="%3."/>
      <w:lvlJc w:val="right"/>
      <w:pPr>
        <w:ind w:left="2282" w:hanging="180"/>
      </w:pPr>
    </w:lvl>
    <w:lvl w:ilvl="3" w:tplc="0C09000F" w:tentative="1">
      <w:start w:val="1"/>
      <w:numFmt w:val="decimal"/>
      <w:lvlText w:val="%4."/>
      <w:lvlJc w:val="left"/>
      <w:pPr>
        <w:ind w:left="3002" w:hanging="360"/>
      </w:pPr>
    </w:lvl>
    <w:lvl w:ilvl="4" w:tplc="0C090019" w:tentative="1">
      <w:start w:val="1"/>
      <w:numFmt w:val="lowerLetter"/>
      <w:lvlText w:val="%5."/>
      <w:lvlJc w:val="left"/>
      <w:pPr>
        <w:ind w:left="3722" w:hanging="360"/>
      </w:pPr>
    </w:lvl>
    <w:lvl w:ilvl="5" w:tplc="0C09001B" w:tentative="1">
      <w:start w:val="1"/>
      <w:numFmt w:val="lowerRoman"/>
      <w:lvlText w:val="%6."/>
      <w:lvlJc w:val="right"/>
      <w:pPr>
        <w:ind w:left="4442" w:hanging="180"/>
      </w:pPr>
    </w:lvl>
    <w:lvl w:ilvl="6" w:tplc="0C09000F" w:tentative="1">
      <w:start w:val="1"/>
      <w:numFmt w:val="decimal"/>
      <w:lvlText w:val="%7."/>
      <w:lvlJc w:val="left"/>
      <w:pPr>
        <w:ind w:left="5162" w:hanging="360"/>
      </w:pPr>
    </w:lvl>
    <w:lvl w:ilvl="7" w:tplc="0C090019" w:tentative="1">
      <w:start w:val="1"/>
      <w:numFmt w:val="lowerLetter"/>
      <w:lvlText w:val="%8."/>
      <w:lvlJc w:val="left"/>
      <w:pPr>
        <w:ind w:left="5882" w:hanging="360"/>
      </w:pPr>
    </w:lvl>
    <w:lvl w:ilvl="8" w:tplc="0C09001B" w:tentative="1">
      <w:start w:val="1"/>
      <w:numFmt w:val="lowerRoman"/>
      <w:lvlText w:val="%9."/>
      <w:lvlJc w:val="right"/>
      <w:pPr>
        <w:ind w:left="6602" w:hanging="180"/>
      </w:pPr>
    </w:lvl>
  </w:abstractNum>
  <w:abstractNum w:abstractNumId="6" w15:restartNumberingAfterBreak="0">
    <w:nsid w:val="65F826CB"/>
    <w:multiLevelType w:val="hybridMultilevel"/>
    <w:tmpl w:val="D0B2E384"/>
    <w:lvl w:ilvl="0" w:tplc="0C09000F">
      <w:start w:val="1"/>
      <w:numFmt w:val="decimal"/>
      <w:lvlText w:val="%1."/>
      <w:lvlJc w:val="left"/>
      <w:pPr>
        <w:ind w:left="842" w:hanging="360"/>
      </w:pPr>
    </w:lvl>
    <w:lvl w:ilvl="1" w:tplc="0C090019" w:tentative="1">
      <w:start w:val="1"/>
      <w:numFmt w:val="lowerLetter"/>
      <w:lvlText w:val="%2."/>
      <w:lvlJc w:val="left"/>
      <w:pPr>
        <w:ind w:left="1562" w:hanging="360"/>
      </w:pPr>
    </w:lvl>
    <w:lvl w:ilvl="2" w:tplc="0C09001B" w:tentative="1">
      <w:start w:val="1"/>
      <w:numFmt w:val="lowerRoman"/>
      <w:lvlText w:val="%3."/>
      <w:lvlJc w:val="right"/>
      <w:pPr>
        <w:ind w:left="2282" w:hanging="180"/>
      </w:pPr>
    </w:lvl>
    <w:lvl w:ilvl="3" w:tplc="0C09000F" w:tentative="1">
      <w:start w:val="1"/>
      <w:numFmt w:val="decimal"/>
      <w:lvlText w:val="%4."/>
      <w:lvlJc w:val="left"/>
      <w:pPr>
        <w:ind w:left="3002" w:hanging="360"/>
      </w:pPr>
    </w:lvl>
    <w:lvl w:ilvl="4" w:tplc="0C090019" w:tentative="1">
      <w:start w:val="1"/>
      <w:numFmt w:val="lowerLetter"/>
      <w:lvlText w:val="%5."/>
      <w:lvlJc w:val="left"/>
      <w:pPr>
        <w:ind w:left="3722" w:hanging="360"/>
      </w:pPr>
    </w:lvl>
    <w:lvl w:ilvl="5" w:tplc="0C09001B" w:tentative="1">
      <w:start w:val="1"/>
      <w:numFmt w:val="lowerRoman"/>
      <w:lvlText w:val="%6."/>
      <w:lvlJc w:val="right"/>
      <w:pPr>
        <w:ind w:left="4442" w:hanging="180"/>
      </w:pPr>
    </w:lvl>
    <w:lvl w:ilvl="6" w:tplc="0C09000F" w:tentative="1">
      <w:start w:val="1"/>
      <w:numFmt w:val="decimal"/>
      <w:lvlText w:val="%7."/>
      <w:lvlJc w:val="left"/>
      <w:pPr>
        <w:ind w:left="5162" w:hanging="360"/>
      </w:pPr>
    </w:lvl>
    <w:lvl w:ilvl="7" w:tplc="0C090019" w:tentative="1">
      <w:start w:val="1"/>
      <w:numFmt w:val="lowerLetter"/>
      <w:lvlText w:val="%8."/>
      <w:lvlJc w:val="left"/>
      <w:pPr>
        <w:ind w:left="5882" w:hanging="360"/>
      </w:pPr>
    </w:lvl>
    <w:lvl w:ilvl="8" w:tplc="0C09001B" w:tentative="1">
      <w:start w:val="1"/>
      <w:numFmt w:val="lowerRoman"/>
      <w:lvlText w:val="%9."/>
      <w:lvlJc w:val="right"/>
      <w:pPr>
        <w:ind w:left="6602" w:hanging="180"/>
      </w:pPr>
    </w:lvl>
  </w:abstractNum>
  <w:abstractNum w:abstractNumId="7" w15:restartNumberingAfterBreak="0">
    <w:nsid w:val="6AFF10FB"/>
    <w:multiLevelType w:val="hybridMultilevel"/>
    <w:tmpl w:val="38740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6"/>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0252F"/>
    <w:rsid w:val="00022135"/>
    <w:rsid w:val="0002493A"/>
    <w:rsid w:val="000373C0"/>
    <w:rsid w:val="000542DF"/>
    <w:rsid w:val="0006042B"/>
    <w:rsid w:val="00072E17"/>
    <w:rsid w:val="00094B56"/>
    <w:rsid w:val="000A1739"/>
    <w:rsid w:val="000B1472"/>
    <w:rsid w:val="000B768C"/>
    <w:rsid w:val="000C01E8"/>
    <w:rsid w:val="000C1860"/>
    <w:rsid w:val="000D3C29"/>
    <w:rsid w:val="000D4BBA"/>
    <w:rsid w:val="000D64FF"/>
    <w:rsid w:val="000E2DF9"/>
    <w:rsid w:val="00125FCC"/>
    <w:rsid w:val="00130813"/>
    <w:rsid w:val="00153D14"/>
    <w:rsid w:val="001625E2"/>
    <w:rsid w:val="00166816"/>
    <w:rsid w:val="001A44DF"/>
    <w:rsid w:val="001B6EC4"/>
    <w:rsid w:val="001C52AB"/>
    <w:rsid w:val="001D1E86"/>
    <w:rsid w:val="001E4CD9"/>
    <w:rsid w:val="001E53CE"/>
    <w:rsid w:val="0020252F"/>
    <w:rsid w:val="002139F6"/>
    <w:rsid w:val="00216B90"/>
    <w:rsid w:val="00226CD2"/>
    <w:rsid w:val="0023152E"/>
    <w:rsid w:val="00272A24"/>
    <w:rsid w:val="00280EA7"/>
    <w:rsid w:val="002A3867"/>
    <w:rsid w:val="002A4FC9"/>
    <w:rsid w:val="002B576B"/>
    <w:rsid w:val="002C5125"/>
    <w:rsid w:val="002E48F9"/>
    <w:rsid w:val="002F492C"/>
    <w:rsid w:val="002F783D"/>
    <w:rsid w:val="00300715"/>
    <w:rsid w:val="00313149"/>
    <w:rsid w:val="0031603F"/>
    <w:rsid w:val="0036230B"/>
    <w:rsid w:val="003679B5"/>
    <w:rsid w:val="00367C2F"/>
    <w:rsid w:val="00381616"/>
    <w:rsid w:val="00383E36"/>
    <w:rsid w:val="00391AB9"/>
    <w:rsid w:val="003A460C"/>
    <w:rsid w:val="003B0DAD"/>
    <w:rsid w:val="003B5FAC"/>
    <w:rsid w:val="003B70B6"/>
    <w:rsid w:val="003C4367"/>
    <w:rsid w:val="003C603E"/>
    <w:rsid w:val="003C6439"/>
    <w:rsid w:val="003E569D"/>
    <w:rsid w:val="003F05A4"/>
    <w:rsid w:val="00401E22"/>
    <w:rsid w:val="00402487"/>
    <w:rsid w:val="004232DD"/>
    <w:rsid w:val="0045168E"/>
    <w:rsid w:val="0045656B"/>
    <w:rsid w:val="00460149"/>
    <w:rsid w:val="00477BEB"/>
    <w:rsid w:val="00494037"/>
    <w:rsid w:val="00496A2B"/>
    <w:rsid w:val="004A48A3"/>
    <w:rsid w:val="004D5D8B"/>
    <w:rsid w:val="004D703B"/>
    <w:rsid w:val="004E7C9B"/>
    <w:rsid w:val="004F1EE9"/>
    <w:rsid w:val="004F3A0D"/>
    <w:rsid w:val="00512F5E"/>
    <w:rsid w:val="00513B54"/>
    <w:rsid w:val="00530866"/>
    <w:rsid w:val="00546BAC"/>
    <w:rsid w:val="00593876"/>
    <w:rsid w:val="005C0DBA"/>
    <w:rsid w:val="005C66F8"/>
    <w:rsid w:val="005D2D55"/>
    <w:rsid w:val="00620F49"/>
    <w:rsid w:val="006420A3"/>
    <w:rsid w:val="00663FEB"/>
    <w:rsid w:val="00677CAD"/>
    <w:rsid w:val="00692B6E"/>
    <w:rsid w:val="00693B33"/>
    <w:rsid w:val="006954EE"/>
    <w:rsid w:val="006B6285"/>
    <w:rsid w:val="006B6C8B"/>
    <w:rsid w:val="006D149D"/>
    <w:rsid w:val="006D207A"/>
    <w:rsid w:val="006D6CA0"/>
    <w:rsid w:val="006E0F26"/>
    <w:rsid w:val="006E265C"/>
    <w:rsid w:val="006E2A8C"/>
    <w:rsid w:val="006F28A4"/>
    <w:rsid w:val="007010B0"/>
    <w:rsid w:val="007041C9"/>
    <w:rsid w:val="00712EF5"/>
    <w:rsid w:val="00713300"/>
    <w:rsid w:val="007174B1"/>
    <w:rsid w:val="00745FBE"/>
    <w:rsid w:val="007801C7"/>
    <w:rsid w:val="007937A0"/>
    <w:rsid w:val="007A6C62"/>
    <w:rsid w:val="007E6866"/>
    <w:rsid w:val="00800147"/>
    <w:rsid w:val="008228D4"/>
    <w:rsid w:val="00833E90"/>
    <w:rsid w:val="008376BE"/>
    <w:rsid w:val="008433F8"/>
    <w:rsid w:val="00856AF0"/>
    <w:rsid w:val="00866FF4"/>
    <w:rsid w:val="008760F3"/>
    <w:rsid w:val="00880702"/>
    <w:rsid w:val="0089516E"/>
    <w:rsid w:val="008A5827"/>
    <w:rsid w:val="008C1D48"/>
    <w:rsid w:val="00926884"/>
    <w:rsid w:val="00927374"/>
    <w:rsid w:val="00950B46"/>
    <w:rsid w:val="009532E1"/>
    <w:rsid w:val="009659B5"/>
    <w:rsid w:val="00967AAB"/>
    <w:rsid w:val="00970E3E"/>
    <w:rsid w:val="009C0DE0"/>
    <w:rsid w:val="009D58F1"/>
    <w:rsid w:val="009D6EEC"/>
    <w:rsid w:val="009E6FF7"/>
    <w:rsid w:val="009F0BDF"/>
    <w:rsid w:val="00A14913"/>
    <w:rsid w:val="00A3514B"/>
    <w:rsid w:val="00A577FC"/>
    <w:rsid w:val="00A61B7F"/>
    <w:rsid w:val="00A62261"/>
    <w:rsid w:val="00A744B7"/>
    <w:rsid w:val="00A94695"/>
    <w:rsid w:val="00A97235"/>
    <w:rsid w:val="00AB7998"/>
    <w:rsid w:val="00AB7FD2"/>
    <w:rsid w:val="00AC15BC"/>
    <w:rsid w:val="00AD7CA4"/>
    <w:rsid w:val="00AE65A6"/>
    <w:rsid w:val="00AE74CD"/>
    <w:rsid w:val="00B140EA"/>
    <w:rsid w:val="00B22C43"/>
    <w:rsid w:val="00B23527"/>
    <w:rsid w:val="00B26750"/>
    <w:rsid w:val="00B31E30"/>
    <w:rsid w:val="00B32E85"/>
    <w:rsid w:val="00B40169"/>
    <w:rsid w:val="00B40FFF"/>
    <w:rsid w:val="00B43E5B"/>
    <w:rsid w:val="00B50EA0"/>
    <w:rsid w:val="00B56FA9"/>
    <w:rsid w:val="00B600D2"/>
    <w:rsid w:val="00B71369"/>
    <w:rsid w:val="00B735DD"/>
    <w:rsid w:val="00B75BB1"/>
    <w:rsid w:val="00B82306"/>
    <w:rsid w:val="00B94B1E"/>
    <w:rsid w:val="00BA5C11"/>
    <w:rsid w:val="00BB2701"/>
    <w:rsid w:val="00BD18E3"/>
    <w:rsid w:val="00BF0819"/>
    <w:rsid w:val="00C044A6"/>
    <w:rsid w:val="00C06431"/>
    <w:rsid w:val="00C120D6"/>
    <w:rsid w:val="00C2533A"/>
    <w:rsid w:val="00C25921"/>
    <w:rsid w:val="00C36F55"/>
    <w:rsid w:val="00C47788"/>
    <w:rsid w:val="00C57C08"/>
    <w:rsid w:val="00C62C0B"/>
    <w:rsid w:val="00C955E9"/>
    <w:rsid w:val="00C9749D"/>
    <w:rsid w:val="00CA1387"/>
    <w:rsid w:val="00CA265D"/>
    <w:rsid w:val="00CA7E3E"/>
    <w:rsid w:val="00CB5F3B"/>
    <w:rsid w:val="00CC5891"/>
    <w:rsid w:val="00CD2146"/>
    <w:rsid w:val="00CD6158"/>
    <w:rsid w:val="00CF210C"/>
    <w:rsid w:val="00D02FC6"/>
    <w:rsid w:val="00D84E1A"/>
    <w:rsid w:val="00D91328"/>
    <w:rsid w:val="00DA69CD"/>
    <w:rsid w:val="00DD166F"/>
    <w:rsid w:val="00DE70D9"/>
    <w:rsid w:val="00E1065D"/>
    <w:rsid w:val="00E4315A"/>
    <w:rsid w:val="00E50409"/>
    <w:rsid w:val="00E66777"/>
    <w:rsid w:val="00E83AB6"/>
    <w:rsid w:val="00EE6E15"/>
    <w:rsid w:val="00EF171B"/>
    <w:rsid w:val="00EF241E"/>
    <w:rsid w:val="00F10AC5"/>
    <w:rsid w:val="00F27466"/>
    <w:rsid w:val="00F276CE"/>
    <w:rsid w:val="00F6312D"/>
    <w:rsid w:val="00F63F9F"/>
    <w:rsid w:val="00F64047"/>
    <w:rsid w:val="00F72D6D"/>
    <w:rsid w:val="00F842D4"/>
    <w:rsid w:val="00F8656F"/>
    <w:rsid w:val="00F95BBE"/>
    <w:rsid w:val="00FA193F"/>
    <w:rsid w:val="00FE26E9"/>
    <w:rsid w:val="00FE2DB6"/>
    <w:rsid w:val="00FF4F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9E0A49"/>
  <w15:chartTrackingRefBased/>
  <w15:docId w15:val="{F6F2567B-5EF3-4F32-83F8-E384A2C46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52F"/>
    <w:pPr>
      <w:spacing w:after="200" w:line="360" w:lineRule="auto"/>
      <w:jc w:val="both"/>
    </w:pPr>
    <w:rPr>
      <w:rFonts w:ascii="Arial" w:eastAsia="Calibri" w:hAnsi="Arial" w:cs="Times New Roman"/>
      <w:lang w:val="en-US"/>
    </w:rPr>
  </w:style>
  <w:style w:type="paragraph" w:styleId="Heading1">
    <w:name w:val="heading 1"/>
    <w:basedOn w:val="Normal"/>
    <w:next w:val="Normal"/>
    <w:link w:val="Heading1Char"/>
    <w:uiPriority w:val="9"/>
    <w:qFormat/>
    <w:rsid w:val="0020252F"/>
    <w:pPr>
      <w:keepNext/>
      <w:keepLines/>
      <w:pageBreakBefore/>
      <w:spacing w:before="480" w:after="0"/>
      <w:ind w:left="360" w:hanging="360"/>
      <w:outlineLvl w:val="0"/>
    </w:pPr>
    <w:rPr>
      <w:rFonts w:eastAsia="Times New Roman"/>
      <w:b/>
      <w:bCs/>
      <w:caps/>
      <w:sz w:val="28"/>
      <w:szCs w:val="28"/>
    </w:rPr>
  </w:style>
  <w:style w:type="paragraph" w:styleId="Heading2">
    <w:name w:val="heading 2"/>
    <w:basedOn w:val="Normal"/>
    <w:next w:val="Normal"/>
    <w:link w:val="Heading2Char"/>
    <w:uiPriority w:val="9"/>
    <w:qFormat/>
    <w:rsid w:val="0020252F"/>
    <w:pPr>
      <w:keepNext/>
      <w:spacing w:before="240" w:after="60"/>
      <w:ind w:left="792" w:hanging="432"/>
      <w:outlineLvl w:val="1"/>
    </w:pPr>
    <w:rPr>
      <w:rFonts w:eastAsia="Times New Roman"/>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52F"/>
    <w:rPr>
      <w:rFonts w:ascii="Arial" w:eastAsia="Times New Roman" w:hAnsi="Arial" w:cs="Times New Roman"/>
      <w:b/>
      <w:bCs/>
      <w:caps/>
      <w:sz w:val="28"/>
      <w:szCs w:val="28"/>
      <w:lang w:val="en-US"/>
    </w:rPr>
  </w:style>
  <w:style w:type="character" w:customStyle="1" w:styleId="Heading2Char">
    <w:name w:val="Heading 2 Char"/>
    <w:basedOn w:val="DefaultParagraphFont"/>
    <w:link w:val="Heading2"/>
    <w:uiPriority w:val="9"/>
    <w:rsid w:val="0020252F"/>
    <w:rPr>
      <w:rFonts w:ascii="Arial" w:eastAsia="Times New Roman" w:hAnsi="Arial" w:cs="Times New Roman"/>
      <w:b/>
      <w:bCs/>
      <w:iCs/>
      <w:sz w:val="28"/>
      <w:szCs w:val="28"/>
      <w:lang w:val="en-US"/>
    </w:rPr>
  </w:style>
  <w:style w:type="paragraph" w:customStyle="1" w:styleId="Default">
    <w:name w:val="Default"/>
    <w:rsid w:val="0020252F"/>
    <w:pPr>
      <w:autoSpaceDE w:val="0"/>
      <w:autoSpaceDN w:val="0"/>
      <w:adjustRightInd w:val="0"/>
      <w:spacing w:after="0" w:line="240" w:lineRule="auto"/>
    </w:pPr>
    <w:rPr>
      <w:rFonts w:ascii="Arial" w:eastAsia="Times New Roman" w:hAnsi="Arial" w:cs="Garamond"/>
      <w:color w:val="000000"/>
      <w:szCs w:val="24"/>
      <w:lang w:eastAsia="en-AU"/>
    </w:rPr>
  </w:style>
  <w:style w:type="paragraph" w:styleId="Title">
    <w:name w:val="Title"/>
    <w:basedOn w:val="Default"/>
    <w:link w:val="TitleChar"/>
    <w:qFormat/>
    <w:rsid w:val="0020252F"/>
    <w:pPr>
      <w:ind w:right="-83"/>
      <w:jc w:val="center"/>
    </w:pPr>
    <w:rPr>
      <w:rFonts w:cs="Arial"/>
      <w:b/>
      <w:sz w:val="36"/>
      <w:szCs w:val="36"/>
    </w:rPr>
  </w:style>
  <w:style w:type="character" w:customStyle="1" w:styleId="TitleChar">
    <w:name w:val="Title Char"/>
    <w:basedOn w:val="DefaultParagraphFont"/>
    <w:link w:val="Title"/>
    <w:rsid w:val="0020252F"/>
    <w:rPr>
      <w:rFonts w:ascii="Arial" w:eastAsia="Times New Roman" w:hAnsi="Arial" w:cs="Arial"/>
      <w:b/>
      <w:color w:val="000000"/>
      <w:sz w:val="36"/>
      <w:szCs w:val="36"/>
      <w:lang w:eastAsia="en-AU"/>
    </w:rPr>
  </w:style>
  <w:style w:type="paragraph" w:customStyle="1" w:styleId="SubTitle">
    <w:name w:val="Sub Title"/>
    <w:basedOn w:val="Title"/>
    <w:qFormat/>
    <w:rsid w:val="0020252F"/>
    <w:rPr>
      <w:sz w:val="28"/>
      <w:szCs w:val="28"/>
    </w:rPr>
  </w:style>
  <w:style w:type="paragraph" w:customStyle="1" w:styleId="AuthorTitle">
    <w:name w:val="Author Title"/>
    <w:basedOn w:val="Default"/>
    <w:qFormat/>
    <w:rsid w:val="0020252F"/>
    <w:pPr>
      <w:ind w:right="-83"/>
      <w:jc w:val="center"/>
    </w:pPr>
    <w:rPr>
      <w:b/>
      <w:bCs/>
      <w:sz w:val="32"/>
      <w:szCs w:val="32"/>
      <w:lang w:val="de-DE"/>
    </w:rPr>
  </w:style>
  <w:style w:type="paragraph" w:customStyle="1" w:styleId="DateTitle">
    <w:name w:val="Date Title"/>
    <w:basedOn w:val="Default"/>
    <w:qFormat/>
    <w:rsid w:val="0020252F"/>
    <w:pPr>
      <w:ind w:right="-83"/>
      <w:jc w:val="center"/>
    </w:pPr>
    <w:rPr>
      <w:b/>
      <w:bCs/>
      <w:sz w:val="28"/>
      <w:szCs w:val="28"/>
    </w:rPr>
  </w:style>
  <w:style w:type="paragraph" w:customStyle="1" w:styleId="ReportInformation">
    <w:name w:val="Report Information"/>
    <w:basedOn w:val="Default"/>
    <w:qFormat/>
    <w:rsid w:val="0020252F"/>
    <w:pPr>
      <w:ind w:right="-83"/>
      <w:jc w:val="center"/>
    </w:pPr>
    <w:rPr>
      <w:b/>
      <w:bCs/>
      <w:sz w:val="28"/>
      <w:szCs w:val="28"/>
    </w:rPr>
  </w:style>
  <w:style w:type="paragraph" w:customStyle="1" w:styleId="TableofContents">
    <w:name w:val="Table of Contents"/>
    <w:basedOn w:val="Normal"/>
    <w:next w:val="Normal"/>
    <w:qFormat/>
    <w:rsid w:val="0020252F"/>
    <w:rPr>
      <w:b/>
      <w:caps/>
    </w:rPr>
  </w:style>
  <w:style w:type="paragraph" w:styleId="TOC1">
    <w:name w:val="toc 1"/>
    <w:basedOn w:val="Normal"/>
    <w:next w:val="Normal"/>
    <w:autoRedefine/>
    <w:uiPriority w:val="39"/>
    <w:unhideWhenUsed/>
    <w:rsid w:val="0020252F"/>
    <w:pPr>
      <w:tabs>
        <w:tab w:val="left" w:pos="440"/>
        <w:tab w:val="right" w:leader="dot" w:pos="9350"/>
      </w:tabs>
      <w:spacing w:after="0"/>
    </w:pPr>
    <w:rPr>
      <w:caps/>
    </w:rPr>
  </w:style>
  <w:style w:type="character" w:styleId="Hyperlink">
    <w:name w:val="Hyperlink"/>
    <w:basedOn w:val="DefaultParagraphFont"/>
    <w:uiPriority w:val="99"/>
    <w:unhideWhenUsed/>
    <w:rsid w:val="0020252F"/>
    <w:rPr>
      <w:color w:val="0000FF"/>
      <w:u w:val="single"/>
    </w:rPr>
  </w:style>
  <w:style w:type="paragraph" w:styleId="TOC2">
    <w:name w:val="toc 2"/>
    <w:basedOn w:val="Normal"/>
    <w:next w:val="Normal"/>
    <w:autoRedefine/>
    <w:uiPriority w:val="39"/>
    <w:unhideWhenUsed/>
    <w:rsid w:val="0020252F"/>
    <w:pPr>
      <w:tabs>
        <w:tab w:val="left" w:pos="880"/>
        <w:tab w:val="right" w:leader="dot" w:pos="9350"/>
      </w:tabs>
      <w:spacing w:after="0"/>
      <w:ind w:left="221"/>
    </w:pPr>
  </w:style>
  <w:style w:type="paragraph" w:styleId="Header">
    <w:name w:val="header"/>
    <w:basedOn w:val="Normal"/>
    <w:link w:val="HeaderChar"/>
    <w:unhideWhenUsed/>
    <w:rsid w:val="0020252F"/>
    <w:pPr>
      <w:tabs>
        <w:tab w:val="center" w:pos="4680"/>
        <w:tab w:val="right" w:pos="9360"/>
      </w:tabs>
    </w:pPr>
    <w:rPr>
      <w:sz w:val="16"/>
    </w:rPr>
  </w:style>
  <w:style w:type="character" w:customStyle="1" w:styleId="HeaderChar">
    <w:name w:val="Header Char"/>
    <w:basedOn w:val="DefaultParagraphFont"/>
    <w:link w:val="Header"/>
    <w:uiPriority w:val="99"/>
    <w:rsid w:val="0020252F"/>
    <w:rPr>
      <w:rFonts w:ascii="Arial" w:eastAsia="Calibri" w:hAnsi="Arial" w:cs="Times New Roman"/>
      <w:sz w:val="16"/>
      <w:lang w:val="en-US"/>
    </w:rPr>
  </w:style>
  <w:style w:type="paragraph" w:styleId="Footer">
    <w:name w:val="footer"/>
    <w:basedOn w:val="Normal"/>
    <w:link w:val="FooterChar"/>
    <w:uiPriority w:val="99"/>
    <w:unhideWhenUsed/>
    <w:rsid w:val="0020252F"/>
    <w:pPr>
      <w:tabs>
        <w:tab w:val="center" w:pos="4680"/>
        <w:tab w:val="right" w:pos="9360"/>
      </w:tabs>
    </w:pPr>
  </w:style>
  <w:style w:type="character" w:customStyle="1" w:styleId="FooterChar">
    <w:name w:val="Footer Char"/>
    <w:basedOn w:val="DefaultParagraphFont"/>
    <w:link w:val="Footer"/>
    <w:uiPriority w:val="99"/>
    <w:rsid w:val="0020252F"/>
    <w:rPr>
      <w:rFonts w:ascii="Arial" w:eastAsia="Calibri" w:hAnsi="Arial" w:cs="Times New Roman"/>
      <w:lang w:val="en-US"/>
    </w:rPr>
  </w:style>
  <w:style w:type="paragraph" w:styleId="BalloonText">
    <w:name w:val="Balloon Text"/>
    <w:basedOn w:val="Normal"/>
    <w:link w:val="BalloonTextChar"/>
    <w:uiPriority w:val="99"/>
    <w:semiHidden/>
    <w:unhideWhenUsed/>
    <w:rsid w:val="00202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52F"/>
    <w:rPr>
      <w:rFonts w:ascii="Tahoma" w:eastAsia="Calibri" w:hAnsi="Tahoma" w:cs="Tahoma"/>
      <w:sz w:val="16"/>
      <w:szCs w:val="16"/>
      <w:lang w:val="en-US"/>
    </w:rPr>
  </w:style>
  <w:style w:type="paragraph" w:customStyle="1" w:styleId="References">
    <w:name w:val="References"/>
    <w:basedOn w:val="Normal"/>
    <w:rsid w:val="0020252F"/>
    <w:pPr>
      <w:spacing w:after="240" w:line="240" w:lineRule="auto"/>
    </w:pPr>
  </w:style>
  <w:style w:type="paragraph" w:styleId="BodyText">
    <w:name w:val="Body Text"/>
    <w:basedOn w:val="Normal"/>
    <w:link w:val="BodyTextChar"/>
    <w:rsid w:val="0020252F"/>
    <w:pPr>
      <w:spacing w:before="240" w:after="0"/>
      <w:jc w:val="left"/>
    </w:pPr>
    <w:rPr>
      <w:rFonts w:ascii="Garamond" w:eastAsia="Times New Roman" w:hAnsi="Garamond"/>
      <w:szCs w:val="24"/>
      <w:lang w:val="en-AU"/>
    </w:rPr>
  </w:style>
  <w:style w:type="character" w:customStyle="1" w:styleId="BodyTextChar">
    <w:name w:val="Body Text Char"/>
    <w:basedOn w:val="DefaultParagraphFont"/>
    <w:link w:val="BodyText"/>
    <w:rsid w:val="0020252F"/>
    <w:rPr>
      <w:rFonts w:ascii="Garamond" w:eastAsia="Times New Roman" w:hAnsi="Garamond" w:cs="Times New Roman"/>
      <w:szCs w:val="24"/>
    </w:rPr>
  </w:style>
  <w:style w:type="paragraph" w:styleId="TOCHeading">
    <w:name w:val="TOC Heading"/>
    <w:basedOn w:val="Heading1"/>
    <w:next w:val="Normal"/>
    <w:uiPriority w:val="39"/>
    <w:semiHidden/>
    <w:unhideWhenUsed/>
    <w:qFormat/>
    <w:rsid w:val="0020252F"/>
    <w:pPr>
      <w:pageBreakBefore w:val="0"/>
      <w:spacing w:line="276" w:lineRule="auto"/>
      <w:ind w:left="0" w:firstLine="0"/>
      <w:jc w:val="left"/>
      <w:outlineLvl w:val="9"/>
    </w:pPr>
    <w:rPr>
      <w:rFonts w:asciiTheme="majorHAnsi" w:eastAsiaTheme="majorEastAsia" w:hAnsiTheme="majorHAnsi" w:cstheme="majorBidi"/>
      <w:caps w:val="0"/>
      <w:color w:val="2E74B5" w:themeColor="accent1" w:themeShade="BF"/>
    </w:rPr>
  </w:style>
  <w:style w:type="character" w:styleId="FollowedHyperlink">
    <w:name w:val="FollowedHyperlink"/>
    <w:basedOn w:val="DefaultParagraphFont"/>
    <w:uiPriority w:val="99"/>
    <w:semiHidden/>
    <w:unhideWhenUsed/>
    <w:rsid w:val="0020252F"/>
    <w:rPr>
      <w:color w:val="954F72" w:themeColor="followedHyperlink"/>
      <w:u w:val="single"/>
    </w:rPr>
  </w:style>
  <w:style w:type="paragraph" w:customStyle="1" w:styleId="EndNoteBibliographyTitle">
    <w:name w:val="EndNote Bibliography Title"/>
    <w:basedOn w:val="Normal"/>
    <w:link w:val="EndNoteBibliographyTitleChar"/>
    <w:rsid w:val="0020252F"/>
    <w:pPr>
      <w:spacing w:after="0"/>
      <w:jc w:val="center"/>
    </w:pPr>
    <w:rPr>
      <w:rFonts w:cs="Arial"/>
      <w:noProof/>
      <w:sz w:val="28"/>
    </w:rPr>
  </w:style>
  <w:style w:type="character" w:customStyle="1" w:styleId="EndNoteBibliographyTitleChar">
    <w:name w:val="EndNote Bibliography Title Char"/>
    <w:basedOn w:val="DefaultParagraphFont"/>
    <w:link w:val="EndNoteBibliographyTitle"/>
    <w:rsid w:val="0020252F"/>
    <w:rPr>
      <w:rFonts w:ascii="Arial" w:eastAsia="Calibri" w:hAnsi="Arial" w:cs="Arial"/>
      <w:noProof/>
      <w:sz w:val="28"/>
      <w:lang w:val="en-US"/>
    </w:rPr>
  </w:style>
  <w:style w:type="paragraph" w:customStyle="1" w:styleId="EndNoteBibliography">
    <w:name w:val="EndNote Bibliography"/>
    <w:basedOn w:val="Normal"/>
    <w:link w:val="EndNoteBibliographyChar"/>
    <w:rsid w:val="0020252F"/>
    <w:pPr>
      <w:spacing w:line="240" w:lineRule="auto"/>
    </w:pPr>
    <w:rPr>
      <w:rFonts w:cs="Arial"/>
      <w:noProof/>
      <w:sz w:val="28"/>
    </w:rPr>
  </w:style>
  <w:style w:type="character" w:customStyle="1" w:styleId="EndNoteBibliographyChar">
    <w:name w:val="EndNote Bibliography Char"/>
    <w:basedOn w:val="DefaultParagraphFont"/>
    <w:link w:val="EndNoteBibliography"/>
    <w:rsid w:val="0020252F"/>
    <w:rPr>
      <w:rFonts w:ascii="Arial" w:eastAsia="Calibri" w:hAnsi="Arial" w:cs="Arial"/>
      <w:noProof/>
      <w:sz w:val="28"/>
      <w:lang w:val="en-US"/>
    </w:rPr>
  </w:style>
  <w:style w:type="character" w:styleId="CommentReference">
    <w:name w:val="annotation reference"/>
    <w:basedOn w:val="DefaultParagraphFont"/>
    <w:uiPriority w:val="99"/>
    <w:semiHidden/>
    <w:unhideWhenUsed/>
    <w:rsid w:val="0020252F"/>
    <w:rPr>
      <w:sz w:val="16"/>
      <w:szCs w:val="16"/>
    </w:rPr>
  </w:style>
  <w:style w:type="paragraph" w:styleId="CommentText">
    <w:name w:val="annotation text"/>
    <w:basedOn w:val="Normal"/>
    <w:link w:val="CommentTextChar"/>
    <w:uiPriority w:val="99"/>
    <w:semiHidden/>
    <w:unhideWhenUsed/>
    <w:rsid w:val="0020252F"/>
    <w:pPr>
      <w:spacing w:after="160" w:line="240" w:lineRule="auto"/>
      <w:jc w:val="left"/>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semiHidden/>
    <w:rsid w:val="0020252F"/>
    <w:rPr>
      <w:sz w:val="20"/>
      <w:szCs w:val="20"/>
    </w:rPr>
  </w:style>
  <w:style w:type="table" w:styleId="TableGrid">
    <w:name w:val="Table Grid"/>
    <w:basedOn w:val="TableNormal"/>
    <w:rsid w:val="0020252F"/>
    <w:pPr>
      <w:spacing w:after="0" w:line="240" w:lineRule="auto"/>
    </w:pPr>
    <w:rPr>
      <w:rFonts w:ascii="Arial" w:eastAsia="Calibri"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0252F"/>
    <w:pPr>
      <w:spacing w:after="200"/>
      <w:jc w:val="both"/>
    </w:pPr>
    <w:rPr>
      <w:rFonts w:ascii="Arial" w:eastAsia="Calibri" w:hAnsi="Arial" w:cs="Times New Roman"/>
      <w:b/>
      <w:bCs/>
      <w:lang w:val="en-US"/>
    </w:rPr>
  </w:style>
  <w:style w:type="character" w:customStyle="1" w:styleId="CommentSubjectChar">
    <w:name w:val="Comment Subject Char"/>
    <w:basedOn w:val="CommentTextChar"/>
    <w:link w:val="CommentSubject"/>
    <w:uiPriority w:val="99"/>
    <w:semiHidden/>
    <w:rsid w:val="0020252F"/>
    <w:rPr>
      <w:rFonts w:ascii="Arial" w:eastAsia="Calibri" w:hAnsi="Arial" w:cs="Times New Roman"/>
      <w:b/>
      <w:bCs/>
      <w:sz w:val="20"/>
      <w:szCs w:val="20"/>
      <w:lang w:val="en-US"/>
    </w:rPr>
  </w:style>
  <w:style w:type="paragraph" w:styleId="ListParagraph">
    <w:name w:val="List Paragraph"/>
    <w:basedOn w:val="Normal"/>
    <w:uiPriority w:val="34"/>
    <w:qFormat/>
    <w:rsid w:val="0020252F"/>
    <w:pPr>
      <w:ind w:left="720"/>
      <w:contextualSpacing/>
    </w:pPr>
  </w:style>
  <w:style w:type="paragraph" w:styleId="Caption">
    <w:name w:val="caption"/>
    <w:basedOn w:val="Normal"/>
    <w:next w:val="Normal"/>
    <w:uiPriority w:val="35"/>
    <w:unhideWhenUsed/>
    <w:qFormat/>
    <w:rsid w:val="0020252F"/>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20252F"/>
    <w:pPr>
      <w:spacing w:after="0"/>
    </w:pPr>
  </w:style>
  <w:style w:type="paragraph" w:styleId="Revision">
    <w:name w:val="Revision"/>
    <w:hidden/>
    <w:uiPriority w:val="99"/>
    <w:semiHidden/>
    <w:rsid w:val="0020252F"/>
    <w:pPr>
      <w:spacing w:after="0" w:line="240" w:lineRule="auto"/>
    </w:pPr>
    <w:rPr>
      <w:rFonts w:ascii="Arial" w:eastAsia="Calibri" w:hAnsi="Arial"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tif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pir.sa.gov.au/research" TargetMode="External"/><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header" Target="header7.xml"/><Relationship Id="rId10" Type="http://schemas.openxmlformats.org/officeDocument/2006/relationships/image" Target="media/image1.jpeg"/><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s://www.mdba.gov.au/sites/default/files/pubs/long-term-e-water-plan-sa-river-murray-nov-15.PDF" TargetMode="External"/><Relationship Id="rId30" Type="http://schemas.openxmlformats.org/officeDocument/2006/relationships/footer" Target="footer5.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tif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5E92B059-DDD5-460E-8C3A-4550C2E9A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1A5B7C-6581-4B56-A6A3-D4161B7F3449}">
  <ds:schemaRefs>
    <ds:schemaRef ds:uri="http://schemas.microsoft.com/sharepoint/v3/contenttype/forms"/>
  </ds:schemaRefs>
</ds:datastoreItem>
</file>

<file path=customXml/itemProps3.xml><?xml version="1.0" encoding="utf-8"?>
<ds:datastoreItem xmlns:ds="http://schemas.openxmlformats.org/officeDocument/2006/customXml" ds:itemID="{A37D9DEF-F75F-45FB-9950-9E6464A135F8}">
  <ds:schemaRefs>
    <ds:schemaRef ds:uri="http://purl.org/dc/dcmitype/"/>
    <ds:schemaRef ds:uri="http://www.w3.org/XML/1998/namespace"/>
    <ds:schemaRef ds:uri="http://schemas.microsoft.com/office/2006/documentManagement/types"/>
    <ds:schemaRef ds:uri="http://purl.org/dc/terms/"/>
    <ds:schemaRef ds:uri="http://schemas.microsoft.com/office/2006/metadata/properties"/>
    <ds:schemaRef ds:uri="ac7ce04e-ea5d-4d46-bab0-39b1fa6a6f36"/>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F6723872.dotm</Template>
  <TotalTime>0</TotalTime>
  <Pages>31</Pages>
  <Words>8772</Words>
  <Characters>50006</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Lamprey migration in the lower River Murray in association with Commonwealth environmental water delivery in 2019</dc:title>
  <dc:subject/>
  <dc:creator>Bice, C., Zampatti, B., Ye, Q. and Giatas, G.</dc:creator>
  <cp:keywords/>
  <dc:description/>
  <cp:lastModifiedBy>Bec Durack</cp:lastModifiedBy>
  <cp:revision>2</cp:revision>
  <dcterms:created xsi:type="dcterms:W3CDTF">2020-06-30T05:36:00Z</dcterms:created>
  <dcterms:modified xsi:type="dcterms:W3CDTF">2020-06-30T05:36:00Z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