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noProof w:val="0"/>
          <w:sz w:val="3276"/>
          <w:szCs w:val="3276"/>
          <w:lang w:eastAsia="en-US"/>
        </w:rPr>
        <w:id w:val="10770609"/>
        <w:docPartObj>
          <w:docPartGallery w:val="Cover Pages"/>
          <w:docPartUnique/>
        </w:docPartObj>
      </w:sdtPr>
      <w:sdtEndPr>
        <w:rPr>
          <w:rFonts w:ascii="Calibri" w:eastAsia="Cambria" w:hAnsi="Calibri"/>
          <w:sz w:val="22"/>
          <w:szCs w:val="24"/>
        </w:rPr>
      </w:sdtEndPr>
      <w:sdtContent>
        <w:p w:rsidR="0048134E" w:rsidRDefault="0048134E" w:rsidP="00DA65C1">
          <w:pPr>
            <w:pStyle w:val="SpacingCoverPage"/>
          </w:pPr>
        </w:p>
        <w:p w:rsidR="004C5E8E" w:rsidRPr="004C5E8E" w:rsidRDefault="007637BE" w:rsidP="00DA65C1">
          <w:pPr>
            <w:spacing w:before="0" w:after="0" w:line="240" w:lineRule="auto"/>
          </w:pPr>
        </w:p>
      </w:sdtContent>
    </w:sdt>
    <w:sdt>
      <w:sdtPr>
        <w:rPr>
          <w:rFonts w:asciiTheme="minorHAnsi" w:eastAsiaTheme="minorEastAsia" w:hAnsiTheme="minorHAnsi"/>
          <w:sz w:val="3276"/>
          <w:szCs w:val="3276"/>
          <w:lang w:val="en-US"/>
        </w:rPr>
        <w:id w:val="10770611"/>
        <w:docPartObj>
          <w:docPartGallery w:val="Cover Pages"/>
          <w:docPartUnique/>
        </w:docPartObj>
      </w:sdtPr>
      <w:sdtEndPr>
        <w:rPr>
          <w:rFonts w:ascii="Calibri" w:eastAsia="Cambria" w:hAnsi="Calibri"/>
          <w:sz w:val="22"/>
          <w:szCs w:val="24"/>
          <w:lang w:val="en-AU"/>
        </w:rPr>
      </w:sdtEndPr>
      <w:sdtContent>
        <w:p w:rsidR="004C5E8E" w:rsidRPr="004C5E8E" w:rsidRDefault="004C5E8E" w:rsidP="00DA65C1">
          <w:pPr>
            <w:spacing w:before="0" w:after="0" w:line="250" w:lineRule="atLeast"/>
          </w:pPr>
        </w:p>
        <w:p w:rsidR="004C5E8E" w:rsidRPr="004C5E8E" w:rsidRDefault="004C5E8E" w:rsidP="00DA65C1">
          <w:pPr>
            <w:spacing w:before="0" w:after="0" w:line="250" w:lineRule="atLeast"/>
            <w:rPr>
              <w:noProof/>
              <w:sz w:val="26"/>
              <w:szCs w:val="26"/>
              <w:lang w:eastAsia="en-AU"/>
            </w:rPr>
          </w:pPr>
          <w:r w:rsidRPr="004C5E8E">
            <w:rPr>
              <w:noProof/>
              <w:sz w:val="26"/>
              <w:szCs w:val="26"/>
              <w:lang w:eastAsia="en-AU"/>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7557035" cy="10684042"/>
                <wp:effectExtent l="19050" t="0" r="3812" b="0"/>
                <wp:wrapNone/>
                <wp:docPr id="65"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1"/>
                        <a:stretch>
                          <a:fillRect/>
                        </a:stretch>
                      </pic:blipFill>
                      <pic:spPr>
                        <a:xfrm>
                          <a:off x="0" y="0"/>
                          <a:ext cx="7557035" cy="10684042"/>
                        </a:xfrm>
                        <a:prstGeom prst="rect">
                          <a:avLst/>
                        </a:prstGeom>
                      </pic:spPr>
                    </pic:pic>
                  </a:graphicData>
                </a:graphic>
              </wp:anchor>
            </w:drawing>
          </w: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Default="004C5E8E" w:rsidP="00DA65C1">
          <w:pPr>
            <w:spacing w:before="0" w:after="0" w:line="250" w:lineRule="atLeast"/>
            <w:rPr>
              <w:noProof/>
              <w:sz w:val="26"/>
              <w:szCs w:val="26"/>
              <w:lang w:eastAsia="en-AU"/>
            </w:rPr>
          </w:pPr>
        </w:p>
        <w:p w:rsidR="00766C00" w:rsidRPr="004C5E8E" w:rsidRDefault="00766C00"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tbl>
          <w:tblPr>
            <w:tblStyle w:val="TableGrid"/>
            <w:tblpPr w:leftFromText="180" w:rightFromText="180" w:vertAnchor="text" w:horzAnchor="page" w:tblpX="898" w:tblpY="10"/>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tblGrid>
          <w:tr w:rsidR="00867B94" w:rsidRPr="004C5E8E" w:rsidTr="003756BF">
            <w:trPr>
              <w:trHeight w:val="386"/>
            </w:trPr>
            <w:tc>
              <w:tcPr>
                <w:tcW w:w="8472" w:type="dxa"/>
              </w:tcPr>
              <w:p w:rsidR="00867B94" w:rsidRPr="00F072B1" w:rsidRDefault="00937437" w:rsidP="003756BF">
                <w:pPr>
                  <w:autoSpaceDE w:val="0"/>
                  <w:autoSpaceDN w:val="0"/>
                  <w:adjustRightInd w:val="0"/>
                  <w:spacing w:before="120" w:after="0" w:line="240" w:lineRule="auto"/>
                  <w:ind w:left="34"/>
                  <w:jc w:val="left"/>
                  <w:textAlignment w:val="center"/>
                  <w:rPr>
                    <w:rFonts w:eastAsiaTheme="minorEastAsia" w:cs="Arial"/>
                    <w:b/>
                    <w:caps/>
                    <w:sz w:val="36"/>
                    <w:szCs w:val="36"/>
                    <w:lang w:val="en-GB" w:eastAsia="zh-TW"/>
                  </w:rPr>
                </w:pPr>
                <w:r w:rsidRPr="00F072B1">
                  <w:rPr>
                    <w:rFonts w:eastAsiaTheme="minorEastAsia" w:cs="Arial"/>
                    <w:b/>
                    <w:caps/>
                    <w:sz w:val="36"/>
                    <w:szCs w:val="36"/>
                    <w:lang w:eastAsia="zh-TW"/>
                  </w:rPr>
                  <w:t xml:space="preserve">A Review of </w:t>
                </w:r>
                <w:r w:rsidR="003756BF" w:rsidRPr="00F072B1">
                  <w:rPr>
                    <w:rFonts w:eastAsiaTheme="minorEastAsia" w:cs="Arial"/>
                    <w:b/>
                    <w:caps/>
                    <w:sz w:val="36"/>
                    <w:szCs w:val="36"/>
                    <w:lang w:eastAsia="zh-TW"/>
                  </w:rPr>
                  <w:t xml:space="preserve">DATA on </w:t>
                </w:r>
                <w:r w:rsidR="000042BA" w:rsidRPr="00F072B1">
                  <w:rPr>
                    <w:rFonts w:eastAsiaTheme="minorEastAsia" w:cs="Arial"/>
                    <w:b/>
                    <w:caps/>
                    <w:sz w:val="36"/>
                    <w:szCs w:val="36"/>
                    <w:lang w:eastAsia="zh-TW"/>
                  </w:rPr>
                  <w:t>Lead-acid</w:t>
                </w:r>
                <w:r w:rsidRPr="00F072B1">
                  <w:rPr>
                    <w:rFonts w:eastAsiaTheme="minorEastAsia" w:cs="Arial"/>
                    <w:b/>
                    <w:caps/>
                    <w:sz w:val="36"/>
                    <w:szCs w:val="36"/>
                    <w:lang w:eastAsia="zh-TW"/>
                  </w:rPr>
                  <w:t xml:space="preserve"> Batter</w:t>
                </w:r>
                <w:r w:rsidR="003756BF" w:rsidRPr="00F072B1">
                  <w:rPr>
                    <w:rFonts w:eastAsiaTheme="minorEastAsia" w:cs="Arial"/>
                    <w:b/>
                    <w:caps/>
                    <w:sz w:val="36"/>
                    <w:szCs w:val="36"/>
                    <w:lang w:eastAsia="zh-TW"/>
                  </w:rPr>
                  <w:t xml:space="preserve">IES </w:t>
                </w:r>
                <w:r w:rsidR="003756BF" w:rsidRPr="00F072B1">
                  <w:rPr>
                    <w:rFonts w:eastAsiaTheme="minorEastAsia" w:cs="Arial"/>
                    <w:b/>
                    <w:caps/>
                    <w:sz w:val="36"/>
                    <w:szCs w:val="36"/>
                    <w:lang w:eastAsia="zh-TW"/>
                  </w:rPr>
                  <w:br/>
                  <w:t>ENTERING AUSTRALIA AND ARISING AS WASTE</w:t>
                </w:r>
              </w:p>
            </w:tc>
          </w:tr>
          <w:tr w:rsidR="00867B94" w:rsidRPr="004C5E8E" w:rsidTr="003756BF">
            <w:trPr>
              <w:trHeight w:val="567"/>
            </w:trPr>
            <w:tc>
              <w:tcPr>
                <w:tcW w:w="8472" w:type="dxa"/>
              </w:tcPr>
              <w:p w:rsidR="00867B94" w:rsidRDefault="00867B94" w:rsidP="003756BF">
                <w:pPr>
                  <w:spacing w:before="120" w:after="0" w:line="240" w:lineRule="atLeast"/>
                  <w:rPr>
                    <w:rFonts w:eastAsiaTheme="minorEastAsia" w:cs="Arial"/>
                    <w:b/>
                    <w:color w:val="B1005D" w:themeColor="accent1"/>
                    <w:sz w:val="28"/>
                    <w:lang w:val="en-GB" w:eastAsia="zh-TW"/>
                  </w:rPr>
                </w:pPr>
                <w:r w:rsidRPr="003756BF">
                  <w:rPr>
                    <w:rFonts w:eastAsiaTheme="minorEastAsia" w:cs="Arial"/>
                    <w:b/>
                    <w:color w:val="B1005D" w:themeColor="accent1"/>
                    <w:sz w:val="28"/>
                    <w:lang w:val="en-GB" w:eastAsia="zh-TW"/>
                  </w:rPr>
                  <w:t xml:space="preserve">Prepared for: </w:t>
                </w:r>
                <w:r w:rsidR="00937437" w:rsidRPr="003756BF">
                  <w:rPr>
                    <w:rFonts w:eastAsiaTheme="minorEastAsia" w:cs="Arial"/>
                    <w:b/>
                    <w:color w:val="B1005D" w:themeColor="accent1"/>
                    <w:sz w:val="28"/>
                    <w:lang w:val="en-GB" w:eastAsia="zh-TW"/>
                  </w:rPr>
                  <w:t xml:space="preserve"> Department of the </w:t>
                </w:r>
                <w:r w:rsidR="003756BF">
                  <w:rPr>
                    <w:rFonts w:eastAsiaTheme="minorEastAsia" w:cs="Arial"/>
                    <w:b/>
                    <w:color w:val="B1005D" w:themeColor="accent1"/>
                    <w:sz w:val="28"/>
                    <w:lang w:val="en-GB" w:eastAsia="zh-TW"/>
                  </w:rPr>
                  <w:t>E</w:t>
                </w:r>
                <w:r w:rsidR="00937437" w:rsidRPr="003756BF">
                  <w:rPr>
                    <w:rFonts w:eastAsiaTheme="minorEastAsia" w:cs="Arial"/>
                    <w:b/>
                    <w:color w:val="B1005D" w:themeColor="accent1"/>
                    <w:sz w:val="28"/>
                    <w:lang w:val="en-GB" w:eastAsia="zh-TW"/>
                  </w:rPr>
                  <w:t>nvironment</w:t>
                </w:r>
                <w:r w:rsidR="000A6C66">
                  <w:rPr>
                    <w:rFonts w:eastAsiaTheme="minorEastAsia" w:cs="Arial"/>
                    <w:b/>
                    <w:color w:val="B1005D" w:themeColor="accent1"/>
                    <w:sz w:val="28"/>
                    <w:lang w:val="en-GB" w:eastAsia="zh-TW"/>
                  </w:rPr>
                  <w:t>, Canberra</w:t>
                </w:r>
              </w:p>
              <w:p w:rsidR="000A6C66" w:rsidRPr="000A6C66" w:rsidRDefault="000A6C66" w:rsidP="000A6C66">
                <w:pPr>
                  <w:spacing w:before="120" w:after="0" w:line="240" w:lineRule="atLeast"/>
                  <w:rPr>
                    <w:rFonts w:eastAsiaTheme="minorEastAsia" w:cs="Arial"/>
                    <w:sz w:val="24"/>
                    <w:szCs w:val="72"/>
                    <w:lang w:eastAsia="zh-TW"/>
                  </w:rPr>
                </w:pPr>
                <w:r w:rsidRPr="000A6C66">
                  <w:rPr>
                    <w:rFonts w:eastAsiaTheme="minorEastAsia" w:cs="Arial"/>
                    <w:sz w:val="24"/>
                    <w:lang w:val="en-GB" w:eastAsia="zh-TW"/>
                  </w:rPr>
                  <w:t>By Steve Mohr, Julian Fyfe, Damien Giurco</w:t>
                </w:r>
              </w:p>
            </w:tc>
          </w:tr>
        </w:tbl>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Default="004C5E8E" w:rsidP="00DA65C1">
          <w:pPr>
            <w:spacing w:before="0" w:after="0" w:line="250" w:lineRule="atLeast"/>
            <w:rPr>
              <w:noProof/>
              <w:sz w:val="26"/>
              <w:szCs w:val="26"/>
              <w:lang w:eastAsia="en-AU"/>
            </w:rPr>
          </w:pPr>
        </w:p>
        <w:p w:rsidR="00792D2F" w:rsidRDefault="00792D2F" w:rsidP="00DA65C1">
          <w:pPr>
            <w:spacing w:before="0" w:after="0" w:line="250" w:lineRule="atLeast"/>
            <w:rPr>
              <w:noProof/>
              <w:sz w:val="26"/>
              <w:szCs w:val="26"/>
              <w:lang w:eastAsia="en-AU"/>
            </w:rPr>
          </w:pPr>
        </w:p>
        <w:p w:rsidR="00792D2F" w:rsidRDefault="00792D2F" w:rsidP="00DA65C1">
          <w:pPr>
            <w:spacing w:before="0" w:after="0" w:line="250" w:lineRule="atLeast"/>
            <w:rPr>
              <w:noProof/>
              <w:sz w:val="26"/>
              <w:szCs w:val="26"/>
              <w:lang w:eastAsia="en-AU"/>
            </w:rPr>
          </w:pPr>
        </w:p>
        <w:p w:rsidR="00792D2F" w:rsidRDefault="00792D2F" w:rsidP="00DA65C1">
          <w:pPr>
            <w:spacing w:before="0" w:after="0" w:line="250" w:lineRule="atLeast"/>
            <w:rPr>
              <w:noProof/>
              <w:sz w:val="26"/>
              <w:szCs w:val="26"/>
              <w:lang w:eastAsia="en-AU"/>
            </w:rPr>
          </w:pPr>
        </w:p>
        <w:p w:rsidR="006C05A3" w:rsidRDefault="006C05A3" w:rsidP="00DA65C1">
          <w:pPr>
            <w:spacing w:before="0" w:after="0" w:line="250" w:lineRule="atLeast"/>
            <w:rPr>
              <w:noProof/>
              <w:sz w:val="26"/>
              <w:szCs w:val="26"/>
              <w:lang w:eastAsia="en-AU"/>
            </w:rPr>
          </w:pPr>
        </w:p>
        <w:p w:rsidR="006C05A3" w:rsidRDefault="006C05A3" w:rsidP="00DA65C1">
          <w:pPr>
            <w:spacing w:before="0" w:after="0" w:line="250" w:lineRule="atLeast"/>
            <w:rPr>
              <w:noProof/>
              <w:sz w:val="26"/>
              <w:szCs w:val="26"/>
              <w:lang w:eastAsia="en-AU"/>
            </w:rPr>
          </w:pPr>
        </w:p>
        <w:p w:rsidR="006C05A3" w:rsidRDefault="006C05A3" w:rsidP="00DA65C1">
          <w:pPr>
            <w:spacing w:before="0" w:after="0" w:line="250" w:lineRule="atLeast"/>
            <w:rPr>
              <w:noProof/>
              <w:sz w:val="26"/>
              <w:szCs w:val="26"/>
              <w:lang w:eastAsia="en-AU"/>
            </w:rPr>
          </w:pPr>
        </w:p>
        <w:p w:rsidR="006C05A3" w:rsidRDefault="006C05A3" w:rsidP="00DA65C1">
          <w:pPr>
            <w:spacing w:before="0" w:after="0" w:line="250" w:lineRule="atLeast"/>
            <w:rPr>
              <w:noProof/>
              <w:sz w:val="26"/>
              <w:szCs w:val="26"/>
              <w:lang w:eastAsia="en-AU"/>
            </w:rPr>
          </w:pPr>
        </w:p>
        <w:p w:rsidR="00792D2F" w:rsidRDefault="00792D2F" w:rsidP="00DA65C1">
          <w:pPr>
            <w:spacing w:before="0" w:after="0" w:line="250" w:lineRule="atLeast"/>
            <w:rPr>
              <w:noProof/>
              <w:sz w:val="26"/>
              <w:szCs w:val="26"/>
              <w:lang w:eastAsia="en-AU"/>
            </w:rPr>
          </w:pPr>
        </w:p>
        <w:p w:rsidR="00792D2F" w:rsidRPr="004C5E8E" w:rsidRDefault="00792D2F" w:rsidP="00DA65C1">
          <w:pPr>
            <w:spacing w:before="0" w:after="0" w:line="250" w:lineRule="atLeast"/>
            <w:rPr>
              <w:noProof/>
              <w:sz w:val="26"/>
              <w:szCs w:val="26"/>
              <w:lang w:eastAsia="en-AU"/>
            </w:rPr>
          </w:pPr>
        </w:p>
        <w:p w:rsidR="004C5E8E" w:rsidRPr="004C5E8E" w:rsidRDefault="004C5E8E" w:rsidP="00DA65C1">
          <w:pPr>
            <w:spacing w:before="0" w:after="0" w:line="250" w:lineRule="atLeast"/>
            <w:rPr>
              <w:noProof/>
              <w:sz w:val="26"/>
              <w:szCs w:val="26"/>
              <w:lang w:eastAsia="en-AU"/>
            </w:rPr>
          </w:pPr>
        </w:p>
        <w:p w:rsidR="004C5E8E" w:rsidRPr="004C5E8E" w:rsidRDefault="004C5E8E" w:rsidP="00DA65C1">
          <w:pPr>
            <w:spacing w:before="0" w:after="0" w:line="240" w:lineRule="auto"/>
          </w:pPr>
        </w:p>
        <w:p w:rsidR="004C5E8E" w:rsidRPr="004C5E8E" w:rsidRDefault="007637BE" w:rsidP="00DA65C1">
          <w:pPr>
            <w:spacing w:before="0" w:after="0" w:line="240" w:lineRule="auto"/>
          </w:pPr>
        </w:p>
      </w:sdtContent>
    </w:sdt>
    <w:p w:rsidR="00C77D6C" w:rsidRDefault="007637BE" w:rsidP="00DA65C1">
      <w:pPr>
        <w:spacing w:line="240" w:lineRule="auto"/>
        <w:rPr>
          <w:rFonts w:eastAsiaTheme="minorEastAsia" w:cs="Arial"/>
          <w:caps/>
          <w:color w:val="B0005C"/>
          <w:sz w:val="28"/>
          <w:lang w:val="en-GB" w:eastAsia="zh-TW"/>
        </w:rPr>
      </w:pPr>
      <w:r w:rsidRPr="007637BE">
        <w:rPr>
          <w:noProof/>
          <w:lang w:eastAsia="en-AU"/>
        </w:rPr>
        <w:pict>
          <v:shapetype id="_x0000_t202" coordsize="21600,21600" o:spt="202" path="m,l,21600r21600,l21600,xe">
            <v:stroke joinstyle="miter"/>
            <v:path gradientshapeok="t" o:connecttype="rect"/>
          </v:shapetype>
          <v:shape id="Text Box 8" o:spid="_x0000_s1026" type="#_x0000_t202" style="position:absolute;left:0;text-align:left;margin-left:-44.75pt;margin-top:21.7pt;width:281.45pt;height:1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rWtg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" filled="f" stroked="f">
            <v:textbox>
              <w:txbxContent>
                <w:p w:rsidR="00697A48" w:rsidRPr="002E60A5" w:rsidRDefault="00697A48" w:rsidP="004C5E8E">
                  <w:pPr>
                    <w:pStyle w:val="YearCoverpage"/>
                    <w:rPr>
                      <w:b w:val="0"/>
                      <w:color w:val="B1005D" w:themeColor="accent1"/>
                      <w:sz w:val="200"/>
                    </w:rPr>
                  </w:pPr>
                  <w:r>
                    <w:rPr>
                      <w:b w:val="0"/>
                      <w:color w:val="B1005D" w:themeColor="accent1"/>
                      <w:sz w:val="200"/>
                    </w:rPr>
                    <w:t>2014</w:t>
                  </w:r>
                </w:p>
              </w:txbxContent>
            </v:textbox>
          </v:shape>
        </w:pict>
      </w:r>
      <w:r w:rsidR="004C5E8E">
        <w:t xml:space="preserve"> </w:t>
      </w:r>
      <w:r w:rsidR="00C77D6C">
        <w:br w:type="page"/>
      </w:r>
    </w:p>
    <w:p w:rsidR="000C1A2B" w:rsidRPr="003756BF" w:rsidRDefault="000C1A2B" w:rsidP="00DA65C1">
      <w:pPr>
        <w:pStyle w:val="CoverPageSubtitle"/>
        <w:rPr>
          <w:rFonts w:asciiTheme="majorHAnsi" w:hAnsiTheme="majorHAnsi"/>
          <w:b/>
        </w:rPr>
      </w:pPr>
      <w:r w:rsidRPr="003756BF">
        <w:rPr>
          <w:rFonts w:asciiTheme="majorHAnsi" w:hAnsiTheme="majorHAnsi"/>
          <w:b/>
        </w:rPr>
        <w:lastRenderedPageBreak/>
        <w:t>ABOUT THE AUTHORS</w:t>
      </w:r>
    </w:p>
    <w:p w:rsidR="000C1A2B" w:rsidRDefault="000C1A2B" w:rsidP="00DA65C1">
      <w:r>
        <w:t xml:space="preserve">The Institute for Sustainable Futures (ISF) was established by the University of Technology,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w:t>
      </w:r>
      <w:r w:rsidRPr="0018712D">
        <w:t>organisations</w:t>
      </w:r>
      <w:r w:rsidR="002A4FCE">
        <w:t xml:space="preserve"> </w:t>
      </w:r>
      <w:r>
        <w:t>in a collaborative process that emphasises strategic decision-making.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4499"/>
      </w:tblGrid>
      <w:tr w:rsidR="000C1A2B" w:rsidRPr="00F072B1" w:rsidTr="00F072B1">
        <w:tc>
          <w:tcPr>
            <w:tcW w:w="2943" w:type="dxa"/>
          </w:tcPr>
          <w:p w:rsidR="000C1A2B" w:rsidRDefault="000C1A2B" w:rsidP="00DA65C1">
            <w:r>
              <w:t>For further information visit:</w:t>
            </w:r>
          </w:p>
        </w:tc>
        <w:tc>
          <w:tcPr>
            <w:tcW w:w="4499" w:type="dxa"/>
          </w:tcPr>
          <w:p w:rsidR="000C1A2B" w:rsidRPr="00F072B1" w:rsidRDefault="007637BE" w:rsidP="00F072B1">
            <w:pPr>
              <w:jc w:val="left"/>
            </w:pPr>
            <w:hyperlink r:id="rId12" w:history="1">
              <w:r w:rsidR="000C1A2B" w:rsidRPr="00F072B1">
                <w:rPr>
                  <w:bCs/>
                  <w:color w:val="890041"/>
                  <w:kern w:val="2"/>
                  <w:u w:val="single"/>
                </w:rPr>
                <w:t>www.isf.uts.edu.au</w:t>
              </w:r>
            </w:hyperlink>
          </w:p>
        </w:tc>
      </w:tr>
    </w:tbl>
    <w:p w:rsidR="003756BF" w:rsidRDefault="003756BF" w:rsidP="00DA65C1">
      <w:pPr>
        <w:pStyle w:val="CoverPageSubtitle"/>
        <w:ind w:left="0"/>
      </w:pPr>
    </w:p>
    <w:p w:rsidR="00F072B1" w:rsidRPr="00F072B1" w:rsidRDefault="00F072B1" w:rsidP="00F072B1">
      <w:pPr>
        <w:spacing w:before="40" w:after="0" w:line="240" w:lineRule="auto"/>
        <w:rPr>
          <w:lang w:val="en-GB" w:eastAsia="zh-TW"/>
        </w:rPr>
      </w:pPr>
      <w:r w:rsidRPr="00F072B1">
        <w:rPr>
          <w:lang w:val="en-GB" w:eastAsia="zh-TW"/>
        </w:rPr>
        <w:t>Research team:</w:t>
      </w:r>
    </w:p>
    <w:p w:rsidR="00F072B1" w:rsidRDefault="00F072B1" w:rsidP="00F072B1">
      <w:pPr>
        <w:spacing w:before="40" w:after="0" w:line="240" w:lineRule="auto"/>
        <w:rPr>
          <w:lang w:val="en-GB" w:eastAsia="zh-TW"/>
        </w:rPr>
      </w:pPr>
      <w:r>
        <w:rPr>
          <w:lang w:val="en-GB" w:eastAsia="zh-TW"/>
        </w:rPr>
        <w:t xml:space="preserve">Dr Steve Mohr, Senior Research Consultant: </w:t>
      </w:r>
      <w:hyperlink r:id="rId13" w:history="1">
        <w:r w:rsidRPr="0017533D">
          <w:rPr>
            <w:rStyle w:val="Hyperlink"/>
            <w:lang w:val="en-GB" w:eastAsia="zh-TW"/>
          </w:rPr>
          <w:t>www.uts.edu.au/staff/steve.mohr</w:t>
        </w:r>
      </w:hyperlink>
    </w:p>
    <w:p w:rsidR="00F072B1" w:rsidRDefault="00F072B1" w:rsidP="00F072B1">
      <w:pPr>
        <w:spacing w:before="40" w:after="0" w:line="240" w:lineRule="auto"/>
        <w:rPr>
          <w:lang w:val="en-GB" w:eastAsia="zh-TW"/>
        </w:rPr>
      </w:pPr>
      <w:r>
        <w:rPr>
          <w:lang w:val="en-GB" w:eastAsia="zh-TW"/>
        </w:rPr>
        <w:t xml:space="preserve">Dr Julian Fyfe, Senior Research Consultant: </w:t>
      </w:r>
      <w:hyperlink r:id="rId14" w:history="1">
        <w:r w:rsidRPr="0017533D">
          <w:rPr>
            <w:rStyle w:val="Hyperlink"/>
            <w:lang w:val="en-GB" w:eastAsia="zh-TW"/>
          </w:rPr>
          <w:t>www.uts.edu.au/staff/julian.fyfe</w:t>
        </w:r>
      </w:hyperlink>
    </w:p>
    <w:p w:rsidR="00F072B1" w:rsidRPr="00F072B1" w:rsidRDefault="00F072B1" w:rsidP="00F072B1">
      <w:pPr>
        <w:spacing w:before="40" w:line="240" w:lineRule="auto"/>
        <w:rPr>
          <w:lang w:val="en-GB" w:eastAsia="zh-TW"/>
        </w:rPr>
      </w:pPr>
      <w:r>
        <w:rPr>
          <w:lang w:val="en-GB" w:eastAsia="zh-TW"/>
        </w:rPr>
        <w:t xml:space="preserve">Dr Damien Giurco, Research Director: </w:t>
      </w:r>
      <w:hyperlink r:id="rId15" w:history="1">
        <w:r w:rsidRPr="0017533D">
          <w:rPr>
            <w:rStyle w:val="Hyperlink"/>
            <w:lang w:val="en-GB" w:eastAsia="zh-TW"/>
          </w:rPr>
          <w:t>www.uts.edu.au/staff/damien.giurco</w:t>
        </w:r>
      </w:hyperlink>
      <w:r>
        <w:rPr>
          <w:lang w:val="en-GB" w:eastAsia="zh-TW"/>
        </w:rPr>
        <w:t xml:space="preserve"> </w:t>
      </w:r>
    </w:p>
    <w:p w:rsidR="00F072B1" w:rsidRDefault="00F072B1" w:rsidP="00DA65C1">
      <w:pPr>
        <w:pStyle w:val="CoverPageSubtitle"/>
        <w:ind w:left="0"/>
        <w:rPr>
          <w:rFonts w:asciiTheme="majorHAnsi" w:hAnsiTheme="majorHAnsi"/>
          <w:b/>
        </w:rPr>
      </w:pPr>
    </w:p>
    <w:p w:rsidR="00F072B1" w:rsidRDefault="00F072B1" w:rsidP="00F072B1">
      <w:pPr>
        <w:rPr>
          <w:lang w:val="en-GB" w:eastAsia="zh-TW"/>
        </w:rPr>
      </w:pPr>
    </w:p>
    <w:p w:rsidR="00F072B1" w:rsidRDefault="00F072B1" w:rsidP="00F072B1">
      <w:pPr>
        <w:rPr>
          <w:lang w:val="en-GB" w:eastAsia="zh-TW"/>
        </w:rPr>
      </w:pPr>
    </w:p>
    <w:p w:rsidR="00F072B1" w:rsidRDefault="00F072B1" w:rsidP="00F072B1">
      <w:pPr>
        <w:rPr>
          <w:lang w:val="en-GB" w:eastAsia="zh-TW"/>
        </w:rPr>
      </w:pPr>
    </w:p>
    <w:p w:rsidR="00F072B1" w:rsidRPr="00F072B1" w:rsidRDefault="00F072B1" w:rsidP="00F072B1">
      <w:pPr>
        <w:rPr>
          <w:lang w:val="en-GB" w:eastAsia="zh-TW"/>
        </w:rPr>
      </w:pPr>
    </w:p>
    <w:p w:rsidR="000C1A2B" w:rsidRPr="003756BF" w:rsidRDefault="000C1A2B" w:rsidP="00F072B1">
      <w:pPr>
        <w:pStyle w:val="CoverPageSubtitle"/>
        <w:spacing w:line="252" w:lineRule="auto"/>
        <w:ind w:left="0"/>
        <w:rPr>
          <w:rFonts w:asciiTheme="majorHAnsi" w:hAnsiTheme="majorHAnsi"/>
          <w:b/>
        </w:rPr>
      </w:pPr>
      <w:r w:rsidRPr="003756BF">
        <w:rPr>
          <w:rFonts w:asciiTheme="majorHAnsi" w:hAnsiTheme="majorHAnsi"/>
          <w:b/>
        </w:rPr>
        <w:t>Citation</w:t>
      </w:r>
    </w:p>
    <w:p w:rsidR="000C1A2B" w:rsidRDefault="000C1A2B" w:rsidP="00F072B1">
      <w:pPr>
        <w:spacing w:after="120"/>
      </w:pPr>
      <w:r w:rsidRPr="003E7680">
        <w:t>Cite this report as</w:t>
      </w:r>
      <w:r>
        <w:t>:</w:t>
      </w:r>
    </w:p>
    <w:p w:rsidR="000C1A2B" w:rsidRDefault="00937437" w:rsidP="00F072B1">
      <w:pPr>
        <w:spacing w:before="0"/>
      </w:pPr>
      <w:proofErr w:type="gramStart"/>
      <w:r>
        <w:t xml:space="preserve">Mohr, S., Fyfe, J. and </w:t>
      </w:r>
      <w:r w:rsidR="000A5930">
        <w:t xml:space="preserve">Giurco, D., </w:t>
      </w:r>
      <w:r w:rsidR="007F18BF">
        <w:t>2014</w:t>
      </w:r>
      <w:r w:rsidR="00867B94">
        <w:t>.</w:t>
      </w:r>
      <w:proofErr w:type="gramEnd"/>
      <w:r w:rsidR="00867B94">
        <w:t xml:space="preserve"> </w:t>
      </w:r>
      <w:proofErr w:type="gramStart"/>
      <w:r w:rsidR="00F072B1">
        <w:t>A r</w:t>
      </w:r>
      <w:r w:rsidR="000A5930" w:rsidRPr="000A5930">
        <w:t>eview</w:t>
      </w:r>
      <w:r w:rsidR="00F072B1">
        <w:t xml:space="preserve"> </w:t>
      </w:r>
      <w:r w:rsidR="000A5930" w:rsidRPr="000A5930">
        <w:t xml:space="preserve">of </w:t>
      </w:r>
      <w:r w:rsidR="00F072B1">
        <w:t>data on lead-acid batteries entering Australia and arising as waste</w:t>
      </w:r>
      <w:r w:rsidR="00867B94">
        <w:t>.</w:t>
      </w:r>
      <w:proofErr w:type="gramEnd"/>
      <w:r w:rsidR="00867B94">
        <w:t xml:space="preserve"> Prepared for </w:t>
      </w:r>
      <w:r>
        <w:t>the Department of the Environment</w:t>
      </w:r>
      <w:r w:rsidR="00867B94">
        <w:t xml:space="preserve"> by the Institute for Sustainable Futures, University of Technology</w:t>
      </w:r>
      <w:r w:rsidR="003756BF">
        <w:t>,</w:t>
      </w:r>
      <w:r w:rsidR="00867B94">
        <w:t xml:space="preserve"> </w:t>
      </w:r>
      <w:proofErr w:type="gramStart"/>
      <w:r w:rsidR="00867B94">
        <w:t>Sydney</w:t>
      </w:r>
      <w:proofErr w:type="gramEnd"/>
      <w:r w:rsidR="00867B94">
        <w:t xml:space="preserve">. </w:t>
      </w:r>
    </w:p>
    <w:p w:rsidR="00432BFA" w:rsidRDefault="00432BFA" w:rsidP="00DA65C1"/>
    <w:p w:rsidR="00F072B1" w:rsidRDefault="00F072B1" w:rsidP="00DA65C1"/>
    <w:p w:rsidR="00F072B1" w:rsidRDefault="00F072B1" w:rsidP="00DA65C1"/>
    <w:p w:rsidR="00F072B1" w:rsidRDefault="00F072B1" w:rsidP="00DA65C1"/>
    <w:p w:rsidR="00432BFA" w:rsidRPr="00580496" w:rsidRDefault="00432BFA" w:rsidP="00DA65C1">
      <w:pPr>
        <w:spacing w:before="0" w:after="0"/>
        <w:rPr>
          <w:sz w:val="24"/>
        </w:rPr>
      </w:pPr>
      <w:r w:rsidRPr="00580496">
        <w:rPr>
          <w:b/>
          <w:caps/>
          <w:sz w:val="24"/>
        </w:rPr>
        <w:t xml:space="preserve">Institute for Sustainable Futures </w:t>
      </w:r>
    </w:p>
    <w:p w:rsidR="00432BFA" w:rsidRPr="00580496" w:rsidRDefault="00432BFA" w:rsidP="00DA65C1">
      <w:pPr>
        <w:spacing w:before="0" w:after="0"/>
      </w:pPr>
      <w:r w:rsidRPr="00580496">
        <w:t xml:space="preserve">University of Technology, Sydney </w:t>
      </w:r>
    </w:p>
    <w:p w:rsidR="00432BFA" w:rsidRPr="00580496" w:rsidRDefault="00432BFA" w:rsidP="00DA65C1">
      <w:pPr>
        <w:spacing w:before="0" w:after="0"/>
      </w:pPr>
      <w:r w:rsidRPr="00580496">
        <w:t>PO Box 123</w:t>
      </w:r>
    </w:p>
    <w:p w:rsidR="00432BFA" w:rsidRDefault="003756BF" w:rsidP="00DA65C1">
      <w:pPr>
        <w:spacing w:before="0" w:after="0"/>
      </w:pPr>
      <w:r>
        <w:t>Broadway, NSW, 2007</w:t>
      </w:r>
    </w:p>
    <w:p w:rsidR="003756BF" w:rsidRPr="00580496" w:rsidRDefault="003756BF" w:rsidP="00DA65C1">
      <w:pPr>
        <w:spacing w:before="0" w:after="0"/>
      </w:pPr>
      <w:r>
        <w:t>Tel: (02) 9514 4950</w:t>
      </w:r>
    </w:p>
    <w:p w:rsidR="00432BFA" w:rsidRPr="00580496" w:rsidRDefault="007637BE" w:rsidP="00DA65C1">
      <w:pPr>
        <w:rPr>
          <w:b/>
          <w:color w:val="B1005D" w:themeColor="accent1"/>
          <w:sz w:val="24"/>
        </w:rPr>
      </w:pPr>
      <w:hyperlink r:id="rId16" w:history="1">
        <w:r w:rsidR="00432BFA" w:rsidRPr="00580496">
          <w:rPr>
            <w:b/>
            <w:color w:val="B1005D" w:themeColor="accent1"/>
            <w:sz w:val="24"/>
          </w:rPr>
          <w:t>www.isf.edu.au</w:t>
        </w:r>
      </w:hyperlink>
      <w:r w:rsidR="00432BFA" w:rsidRPr="00580496">
        <w:rPr>
          <w:b/>
          <w:color w:val="B1005D" w:themeColor="accent1"/>
          <w:sz w:val="24"/>
        </w:rPr>
        <w:t xml:space="preserve"> </w:t>
      </w:r>
    </w:p>
    <w:p w:rsidR="00432BFA" w:rsidRPr="00580496" w:rsidRDefault="00432BFA" w:rsidP="00DA65C1">
      <w:pPr>
        <w:spacing w:before="120" w:after="0"/>
      </w:pPr>
      <w:r w:rsidRPr="00580496">
        <w:t xml:space="preserve">© UTS </w:t>
      </w:r>
      <w:r w:rsidR="00F072B1">
        <w:t>June</w:t>
      </w:r>
      <w:r w:rsidR="002A4FCE">
        <w:t xml:space="preserve"> 2014</w:t>
      </w:r>
      <w:r w:rsidR="00E2369E">
        <w:t xml:space="preserve"> </w:t>
      </w:r>
    </w:p>
    <w:p w:rsidR="003200E2" w:rsidRDefault="00F52C89" w:rsidP="00DA65C1">
      <w:r>
        <w:br w:type="page"/>
      </w:r>
    </w:p>
    <w:p w:rsidR="00E9776F" w:rsidRDefault="00E9776F" w:rsidP="00DA65C1">
      <w:pPr>
        <w:sectPr w:rsidR="00E9776F" w:rsidSect="00766C00">
          <w:headerReference w:type="default" r:id="rId17"/>
          <w:pgSz w:w="11899" w:h="16838"/>
          <w:pgMar w:top="1418" w:right="1134" w:bottom="1134" w:left="1134" w:header="709" w:footer="802" w:gutter="0"/>
          <w:pgNumType w:fmt="lowerRoman"/>
          <w:cols w:space="708"/>
          <w:titlePg/>
          <w:docGrid w:linePitch="326"/>
        </w:sectPr>
      </w:pPr>
    </w:p>
    <w:sdt>
      <w:sdtPr>
        <w:rPr>
          <w:rFonts w:eastAsia="Cambria"/>
          <w:b w:val="0"/>
          <w:bCs w:val="0"/>
          <w:caps w:val="0"/>
          <w:color w:val="auto"/>
          <w:sz w:val="24"/>
          <w:szCs w:val="24"/>
        </w:rPr>
        <w:id w:val="33217517"/>
        <w:docPartObj>
          <w:docPartGallery w:val="Table of Contents"/>
          <w:docPartUnique/>
        </w:docPartObj>
      </w:sdtPr>
      <w:sdtEndPr>
        <w:rPr>
          <w:sz w:val="22"/>
        </w:rPr>
      </w:sdtEndPr>
      <w:sdtContent>
        <w:p w:rsidR="00BD4853" w:rsidRPr="005840C2" w:rsidRDefault="00DB5819" w:rsidP="00DA65C1">
          <w:pPr>
            <w:pStyle w:val="TOCHeading"/>
            <w:rPr>
              <w:rFonts w:asciiTheme="majorHAnsi" w:hAnsiTheme="majorHAnsi" w:cstheme="majorHAnsi"/>
            </w:rPr>
          </w:pPr>
          <w:r w:rsidRPr="005840C2">
            <w:rPr>
              <w:rFonts w:asciiTheme="majorHAnsi" w:hAnsiTheme="majorHAnsi" w:cstheme="majorHAnsi"/>
            </w:rPr>
            <w:t>Ta</w:t>
          </w:r>
          <w:r w:rsidR="00BD4853" w:rsidRPr="005840C2">
            <w:rPr>
              <w:rFonts w:asciiTheme="majorHAnsi" w:hAnsiTheme="majorHAnsi" w:cstheme="majorHAnsi"/>
            </w:rPr>
            <w:t>ble of Contents</w:t>
          </w:r>
        </w:p>
        <w:p w:rsidR="00E11CDC" w:rsidRPr="00E11CDC" w:rsidRDefault="007637BE">
          <w:pPr>
            <w:pStyle w:val="TOC1"/>
            <w:tabs>
              <w:tab w:val="left" w:pos="332"/>
              <w:tab w:val="right" w:pos="9621"/>
            </w:tabs>
            <w:rPr>
              <w:rFonts w:asciiTheme="majorHAnsi" w:eastAsiaTheme="minorEastAsia" w:hAnsiTheme="majorHAnsi" w:cstheme="minorBidi"/>
              <w:b w:val="0"/>
              <w:caps w:val="0"/>
              <w:noProof/>
              <w:u w:val="none"/>
              <w:lang w:eastAsia="en-AU"/>
            </w:rPr>
          </w:pPr>
          <w:r w:rsidRPr="007637BE">
            <w:rPr>
              <w:rFonts w:asciiTheme="majorHAnsi" w:hAnsiTheme="majorHAnsi" w:cstheme="majorHAnsi"/>
            </w:rPr>
            <w:fldChar w:fldCharType="begin"/>
          </w:r>
          <w:r w:rsidR="00C56F54" w:rsidRPr="00E11CDC">
            <w:rPr>
              <w:rFonts w:asciiTheme="majorHAnsi" w:hAnsiTheme="majorHAnsi" w:cstheme="majorHAnsi"/>
            </w:rPr>
            <w:instrText xml:space="preserve"> TOC \o "1-3" </w:instrText>
          </w:r>
          <w:r w:rsidRPr="007637BE">
            <w:rPr>
              <w:rFonts w:asciiTheme="majorHAnsi" w:hAnsiTheme="majorHAnsi" w:cstheme="majorHAnsi"/>
            </w:rPr>
            <w:fldChar w:fldCharType="separate"/>
          </w:r>
          <w:r w:rsidR="00E11CDC" w:rsidRPr="00E11CDC">
            <w:rPr>
              <w:rFonts w:asciiTheme="majorHAnsi" w:hAnsiTheme="majorHAnsi"/>
              <w:noProof/>
            </w:rPr>
            <w:t>1</w:t>
          </w:r>
          <w:r w:rsidR="00E11CDC" w:rsidRPr="00E11CDC">
            <w:rPr>
              <w:rFonts w:asciiTheme="majorHAnsi" w:eastAsiaTheme="minorEastAsia" w:hAnsiTheme="majorHAnsi" w:cstheme="minorBidi"/>
              <w:b w:val="0"/>
              <w:caps w:val="0"/>
              <w:noProof/>
              <w:u w:val="none"/>
              <w:lang w:eastAsia="en-AU"/>
            </w:rPr>
            <w:tab/>
          </w:r>
          <w:r w:rsidR="00E11CDC" w:rsidRPr="00E11CDC">
            <w:rPr>
              <w:rFonts w:asciiTheme="majorHAnsi" w:hAnsiTheme="majorHAnsi"/>
              <w:caps w:val="0"/>
              <w:noProof/>
            </w:rPr>
            <w:t>INTRODUCTION</w:t>
          </w:r>
          <w:r w:rsidR="00E11CDC" w:rsidRPr="00E11CDC">
            <w:rPr>
              <w:rFonts w:asciiTheme="majorHAnsi" w:hAnsiTheme="majorHAnsi"/>
              <w:noProof/>
            </w:rPr>
            <w:tab/>
          </w:r>
          <w:r w:rsidRPr="00E11CDC">
            <w:rPr>
              <w:rFonts w:asciiTheme="majorHAnsi" w:hAnsiTheme="majorHAnsi"/>
              <w:noProof/>
            </w:rPr>
            <w:fldChar w:fldCharType="begin"/>
          </w:r>
          <w:r w:rsidR="00E11CDC" w:rsidRPr="00E11CDC">
            <w:rPr>
              <w:rFonts w:asciiTheme="majorHAnsi" w:hAnsiTheme="majorHAnsi"/>
              <w:noProof/>
            </w:rPr>
            <w:instrText xml:space="preserve"> PAGEREF _Toc390444567 \h </w:instrText>
          </w:r>
          <w:r w:rsidRPr="00E11CDC">
            <w:rPr>
              <w:rFonts w:asciiTheme="majorHAnsi" w:hAnsiTheme="majorHAnsi"/>
              <w:noProof/>
            </w:rPr>
          </w:r>
          <w:r w:rsidRPr="00E11CDC">
            <w:rPr>
              <w:rFonts w:asciiTheme="majorHAnsi" w:hAnsiTheme="majorHAnsi"/>
              <w:noProof/>
            </w:rPr>
            <w:fldChar w:fldCharType="separate"/>
          </w:r>
          <w:r w:rsidR="00697A48">
            <w:rPr>
              <w:rFonts w:asciiTheme="majorHAnsi" w:hAnsiTheme="majorHAnsi"/>
              <w:noProof/>
            </w:rPr>
            <w:t>1</w:t>
          </w:r>
          <w:r w:rsidRPr="00E11CDC">
            <w:rPr>
              <w:rFonts w:asciiTheme="majorHAnsi" w:hAnsiTheme="majorHAnsi"/>
              <w:noProof/>
            </w:rPr>
            <w:fldChar w:fldCharType="end"/>
          </w:r>
        </w:p>
        <w:p w:rsidR="00E11CDC" w:rsidRPr="00E11CDC" w:rsidRDefault="00E11CDC">
          <w:pPr>
            <w:pStyle w:val="TOC2"/>
            <w:rPr>
              <w:rFonts w:eastAsiaTheme="minorEastAsia" w:cstheme="minorBidi"/>
              <w:b w:val="0"/>
              <w:lang w:val="en-AU" w:eastAsia="en-AU"/>
            </w:rPr>
          </w:pPr>
          <w:r w:rsidRPr="00E11CDC">
            <w:t>1.1</w:t>
          </w:r>
          <w:r w:rsidRPr="00E11CDC">
            <w:rPr>
              <w:rFonts w:eastAsiaTheme="minorEastAsia" w:cstheme="minorBidi"/>
              <w:b w:val="0"/>
              <w:lang w:val="en-AU" w:eastAsia="en-AU"/>
            </w:rPr>
            <w:tab/>
          </w:r>
          <w:r w:rsidRPr="00E11CDC">
            <w:t>Background</w:t>
          </w:r>
          <w:r w:rsidRPr="00E11CDC">
            <w:tab/>
          </w:r>
          <w:r w:rsidR="007637BE" w:rsidRPr="00E11CDC">
            <w:fldChar w:fldCharType="begin"/>
          </w:r>
          <w:r w:rsidRPr="00E11CDC">
            <w:instrText xml:space="preserve"> PAGEREF _Toc390444568 \h </w:instrText>
          </w:r>
          <w:r w:rsidR="007637BE" w:rsidRPr="00E11CDC">
            <w:fldChar w:fldCharType="separate"/>
          </w:r>
          <w:r w:rsidR="00697A48">
            <w:t>1</w:t>
          </w:r>
          <w:r w:rsidR="007637BE" w:rsidRPr="00E11CDC">
            <w:fldChar w:fldCharType="end"/>
          </w:r>
        </w:p>
        <w:p w:rsidR="00E11CDC" w:rsidRPr="00E11CDC" w:rsidRDefault="00E11CDC">
          <w:pPr>
            <w:pStyle w:val="TOC1"/>
            <w:tabs>
              <w:tab w:val="left" w:pos="332"/>
              <w:tab w:val="right" w:pos="9621"/>
            </w:tabs>
            <w:rPr>
              <w:rFonts w:asciiTheme="majorHAnsi" w:eastAsiaTheme="minorEastAsia" w:hAnsiTheme="majorHAnsi" w:cstheme="minorBidi"/>
              <w:b w:val="0"/>
              <w:caps w:val="0"/>
              <w:noProof/>
              <w:u w:val="none"/>
              <w:lang w:eastAsia="en-AU"/>
            </w:rPr>
          </w:pPr>
          <w:r w:rsidRPr="00E11CDC">
            <w:rPr>
              <w:rFonts w:asciiTheme="majorHAnsi" w:hAnsiTheme="majorHAnsi"/>
              <w:noProof/>
              <w:lang w:val="en-US"/>
            </w:rPr>
            <w:t>2</w:t>
          </w:r>
          <w:r w:rsidRPr="00E11CDC">
            <w:rPr>
              <w:rFonts w:asciiTheme="majorHAnsi" w:eastAsiaTheme="minorEastAsia" w:hAnsiTheme="majorHAnsi" w:cstheme="minorBidi"/>
              <w:b w:val="0"/>
              <w:caps w:val="0"/>
              <w:noProof/>
              <w:u w:val="none"/>
              <w:lang w:eastAsia="en-AU"/>
            </w:rPr>
            <w:tab/>
          </w:r>
          <w:r w:rsidRPr="00E11CDC">
            <w:rPr>
              <w:rFonts w:asciiTheme="majorHAnsi" w:hAnsiTheme="majorHAnsi"/>
              <w:caps w:val="0"/>
              <w:noProof/>
              <w:lang w:val="en-US"/>
            </w:rPr>
            <w:t xml:space="preserve">SUMMARY OF </w:t>
          </w:r>
          <w:r w:rsidRPr="00E11CDC">
            <w:rPr>
              <w:rFonts w:asciiTheme="majorHAnsi" w:hAnsiTheme="majorHAnsi"/>
              <w:noProof/>
              <w:lang w:val="en-US"/>
            </w:rPr>
            <w:t>AVAILABLE DATA</w:t>
          </w:r>
          <w:r w:rsidRPr="00E11CDC">
            <w:rPr>
              <w:rFonts w:asciiTheme="majorHAnsi" w:hAnsiTheme="majorHAnsi"/>
              <w:noProof/>
            </w:rPr>
            <w:tab/>
          </w:r>
          <w:r w:rsidR="007637BE" w:rsidRPr="00E11CDC">
            <w:rPr>
              <w:rFonts w:asciiTheme="majorHAnsi" w:hAnsiTheme="majorHAnsi"/>
              <w:noProof/>
            </w:rPr>
            <w:fldChar w:fldCharType="begin"/>
          </w:r>
          <w:r w:rsidRPr="00E11CDC">
            <w:rPr>
              <w:rFonts w:asciiTheme="majorHAnsi" w:hAnsiTheme="majorHAnsi"/>
              <w:noProof/>
            </w:rPr>
            <w:instrText xml:space="preserve"> PAGEREF _Toc390444569 \h </w:instrText>
          </w:r>
          <w:r w:rsidR="007637BE" w:rsidRPr="00E11CDC">
            <w:rPr>
              <w:rFonts w:asciiTheme="majorHAnsi" w:hAnsiTheme="majorHAnsi"/>
              <w:noProof/>
            </w:rPr>
          </w:r>
          <w:r w:rsidR="007637BE" w:rsidRPr="00E11CDC">
            <w:rPr>
              <w:rFonts w:asciiTheme="majorHAnsi" w:hAnsiTheme="majorHAnsi"/>
              <w:noProof/>
            </w:rPr>
            <w:fldChar w:fldCharType="separate"/>
          </w:r>
          <w:r w:rsidR="00697A48">
            <w:rPr>
              <w:rFonts w:asciiTheme="majorHAnsi" w:hAnsiTheme="majorHAnsi"/>
              <w:noProof/>
            </w:rPr>
            <w:t>2</w:t>
          </w:r>
          <w:r w:rsidR="007637BE" w:rsidRPr="00E11CDC">
            <w:rPr>
              <w:rFonts w:asciiTheme="majorHAnsi" w:hAnsiTheme="majorHAnsi"/>
              <w:noProof/>
            </w:rPr>
            <w:fldChar w:fldCharType="end"/>
          </w:r>
        </w:p>
        <w:p w:rsidR="00E11CDC" w:rsidRPr="00E11CDC" w:rsidRDefault="00E11CDC">
          <w:pPr>
            <w:pStyle w:val="TOC2"/>
            <w:rPr>
              <w:rFonts w:eastAsiaTheme="minorEastAsia" w:cstheme="minorBidi"/>
              <w:b w:val="0"/>
              <w:lang w:val="en-AU" w:eastAsia="en-AU"/>
            </w:rPr>
          </w:pPr>
          <w:r w:rsidRPr="00E11CDC">
            <w:t>2.1</w:t>
          </w:r>
          <w:r w:rsidRPr="00E11CDC">
            <w:rPr>
              <w:rFonts w:eastAsiaTheme="minorEastAsia" w:cstheme="minorBidi"/>
              <w:b w:val="0"/>
              <w:lang w:val="en-AU" w:eastAsia="en-AU"/>
            </w:rPr>
            <w:tab/>
          </w:r>
          <w:r w:rsidRPr="00E11CDC">
            <w:t>Australian Battery Recycling Initiative Study (by Warnken ISE 2010)</w:t>
          </w:r>
          <w:r w:rsidRPr="00E11CDC">
            <w:tab/>
          </w:r>
          <w:r w:rsidR="007637BE" w:rsidRPr="00E11CDC">
            <w:fldChar w:fldCharType="begin"/>
          </w:r>
          <w:r w:rsidRPr="00E11CDC">
            <w:instrText xml:space="preserve"> PAGEREF _Toc390444570 \h </w:instrText>
          </w:r>
          <w:r w:rsidR="007637BE" w:rsidRPr="00E11CDC">
            <w:fldChar w:fldCharType="separate"/>
          </w:r>
          <w:r w:rsidR="00697A48">
            <w:t>2</w:t>
          </w:r>
          <w:r w:rsidR="007637BE" w:rsidRPr="00E11CDC">
            <w:fldChar w:fldCharType="end"/>
          </w:r>
        </w:p>
        <w:p w:rsidR="00E11CDC" w:rsidRPr="00E11CDC" w:rsidRDefault="00E11CDC">
          <w:pPr>
            <w:pStyle w:val="TOC2"/>
            <w:rPr>
              <w:rFonts w:eastAsiaTheme="minorEastAsia" w:cstheme="minorBidi"/>
              <w:b w:val="0"/>
              <w:lang w:val="en-AU" w:eastAsia="en-AU"/>
            </w:rPr>
          </w:pPr>
          <w:r w:rsidRPr="00E11CDC">
            <w:t>2.2</w:t>
          </w:r>
          <w:r w:rsidRPr="00E11CDC">
            <w:rPr>
              <w:rFonts w:eastAsiaTheme="minorEastAsia" w:cstheme="minorBidi"/>
              <w:b w:val="0"/>
              <w:lang w:val="en-AU" w:eastAsia="en-AU"/>
            </w:rPr>
            <w:tab/>
          </w:r>
          <w:r w:rsidRPr="00E11CDC">
            <w:t>Australian Bureau of Statistics Import Data</w:t>
          </w:r>
          <w:r w:rsidRPr="00E11CDC">
            <w:tab/>
          </w:r>
          <w:r w:rsidR="007637BE" w:rsidRPr="00E11CDC">
            <w:fldChar w:fldCharType="begin"/>
          </w:r>
          <w:r w:rsidRPr="00E11CDC">
            <w:instrText xml:space="preserve"> PAGEREF _Toc390444571 \h </w:instrText>
          </w:r>
          <w:r w:rsidR="007637BE" w:rsidRPr="00E11CDC">
            <w:fldChar w:fldCharType="separate"/>
          </w:r>
          <w:r w:rsidR="00697A48">
            <w:t>3</w:t>
          </w:r>
          <w:r w:rsidR="007637BE" w:rsidRPr="00E11CDC">
            <w:fldChar w:fldCharType="end"/>
          </w:r>
        </w:p>
        <w:p w:rsidR="00E11CDC" w:rsidRPr="00E11CDC" w:rsidRDefault="00E11CDC">
          <w:pPr>
            <w:pStyle w:val="TOC2"/>
            <w:rPr>
              <w:rFonts w:eastAsiaTheme="minorEastAsia" w:cstheme="minorBidi"/>
              <w:b w:val="0"/>
              <w:lang w:val="en-AU" w:eastAsia="en-AU"/>
            </w:rPr>
          </w:pPr>
          <w:r w:rsidRPr="00E11CDC">
            <w:t>2.3</w:t>
          </w:r>
          <w:r w:rsidRPr="00E11CDC">
            <w:rPr>
              <w:rFonts w:eastAsiaTheme="minorEastAsia" w:cstheme="minorBidi"/>
              <w:b w:val="0"/>
              <w:lang w:val="en-AU" w:eastAsia="en-AU"/>
            </w:rPr>
            <w:tab/>
          </w:r>
          <w:r w:rsidRPr="00E11CDC">
            <w:t>Other Data</w:t>
          </w:r>
          <w:r w:rsidRPr="00E11CDC">
            <w:tab/>
          </w:r>
          <w:r w:rsidR="007637BE" w:rsidRPr="00E11CDC">
            <w:fldChar w:fldCharType="begin"/>
          </w:r>
          <w:r w:rsidRPr="00E11CDC">
            <w:instrText xml:space="preserve"> PAGEREF _Toc390444572 \h </w:instrText>
          </w:r>
          <w:r w:rsidR="007637BE" w:rsidRPr="00E11CDC">
            <w:fldChar w:fldCharType="separate"/>
          </w:r>
          <w:r w:rsidR="00697A48">
            <w:t>4</w:t>
          </w:r>
          <w:r w:rsidR="007637BE" w:rsidRPr="00E11CDC">
            <w:fldChar w:fldCharType="end"/>
          </w:r>
        </w:p>
        <w:p w:rsidR="00E11CDC" w:rsidRPr="00E11CDC" w:rsidRDefault="00E11CDC">
          <w:pPr>
            <w:pStyle w:val="TOC3"/>
            <w:rPr>
              <w:rFonts w:eastAsiaTheme="minorEastAsia" w:cstheme="minorBidi"/>
              <w:lang w:val="en-AU" w:eastAsia="en-AU"/>
            </w:rPr>
          </w:pPr>
          <w:r w:rsidRPr="00E11CDC">
            <w:t>2.3.1</w:t>
          </w:r>
          <w:r w:rsidRPr="00E11CDC">
            <w:rPr>
              <w:rFonts w:eastAsiaTheme="minorEastAsia" w:cstheme="minorBidi"/>
              <w:lang w:val="en-AU" w:eastAsia="en-AU"/>
            </w:rPr>
            <w:tab/>
          </w:r>
          <w:r w:rsidRPr="00E11CDC">
            <w:t>National hazardous waste data assessment</w:t>
          </w:r>
          <w:r w:rsidRPr="00E11CDC">
            <w:tab/>
          </w:r>
          <w:r w:rsidR="007637BE" w:rsidRPr="00E11CDC">
            <w:fldChar w:fldCharType="begin"/>
          </w:r>
          <w:r w:rsidRPr="00E11CDC">
            <w:instrText xml:space="preserve"> PAGEREF _Toc390444573 \h </w:instrText>
          </w:r>
          <w:r w:rsidR="007637BE" w:rsidRPr="00E11CDC">
            <w:fldChar w:fldCharType="separate"/>
          </w:r>
          <w:r w:rsidR="00697A48">
            <w:t>4</w:t>
          </w:r>
          <w:r w:rsidR="007637BE" w:rsidRPr="00E11CDC">
            <w:fldChar w:fldCharType="end"/>
          </w:r>
        </w:p>
        <w:p w:rsidR="00E11CDC" w:rsidRPr="00E11CDC" w:rsidRDefault="00E11CDC">
          <w:pPr>
            <w:pStyle w:val="TOC3"/>
            <w:rPr>
              <w:rFonts w:eastAsiaTheme="minorEastAsia" w:cstheme="minorBidi"/>
              <w:lang w:val="en-AU" w:eastAsia="en-AU"/>
            </w:rPr>
          </w:pPr>
          <w:r w:rsidRPr="00E11CDC">
            <w:t>2.3.2</w:t>
          </w:r>
          <w:r w:rsidRPr="00E11CDC">
            <w:rPr>
              <w:rFonts w:eastAsiaTheme="minorEastAsia" w:cstheme="minorBidi"/>
              <w:lang w:val="en-AU" w:eastAsia="en-AU"/>
            </w:rPr>
            <w:tab/>
          </w:r>
          <w:r w:rsidRPr="00E11CDC">
            <w:t>Hydromet arisings estimate</w:t>
          </w:r>
          <w:r w:rsidRPr="00E11CDC">
            <w:tab/>
          </w:r>
          <w:r w:rsidR="007637BE" w:rsidRPr="00E11CDC">
            <w:fldChar w:fldCharType="begin"/>
          </w:r>
          <w:r w:rsidRPr="00E11CDC">
            <w:instrText xml:space="preserve"> PAGEREF _Toc390444574 \h </w:instrText>
          </w:r>
          <w:r w:rsidR="007637BE" w:rsidRPr="00E11CDC">
            <w:fldChar w:fldCharType="separate"/>
          </w:r>
          <w:r w:rsidR="00697A48">
            <w:t>4</w:t>
          </w:r>
          <w:r w:rsidR="007637BE" w:rsidRPr="00E11CDC">
            <w:fldChar w:fldCharType="end"/>
          </w:r>
        </w:p>
        <w:p w:rsidR="00E11CDC" w:rsidRPr="00E11CDC" w:rsidRDefault="00E11CDC">
          <w:pPr>
            <w:pStyle w:val="TOC3"/>
            <w:rPr>
              <w:rFonts w:eastAsiaTheme="minorEastAsia" w:cstheme="minorBidi"/>
              <w:lang w:val="en-AU" w:eastAsia="en-AU"/>
            </w:rPr>
          </w:pPr>
          <w:r w:rsidRPr="00E11CDC">
            <w:t>2.3.3</w:t>
          </w:r>
          <w:r w:rsidRPr="00E11CDC">
            <w:rPr>
              <w:rFonts w:eastAsiaTheme="minorEastAsia" w:cstheme="minorBidi"/>
              <w:lang w:val="en-AU" w:eastAsia="en-AU"/>
            </w:rPr>
            <w:tab/>
          </w:r>
          <w:r w:rsidRPr="00E11CDC">
            <w:t>SITA waste car batteries estimate</w:t>
          </w:r>
          <w:r w:rsidRPr="00E11CDC">
            <w:tab/>
          </w:r>
          <w:r w:rsidR="007637BE" w:rsidRPr="00E11CDC">
            <w:fldChar w:fldCharType="begin"/>
          </w:r>
          <w:r w:rsidRPr="00E11CDC">
            <w:instrText xml:space="preserve"> PAGEREF _Toc390444575 \h </w:instrText>
          </w:r>
          <w:r w:rsidR="007637BE" w:rsidRPr="00E11CDC">
            <w:fldChar w:fldCharType="separate"/>
          </w:r>
          <w:r w:rsidR="00697A48">
            <w:t>4</w:t>
          </w:r>
          <w:r w:rsidR="007637BE" w:rsidRPr="00E11CDC">
            <w:fldChar w:fldCharType="end"/>
          </w:r>
        </w:p>
        <w:p w:rsidR="00E11CDC" w:rsidRPr="00E11CDC" w:rsidRDefault="00E11CDC">
          <w:pPr>
            <w:pStyle w:val="TOC1"/>
            <w:tabs>
              <w:tab w:val="left" w:pos="332"/>
              <w:tab w:val="right" w:pos="9621"/>
            </w:tabs>
            <w:rPr>
              <w:rFonts w:asciiTheme="majorHAnsi" w:eastAsiaTheme="minorEastAsia" w:hAnsiTheme="majorHAnsi" w:cstheme="minorBidi"/>
              <w:b w:val="0"/>
              <w:caps w:val="0"/>
              <w:noProof/>
              <w:u w:val="none"/>
              <w:lang w:eastAsia="en-AU"/>
            </w:rPr>
          </w:pPr>
          <w:r w:rsidRPr="00E11CDC">
            <w:rPr>
              <w:rFonts w:asciiTheme="majorHAnsi" w:hAnsiTheme="majorHAnsi"/>
              <w:noProof/>
            </w:rPr>
            <w:t>3</w:t>
          </w:r>
          <w:r w:rsidRPr="00E11CDC">
            <w:rPr>
              <w:rFonts w:asciiTheme="majorHAnsi" w:eastAsiaTheme="minorEastAsia" w:hAnsiTheme="majorHAnsi" w:cstheme="minorBidi"/>
              <w:b w:val="0"/>
              <w:caps w:val="0"/>
              <w:noProof/>
              <w:u w:val="none"/>
              <w:lang w:eastAsia="en-AU"/>
            </w:rPr>
            <w:tab/>
          </w:r>
          <w:r w:rsidRPr="00E11CDC">
            <w:rPr>
              <w:rFonts w:asciiTheme="majorHAnsi" w:hAnsiTheme="majorHAnsi"/>
              <w:caps w:val="0"/>
              <w:noProof/>
            </w:rPr>
            <w:t>DATA COMPARISONS AND RECONCILIATION</w:t>
          </w:r>
          <w:r w:rsidRPr="00E11CDC">
            <w:rPr>
              <w:rFonts w:asciiTheme="majorHAnsi" w:hAnsiTheme="majorHAnsi"/>
              <w:noProof/>
            </w:rPr>
            <w:tab/>
          </w:r>
          <w:r w:rsidR="007637BE" w:rsidRPr="00E11CDC">
            <w:rPr>
              <w:rFonts w:asciiTheme="majorHAnsi" w:hAnsiTheme="majorHAnsi"/>
              <w:noProof/>
            </w:rPr>
            <w:fldChar w:fldCharType="begin"/>
          </w:r>
          <w:r w:rsidRPr="00E11CDC">
            <w:rPr>
              <w:rFonts w:asciiTheme="majorHAnsi" w:hAnsiTheme="majorHAnsi"/>
              <w:noProof/>
            </w:rPr>
            <w:instrText xml:space="preserve"> PAGEREF _Toc390444576 \h </w:instrText>
          </w:r>
          <w:r w:rsidR="007637BE" w:rsidRPr="00E11CDC">
            <w:rPr>
              <w:rFonts w:asciiTheme="majorHAnsi" w:hAnsiTheme="majorHAnsi"/>
              <w:noProof/>
            </w:rPr>
          </w:r>
          <w:r w:rsidR="007637BE" w:rsidRPr="00E11CDC">
            <w:rPr>
              <w:rFonts w:asciiTheme="majorHAnsi" w:hAnsiTheme="majorHAnsi"/>
              <w:noProof/>
            </w:rPr>
            <w:fldChar w:fldCharType="separate"/>
          </w:r>
          <w:r w:rsidR="00697A48">
            <w:rPr>
              <w:rFonts w:asciiTheme="majorHAnsi" w:hAnsiTheme="majorHAnsi"/>
              <w:noProof/>
            </w:rPr>
            <w:t>5</w:t>
          </w:r>
          <w:r w:rsidR="007637BE" w:rsidRPr="00E11CDC">
            <w:rPr>
              <w:rFonts w:asciiTheme="majorHAnsi" w:hAnsiTheme="majorHAnsi"/>
              <w:noProof/>
            </w:rPr>
            <w:fldChar w:fldCharType="end"/>
          </w:r>
        </w:p>
        <w:p w:rsidR="00E11CDC" w:rsidRPr="00E11CDC" w:rsidRDefault="00E11CDC">
          <w:pPr>
            <w:pStyle w:val="TOC2"/>
            <w:rPr>
              <w:rFonts w:eastAsiaTheme="minorEastAsia" w:cstheme="minorBidi"/>
              <w:b w:val="0"/>
              <w:lang w:val="en-AU" w:eastAsia="en-AU"/>
            </w:rPr>
          </w:pPr>
          <w:r w:rsidRPr="00E11CDC">
            <w:t>3.1</w:t>
          </w:r>
          <w:r w:rsidRPr="00E11CDC">
            <w:rPr>
              <w:rFonts w:eastAsiaTheme="minorEastAsia" w:cstheme="minorBidi"/>
              <w:b w:val="0"/>
              <w:lang w:val="en-AU" w:eastAsia="en-AU"/>
            </w:rPr>
            <w:tab/>
          </w:r>
          <w:r w:rsidRPr="00E11CDC">
            <w:t>Data Inspection and Checks</w:t>
          </w:r>
          <w:r w:rsidRPr="00E11CDC">
            <w:tab/>
          </w:r>
          <w:r w:rsidR="007637BE" w:rsidRPr="00E11CDC">
            <w:fldChar w:fldCharType="begin"/>
          </w:r>
          <w:r w:rsidRPr="00E11CDC">
            <w:instrText xml:space="preserve"> PAGEREF _Toc390444577 \h </w:instrText>
          </w:r>
          <w:r w:rsidR="007637BE" w:rsidRPr="00E11CDC">
            <w:fldChar w:fldCharType="separate"/>
          </w:r>
          <w:r w:rsidR="00697A48">
            <w:t>5</w:t>
          </w:r>
          <w:r w:rsidR="007637BE" w:rsidRPr="00E11CDC">
            <w:fldChar w:fldCharType="end"/>
          </w:r>
        </w:p>
        <w:p w:rsidR="00E11CDC" w:rsidRPr="00E11CDC" w:rsidRDefault="00E11CDC">
          <w:pPr>
            <w:pStyle w:val="TOC3"/>
            <w:rPr>
              <w:rFonts w:eastAsiaTheme="minorEastAsia" w:cstheme="minorBidi"/>
              <w:lang w:val="en-AU" w:eastAsia="en-AU"/>
            </w:rPr>
          </w:pPr>
          <w:r w:rsidRPr="00E11CDC">
            <w:t>3.1.1</w:t>
          </w:r>
          <w:r w:rsidRPr="00E11CDC">
            <w:rPr>
              <w:rFonts w:eastAsiaTheme="minorEastAsia" w:cstheme="minorBidi"/>
              <w:lang w:val="en-AU" w:eastAsia="en-AU"/>
            </w:rPr>
            <w:tab/>
          </w:r>
          <w:r w:rsidRPr="00E11CDC">
            <w:t>Warnken ISE (2010) data</w:t>
          </w:r>
          <w:r w:rsidRPr="00E11CDC">
            <w:tab/>
          </w:r>
          <w:r w:rsidR="007637BE" w:rsidRPr="00E11CDC">
            <w:fldChar w:fldCharType="begin"/>
          </w:r>
          <w:r w:rsidRPr="00E11CDC">
            <w:instrText xml:space="preserve"> PAGEREF _Toc390444578 \h </w:instrText>
          </w:r>
          <w:r w:rsidR="007637BE" w:rsidRPr="00E11CDC">
            <w:fldChar w:fldCharType="separate"/>
          </w:r>
          <w:r w:rsidR="00697A48">
            <w:t>5</w:t>
          </w:r>
          <w:r w:rsidR="007637BE" w:rsidRPr="00E11CDC">
            <w:fldChar w:fldCharType="end"/>
          </w:r>
        </w:p>
        <w:p w:rsidR="00E11CDC" w:rsidRPr="00E11CDC" w:rsidRDefault="00E11CDC">
          <w:pPr>
            <w:pStyle w:val="TOC3"/>
            <w:rPr>
              <w:rFonts w:eastAsiaTheme="minorEastAsia" w:cstheme="minorBidi"/>
              <w:lang w:val="en-AU" w:eastAsia="en-AU"/>
            </w:rPr>
          </w:pPr>
          <w:r w:rsidRPr="00E11CDC">
            <w:t>3.1.2</w:t>
          </w:r>
          <w:r w:rsidRPr="00E11CDC">
            <w:rPr>
              <w:rFonts w:eastAsiaTheme="minorEastAsia" w:cstheme="minorBidi"/>
              <w:lang w:val="en-AU" w:eastAsia="en-AU"/>
            </w:rPr>
            <w:tab/>
          </w:r>
          <w:r w:rsidRPr="00E11CDC">
            <w:t>ABS (2013) data</w:t>
          </w:r>
          <w:r w:rsidRPr="00E11CDC">
            <w:tab/>
          </w:r>
          <w:r w:rsidR="007637BE" w:rsidRPr="00E11CDC">
            <w:fldChar w:fldCharType="begin"/>
          </w:r>
          <w:r w:rsidRPr="00E11CDC">
            <w:instrText xml:space="preserve"> PAGEREF _Toc390444579 \h </w:instrText>
          </w:r>
          <w:r w:rsidR="007637BE" w:rsidRPr="00E11CDC">
            <w:fldChar w:fldCharType="separate"/>
          </w:r>
          <w:r w:rsidR="00697A48">
            <w:t>6</w:t>
          </w:r>
          <w:r w:rsidR="007637BE" w:rsidRPr="00E11CDC">
            <w:fldChar w:fldCharType="end"/>
          </w:r>
        </w:p>
        <w:p w:rsidR="00E11CDC" w:rsidRPr="00E11CDC" w:rsidRDefault="00E11CDC">
          <w:pPr>
            <w:pStyle w:val="TOC2"/>
            <w:rPr>
              <w:rFonts w:eastAsiaTheme="minorEastAsia" w:cstheme="minorBidi"/>
              <w:b w:val="0"/>
              <w:lang w:val="en-AU" w:eastAsia="en-AU"/>
            </w:rPr>
          </w:pPr>
          <w:r w:rsidRPr="00E11CDC">
            <w:t>3.2</w:t>
          </w:r>
          <w:r w:rsidRPr="00E11CDC">
            <w:rPr>
              <w:rFonts w:eastAsiaTheme="minorEastAsia" w:cstheme="minorBidi"/>
              <w:b w:val="0"/>
              <w:lang w:val="en-AU" w:eastAsia="en-AU"/>
            </w:rPr>
            <w:tab/>
          </w:r>
          <w:r w:rsidRPr="00E11CDC">
            <w:t>Misalignments and Errors</w:t>
          </w:r>
          <w:r w:rsidRPr="00E11CDC">
            <w:tab/>
          </w:r>
          <w:r w:rsidR="007637BE" w:rsidRPr="00E11CDC">
            <w:fldChar w:fldCharType="begin"/>
          </w:r>
          <w:r w:rsidRPr="00E11CDC">
            <w:instrText xml:space="preserve"> PAGEREF _Toc390444580 \h </w:instrText>
          </w:r>
          <w:r w:rsidR="007637BE" w:rsidRPr="00E11CDC">
            <w:fldChar w:fldCharType="separate"/>
          </w:r>
          <w:r w:rsidR="00697A48">
            <w:t>8</w:t>
          </w:r>
          <w:r w:rsidR="007637BE" w:rsidRPr="00E11CDC">
            <w:fldChar w:fldCharType="end"/>
          </w:r>
        </w:p>
        <w:p w:rsidR="00E11CDC" w:rsidRPr="00E11CDC" w:rsidRDefault="00E11CDC">
          <w:pPr>
            <w:pStyle w:val="TOC2"/>
            <w:rPr>
              <w:rFonts w:eastAsiaTheme="minorEastAsia" w:cstheme="minorBidi"/>
              <w:b w:val="0"/>
              <w:lang w:val="en-AU" w:eastAsia="en-AU"/>
            </w:rPr>
          </w:pPr>
          <w:r w:rsidRPr="00E11CDC">
            <w:t>3.3</w:t>
          </w:r>
          <w:r w:rsidRPr="00E11CDC">
            <w:rPr>
              <w:rFonts w:eastAsiaTheme="minorEastAsia" w:cstheme="minorBidi"/>
              <w:b w:val="0"/>
              <w:lang w:val="en-AU" w:eastAsia="en-AU"/>
            </w:rPr>
            <w:tab/>
          </w:r>
          <w:r w:rsidRPr="00E11CDC">
            <w:t>Comparison of Warnken ISE (2010) and ABS (2013) Numbers</w:t>
          </w:r>
          <w:r w:rsidRPr="00E11CDC">
            <w:tab/>
          </w:r>
          <w:r w:rsidR="007637BE" w:rsidRPr="00E11CDC">
            <w:fldChar w:fldCharType="begin"/>
          </w:r>
          <w:r w:rsidRPr="00E11CDC">
            <w:instrText xml:space="preserve"> PAGEREF _Toc390444581 \h </w:instrText>
          </w:r>
          <w:r w:rsidR="007637BE" w:rsidRPr="00E11CDC">
            <w:fldChar w:fldCharType="separate"/>
          </w:r>
          <w:r w:rsidR="00697A48">
            <w:t>9</w:t>
          </w:r>
          <w:r w:rsidR="007637BE" w:rsidRPr="00E11CDC">
            <w:fldChar w:fldCharType="end"/>
          </w:r>
        </w:p>
        <w:p w:rsidR="00E11CDC" w:rsidRPr="00E11CDC" w:rsidRDefault="00E11CDC">
          <w:pPr>
            <w:pStyle w:val="TOC3"/>
            <w:rPr>
              <w:rFonts w:eastAsiaTheme="minorEastAsia" w:cstheme="minorBidi"/>
              <w:lang w:val="en-AU" w:eastAsia="en-AU"/>
            </w:rPr>
          </w:pPr>
          <w:r w:rsidRPr="00E11CDC">
            <w:t>3.3.1</w:t>
          </w:r>
          <w:r w:rsidRPr="00E11CDC">
            <w:rPr>
              <w:rFonts w:eastAsiaTheme="minorEastAsia" w:cstheme="minorBidi"/>
              <w:lang w:val="en-AU" w:eastAsia="en-AU"/>
            </w:rPr>
            <w:tab/>
          </w:r>
          <w:r w:rsidRPr="00E11CDC">
            <w:t>Methodology</w:t>
          </w:r>
          <w:r w:rsidRPr="00E11CDC">
            <w:tab/>
          </w:r>
          <w:r w:rsidR="007637BE" w:rsidRPr="00E11CDC">
            <w:fldChar w:fldCharType="begin"/>
          </w:r>
          <w:r w:rsidRPr="00E11CDC">
            <w:instrText xml:space="preserve"> PAGEREF _Toc390444582 \h </w:instrText>
          </w:r>
          <w:r w:rsidR="007637BE" w:rsidRPr="00E11CDC">
            <w:fldChar w:fldCharType="separate"/>
          </w:r>
          <w:r w:rsidR="00697A48">
            <w:t>9</w:t>
          </w:r>
          <w:r w:rsidR="007637BE" w:rsidRPr="00E11CDC">
            <w:fldChar w:fldCharType="end"/>
          </w:r>
        </w:p>
        <w:p w:rsidR="00E11CDC" w:rsidRPr="00E11CDC" w:rsidRDefault="00E11CDC">
          <w:pPr>
            <w:pStyle w:val="TOC3"/>
            <w:rPr>
              <w:rFonts w:eastAsiaTheme="minorEastAsia" w:cstheme="minorBidi"/>
              <w:lang w:val="en-AU" w:eastAsia="en-AU"/>
            </w:rPr>
          </w:pPr>
          <w:r w:rsidRPr="00E11CDC">
            <w:t>3.3.2</w:t>
          </w:r>
          <w:r w:rsidRPr="00E11CDC">
            <w:rPr>
              <w:rFonts w:eastAsiaTheme="minorEastAsia" w:cstheme="minorBidi"/>
              <w:lang w:val="en-AU" w:eastAsia="en-AU"/>
            </w:rPr>
            <w:tab/>
          </w:r>
          <w:r w:rsidRPr="00E11CDC">
            <w:t>Warnken ISE detailed data examination</w:t>
          </w:r>
          <w:r w:rsidRPr="00E11CDC">
            <w:tab/>
          </w:r>
          <w:r w:rsidR="007637BE" w:rsidRPr="00E11CDC">
            <w:fldChar w:fldCharType="begin"/>
          </w:r>
          <w:r w:rsidRPr="00E11CDC">
            <w:instrText xml:space="preserve"> PAGEREF _Toc390444583 \h </w:instrText>
          </w:r>
          <w:r w:rsidR="007637BE" w:rsidRPr="00E11CDC">
            <w:fldChar w:fldCharType="separate"/>
          </w:r>
          <w:r w:rsidR="00697A48">
            <w:t>11</w:t>
          </w:r>
          <w:r w:rsidR="007637BE" w:rsidRPr="00E11CDC">
            <w:fldChar w:fldCharType="end"/>
          </w:r>
        </w:p>
        <w:p w:rsidR="00E11CDC" w:rsidRPr="00E11CDC" w:rsidRDefault="00E11CDC">
          <w:pPr>
            <w:pStyle w:val="TOC3"/>
            <w:rPr>
              <w:rFonts w:eastAsiaTheme="minorEastAsia" w:cstheme="minorBidi"/>
              <w:lang w:val="en-AU" w:eastAsia="en-AU"/>
            </w:rPr>
          </w:pPr>
          <w:r w:rsidRPr="00E11CDC">
            <w:t>3.3.3</w:t>
          </w:r>
          <w:r w:rsidRPr="00E11CDC">
            <w:rPr>
              <w:rFonts w:eastAsiaTheme="minorEastAsia" w:cstheme="minorBidi"/>
              <w:lang w:val="en-AU" w:eastAsia="en-AU"/>
            </w:rPr>
            <w:tab/>
          </w:r>
          <w:r w:rsidRPr="00E11CDC">
            <w:t>ABS detailed data examination</w:t>
          </w:r>
          <w:r w:rsidRPr="00E11CDC">
            <w:tab/>
          </w:r>
          <w:r w:rsidR="007637BE" w:rsidRPr="00E11CDC">
            <w:fldChar w:fldCharType="begin"/>
          </w:r>
          <w:r w:rsidRPr="00E11CDC">
            <w:instrText xml:space="preserve"> PAGEREF _Toc390444587 \h </w:instrText>
          </w:r>
          <w:r w:rsidR="007637BE" w:rsidRPr="00E11CDC">
            <w:fldChar w:fldCharType="separate"/>
          </w:r>
          <w:r w:rsidR="00697A48">
            <w:t>12</w:t>
          </w:r>
          <w:r w:rsidR="007637BE" w:rsidRPr="00E11CDC">
            <w:fldChar w:fldCharType="end"/>
          </w:r>
        </w:p>
        <w:p w:rsidR="00E11CDC" w:rsidRPr="00E11CDC" w:rsidRDefault="00E11CDC">
          <w:pPr>
            <w:pStyle w:val="TOC3"/>
            <w:rPr>
              <w:rFonts w:eastAsiaTheme="minorEastAsia" w:cstheme="minorBidi"/>
              <w:lang w:val="en-AU" w:eastAsia="en-AU"/>
            </w:rPr>
          </w:pPr>
          <w:r w:rsidRPr="00E11CDC">
            <w:t>3.3.4</w:t>
          </w:r>
          <w:r w:rsidRPr="00E11CDC">
            <w:rPr>
              <w:rFonts w:eastAsiaTheme="minorEastAsia" w:cstheme="minorBidi"/>
              <w:lang w:val="en-AU" w:eastAsia="en-AU"/>
            </w:rPr>
            <w:tab/>
          </w:r>
          <w:r w:rsidRPr="00E11CDC">
            <w:t>Summary on the discrepancy between ABS and Warnken ISE</w:t>
          </w:r>
          <w:r w:rsidRPr="00E11CDC">
            <w:tab/>
          </w:r>
          <w:r w:rsidR="007637BE" w:rsidRPr="00E11CDC">
            <w:fldChar w:fldCharType="begin"/>
          </w:r>
          <w:r w:rsidRPr="00E11CDC">
            <w:instrText xml:space="preserve"> PAGEREF _Toc390444588 \h </w:instrText>
          </w:r>
          <w:r w:rsidR="007637BE" w:rsidRPr="00E11CDC">
            <w:fldChar w:fldCharType="separate"/>
          </w:r>
          <w:r w:rsidR="00697A48">
            <w:t>13</w:t>
          </w:r>
          <w:r w:rsidR="007637BE" w:rsidRPr="00E11CDC">
            <w:fldChar w:fldCharType="end"/>
          </w:r>
        </w:p>
        <w:p w:rsidR="00E11CDC" w:rsidRPr="00E11CDC" w:rsidRDefault="00E11CDC">
          <w:pPr>
            <w:pStyle w:val="TOC1"/>
            <w:tabs>
              <w:tab w:val="left" w:pos="332"/>
              <w:tab w:val="right" w:pos="9621"/>
            </w:tabs>
            <w:rPr>
              <w:rFonts w:asciiTheme="majorHAnsi" w:eastAsiaTheme="minorEastAsia" w:hAnsiTheme="majorHAnsi" w:cstheme="minorBidi"/>
              <w:b w:val="0"/>
              <w:caps w:val="0"/>
              <w:noProof/>
              <w:u w:val="none"/>
              <w:lang w:eastAsia="en-AU"/>
            </w:rPr>
          </w:pPr>
          <w:r w:rsidRPr="00E11CDC">
            <w:rPr>
              <w:rFonts w:asciiTheme="majorHAnsi" w:hAnsiTheme="majorHAnsi"/>
              <w:noProof/>
            </w:rPr>
            <w:t>4</w:t>
          </w:r>
          <w:r w:rsidRPr="00E11CDC">
            <w:rPr>
              <w:rFonts w:asciiTheme="majorHAnsi" w:eastAsiaTheme="minorEastAsia" w:hAnsiTheme="majorHAnsi" w:cstheme="minorBidi"/>
              <w:b w:val="0"/>
              <w:caps w:val="0"/>
              <w:noProof/>
              <w:u w:val="none"/>
              <w:lang w:eastAsia="en-AU"/>
            </w:rPr>
            <w:tab/>
          </w:r>
          <w:r w:rsidRPr="00E11CDC">
            <w:rPr>
              <w:rFonts w:asciiTheme="majorHAnsi" w:hAnsiTheme="majorHAnsi"/>
              <w:noProof/>
            </w:rPr>
            <w:t>Conclusion</w:t>
          </w:r>
          <w:r w:rsidRPr="00E11CDC">
            <w:rPr>
              <w:rFonts w:asciiTheme="majorHAnsi" w:hAnsiTheme="majorHAnsi"/>
              <w:noProof/>
            </w:rPr>
            <w:tab/>
          </w:r>
          <w:r w:rsidR="007637BE" w:rsidRPr="00E11CDC">
            <w:rPr>
              <w:rFonts w:asciiTheme="majorHAnsi" w:hAnsiTheme="majorHAnsi"/>
              <w:noProof/>
            </w:rPr>
            <w:fldChar w:fldCharType="begin"/>
          </w:r>
          <w:r w:rsidRPr="00E11CDC">
            <w:rPr>
              <w:rFonts w:asciiTheme="majorHAnsi" w:hAnsiTheme="majorHAnsi"/>
              <w:noProof/>
            </w:rPr>
            <w:instrText xml:space="preserve"> PAGEREF _Toc390444589 \h </w:instrText>
          </w:r>
          <w:r w:rsidR="007637BE" w:rsidRPr="00E11CDC">
            <w:rPr>
              <w:rFonts w:asciiTheme="majorHAnsi" w:hAnsiTheme="majorHAnsi"/>
              <w:noProof/>
            </w:rPr>
          </w:r>
          <w:r w:rsidR="007637BE" w:rsidRPr="00E11CDC">
            <w:rPr>
              <w:rFonts w:asciiTheme="majorHAnsi" w:hAnsiTheme="majorHAnsi"/>
              <w:noProof/>
            </w:rPr>
            <w:fldChar w:fldCharType="separate"/>
          </w:r>
          <w:r w:rsidR="00697A48">
            <w:rPr>
              <w:rFonts w:asciiTheme="majorHAnsi" w:hAnsiTheme="majorHAnsi"/>
              <w:noProof/>
            </w:rPr>
            <w:t>14</w:t>
          </w:r>
          <w:r w:rsidR="007637BE" w:rsidRPr="00E11CDC">
            <w:rPr>
              <w:rFonts w:asciiTheme="majorHAnsi" w:hAnsiTheme="majorHAnsi"/>
              <w:noProof/>
            </w:rPr>
            <w:fldChar w:fldCharType="end"/>
          </w:r>
        </w:p>
        <w:p w:rsidR="00E11CDC" w:rsidRPr="00E11CDC" w:rsidRDefault="00E11CDC">
          <w:pPr>
            <w:pStyle w:val="TOC1"/>
            <w:tabs>
              <w:tab w:val="left" w:pos="332"/>
              <w:tab w:val="right" w:pos="9621"/>
            </w:tabs>
            <w:rPr>
              <w:rFonts w:asciiTheme="majorHAnsi" w:eastAsiaTheme="minorEastAsia" w:hAnsiTheme="majorHAnsi" w:cstheme="minorBidi"/>
              <w:b w:val="0"/>
              <w:caps w:val="0"/>
              <w:noProof/>
              <w:u w:val="none"/>
              <w:lang w:eastAsia="en-AU"/>
            </w:rPr>
          </w:pPr>
          <w:r w:rsidRPr="00E11CDC">
            <w:rPr>
              <w:rFonts w:asciiTheme="majorHAnsi" w:hAnsiTheme="majorHAnsi"/>
              <w:noProof/>
            </w:rPr>
            <w:t>5</w:t>
          </w:r>
          <w:r w:rsidRPr="00E11CDC">
            <w:rPr>
              <w:rFonts w:asciiTheme="majorHAnsi" w:eastAsiaTheme="minorEastAsia" w:hAnsiTheme="majorHAnsi" w:cstheme="minorBidi"/>
              <w:b w:val="0"/>
              <w:caps w:val="0"/>
              <w:noProof/>
              <w:u w:val="none"/>
              <w:lang w:eastAsia="en-AU"/>
            </w:rPr>
            <w:tab/>
          </w:r>
          <w:r w:rsidRPr="00E11CDC">
            <w:rPr>
              <w:rFonts w:asciiTheme="majorHAnsi" w:hAnsiTheme="majorHAnsi"/>
              <w:noProof/>
            </w:rPr>
            <w:t>REFERENCES</w:t>
          </w:r>
          <w:r w:rsidRPr="00E11CDC">
            <w:rPr>
              <w:rFonts w:asciiTheme="majorHAnsi" w:hAnsiTheme="majorHAnsi"/>
              <w:noProof/>
            </w:rPr>
            <w:tab/>
          </w:r>
          <w:r w:rsidR="007637BE" w:rsidRPr="00E11CDC">
            <w:rPr>
              <w:rFonts w:asciiTheme="majorHAnsi" w:hAnsiTheme="majorHAnsi"/>
              <w:noProof/>
            </w:rPr>
            <w:fldChar w:fldCharType="begin"/>
          </w:r>
          <w:r w:rsidRPr="00E11CDC">
            <w:rPr>
              <w:rFonts w:asciiTheme="majorHAnsi" w:hAnsiTheme="majorHAnsi"/>
              <w:noProof/>
            </w:rPr>
            <w:instrText xml:space="preserve"> PAGEREF _Toc390444590 \h </w:instrText>
          </w:r>
          <w:r w:rsidR="007637BE" w:rsidRPr="00E11CDC">
            <w:rPr>
              <w:rFonts w:asciiTheme="majorHAnsi" w:hAnsiTheme="majorHAnsi"/>
              <w:noProof/>
            </w:rPr>
          </w:r>
          <w:r w:rsidR="007637BE" w:rsidRPr="00E11CDC">
            <w:rPr>
              <w:rFonts w:asciiTheme="majorHAnsi" w:hAnsiTheme="majorHAnsi"/>
              <w:noProof/>
            </w:rPr>
            <w:fldChar w:fldCharType="separate"/>
          </w:r>
          <w:r w:rsidR="00697A48">
            <w:rPr>
              <w:rFonts w:asciiTheme="majorHAnsi" w:hAnsiTheme="majorHAnsi"/>
              <w:noProof/>
            </w:rPr>
            <w:t>15</w:t>
          </w:r>
          <w:r w:rsidR="007637BE" w:rsidRPr="00E11CDC">
            <w:rPr>
              <w:rFonts w:asciiTheme="majorHAnsi" w:hAnsiTheme="majorHAnsi"/>
              <w:noProof/>
            </w:rPr>
            <w:fldChar w:fldCharType="end"/>
          </w:r>
        </w:p>
        <w:p w:rsidR="00E11CDC" w:rsidRPr="00E11CDC" w:rsidRDefault="00E11CDC">
          <w:pPr>
            <w:pStyle w:val="TOC1"/>
            <w:tabs>
              <w:tab w:val="left" w:pos="332"/>
              <w:tab w:val="right" w:pos="9621"/>
            </w:tabs>
            <w:rPr>
              <w:rFonts w:asciiTheme="majorHAnsi" w:eastAsiaTheme="minorEastAsia" w:hAnsiTheme="majorHAnsi" w:cstheme="minorBidi"/>
              <w:b w:val="0"/>
              <w:caps w:val="0"/>
              <w:noProof/>
              <w:u w:val="none"/>
              <w:lang w:eastAsia="en-AU"/>
            </w:rPr>
          </w:pPr>
          <w:r w:rsidRPr="00E11CDC">
            <w:rPr>
              <w:rFonts w:asciiTheme="majorHAnsi" w:hAnsiTheme="majorHAnsi"/>
              <w:noProof/>
            </w:rPr>
            <w:t>6</w:t>
          </w:r>
          <w:r w:rsidRPr="00E11CDC">
            <w:rPr>
              <w:rFonts w:asciiTheme="majorHAnsi" w:eastAsiaTheme="minorEastAsia" w:hAnsiTheme="majorHAnsi" w:cstheme="minorBidi"/>
              <w:b w:val="0"/>
              <w:caps w:val="0"/>
              <w:noProof/>
              <w:u w:val="none"/>
              <w:lang w:eastAsia="en-AU"/>
            </w:rPr>
            <w:tab/>
          </w:r>
          <w:r w:rsidRPr="00E11CDC">
            <w:rPr>
              <w:rFonts w:asciiTheme="majorHAnsi" w:hAnsiTheme="majorHAnsi"/>
              <w:noProof/>
            </w:rPr>
            <w:t>APPENDIX A</w:t>
          </w:r>
          <w:r w:rsidRPr="00E11CDC">
            <w:rPr>
              <w:rFonts w:asciiTheme="majorHAnsi" w:hAnsiTheme="majorHAnsi"/>
              <w:noProof/>
            </w:rPr>
            <w:tab/>
          </w:r>
          <w:r w:rsidR="007637BE" w:rsidRPr="00E11CDC">
            <w:rPr>
              <w:rFonts w:asciiTheme="majorHAnsi" w:hAnsiTheme="majorHAnsi"/>
              <w:noProof/>
            </w:rPr>
            <w:fldChar w:fldCharType="begin"/>
          </w:r>
          <w:r w:rsidRPr="00E11CDC">
            <w:rPr>
              <w:rFonts w:asciiTheme="majorHAnsi" w:hAnsiTheme="majorHAnsi"/>
              <w:noProof/>
            </w:rPr>
            <w:instrText xml:space="preserve"> PAGEREF _Toc390444591 \h </w:instrText>
          </w:r>
          <w:r w:rsidR="007637BE" w:rsidRPr="00E11CDC">
            <w:rPr>
              <w:rFonts w:asciiTheme="majorHAnsi" w:hAnsiTheme="majorHAnsi"/>
              <w:noProof/>
            </w:rPr>
          </w:r>
          <w:r w:rsidR="007637BE" w:rsidRPr="00E11CDC">
            <w:rPr>
              <w:rFonts w:asciiTheme="majorHAnsi" w:hAnsiTheme="majorHAnsi"/>
              <w:noProof/>
            </w:rPr>
            <w:fldChar w:fldCharType="separate"/>
          </w:r>
          <w:r w:rsidR="00697A48">
            <w:rPr>
              <w:rFonts w:asciiTheme="majorHAnsi" w:hAnsiTheme="majorHAnsi"/>
              <w:noProof/>
            </w:rPr>
            <w:t>16</w:t>
          </w:r>
          <w:r w:rsidR="007637BE" w:rsidRPr="00E11CDC">
            <w:rPr>
              <w:rFonts w:asciiTheme="majorHAnsi" w:hAnsiTheme="majorHAnsi"/>
              <w:noProof/>
            </w:rPr>
            <w:fldChar w:fldCharType="end"/>
          </w:r>
        </w:p>
        <w:p w:rsidR="005974F3" w:rsidRDefault="007637BE" w:rsidP="003756BF">
          <w:pPr>
            <w:tabs>
              <w:tab w:val="right" w:pos="8781"/>
            </w:tabs>
          </w:pPr>
          <w:r w:rsidRPr="00E11CDC">
            <w:rPr>
              <w:rFonts w:asciiTheme="majorHAnsi" w:hAnsiTheme="majorHAnsi" w:cstheme="majorHAnsi"/>
              <w:szCs w:val="22"/>
              <w:u w:val="single"/>
            </w:rPr>
            <w:fldChar w:fldCharType="end"/>
          </w:r>
        </w:p>
      </w:sdtContent>
    </w:sdt>
    <w:p w:rsidR="00385158" w:rsidRDefault="00385158" w:rsidP="00DA65C1">
      <w:pPr>
        <w:spacing w:before="0" w:after="0" w:line="240" w:lineRule="auto"/>
        <w:rPr>
          <w:b/>
          <w:sz w:val="28"/>
        </w:rPr>
      </w:pPr>
      <w:r>
        <w:br w:type="page"/>
      </w:r>
    </w:p>
    <w:p w:rsidR="005974F3" w:rsidRPr="00CB01B4" w:rsidRDefault="00CB01B4" w:rsidP="00DA65C1">
      <w:pPr>
        <w:pStyle w:val="ToTandToF"/>
      </w:pPr>
      <w:r w:rsidRPr="00CB01B4">
        <w:lastRenderedPageBreak/>
        <w:t>TABLE OF TABLES</w:t>
      </w:r>
    </w:p>
    <w:p w:rsidR="00EE53AF" w:rsidRDefault="007637BE" w:rsidP="00E11CDC">
      <w:pPr>
        <w:pStyle w:val="TableofFigures"/>
        <w:tabs>
          <w:tab w:val="right" w:leader="dot" w:pos="9639"/>
        </w:tabs>
        <w:rPr>
          <w:rFonts w:asciiTheme="minorHAnsi" w:eastAsiaTheme="minorEastAsia" w:hAnsiTheme="minorHAnsi" w:cstheme="minorBidi"/>
          <w:noProof/>
          <w:szCs w:val="22"/>
          <w:lang w:eastAsia="en-AU"/>
        </w:rPr>
      </w:pPr>
      <w:r>
        <w:fldChar w:fldCharType="begin"/>
      </w:r>
      <w:r w:rsidR="00447D06">
        <w:instrText xml:space="preserve"> TOC \c "Table" </w:instrText>
      </w:r>
      <w:r>
        <w:fldChar w:fldCharType="separate"/>
      </w:r>
      <w:r w:rsidR="00EE53AF">
        <w:rPr>
          <w:noProof/>
        </w:rPr>
        <w:t>Table 1</w:t>
      </w:r>
      <w:r w:rsidR="003756BF">
        <w:rPr>
          <w:noProof/>
        </w:rPr>
        <w:t>:</w:t>
      </w:r>
      <w:r w:rsidR="00EE53AF">
        <w:rPr>
          <w:noProof/>
        </w:rPr>
        <w:t xml:space="preserve"> Flow of batteries in Australia in 2009/10 (kt) (Warnken ISE 2010)</w:t>
      </w:r>
      <w:r w:rsidR="00EE53AF">
        <w:rPr>
          <w:noProof/>
        </w:rPr>
        <w:tab/>
      </w:r>
      <w:r>
        <w:rPr>
          <w:noProof/>
        </w:rPr>
        <w:fldChar w:fldCharType="begin"/>
      </w:r>
      <w:r w:rsidR="00EE53AF">
        <w:rPr>
          <w:noProof/>
        </w:rPr>
        <w:instrText xml:space="preserve"> PAGEREF _Toc381102092 \h </w:instrText>
      </w:r>
      <w:r>
        <w:rPr>
          <w:noProof/>
        </w:rPr>
      </w:r>
      <w:r>
        <w:rPr>
          <w:noProof/>
        </w:rPr>
        <w:fldChar w:fldCharType="separate"/>
      </w:r>
      <w:r w:rsidR="00697A48">
        <w:rPr>
          <w:noProof/>
        </w:rPr>
        <w:t>2</w:t>
      </w:r>
      <w:r>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2 Flow of batteries in Australia in 2009/10 (millions of batteries) (Warnken ISE 2010)</w:t>
      </w:r>
      <w:r>
        <w:rPr>
          <w:noProof/>
        </w:rPr>
        <w:tab/>
      </w:r>
      <w:r w:rsidR="007637BE">
        <w:rPr>
          <w:noProof/>
        </w:rPr>
        <w:fldChar w:fldCharType="begin"/>
      </w:r>
      <w:r>
        <w:rPr>
          <w:noProof/>
        </w:rPr>
        <w:instrText xml:space="preserve"> PAGEREF _Toc381102093 \h </w:instrText>
      </w:r>
      <w:r w:rsidR="007637BE">
        <w:rPr>
          <w:noProof/>
        </w:rPr>
      </w:r>
      <w:r w:rsidR="007637BE">
        <w:rPr>
          <w:noProof/>
        </w:rPr>
        <w:fldChar w:fldCharType="separate"/>
      </w:r>
      <w:r w:rsidR="00697A48">
        <w:rPr>
          <w:noProof/>
        </w:rPr>
        <w:t>2</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3</w:t>
      </w:r>
      <w:r w:rsidR="003756BF">
        <w:rPr>
          <w:noProof/>
        </w:rPr>
        <w:t>:</w:t>
      </w:r>
      <w:r>
        <w:rPr>
          <w:noProof/>
        </w:rPr>
        <w:t xml:space="preserve"> Breakdown of arisings in 2009/10 (kt) (Warnken ISE 2010)</w:t>
      </w:r>
      <w:r>
        <w:rPr>
          <w:noProof/>
        </w:rPr>
        <w:tab/>
      </w:r>
      <w:r w:rsidR="007637BE">
        <w:rPr>
          <w:noProof/>
        </w:rPr>
        <w:fldChar w:fldCharType="begin"/>
      </w:r>
      <w:r>
        <w:rPr>
          <w:noProof/>
        </w:rPr>
        <w:instrText xml:space="preserve"> PAGEREF _Toc381102094 \h </w:instrText>
      </w:r>
      <w:r w:rsidR="007637BE">
        <w:rPr>
          <w:noProof/>
        </w:rPr>
      </w:r>
      <w:r w:rsidR="007637BE">
        <w:rPr>
          <w:noProof/>
        </w:rPr>
        <w:fldChar w:fldCharType="separate"/>
      </w:r>
      <w:r w:rsidR="00697A48">
        <w:rPr>
          <w:noProof/>
        </w:rPr>
        <w:t>3</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4</w:t>
      </w:r>
      <w:r w:rsidR="003756BF">
        <w:rPr>
          <w:noProof/>
        </w:rPr>
        <w:t>:</w:t>
      </w:r>
      <w:r>
        <w:rPr>
          <w:noProof/>
        </w:rPr>
        <w:t xml:space="preserve"> Stand-alone imports of batteries to Australia in 2009/10 (ABS, 2013)</w:t>
      </w:r>
      <w:r>
        <w:rPr>
          <w:noProof/>
        </w:rPr>
        <w:tab/>
      </w:r>
      <w:r w:rsidR="007637BE">
        <w:rPr>
          <w:noProof/>
        </w:rPr>
        <w:fldChar w:fldCharType="begin"/>
      </w:r>
      <w:r>
        <w:rPr>
          <w:noProof/>
        </w:rPr>
        <w:instrText xml:space="preserve"> PAGEREF _Toc381102095 \h </w:instrText>
      </w:r>
      <w:r w:rsidR="007637BE">
        <w:rPr>
          <w:noProof/>
        </w:rPr>
      </w:r>
      <w:r w:rsidR="007637BE">
        <w:rPr>
          <w:noProof/>
        </w:rPr>
        <w:fldChar w:fldCharType="separate"/>
      </w:r>
      <w:r w:rsidR="00697A48">
        <w:rPr>
          <w:noProof/>
        </w:rPr>
        <w:t>4</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5</w:t>
      </w:r>
      <w:r w:rsidR="003756BF">
        <w:rPr>
          <w:noProof/>
        </w:rPr>
        <w:t>:</w:t>
      </w:r>
      <w:r>
        <w:rPr>
          <w:noProof/>
        </w:rPr>
        <w:t xml:space="preserve"> Warnken ISE (2010) split into </w:t>
      </w:r>
      <w:r w:rsidR="0005005A">
        <w:rPr>
          <w:noProof/>
        </w:rPr>
        <w:t>mass</w:t>
      </w:r>
      <w:r>
        <w:rPr>
          <w:noProof/>
        </w:rPr>
        <w:t xml:space="preserve"> categories</w:t>
      </w:r>
      <w:r>
        <w:rPr>
          <w:noProof/>
        </w:rPr>
        <w:tab/>
      </w:r>
      <w:r w:rsidR="007637BE">
        <w:rPr>
          <w:noProof/>
        </w:rPr>
        <w:fldChar w:fldCharType="begin"/>
      </w:r>
      <w:r>
        <w:rPr>
          <w:noProof/>
        </w:rPr>
        <w:instrText xml:space="preserve"> PAGEREF _Toc381102096 \h </w:instrText>
      </w:r>
      <w:r w:rsidR="007637BE">
        <w:rPr>
          <w:noProof/>
        </w:rPr>
      </w:r>
      <w:r w:rsidR="007637BE">
        <w:rPr>
          <w:noProof/>
        </w:rPr>
        <w:fldChar w:fldCharType="separate"/>
      </w:r>
      <w:r w:rsidR="00697A48">
        <w:rPr>
          <w:noProof/>
        </w:rPr>
        <w:t>6</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6</w:t>
      </w:r>
      <w:r w:rsidR="003756BF">
        <w:rPr>
          <w:noProof/>
        </w:rPr>
        <w:t>:</w:t>
      </w:r>
      <w:r>
        <w:rPr>
          <w:noProof/>
        </w:rPr>
        <w:t xml:space="preserve"> ABS (2013) data presented by </w:t>
      </w:r>
      <w:r w:rsidR="0005005A">
        <w:rPr>
          <w:noProof/>
        </w:rPr>
        <w:t>mass</w:t>
      </w:r>
      <w:r>
        <w:rPr>
          <w:noProof/>
        </w:rPr>
        <w:t xml:space="preserve"> categories</w:t>
      </w:r>
      <w:r>
        <w:rPr>
          <w:noProof/>
        </w:rPr>
        <w:tab/>
      </w:r>
      <w:r w:rsidR="007637BE">
        <w:rPr>
          <w:noProof/>
        </w:rPr>
        <w:fldChar w:fldCharType="begin"/>
      </w:r>
      <w:r>
        <w:rPr>
          <w:noProof/>
        </w:rPr>
        <w:instrText xml:space="preserve"> PAGEREF _Toc381102097 \h </w:instrText>
      </w:r>
      <w:r w:rsidR="007637BE">
        <w:rPr>
          <w:noProof/>
        </w:rPr>
      </w:r>
      <w:r w:rsidR="007637BE">
        <w:rPr>
          <w:noProof/>
        </w:rPr>
        <w:fldChar w:fldCharType="separate"/>
      </w:r>
      <w:r w:rsidR="00697A48">
        <w:rPr>
          <w:noProof/>
        </w:rPr>
        <w:t>8</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Table 7</w:t>
      </w:r>
      <w:r w:rsidR="003756BF">
        <w:rPr>
          <w:noProof/>
        </w:rPr>
        <w:t>:</w:t>
      </w:r>
      <w:r>
        <w:rPr>
          <w:noProof/>
        </w:rPr>
        <w:t>The amount of embedded lead acid battery imports from cars and trucks</w:t>
      </w:r>
      <w:r>
        <w:rPr>
          <w:noProof/>
        </w:rPr>
        <w:tab/>
      </w:r>
      <w:r w:rsidR="007637BE">
        <w:rPr>
          <w:noProof/>
        </w:rPr>
        <w:fldChar w:fldCharType="begin"/>
      </w:r>
      <w:r>
        <w:rPr>
          <w:noProof/>
        </w:rPr>
        <w:instrText xml:space="preserve"> PAGEREF _Toc381102098 \h </w:instrText>
      </w:r>
      <w:r w:rsidR="007637BE">
        <w:rPr>
          <w:noProof/>
        </w:rPr>
      </w:r>
      <w:r w:rsidR="007637BE">
        <w:rPr>
          <w:noProof/>
        </w:rPr>
        <w:fldChar w:fldCharType="separate"/>
      </w:r>
      <w:r w:rsidR="00697A48">
        <w:rPr>
          <w:noProof/>
        </w:rPr>
        <w:t>10</w:t>
      </w:r>
      <w:r w:rsidR="007637BE">
        <w:rPr>
          <w:noProof/>
        </w:rPr>
        <w:fldChar w:fldCharType="end"/>
      </w:r>
    </w:p>
    <w:p w:rsidR="00EE53AF" w:rsidRDefault="00EE53AF" w:rsidP="00E11CDC">
      <w:pPr>
        <w:pStyle w:val="TableofFigures"/>
        <w:tabs>
          <w:tab w:val="right" w:leader="dot" w:pos="9639"/>
        </w:tabs>
        <w:ind w:left="709" w:right="1267" w:hanging="709"/>
        <w:rPr>
          <w:rFonts w:asciiTheme="minorHAnsi" w:eastAsiaTheme="minorEastAsia" w:hAnsiTheme="minorHAnsi" w:cstheme="minorBidi"/>
          <w:noProof/>
          <w:szCs w:val="22"/>
          <w:lang w:eastAsia="en-AU"/>
        </w:rPr>
      </w:pPr>
      <w:r>
        <w:rPr>
          <w:noProof/>
        </w:rPr>
        <w:t>Table 8</w:t>
      </w:r>
      <w:r w:rsidR="003756BF">
        <w:rPr>
          <w:noProof/>
        </w:rPr>
        <w:t>:</w:t>
      </w:r>
      <w:r w:rsidR="003756BF">
        <w:rPr>
          <w:noProof/>
        </w:rPr>
        <w:tab/>
      </w:r>
      <w:r>
        <w:rPr>
          <w:noProof/>
        </w:rPr>
        <w:t xml:space="preserve">Comparison between Warnken ISE (2010) and ABS (2013) data using alternative </w:t>
      </w:r>
      <w:r w:rsidR="0005005A">
        <w:rPr>
          <w:noProof/>
        </w:rPr>
        <w:t>mass</w:t>
      </w:r>
      <w:r>
        <w:rPr>
          <w:noProof/>
        </w:rPr>
        <w:t xml:space="preserve"> categories for the period 2009/10.</w:t>
      </w:r>
      <w:r>
        <w:rPr>
          <w:noProof/>
        </w:rPr>
        <w:tab/>
      </w:r>
      <w:r w:rsidR="007637BE">
        <w:rPr>
          <w:noProof/>
        </w:rPr>
        <w:fldChar w:fldCharType="begin"/>
      </w:r>
      <w:r>
        <w:rPr>
          <w:noProof/>
        </w:rPr>
        <w:instrText xml:space="preserve"> PAGEREF _Toc381102099 \h </w:instrText>
      </w:r>
      <w:r w:rsidR="007637BE">
        <w:rPr>
          <w:noProof/>
        </w:rPr>
      </w:r>
      <w:r w:rsidR="007637BE">
        <w:rPr>
          <w:noProof/>
        </w:rPr>
        <w:fldChar w:fldCharType="separate"/>
      </w:r>
      <w:r w:rsidR="00697A48">
        <w:rPr>
          <w:noProof/>
        </w:rPr>
        <w:t>10</w:t>
      </w:r>
      <w:r w:rsidR="007637BE">
        <w:rPr>
          <w:noProof/>
        </w:rPr>
        <w:fldChar w:fldCharType="end"/>
      </w:r>
    </w:p>
    <w:p w:rsidR="005974F3" w:rsidRDefault="007637BE" w:rsidP="00DA65C1">
      <w:pPr>
        <w:spacing w:after="60"/>
      </w:pPr>
      <w:r>
        <w:fldChar w:fldCharType="end"/>
      </w:r>
    </w:p>
    <w:p w:rsidR="003200E2" w:rsidRDefault="003200E2" w:rsidP="00DA65C1">
      <w:pPr>
        <w:spacing w:before="0" w:after="0" w:line="240" w:lineRule="auto"/>
        <w:rPr>
          <w:b/>
          <w:sz w:val="28"/>
        </w:rPr>
      </w:pPr>
    </w:p>
    <w:p w:rsidR="005974F3" w:rsidRDefault="0016245A" w:rsidP="00DA65C1">
      <w:pPr>
        <w:pStyle w:val="ToTandToF"/>
      </w:pPr>
      <w:r>
        <w:t>TABLE OF FIGURES</w:t>
      </w:r>
    </w:p>
    <w:p w:rsidR="00EE53AF" w:rsidRDefault="007637BE" w:rsidP="00E11CDC">
      <w:pPr>
        <w:pStyle w:val="TableofFigures"/>
        <w:tabs>
          <w:tab w:val="right" w:leader="dot" w:pos="9639"/>
        </w:tabs>
        <w:rPr>
          <w:rFonts w:asciiTheme="minorHAnsi" w:eastAsiaTheme="minorEastAsia" w:hAnsiTheme="minorHAnsi" w:cstheme="minorBidi"/>
          <w:noProof/>
          <w:szCs w:val="22"/>
          <w:lang w:eastAsia="en-AU"/>
        </w:rPr>
      </w:pPr>
      <w:r>
        <w:fldChar w:fldCharType="begin"/>
      </w:r>
      <w:r w:rsidR="00DE64CE">
        <w:instrText xml:space="preserve"> TOC \c "Figure" </w:instrText>
      </w:r>
      <w:r>
        <w:fldChar w:fldCharType="separate"/>
      </w:r>
      <w:r w:rsidR="00EE53AF">
        <w:rPr>
          <w:noProof/>
        </w:rPr>
        <w:t>Figure 1</w:t>
      </w:r>
      <w:r w:rsidR="003756BF">
        <w:rPr>
          <w:noProof/>
        </w:rPr>
        <w:t>:</w:t>
      </w:r>
      <w:r w:rsidR="00EE53AF">
        <w:rPr>
          <w:noProof/>
        </w:rPr>
        <w:t xml:space="preserve"> Imports of lead-acid batteries calculated from ABS (2013) data (millions/year)</w:t>
      </w:r>
      <w:r w:rsidR="00EE53AF">
        <w:rPr>
          <w:noProof/>
        </w:rPr>
        <w:tab/>
      </w:r>
      <w:r>
        <w:rPr>
          <w:noProof/>
        </w:rPr>
        <w:fldChar w:fldCharType="begin"/>
      </w:r>
      <w:r w:rsidR="00EE53AF">
        <w:rPr>
          <w:noProof/>
        </w:rPr>
        <w:instrText xml:space="preserve"> PAGEREF _Toc381102100 \h </w:instrText>
      </w:r>
      <w:r>
        <w:rPr>
          <w:noProof/>
        </w:rPr>
      </w:r>
      <w:r>
        <w:rPr>
          <w:noProof/>
        </w:rPr>
        <w:fldChar w:fldCharType="separate"/>
      </w:r>
      <w:r w:rsidR="00697A48">
        <w:rPr>
          <w:noProof/>
        </w:rPr>
        <w:t>7</w:t>
      </w:r>
      <w:r>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Figure 2</w:t>
      </w:r>
      <w:r w:rsidR="003756BF">
        <w:rPr>
          <w:noProof/>
        </w:rPr>
        <w:t>:</w:t>
      </w:r>
      <w:r>
        <w:rPr>
          <w:noProof/>
        </w:rPr>
        <w:t xml:space="preserve"> Imports of lead-acid batteries calculated from ABS (2013) data (kt/year)</w:t>
      </w:r>
      <w:r>
        <w:rPr>
          <w:noProof/>
        </w:rPr>
        <w:tab/>
      </w:r>
      <w:r w:rsidR="007637BE">
        <w:rPr>
          <w:noProof/>
        </w:rPr>
        <w:fldChar w:fldCharType="begin"/>
      </w:r>
      <w:r>
        <w:rPr>
          <w:noProof/>
        </w:rPr>
        <w:instrText xml:space="preserve"> PAGEREF _Toc381102101 \h </w:instrText>
      </w:r>
      <w:r w:rsidR="007637BE">
        <w:rPr>
          <w:noProof/>
        </w:rPr>
      </w:r>
      <w:r w:rsidR="007637BE">
        <w:rPr>
          <w:noProof/>
        </w:rPr>
        <w:fldChar w:fldCharType="separate"/>
      </w:r>
      <w:r w:rsidR="00697A48">
        <w:rPr>
          <w:noProof/>
        </w:rPr>
        <w:t>7</w:t>
      </w:r>
      <w:r w:rsidR="007637BE">
        <w:rPr>
          <w:noProof/>
        </w:rPr>
        <w:fldChar w:fldCharType="end"/>
      </w:r>
    </w:p>
    <w:p w:rsidR="00EE53AF" w:rsidRDefault="00EE53AF" w:rsidP="00E11CDC">
      <w:pPr>
        <w:pStyle w:val="TableofFigures"/>
        <w:tabs>
          <w:tab w:val="right" w:leader="dot" w:pos="9639"/>
        </w:tabs>
        <w:rPr>
          <w:rFonts w:asciiTheme="minorHAnsi" w:eastAsiaTheme="minorEastAsia" w:hAnsiTheme="minorHAnsi" w:cstheme="minorBidi"/>
          <w:noProof/>
          <w:szCs w:val="22"/>
          <w:lang w:eastAsia="en-AU"/>
        </w:rPr>
      </w:pPr>
      <w:r>
        <w:rPr>
          <w:noProof/>
        </w:rPr>
        <w:t>Figure 3</w:t>
      </w:r>
      <w:r w:rsidR="003756BF">
        <w:rPr>
          <w:noProof/>
        </w:rPr>
        <w:t>:</w:t>
      </w:r>
      <w:r>
        <w:rPr>
          <w:noProof/>
        </w:rPr>
        <w:t xml:space="preserve"> The high and variable growth rates in the various sizes of lead acid batteries.</w:t>
      </w:r>
      <w:r>
        <w:rPr>
          <w:noProof/>
        </w:rPr>
        <w:tab/>
      </w:r>
      <w:r w:rsidR="007637BE">
        <w:rPr>
          <w:noProof/>
        </w:rPr>
        <w:fldChar w:fldCharType="begin"/>
      </w:r>
      <w:r>
        <w:rPr>
          <w:noProof/>
        </w:rPr>
        <w:instrText xml:space="preserve"> PAGEREF _Toc381102102 \h </w:instrText>
      </w:r>
      <w:r w:rsidR="007637BE">
        <w:rPr>
          <w:noProof/>
        </w:rPr>
      </w:r>
      <w:r w:rsidR="007637BE">
        <w:rPr>
          <w:noProof/>
        </w:rPr>
        <w:fldChar w:fldCharType="separate"/>
      </w:r>
      <w:r w:rsidR="00697A48">
        <w:rPr>
          <w:noProof/>
        </w:rPr>
        <w:t>13</w:t>
      </w:r>
      <w:r w:rsidR="007637BE">
        <w:rPr>
          <w:noProof/>
        </w:rPr>
        <w:fldChar w:fldCharType="end"/>
      </w:r>
    </w:p>
    <w:p w:rsidR="003200E2" w:rsidRDefault="007637BE" w:rsidP="00DA65C1">
      <w:r>
        <w:fldChar w:fldCharType="end"/>
      </w:r>
    </w:p>
    <w:p w:rsidR="003200E2" w:rsidRDefault="003200E2" w:rsidP="00DA65C1">
      <w:pPr>
        <w:spacing w:before="0" w:after="0" w:line="240" w:lineRule="auto"/>
      </w:pPr>
      <w:r>
        <w:br w:type="page"/>
      </w:r>
    </w:p>
    <w:p w:rsidR="003200E2" w:rsidRPr="007410DB" w:rsidRDefault="003200E2" w:rsidP="00DA65C1">
      <w:pPr>
        <w:rPr>
          <w:b/>
        </w:rPr>
        <w:sectPr w:rsidR="003200E2" w:rsidRPr="007410DB" w:rsidSect="00766C00">
          <w:headerReference w:type="default" r:id="rId18"/>
          <w:footerReference w:type="default" r:id="rId19"/>
          <w:pgSz w:w="11899" w:h="16838"/>
          <w:pgMar w:top="1418" w:right="1134" w:bottom="1134" w:left="1134" w:header="709" w:footer="0" w:gutter="0"/>
          <w:pgNumType w:fmt="lowerRoman"/>
          <w:cols w:space="708"/>
          <w:docGrid w:linePitch="326"/>
        </w:sectPr>
      </w:pPr>
    </w:p>
    <w:p w:rsidR="00A91723" w:rsidRDefault="00CC10E8" w:rsidP="00DA65C1">
      <w:pPr>
        <w:pStyle w:val="Heading1"/>
      </w:pPr>
      <w:bookmarkStart w:id="0" w:name="_Toc390444567"/>
      <w:r>
        <w:rPr>
          <w:caps w:val="0"/>
        </w:rPr>
        <w:lastRenderedPageBreak/>
        <w:t>INTRODUCTION</w:t>
      </w:r>
      <w:bookmarkEnd w:id="0"/>
      <w:r>
        <w:rPr>
          <w:caps w:val="0"/>
        </w:rPr>
        <w:t xml:space="preserve"> </w:t>
      </w:r>
    </w:p>
    <w:p w:rsidR="00EC617D" w:rsidRDefault="00EC617D" w:rsidP="00DA65C1">
      <w:pPr>
        <w:pStyle w:val="Heading2"/>
        <w:rPr>
          <w:lang w:val="en-US"/>
        </w:rPr>
      </w:pPr>
      <w:bookmarkStart w:id="1" w:name="_Toc390444568"/>
      <w:r>
        <w:rPr>
          <w:lang w:val="en-US"/>
        </w:rPr>
        <w:t>Background</w:t>
      </w:r>
      <w:bookmarkEnd w:id="1"/>
    </w:p>
    <w:p w:rsidR="003756BF" w:rsidRDefault="00EC617D" w:rsidP="000A6C66">
      <w:pPr>
        <w:spacing w:after="60"/>
        <w:jc w:val="left"/>
        <w:rPr>
          <w:lang w:val="en-US"/>
        </w:rPr>
      </w:pPr>
      <w:r w:rsidRPr="00EC617D">
        <w:rPr>
          <w:lang w:val="en-US"/>
        </w:rPr>
        <w:t xml:space="preserve">The Hazardous Waste Section </w:t>
      </w:r>
      <w:r>
        <w:rPr>
          <w:lang w:val="en-US"/>
        </w:rPr>
        <w:t>of the Australian Government Department of the Environment (DoE) commissioned ISF to undertake</w:t>
      </w:r>
      <w:r w:rsidRPr="00EC617D">
        <w:rPr>
          <w:lang w:val="en-US"/>
        </w:rPr>
        <w:t xml:space="preserve"> a </w:t>
      </w:r>
      <w:r>
        <w:rPr>
          <w:lang w:val="en-US"/>
        </w:rPr>
        <w:t>brief</w:t>
      </w:r>
      <w:r w:rsidRPr="00EC617D">
        <w:rPr>
          <w:lang w:val="en-US"/>
        </w:rPr>
        <w:t xml:space="preserve"> review of </w:t>
      </w:r>
      <w:r>
        <w:rPr>
          <w:lang w:val="en-US"/>
        </w:rPr>
        <w:t xml:space="preserve">selected </w:t>
      </w:r>
      <w:r w:rsidRPr="00EC617D">
        <w:rPr>
          <w:lang w:val="en-US"/>
        </w:rPr>
        <w:t xml:space="preserve">data on quantities of lead-acid batteries in Australia, both as products and waste. The key numbers to be reviewed </w:t>
      </w:r>
      <w:r w:rsidR="000042BA">
        <w:rPr>
          <w:lang w:val="en-US"/>
        </w:rPr>
        <w:t>included</w:t>
      </w:r>
      <w:r w:rsidRPr="00EC617D">
        <w:rPr>
          <w:lang w:val="en-US"/>
        </w:rPr>
        <w:t xml:space="preserve"> the annual amounts of</w:t>
      </w:r>
      <w:r w:rsidR="003756BF">
        <w:rPr>
          <w:lang w:val="en-US"/>
        </w:rPr>
        <w:t>:</w:t>
      </w:r>
    </w:p>
    <w:p w:rsidR="003756BF" w:rsidRPr="003756BF" w:rsidRDefault="00EC617D" w:rsidP="000A6C66">
      <w:pPr>
        <w:pStyle w:val="ListParagraph"/>
        <w:numPr>
          <w:ilvl w:val="0"/>
          <w:numId w:val="16"/>
        </w:numPr>
        <w:spacing w:after="60"/>
        <w:ind w:left="714" w:hanging="357"/>
        <w:contextualSpacing w:val="0"/>
        <w:jc w:val="left"/>
        <w:rPr>
          <w:lang w:val="en-US"/>
        </w:rPr>
      </w:pPr>
      <w:r w:rsidRPr="003756BF">
        <w:rPr>
          <w:lang w:val="en-US"/>
        </w:rPr>
        <w:t>lead-acid batteries entering the Australian market (mostly through imports)</w:t>
      </w:r>
      <w:r w:rsidR="003756BF">
        <w:rPr>
          <w:lang w:val="en-US"/>
        </w:rPr>
        <w:t>;</w:t>
      </w:r>
      <w:r w:rsidRPr="003756BF">
        <w:rPr>
          <w:lang w:val="en-US"/>
        </w:rPr>
        <w:t xml:space="preserve"> and </w:t>
      </w:r>
    </w:p>
    <w:p w:rsidR="003756BF" w:rsidRPr="006C05A3" w:rsidRDefault="00EC617D" w:rsidP="000A6C66">
      <w:pPr>
        <w:pStyle w:val="ListParagraph"/>
        <w:numPr>
          <w:ilvl w:val="0"/>
          <w:numId w:val="16"/>
        </w:numPr>
        <w:contextualSpacing w:val="0"/>
        <w:jc w:val="left"/>
        <w:rPr>
          <w:lang w:val="en-US"/>
        </w:rPr>
      </w:pPr>
      <w:proofErr w:type="gramStart"/>
      <w:r w:rsidRPr="003756BF">
        <w:rPr>
          <w:lang w:val="en-US"/>
        </w:rPr>
        <w:t>annual</w:t>
      </w:r>
      <w:proofErr w:type="gramEnd"/>
      <w:r w:rsidRPr="003756BF">
        <w:rPr>
          <w:lang w:val="en-US"/>
        </w:rPr>
        <w:t xml:space="preserve"> arisings as wastes.</w:t>
      </w:r>
      <w:r w:rsidR="000042BA" w:rsidRPr="003756BF">
        <w:rPr>
          <w:lang w:val="en-US"/>
        </w:rPr>
        <w:t xml:space="preserve"> </w:t>
      </w:r>
    </w:p>
    <w:p w:rsidR="009E4B67" w:rsidRDefault="00EC617D" w:rsidP="009F6C1E">
      <w:pPr>
        <w:jc w:val="left"/>
        <w:rPr>
          <w:lang w:val="en-US"/>
        </w:rPr>
      </w:pPr>
      <w:r w:rsidRPr="00EC617D">
        <w:rPr>
          <w:lang w:val="en-US"/>
        </w:rPr>
        <w:t xml:space="preserve">The </w:t>
      </w:r>
      <w:r w:rsidR="000042BA">
        <w:rPr>
          <w:lang w:val="en-US"/>
        </w:rPr>
        <w:t>purpose of the review is to recom</w:t>
      </w:r>
      <w:r w:rsidRPr="00EC617D">
        <w:rPr>
          <w:lang w:val="en-US"/>
        </w:rPr>
        <w:t>mend a preferred set of num</w:t>
      </w:r>
      <w:r w:rsidR="000042BA">
        <w:rPr>
          <w:lang w:val="en-US"/>
        </w:rPr>
        <w:t>bers</w:t>
      </w:r>
      <w:r w:rsidRPr="00EC617D">
        <w:rPr>
          <w:lang w:val="en-US"/>
        </w:rPr>
        <w:t xml:space="preserve"> which </w:t>
      </w:r>
      <w:r w:rsidR="000042BA">
        <w:rPr>
          <w:lang w:val="en-US"/>
        </w:rPr>
        <w:t>are to</w:t>
      </w:r>
      <w:r w:rsidRPr="00EC617D">
        <w:rPr>
          <w:lang w:val="en-US"/>
        </w:rPr>
        <w:t xml:space="preserve"> be used in making regulatory decisions under the </w:t>
      </w:r>
      <w:r w:rsidRPr="001C57CB">
        <w:rPr>
          <w:i/>
          <w:lang w:val="en-US"/>
        </w:rPr>
        <w:t>Hazardous Waste (Regulation of Exports and Imports) Act 1989</w:t>
      </w:r>
      <w:r w:rsidRPr="00EC617D">
        <w:rPr>
          <w:lang w:val="en-US"/>
        </w:rPr>
        <w:t xml:space="preserve">. </w:t>
      </w:r>
    </w:p>
    <w:p w:rsidR="009E4B67" w:rsidRDefault="00EC617D" w:rsidP="009F6C1E">
      <w:pPr>
        <w:jc w:val="left"/>
        <w:rPr>
          <w:lang w:val="en-US"/>
        </w:rPr>
      </w:pPr>
      <w:r w:rsidRPr="00EC617D">
        <w:rPr>
          <w:lang w:val="en-US"/>
        </w:rPr>
        <w:t xml:space="preserve">Used </w:t>
      </w:r>
      <w:r w:rsidR="000042BA">
        <w:rPr>
          <w:lang w:val="en-US"/>
        </w:rPr>
        <w:t>lead-acid</w:t>
      </w:r>
      <w:r w:rsidRPr="00EC617D">
        <w:rPr>
          <w:lang w:val="en-US"/>
        </w:rPr>
        <w:t xml:space="preserve"> batteries (ULABs) are a common type of hazardous waste subject to applications for export approval under the Act. Applicants often wish to export ULABs to countries such as the Republic of Korea where large markets and facilities exist for the recycling of ULABs and the return of recovered materials to further manufacture.</w:t>
      </w:r>
      <w:r w:rsidR="00BC2929">
        <w:rPr>
          <w:lang w:val="en-US"/>
        </w:rPr>
        <w:t xml:space="preserve"> </w:t>
      </w:r>
      <w:r w:rsidRPr="00EC617D">
        <w:rPr>
          <w:lang w:val="en-US"/>
        </w:rPr>
        <w:t>Some domestic capacity to receive and recycle ULABs exists in Australia. This can be as simple as breaking the batteries and on-selling the components or extend into processing outputs from the battery-breaking process (such as lead paste) and then selling those recycled materials (such as higher-grade lead).</w:t>
      </w:r>
      <w:r w:rsidR="000A6C66">
        <w:rPr>
          <w:lang w:val="en-US"/>
        </w:rPr>
        <w:t xml:space="preserve"> </w:t>
      </w:r>
      <w:r w:rsidRPr="00EC617D">
        <w:rPr>
          <w:lang w:val="en-US"/>
        </w:rPr>
        <w:t>The Act currently asks the decision-maker to take into account, when assessing an application for the export of hazardous waste, whether there is domestic capacity to deal with those wastes in a safe, efficient and environmentally sound manner. Under the Act, if appropriate domestic capacity exists, then it is preferable that the hazardous waste goes to those sites rather than being exported.</w:t>
      </w:r>
    </w:p>
    <w:p w:rsidR="009E4B67" w:rsidRDefault="00EC617D" w:rsidP="009F6C1E">
      <w:pPr>
        <w:jc w:val="left"/>
        <w:rPr>
          <w:lang w:val="en-US"/>
        </w:rPr>
      </w:pPr>
      <w:r w:rsidRPr="00EC617D">
        <w:rPr>
          <w:lang w:val="en-US"/>
        </w:rPr>
        <w:t xml:space="preserve">For the decision-maker to decide between claims that waste ULABs should or should not be exported, it is necessary to understand the sizes of the markets for the product and the wastes. This project </w:t>
      </w:r>
      <w:r w:rsidR="00BC2929">
        <w:rPr>
          <w:lang w:val="en-US"/>
        </w:rPr>
        <w:t>is to</w:t>
      </w:r>
      <w:r w:rsidRPr="00EC617D">
        <w:rPr>
          <w:lang w:val="en-US"/>
        </w:rPr>
        <w:t xml:space="preserve"> provide clarity </w:t>
      </w:r>
      <w:r w:rsidR="00BC2929">
        <w:rPr>
          <w:lang w:val="en-US"/>
        </w:rPr>
        <w:t xml:space="preserve">and justification </w:t>
      </w:r>
      <w:r w:rsidRPr="00EC617D">
        <w:rPr>
          <w:lang w:val="en-US"/>
        </w:rPr>
        <w:t>as to wh</w:t>
      </w:r>
      <w:r w:rsidR="00BC2929">
        <w:rPr>
          <w:lang w:val="en-US"/>
        </w:rPr>
        <w:t>at numbers should be referenced in</w:t>
      </w:r>
      <w:r w:rsidRPr="00EC617D">
        <w:rPr>
          <w:lang w:val="en-US"/>
        </w:rPr>
        <w:t xml:space="preserve"> assessment decisions.</w:t>
      </w:r>
      <w:r w:rsidR="009E4B67" w:rsidRPr="00EC617D">
        <w:rPr>
          <w:lang w:val="en-US"/>
        </w:rPr>
        <w:t xml:space="preserve"> </w:t>
      </w:r>
    </w:p>
    <w:p w:rsidR="009E4B67" w:rsidRDefault="00EC617D" w:rsidP="009F6C1E">
      <w:pPr>
        <w:spacing w:after="60"/>
        <w:jc w:val="left"/>
        <w:rPr>
          <w:lang w:val="en-US"/>
        </w:rPr>
      </w:pPr>
      <w:r w:rsidRPr="00EC617D">
        <w:rPr>
          <w:lang w:val="en-US"/>
        </w:rPr>
        <w:t xml:space="preserve">The key source documents for the review </w:t>
      </w:r>
      <w:r w:rsidR="00BC2929">
        <w:rPr>
          <w:lang w:val="en-US"/>
        </w:rPr>
        <w:t>include</w:t>
      </w:r>
      <w:r w:rsidRPr="00EC617D">
        <w:rPr>
          <w:lang w:val="en-US"/>
        </w:rPr>
        <w:t>:</w:t>
      </w:r>
    </w:p>
    <w:p w:rsidR="009E4B67" w:rsidRDefault="00EC617D" w:rsidP="009F6C1E">
      <w:pPr>
        <w:pStyle w:val="ListParagraph"/>
        <w:numPr>
          <w:ilvl w:val="0"/>
          <w:numId w:val="12"/>
        </w:numPr>
        <w:spacing w:after="60"/>
        <w:contextualSpacing w:val="0"/>
        <w:jc w:val="left"/>
        <w:rPr>
          <w:lang w:val="en-US"/>
        </w:rPr>
      </w:pPr>
      <w:r w:rsidRPr="009E4B67">
        <w:rPr>
          <w:lang w:val="en-US"/>
        </w:rPr>
        <w:t xml:space="preserve">Two studies (one with stock modelling) of battery markets and battery waste arisings in Australia, </w:t>
      </w:r>
      <w:r w:rsidR="000042BA">
        <w:rPr>
          <w:lang w:val="en-US"/>
        </w:rPr>
        <w:t>prepared</w:t>
      </w:r>
      <w:r w:rsidR="00BC2929">
        <w:rPr>
          <w:lang w:val="en-US"/>
        </w:rPr>
        <w:t xml:space="preserve"> by Warnken ISE</w:t>
      </w:r>
      <w:r w:rsidR="00BE44D1">
        <w:rPr>
          <w:lang w:val="en-US"/>
        </w:rPr>
        <w:t xml:space="preserve"> (Warnken ISE </w:t>
      </w:r>
      <w:r w:rsidR="00C329FC">
        <w:rPr>
          <w:lang w:val="en-US"/>
        </w:rPr>
        <w:t xml:space="preserve">2010; </w:t>
      </w:r>
      <w:r w:rsidR="00BE44D1">
        <w:rPr>
          <w:lang w:val="en-US"/>
        </w:rPr>
        <w:t>2012</w:t>
      </w:r>
      <w:r w:rsidR="001C57CB">
        <w:rPr>
          <w:lang w:val="en-US"/>
        </w:rPr>
        <w:t>)</w:t>
      </w:r>
      <w:r w:rsidRPr="009E4B67">
        <w:rPr>
          <w:lang w:val="en-US"/>
        </w:rPr>
        <w:t xml:space="preserve">. These studies cover </w:t>
      </w:r>
      <w:bookmarkStart w:id="2" w:name="_GoBack"/>
      <w:bookmarkEnd w:id="2"/>
      <w:r w:rsidRPr="009E4B67">
        <w:rPr>
          <w:lang w:val="en-US"/>
        </w:rPr>
        <w:t>a range of battery types, with only the lead-acid and used lead-acid battery aspects relevant for this review.</w:t>
      </w:r>
    </w:p>
    <w:p w:rsidR="009E4B67" w:rsidRDefault="00BE44D1" w:rsidP="009F6C1E">
      <w:pPr>
        <w:pStyle w:val="ListParagraph"/>
        <w:numPr>
          <w:ilvl w:val="0"/>
          <w:numId w:val="12"/>
        </w:numPr>
        <w:contextualSpacing w:val="0"/>
        <w:jc w:val="left"/>
        <w:rPr>
          <w:lang w:val="en-US"/>
        </w:rPr>
      </w:pPr>
      <w:r>
        <w:rPr>
          <w:lang w:val="en-US"/>
        </w:rPr>
        <w:t>Australian Bureau of Statistics (ABS)</w:t>
      </w:r>
      <w:r w:rsidR="00EC617D" w:rsidRPr="009E4B67">
        <w:rPr>
          <w:lang w:val="en-US"/>
        </w:rPr>
        <w:t xml:space="preserve"> data on imports into Australia of </w:t>
      </w:r>
      <w:r w:rsidR="000042BA">
        <w:rPr>
          <w:lang w:val="en-US"/>
        </w:rPr>
        <w:t>lead-acid</w:t>
      </w:r>
      <w:r w:rsidR="00EC617D" w:rsidRPr="009E4B67">
        <w:rPr>
          <w:lang w:val="en-US"/>
        </w:rPr>
        <w:t xml:space="preserve"> batteries</w:t>
      </w:r>
      <w:r>
        <w:rPr>
          <w:lang w:val="en-US"/>
        </w:rPr>
        <w:t xml:space="preserve"> ABS (2013)</w:t>
      </w:r>
      <w:r w:rsidR="009E4B67">
        <w:rPr>
          <w:lang w:val="en-US"/>
        </w:rPr>
        <w:t>.</w:t>
      </w:r>
    </w:p>
    <w:p w:rsidR="000A6C66" w:rsidRDefault="000A6C66" w:rsidP="000A6C66">
      <w:pPr>
        <w:jc w:val="left"/>
        <w:rPr>
          <w:lang w:val="en-US"/>
        </w:rPr>
      </w:pPr>
      <w:proofErr w:type="gramStart"/>
      <w:r>
        <w:rPr>
          <w:lang w:val="en-US"/>
        </w:rPr>
        <w:t xml:space="preserve">An overview of the report structure in shown </w:t>
      </w:r>
      <w:r w:rsidR="00D77684">
        <w:rPr>
          <w:lang w:val="en-US"/>
        </w:rPr>
        <w:t xml:space="preserve">in the diagram </w:t>
      </w:r>
      <w:r>
        <w:rPr>
          <w:lang w:val="en-US"/>
        </w:rPr>
        <w:t>below.</w:t>
      </w:r>
      <w:proofErr w:type="gramEnd"/>
    </w:p>
    <w:p w:rsidR="000A6C66" w:rsidRPr="000A6C66" w:rsidRDefault="000A6C66" w:rsidP="000A6C66">
      <w:pPr>
        <w:jc w:val="left"/>
        <w:rPr>
          <w:lang w:val="en-US"/>
        </w:rPr>
      </w:pPr>
      <w:r w:rsidRPr="000A6C66">
        <w:rPr>
          <w:noProof/>
          <w:lang w:eastAsia="en-AU"/>
        </w:rPr>
        <w:drawing>
          <wp:inline distT="0" distB="0" distL="0" distR="0">
            <wp:extent cx="2913321" cy="1976382"/>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720" cy="1976653"/>
                    </a:xfrm>
                    <a:prstGeom prst="rect">
                      <a:avLst/>
                    </a:prstGeom>
                    <a:noFill/>
                    <a:ln>
                      <a:noFill/>
                    </a:ln>
                  </pic:spPr>
                </pic:pic>
              </a:graphicData>
            </a:graphic>
          </wp:inline>
        </w:drawing>
      </w:r>
    </w:p>
    <w:p w:rsidR="00BC7449" w:rsidRDefault="00CC10E8" w:rsidP="00DA65C1">
      <w:pPr>
        <w:pStyle w:val="Heading1"/>
        <w:rPr>
          <w:lang w:val="en-US"/>
        </w:rPr>
      </w:pPr>
      <w:bookmarkStart w:id="3" w:name="_Toc390444569"/>
      <w:r>
        <w:rPr>
          <w:caps w:val="0"/>
          <w:lang w:val="en-US"/>
        </w:rPr>
        <w:lastRenderedPageBreak/>
        <w:t xml:space="preserve">SUMMARY OF </w:t>
      </w:r>
      <w:r w:rsidR="00A22B13">
        <w:rPr>
          <w:lang w:val="en-US"/>
        </w:rPr>
        <w:t>AVAILABLE DATA</w:t>
      </w:r>
      <w:bookmarkEnd w:id="3"/>
    </w:p>
    <w:p w:rsidR="00BA7FC5" w:rsidRDefault="00A22B13" w:rsidP="00DA65C1">
      <w:pPr>
        <w:pStyle w:val="Heading2"/>
      </w:pPr>
      <w:bookmarkStart w:id="4" w:name="_Toc390444570"/>
      <w:r>
        <w:t>A</w:t>
      </w:r>
      <w:r w:rsidR="00B17189">
        <w:t xml:space="preserve">ustralian </w:t>
      </w:r>
      <w:r>
        <w:t>B</w:t>
      </w:r>
      <w:r w:rsidR="00B17189">
        <w:t xml:space="preserve">attery </w:t>
      </w:r>
      <w:r>
        <w:t>R</w:t>
      </w:r>
      <w:r w:rsidR="00B17189">
        <w:t xml:space="preserve">ecycling </w:t>
      </w:r>
      <w:r>
        <w:t>I</w:t>
      </w:r>
      <w:r w:rsidR="00B17189">
        <w:t>nitiative</w:t>
      </w:r>
      <w:r>
        <w:t xml:space="preserve"> </w:t>
      </w:r>
      <w:r w:rsidR="009F6C1E">
        <w:t xml:space="preserve">study </w:t>
      </w:r>
      <w:r w:rsidR="00CC2467">
        <w:t>(</w:t>
      </w:r>
      <w:r w:rsidR="00B17189">
        <w:t xml:space="preserve">by </w:t>
      </w:r>
      <w:r w:rsidR="00CC2467">
        <w:t>Warnken ISE 2010)</w:t>
      </w:r>
      <w:bookmarkEnd w:id="4"/>
    </w:p>
    <w:p w:rsidR="00BA7FC5" w:rsidRDefault="00D779E6" w:rsidP="009F6C1E">
      <w:pPr>
        <w:spacing w:after="60"/>
        <w:jc w:val="left"/>
      </w:pPr>
      <w:r>
        <w:t xml:space="preserve">The Australian Battery Recycling Initiative (ABRI) commissioned a study into </w:t>
      </w:r>
      <w:r w:rsidRPr="00D779E6">
        <w:rPr>
          <w:bCs/>
          <w:lang w:val="en-US"/>
        </w:rPr>
        <w:t>consumption, recycling and disposal</w:t>
      </w:r>
      <w:r>
        <w:rPr>
          <w:bCs/>
          <w:lang w:val="en-US"/>
        </w:rPr>
        <w:t xml:space="preserve"> of all forms of batteries in Australia. The</w:t>
      </w:r>
      <w:r>
        <w:t xml:space="preserve"> resulting </w:t>
      </w:r>
      <w:r w:rsidR="00BA7FC5">
        <w:t>report</w:t>
      </w:r>
      <w:r>
        <w:t>, produced by Warnken ISE (2010),</w:t>
      </w:r>
      <w:r w:rsidR="00BA7FC5">
        <w:t xml:space="preserve"> details estimates for numbers and tonnages of </w:t>
      </w:r>
      <w:r w:rsidR="000042BA">
        <w:t>lead-acid</w:t>
      </w:r>
      <w:r w:rsidR="00BA7FC5">
        <w:t xml:space="preserve"> batteries broken down into three broad categories, namely:</w:t>
      </w:r>
    </w:p>
    <w:p w:rsidR="00BA7FC5" w:rsidRDefault="00D779E6" w:rsidP="009F6C1E">
      <w:pPr>
        <w:pStyle w:val="ListParagraph"/>
        <w:numPr>
          <w:ilvl w:val="0"/>
          <w:numId w:val="4"/>
        </w:numPr>
        <w:spacing w:before="0" w:after="60" w:line="276" w:lineRule="auto"/>
        <w:contextualSpacing w:val="0"/>
        <w:jc w:val="left"/>
      </w:pPr>
      <w:r>
        <w:t xml:space="preserve">Handheld – batteries less than </w:t>
      </w:r>
      <w:r w:rsidR="00BA7FC5">
        <w:t>1kg</w:t>
      </w:r>
      <w:r w:rsidR="0005005A">
        <w:t xml:space="preserve"> </w:t>
      </w:r>
    </w:p>
    <w:p w:rsidR="00BA7FC5" w:rsidRDefault="00D779E6" w:rsidP="009F6C1E">
      <w:pPr>
        <w:pStyle w:val="ListParagraph"/>
        <w:numPr>
          <w:ilvl w:val="0"/>
          <w:numId w:val="4"/>
        </w:numPr>
        <w:spacing w:before="0" w:after="60" w:line="276" w:lineRule="auto"/>
        <w:contextualSpacing w:val="0"/>
        <w:jc w:val="left"/>
      </w:pPr>
      <w:r>
        <w:t>Automotive starting, lighting and ignition (</w:t>
      </w:r>
      <w:r w:rsidR="00BA7FC5">
        <w:t>SLI</w:t>
      </w:r>
      <w:r>
        <w:t xml:space="preserve">) – used to support </w:t>
      </w:r>
      <w:r w:rsidR="00BA7FC5">
        <w:t>st</w:t>
      </w:r>
      <w:r>
        <w:t>arter motors in cars and trucks</w:t>
      </w:r>
    </w:p>
    <w:p w:rsidR="00BA7FC5" w:rsidRDefault="00D779E6" w:rsidP="009F6C1E">
      <w:pPr>
        <w:pStyle w:val="ListParagraph"/>
        <w:numPr>
          <w:ilvl w:val="0"/>
          <w:numId w:val="4"/>
        </w:numPr>
        <w:spacing w:before="0" w:line="276" w:lineRule="auto"/>
        <w:contextualSpacing w:val="0"/>
        <w:jc w:val="left"/>
      </w:pPr>
      <w:r>
        <w:t xml:space="preserve">Large and industrial uses </w:t>
      </w:r>
      <w:r w:rsidR="001C57CB">
        <w:t>–</w:t>
      </w:r>
      <w:r>
        <w:t xml:space="preserve"> includes</w:t>
      </w:r>
      <w:r w:rsidR="00BA7FC5">
        <w:t xml:space="preserve"> starter motors for machinery, marine batteries, electric vehicles such as golf carts and mobility scooters</w:t>
      </w:r>
      <w:r>
        <w:t>,</w:t>
      </w:r>
      <w:r w:rsidR="00BA7FC5">
        <w:t xml:space="preserve"> and stationary standby batteries. </w:t>
      </w:r>
    </w:p>
    <w:p w:rsidR="00BA7FC5" w:rsidRDefault="00EC617D" w:rsidP="009F6C1E">
      <w:pPr>
        <w:jc w:val="left"/>
      </w:pPr>
      <w:r>
        <w:t xml:space="preserve">Tables 1 and 2 present the </w:t>
      </w:r>
      <w:r w:rsidR="00AC54AA">
        <w:t xml:space="preserve">tonnage and count outputs, respectively, from the Warnken ISE (2010) modelling in terms of inputs, stocks and arisings. </w:t>
      </w:r>
      <w:r w:rsidR="00E823E6" w:rsidRPr="00CC10E8">
        <w:t xml:space="preserve">Inputs represent consumption of </w:t>
      </w:r>
      <w:r w:rsidR="000042BA">
        <w:t>lead-acid</w:t>
      </w:r>
      <w:r w:rsidR="00E823E6" w:rsidRPr="00CC10E8">
        <w:t xml:space="preserve"> batteries</w:t>
      </w:r>
      <w:r w:rsidR="00CC10E8" w:rsidRPr="00CC10E8">
        <w:t xml:space="preserve"> </w:t>
      </w:r>
      <w:r w:rsidR="000E2B93" w:rsidRPr="00CC10E8">
        <w:t xml:space="preserve">(equivalent to </w:t>
      </w:r>
      <w:r w:rsidR="00E823E6" w:rsidRPr="00CC10E8">
        <w:t>sales of batteries)</w:t>
      </w:r>
      <w:r w:rsidR="00CC10E8" w:rsidRPr="00CC10E8">
        <w:t xml:space="preserve"> in Australia</w:t>
      </w:r>
      <w:r w:rsidR="000E2B93" w:rsidRPr="00CC10E8">
        <w:t xml:space="preserve">, </w:t>
      </w:r>
      <w:r w:rsidR="00E823E6" w:rsidRPr="00CC10E8">
        <w:t xml:space="preserve">stocks are </w:t>
      </w:r>
      <w:r w:rsidR="000E2B93" w:rsidRPr="00CC10E8">
        <w:t xml:space="preserve">functional </w:t>
      </w:r>
      <w:r w:rsidR="00E823E6" w:rsidRPr="00CC10E8">
        <w:t>batteries (i.e. in use)</w:t>
      </w:r>
      <w:r w:rsidR="000E2B93" w:rsidRPr="00CC10E8">
        <w:t>, and a</w:t>
      </w:r>
      <w:r w:rsidR="00E823E6" w:rsidRPr="00CC10E8">
        <w:t xml:space="preserve">risings </w:t>
      </w:r>
      <w:r w:rsidR="00766C00">
        <w:t xml:space="preserve">(shown in Table 3) </w:t>
      </w:r>
      <w:r w:rsidR="00E823E6" w:rsidRPr="00CC10E8">
        <w:t xml:space="preserve">are the amount of </w:t>
      </w:r>
      <w:r w:rsidR="000042BA">
        <w:t>lead-acid</w:t>
      </w:r>
      <w:r w:rsidR="00E823E6" w:rsidRPr="00CC10E8">
        <w:t xml:space="preserve"> batteries that are not functional or </w:t>
      </w:r>
      <w:r w:rsidR="00CC10E8" w:rsidRPr="00CC10E8">
        <w:t>un</w:t>
      </w:r>
      <w:r w:rsidR="00E823E6" w:rsidRPr="00CC10E8">
        <w:t>wanted</w:t>
      </w:r>
      <w:r w:rsidR="00CC10E8" w:rsidRPr="00CC10E8">
        <w:t xml:space="preserve"> (waste batteries)</w:t>
      </w:r>
      <w:r w:rsidR="00E823E6" w:rsidRPr="00CC10E8">
        <w:t>.</w:t>
      </w:r>
      <w:r w:rsidR="009E4B67">
        <w:t xml:space="preserve"> Arisings include</w:t>
      </w:r>
      <w:r w:rsidR="00CC10E8" w:rsidRPr="00CC10E8">
        <w:t xml:space="preserve"> formally stockpiled (bulk storage in warehouses or industrial facilities in accordance with relevant legislation), informally stockpiled batteries (accumulated at point of use e.g. workshops, garages, embedded in products), recycled, landfilled, illegally exported and rebirthed waste batteries.</w:t>
      </w:r>
      <w:r w:rsidR="00CC10E8">
        <w:t xml:space="preserve"> </w:t>
      </w:r>
      <w:r w:rsidR="00BA7FC5">
        <w:t>All reported numbers apply to the 2009/10 financial year.</w:t>
      </w:r>
      <w:r w:rsidR="00AC54AA">
        <w:t xml:space="preserve"> Table 3 presents the breakdown of lead-acid battery arisings by type.</w:t>
      </w:r>
    </w:p>
    <w:p w:rsidR="00BC2929" w:rsidRDefault="00BC2929" w:rsidP="009F6C1E">
      <w:pPr>
        <w:jc w:val="left"/>
      </w:pPr>
      <w:r>
        <w:t>A second report prepared by Warnken ISE for ABRI looked at battery flows in Western Australia (Warnken ISE 2012). A review of this report revealed that the underlying analyses took the same approach as those adopted in the Warnken ISE (2010) study and are therefore not elaborated on further in this review.</w:t>
      </w:r>
    </w:p>
    <w:p w:rsidR="00BA7FC5" w:rsidRPr="00EB6D86" w:rsidRDefault="00BA7FC5" w:rsidP="00DA65C1">
      <w:pPr>
        <w:pStyle w:val="Caption"/>
      </w:pPr>
      <w:bookmarkStart w:id="5" w:name="_Toc381102092"/>
      <w:r>
        <w:t xml:space="preserve">Table </w:t>
      </w:r>
      <w:r w:rsidR="007637BE">
        <w:fldChar w:fldCharType="begin"/>
      </w:r>
      <w:r>
        <w:instrText xml:space="preserve"> SEQ Table \* ARABIC </w:instrText>
      </w:r>
      <w:r w:rsidR="007637BE">
        <w:fldChar w:fldCharType="separate"/>
      </w:r>
      <w:r w:rsidR="00697A48">
        <w:rPr>
          <w:noProof/>
        </w:rPr>
        <w:t>1</w:t>
      </w:r>
      <w:r w:rsidR="007637BE">
        <w:fldChar w:fldCharType="end"/>
      </w:r>
      <w:r w:rsidR="003756BF">
        <w:t>:</w:t>
      </w:r>
      <w:r w:rsidR="00766C00">
        <w:t xml:space="preserve"> Tonnage</w:t>
      </w:r>
      <w:r>
        <w:t xml:space="preserve"> of batteries in Australia</w:t>
      </w:r>
      <w:r w:rsidR="0036129E">
        <w:t xml:space="preserve"> in 2009/10</w:t>
      </w:r>
      <w:r>
        <w:t xml:space="preserve"> (</w:t>
      </w:r>
      <w:proofErr w:type="spellStart"/>
      <w:r>
        <w:t>kt</w:t>
      </w:r>
      <w:proofErr w:type="spellEnd"/>
      <w:r>
        <w:t>) (</w:t>
      </w:r>
      <w:proofErr w:type="spellStart"/>
      <w:r>
        <w:t>Warnken</w:t>
      </w:r>
      <w:proofErr w:type="spellEnd"/>
      <w:r w:rsidR="00D779E6">
        <w:t xml:space="preserve"> ISE</w:t>
      </w:r>
      <w:r>
        <w:t xml:space="preserve"> 2010)</w:t>
      </w:r>
      <w:bookmarkEnd w:id="5"/>
    </w:p>
    <w:tbl>
      <w:tblPr>
        <w:tblStyle w:val="ColorfulGrid1"/>
        <w:tblW w:w="0" w:type="auto"/>
        <w:tblInd w:w="108" w:type="dxa"/>
        <w:tblLook w:val="04A0"/>
      </w:tblPr>
      <w:tblGrid>
        <w:gridCol w:w="2222"/>
        <w:gridCol w:w="2173"/>
        <w:gridCol w:w="1984"/>
        <w:gridCol w:w="2126"/>
      </w:tblGrid>
      <w:tr w:rsidR="00BA7FC5" w:rsidTr="00857DF8">
        <w:trPr>
          <w:cnfStyle w:val="100000000000"/>
        </w:trPr>
        <w:tc>
          <w:tcPr>
            <w:cnfStyle w:val="001000000000"/>
            <w:tcW w:w="2222" w:type="dxa"/>
            <w:tcBorders>
              <w:left w:val="nil"/>
            </w:tcBorders>
          </w:tcPr>
          <w:p w:rsidR="00BA7FC5" w:rsidRDefault="00BA7FC5" w:rsidP="00DA65C1">
            <w:pPr>
              <w:spacing w:before="20" w:after="20" w:line="240" w:lineRule="auto"/>
            </w:pPr>
            <w:r>
              <w:t>Category</w:t>
            </w:r>
          </w:p>
        </w:tc>
        <w:tc>
          <w:tcPr>
            <w:tcW w:w="2173" w:type="dxa"/>
          </w:tcPr>
          <w:p w:rsidR="00BA7FC5" w:rsidRDefault="00BA7FC5" w:rsidP="00DA65C1">
            <w:pPr>
              <w:spacing w:before="20" w:after="20" w:line="240" w:lineRule="auto"/>
              <w:jc w:val="center"/>
              <w:cnfStyle w:val="100000000000"/>
            </w:pPr>
            <w:r>
              <w:t>Inputs</w:t>
            </w:r>
            <w:r w:rsidR="00D77684">
              <w:t xml:space="preserve"> (</w:t>
            </w:r>
            <w:proofErr w:type="spellStart"/>
            <w:r w:rsidR="00D77684">
              <w:t>kt</w:t>
            </w:r>
            <w:proofErr w:type="spellEnd"/>
            <w:r w:rsidR="00D77684">
              <w:t>)</w:t>
            </w:r>
          </w:p>
        </w:tc>
        <w:tc>
          <w:tcPr>
            <w:tcW w:w="1984" w:type="dxa"/>
          </w:tcPr>
          <w:p w:rsidR="00BA7FC5" w:rsidRDefault="00BA7FC5" w:rsidP="00DA65C1">
            <w:pPr>
              <w:spacing w:before="20" w:after="20" w:line="240" w:lineRule="auto"/>
              <w:jc w:val="center"/>
              <w:cnfStyle w:val="100000000000"/>
            </w:pPr>
            <w:r>
              <w:t>Stocks</w:t>
            </w:r>
            <w:r w:rsidR="00D77684">
              <w:t xml:space="preserve"> (</w:t>
            </w:r>
            <w:proofErr w:type="spellStart"/>
            <w:r w:rsidR="00D77684">
              <w:t>kt</w:t>
            </w:r>
            <w:proofErr w:type="spellEnd"/>
            <w:r w:rsidR="00D77684">
              <w:t>)</w:t>
            </w:r>
          </w:p>
        </w:tc>
        <w:tc>
          <w:tcPr>
            <w:tcW w:w="2126" w:type="dxa"/>
            <w:tcBorders>
              <w:right w:val="nil"/>
            </w:tcBorders>
          </w:tcPr>
          <w:p w:rsidR="00BA7FC5" w:rsidRDefault="00BA7FC5" w:rsidP="00DA65C1">
            <w:pPr>
              <w:spacing w:before="20" w:after="20" w:line="240" w:lineRule="auto"/>
              <w:jc w:val="center"/>
              <w:cnfStyle w:val="100000000000"/>
            </w:pPr>
            <w:proofErr w:type="spellStart"/>
            <w:r>
              <w:t>Arising</w:t>
            </w:r>
            <w:r w:rsidR="00CC10E8">
              <w:t>s</w:t>
            </w:r>
            <w:proofErr w:type="spellEnd"/>
            <w:r w:rsidR="00D77684">
              <w:t xml:space="preserve"> (</w:t>
            </w:r>
            <w:proofErr w:type="spellStart"/>
            <w:r w:rsidR="00D77684">
              <w:t>kt</w:t>
            </w:r>
            <w:proofErr w:type="spellEnd"/>
            <w:r w:rsidR="00D77684">
              <w:t>)</w:t>
            </w:r>
          </w:p>
        </w:tc>
      </w:tr>
      <w:tr w:rsidR="00BA7FC5" w:rsidTr="00857DF8">
        <w:trPr>
          <w:cnfStyle w:val="000000100000"/>
        </w:trPr>
        <w:tc>
          <w:tcPr>
            <w:cnfStyle w:val="001000000000"/>
            <w:tcW w:w="2222" w:type="dxa"/>
          </w:tcPr>
          <w:p w:rsidR="00BA7FC5" w:rsidRDefault="00BA7FC5" w:rsidP="00DA65C1">
            <w:pPr>
              <w:spacing w:before="20" w:after="20" w:line="240" w:lineRule="auto"/>
            </w:pPr>
            <w:r>
              <w:t>Handheld</w:t>
            </w:r>
          </w:p>
        </w:tc>
        <w:tc>
          <w:tcPr>
            <w:tcW w:w="2173" w:type="dxa"/>
          </w:tcPr>
          <w:p w:rsidR="00BA7FC5" w:rsidRDefault="00BA7FC5" w:rsidP="00DA65C1">
            <w:pPr>
              <w:spacing w:before="20" w:after="20" w:line="240" w:lineRule="auto"/>
              <w:ind w:right="705"/>
              <w:jc w:val="right"/>
              <w:cnfStyle w:val="000000100000"/>
            </w:pPr>
            <w:r>
              <w:t>1.3</w:t>
            </w:r>
          </w:p>
        </w:tc>
        <w:tc>
          <w:tcPr>
            <w:tcW w:w="1984" w:type="dxa"/>
          </w:tcPr>
          <w:p w:rsidR="00BA7FC5" w:rsidRDefault="00BA7FC5" w:rsidP="00DA65C1">
            <w:pPr>
              <w:spacing w:before="20" w:after="20" w:line="240" w:lineRule="auto"/>
              <w:ind w:right="598"/>
              <w:jc w:val="right"/>
              <w:cnfStyle w:val="000000100000"/>
            </w:pPr>
            <w:r>
              <w:t>2.2</w:t>
            </w:r>
          </w:p>
        </w:tc>
        <w:tc>
          <w:tcPr>
            <w:tcW w:w="2126" w:type="dxa"/>
            <w:tcBorders>
              <w:right w:val="nil"/>
            </w:tcBorders>
          </w:tcPr>
          <w:p w:rsidR="00BA7FC5" w:rsidRDefault="00BA7FC5" w:rsidP="00DA65C1">
            <w:pPr>
              <w:spacing w:before="20" w:after="20" w:line="240" w:lineRule="auto"/>
              <w:ind w:right="504"/>
              <w:jc w:val="right"/>
              <w:cnfStyle w:val="000000100000"/>
            </w:pPr>
            <w:r>
              <w:t>0.7</w:t>
            </w:r>
          </w:p>
        </w:tc>
      </w:tr>
      <w:tr w:rsidR="00BA7FC5" w:rsidTr="00857DF8">
        <w:trPr>
          <w:cnfStyle w:val="000000010000"/>
        </w:trPr>
        <w:tc>
          <w:tcPr>
            <w:cnfStyle w:val="001000000000"/>
            <w:tcW w:w="2222" w:type="dxa"/>
          </w:tcPr>
          <w:p w:rsidR="00BA7FC5" w:rsidRDefault="00BA7FC5" w:rsidP="00DA65C1">
            <w:pPr>
              <w:spacing w:before="20" w:after="20" w:line="240" w:lineRule="auto"/>
            </w:pPr>
            <w:r>
              <w:t>SLI</w:t>
            </w:r>
          </w:p>
        </w:tc>
        <w:tc>
          <w:tcPr>
            <w:tcW w:w="2173" w:type="dxa"/>
          </w:tcPr>
          <w:p w:rsidR="00BA7FC5" w:rsidRDefault="00BA7FC5" w:rsidP="00DA65C1">
            <w:pPr>
              <w:spacing w:before="20" w:after="20" w:line="240" w:lineRule="auto"/>
              <w:ind w:right="705"/>
              <w:jc w:val="right"/>
              <w:cnfStyle w:val="000000010000"/>
            </w:pPr>
            <w:r>
              <w:t>85.7</w:t>
            </w:r>
          </w:p>
        </w:tc>
        <w:tc>
          <w:tcPr>
            <w:tcW w:w="1984" w:type="dxa"/>
          </w:tcPr>
          <w:p w:rsidR="00BA7FC5" w:rsidRDefault="00BA7FC5" w:rsidP="00DA65C1">
            <w:pPr>
              <w:spacing w:before="20" w:after="20" w:line="240" w:lineRule="auto"/>
              <w:ind w:right="598"/>
              <w:jc w:val="right"/>
              <w:cnfStyle w:val="000000010000"/>
            </w:pPr>
            <w:r>
              <w:t>224.2</w:t>
            </w:r>
          </w:p>
        </w:tc>
        <w:tc>
          <w:tcPr>
            <w:tcW w:w="2126" w:type="dxa"/>
            <w:tcBorders>
              <w:right w:val="nil"/>
            </w:tcBorders>
          </w:tcPr>
          <w:p w:rsidR="00BA7FC5" w:rsidRDefault="00BA7FC5" w:rsidP="00DA65C1">
            <w:pPr>
              <w:spacing w:before="20" w:after="20" w:line="240" w:lineRule="auto"/>
              <w:ind w:right="504"/>
              <w:jc w:val="right"/>
              <w:cnfStyle w:val="000000010000"/>
            </w:pPr>
            <w:r>
              <w:t>80.3</w:t>
            </w:r>
          </w:p>
        </w:tc>
      </w:tr>
      <w:tr w:rsidR="00BA7FC5" w:rsidTr="00857DF8">
        <w:trPr>
          <w:cnfStyle w:val="000000100000"/>
        </w:trPr>
        <w:tc>
          <w:tcPr>
            <w:cnfStyle w:val="001000000000"/>
            <w:tcW w:w="2222" w:type="dxa"/>
          </w:tcPr>
          <w:p w:rsidR="00BA7FC5" w:rsidRDefault="00BA7FC5" w:rsidP="00DA65C1">
            <w:pPr>
              <w:spacing w:before="20" w:after="20" w:line="240" w:lineRule="auto"/>
              <w:jc w:val="left"/>
            </w:pPr>
            <w:r>
              <w:t>Large and Industrial</w:t>
            </w:r>
          </w:p>
        </w:tc>
        <w:tc>
          <w:tcPr>
            <w:tcW w:w="2173" w:type="dxa"/>
          </w:tcPr>
          <w:p w:rsidR="00BA7FC5" w:rsidRDefault="00BA7FC5" w:rsidP="00DA65C1">
            <w:pPr>
              <w:spacing w:before="20" w:after="20" w:line="240" w:lineRule="auto"/>
              <w:ind w:right="705"/>
              <w:jc w:val="right"/>
              <w:cnfStyle w:val="000000100000"/>
            </w:pPr>
            <w:r>
              <w:t>46.7</w:t>
            </w:r>
          </w:p>
        </w:tc>
        <w:tc>
          <w:tcPr>
            <w:tcW w:w="1984" w:type="dxa"/>
          </w:tcPr>
          <w:p w:rsidR="00BA7FC5" w:rsidRDefault="00BA7FC5" w:rsidP="00DA65C1">
            <w:pPr>
              <w:spacing w:before="20" w:after="20" w:line="240" w:lineRule="auto"/>
              <w:ind w:right="598"/>
              <w:jc w:val="right"/>
              <w:cnfStyle w:val="000000100000"/>
            </w:pPr>
            <w:r>
              <w:t>179.2</w:t>
            </w:r>
          </w:p>
        </w:tc>
        <w:tc>
          <w:tcPr>
            <w:tcW w:w="2126" w:type="dxa"/>
            <w:tcBorders>
              <w:right w:val="nil"/>
            </w:tcBorders>
          </w:tcPr>
          <w:p w:rsidR="00BA7FC5" w:rsidRDefault="00BA7FC5" w:rsidP="00DA65C1">
            <w:pPr>
              <w:spacing w:before="20" w:after="20" w:line="240" w:lineRule="auto"/>
              <w:ind w:right="504"/>
              <w:jc w:val="right"/>
              <w:cnfStyle w:val="000000100000"/>
            </w:pPr>
            <w:r>
              <w:t>41.3</w:t>
            </w:r>
          </w:p>
        </w:tc>
      </w:tr>
      <w:tr w:rsidR="00BA7FC5" w:rsidRPr="00C320C6" w:rsidTr="00857DF8">
        <w:trPr>
          <w:cnfStyle w:val="000000010000"/>
        </w:trPr>
        <w:tc>
          <w:tcPr>
            <w:cnfStyle w:val="001000000000"/>
            <w:tcW w:w="2222" w:type="dxa"/>
          </w:tcPr>
          <w:p w:rsidR="00BA7FC5" w:rsidRPr="00C320C6" w:rsidRDefault="00BA7FC5" w:rsidP="00DA65C1">
            <w:pPr>
              <w:spacing w:before="20" w:after="20" w:line="240" w:lineRule="auto"/>
              <w:rPr>
                <w:b/>
              </w:rPr>
            </w:pPr>
            <w:r w:rsidRPr="00C320C6">
              <w:rPr>
                <w:b/>
              </w:rPr>
              <w:t>TOTAL</w:t>
            </w:r>
          </w:p>
        </w:tc>
        <w:tc>
          <w:tcPr>
            <w:tcW w:w="2173" w:type="dxa"/>
          </w:tcPr>
          <w:p w:rsidR="00BA7FC5" w:rsidRPr="00C320C6" w:rsidRDefault="00BA7FC5" w:rsidP="00DA65C1">
            <w:pPr>
              <w:spacing w:before="20" w:after="20" w:line="240" w:lineRule="auto"/>
              <w:ind w:right="705"/>
              <w:jc w:val="right"/>
              <w:cnfStyle w:val="000000010000"/>
              <w:rPr>
                <w:b/>
              </w:rPr>
            </w:pPr>
            <w:r w:rsidRPr="00C320C6">
              <w:rPr>
                <w:b/>
              </w:rPr>
              <w:t>133.6</w:t>
            </w:r>
          </w:p>
        </w:tc>
        <w:tc>
          <w:tcPr>
            <w:tcW w:w="1984" w:type="dxa"/>
          </w:tcPr>
          <w:p w:rsidR="00BA7FC5" w:rsidRPr="00C320C6" w:rsidRDefault="00BA7FC5" w:rsidP="00DA65C1">
            <w:pPr>
              <w:spacing w:before="20" w:after="20" w:line="240" w:lineRule="auto"/>
              <w:ind w:right="598"/>
              <w:jc w:val="right"/>
              <w:cnfStyle w:val="000000010000"/>
              <w:rPr>
                <w:b/>
              </w:rPr>
            </w:pPr>
            <w:r w:rsidRPr="00C320C6">
              <w:rPr>
                <w:b/>
              </w:rPr>
              <w:t>405.6</w:t>
            </w:r>
          </w:p>
        </w:tc>
        <w:tc>
          <w:tcPr>
            <w:tcW w:w="2126" w:type="dxa"/>
            <w:tcBorders>
              <w:right w:val="nil"/>
            </w:tcBorders>
          </w:tcPr>
          <w:p w:rsidR="00BA7FC5" w:rsidRPr="00C320C6" w:rsidRDefault="00BA7FC5" w:rsidP="00DA65C1">
            <w:pPr>
              <w:spacing w:before="20" w:after="20" w:line="240" w:lineRule="auto"/>
              <w:ind w:right="504"/>
              <w:jc w:val="right"/>
              <w:cnfStyle w:val="000000010000"/>
              <w:rPr>
                <w:b/>
              </w:rPr>
            </w:pPr>
            <w:r w:rsidRPr="00C320C6">
              <w:rPr>
                <w:b/>
              </w:rPr>
              <w:t>122.2</w:t>
            </w:r>
          </w:p>
        </w:tc>
      </w:tr>
    </w:tbl>
    <w:p w:rsidR="00BA7FC5" w:rsidRDefault="00BA7FC5" w:rsidP="00DA65C1"/>
    <w:p w:rsidR="00BA7FC5" w:rsidRDefault="00BA7FC5" w:rsidP="00DA65C1">
      <w:pPr>
        <w:pStyle w:val="Caption"/>
        <w:keepNext/>
      </w:pPr>
      <w:bookmarkStart w:id="6" w:name="_Toc381102093"/>
      <w:r>
        <w:t xml:space="preserve">Table </w:t>
      </w:r>
      <w:r w:rsidR="007637BE">
        <w:fldChar w:fldCharType="begin"/>
      </w:r>
      <w:r>
        <w:instrText xml:space="preserve"> SEQ Table \* ARABIC </w:instrText>
      </w:r>
      <w:r w:rsidR="007637BE">
        <w:fldChar w:fldCharType="separate"/>
      </w:r>
      <w:r w:rsidR="00697A48">
        <w:rPr>
          <w:noProof/>
        </w:rPr>
        <w:t>2</w:t>
      </w:r>
      <w:r w:rsidR="007637BE">
        <w:fldChar w:fldCharType="end"/>
      </w:r>
      <w:r w:rsidR="003756BF">
        <w:t>:</w:t>
      </w:r>
      <w:r>
        <w:t xml:space="preserve"> </w:t>
      </w:r>
      <w:r w:rsidR="00766C00">
        <w:t>Count</w:t>
      </w:r>
      <w:r>
        <w:t xml:space="preserve"> of batteries in Australia</w:t>
      </w:r>
      <w:r w:rsidR="0036129E">
        <w:t xml:space="preserve"> in 2009/10</w:t>
      </w:r>
      <w:r>
        <w:t xml:space="preserve"> (</w:t>
      </w:r>
      <w:r w:rsidR="00AC54AA">
        <w:t>millions</w:t>
      </w:r>
      <w:r>
        <w:t xml:space="preserve"> of batteries) (Warnken </w:t>
      </w:r>
      <w:r w:rsidR="00AC54AA">
        <w:t xml:space="preserve">ISE </w:t>
      </w:r>
      <w:r>
        <w:t>2010)</w:t>
      </w:r>
      <w:bookmarkEnd w:id="6"/>
    </w:p>
    <w:tbl>
      <w:tblPr>
        <w:tblStyle w:val="ColorfulGrid1"/>
        <w:tblW w:w="0" w:type="auto"/>
        <w:tblInd w:w="108" w:type="dxa"/>
        <w:tblLook w:val="04A0"/>
      </w:tblPr>
      <w:tblGrid>
        <w:gridCol w:w="2268"/>
        <w:gridCol w:w="2127"/>
        <w:gridCol w:w="1984"/>
        <w:gridCol w:w="2126"/>
      </w:tblGrid>
      <w:tr w:rsidR="00BA7FC5" w:rsidTr="00857DF8">
        <w:trPr>
          <w:cnfStyle w:val="100000000000"/>
        </w:trPr>
        <w:tc>
          <w:tcPr>
            <w:cnfStyle w:val="001000000000"/>
            <w:tcW w:w="2268" w:type="dxa"/>
            <w:tcBorders>
              <w:left w:val="nil"/>
            </w:tcBorders>
          </w:tcPr>
          <w:p w:rsidR="00BA7FC5" w:rsidRDefault="00BA7FC5" w:rsidP="00DA65C1">
            <w:pPr>
              <w:keepNext/>
              <w:spacing w:before="20" w:after="20" w:line="240" w:lineRule="auto"/>
            </w:pPr>
            <w:r>
              <w:t>Category</w:t>
            </w:r>
          </w:p>
        </w:tc>
        <w:tc>
          <w:tcPr>
            <w:tcW w:w="2127" w:type="dxa"/>
          </w:tcPr>
          <w:p w:rsidR="00BA7FC5" w:rsidRDefault="00BA7FC5" w:rsidP="00DA65C1">
            <w:pPr>
              <w:keepNext/>
              <w:spacing w:before="20" w:after="20" w:line="240" w:lineRule="auto"/>
              <w:jc w:val="center"/>
              <w:cnfStyle w:val="100000000000"/>
            </w:pPr>
            <w:r>
              <w:t>Inputs</w:t>
            </w:r>
          </w:p>
          <w:p w:rsidR="00D77684" w:rsidRDefault="00D77684" w:rsidP="00DA65C1">
            <w:pPr>
              <w:keepNext/>
              <w:spacing w:before="20" w:after="20" w:line="240" w:lineRule="auto"/>
              <w:jc w:val="center"/>
              <w:cnfStyle w:val="100000000000"/>
            </w:pPr>
            <w:r>
              <w:t>(million batteries)</w:t>
            </w:r>
          </w:p>
        </w:tc>
        <w:tc>
          <w:tcPr>
            <w:tcW w:w="1984" w:type="dxa"/>
          </w:tcPr>
          <w:p w:rsidR="00BA7FC5" w:rsidRDefault="00BA7FC5" w:rsidP="00DA65C1">
            <w:pPr>
              <w:keepNext/>
              <w:spacing w:before="20" w:after="20" w:line="240" w:lineRule="auto"/>
              <w:jc w:val="center"/>
              <w:cnfStyle w:val="100000000000"/>
            </w:pPr>
            <w:r>
              <w:t>Stocks</w:t>
            </w:r>
          </w:p>
          <w:p w:rsidR="00D77684" w:rsidRDefault="00D77684" w:rsidP="00DA65C1">
            <w:pPr>
              <w:keepNext/>
              <w:spacing w:before="20" w:after="20" w:line="240" w:lineRule="auto"/>
              <w:jc w:val="center"/>
              <w:cnfStyle w:val="100000000000"/>
            </w:pPr>
            <w:r>
              <w:t>(million batteries)</w:t>
            </w:r>
          </w:p>
        </w:tc>
        <w:tc>
          <w:tcPr>
            <w:tcW w:w="2126" w:type="dxa"/>
            <w:tcBorders>
              <w:right w:val="nil"/>
            </w:tcBorders>
          </w:tcPr>
          <w:p w:rsidR="00BA7FC5" w:rsidRDefault="00BA7FC5" w:rsidP="00DA65C1">
            <w:pPr>
              <w:keepNext/>
              <w:spacing w:before="20" w:after="20" w:line="240" w:lineRule="auto"/>
              <w:jc w:val="center"/>
              <w:cnfStyle w:val="100000000000"/>
            </w:pPr>
            <w:r>
              <w:t>Arising</w:t>
            </w:r>
            <w:r w:rsidR="00CC10E8">
              <w:t>s</w:t>
            </w:r>
          </w:p>
          <w:p w:rsidR="00D77684" w:rsidRDefault="00D77684" w:rsidP="00DA65C1">
            <w:pPr>
              <w:keepNext/>
              <w:spacing w:before="20" w:after="20" w:line="240" w:lineRule="auto"/>
              <w:jc w:val="center"/>
              <w:cnfStyle w:val="100000000000"/>
            </w:pPr>
            <w:r>
              <w:t>(million batteries)</w:t>
            </w:r>
          </w:p>
        </w:tc>
      </w:tr>
      <w:tr w:rsidR="00BA7FC5" w:rsidTr="00857DF8">
        <w:trPr>
          <w:cnfStyle w:val="000000100000"/>
        </w:trPr>
        <w:tc>
          <w:tcPr>
            <w:cnfStyle w:val="001000000000"/>
            <w:tcW w:w="2268" w:type="dxa"/>
          </w:tcPr>
          <w:p w:rsidR="00BA7FC5" w:rsidRDefault="00BA7FC5" w:rsidP="00DA65C1">
            <w:pPr>
              <w:keepNext/>
              <w:spacing w:before="20" w:after="20" w:line="240" w:lineRule="auto"/>
            </w:pPr>
            <w:r>
              <w:t>Handheld</w:t>
            </w:r>
          </w:p>
        </w:tc>
        <w:tc>
          <w:tcPr>
            <w:tcW w:w="2127" w:type="dxa"/>
          </w:tcPr>
          <w:p w:rsidR="00BA7FC5" w:rsidRDefault="00BA7FC5" w:rsidP="00DA65C1">
            <w:pPr>
              <w:keepNext/>
              <w:spacing w:before="20" w:after="20" w:line="240" w:lineRule="auto"/>
              <w:ind w:right="600"/>
              <w:jc w:val="right"/>
              <w:cnfStyle w:val="000000100000"/>
            </w:pPr>
            <w:r>
              <w:t>1.82</w:t>
            </w:r>
          </w:p>
        </w:tc>
        <w:tc>
          <w:tcPr>
            <w:tcW w:w="1984" w:type="dxa"/>
          </w:tcPr>
          <w:p w:rsidR="00BA7FC5" w:rsidRDefault="00BA7FC5" w:rsidP="00DA65C1">
            <w:pPr>
              <w:keepNext/>
              <w:spacing w:before="20" w:after="20" w:line="240" w:lineRule="auto"/>
              <w:ind w:right="601"/>
              <w:jc w:val="right"/>
              <w:cnfStyle w:val="000000100000"/>
            </w:pPr>
            <w:r>
              <w:t>3.2</w:t>
            </w:r>
            <w:r w:rsidR="0052731C">
              <w:t>0</w:t>
            </w:r>
          </w:p>
        </w:tc>
        <w:tc>
          <w:tcPr>
            <w:tcW w:w="2126" w:type="dxa"/>
            <w:tcBorders>
              <w:right w:val="nil"/>
            </w:tcBorders>
          </w:tcPr>
          <w:p w:rsidR="00BA7FC5" w:rsidRDefault="00BA7FC5" w:rsidP="00DA65C1">
            <w:pPr>
              <w:keepNext/>
              <w:spacing w:before="20" w:after="20" w:line="240" w:lineRule="auto"/>
              <w:ind w:right="459"/>
              <w:jc w:val="right"/>
              <w:cnfStyle w:val="000000100000"/>
            </w:pPr>
            <w:r>
              <w:t>1.00</w:t>
            </w:r>
          </w:p>
        </w:tc>
      </w:tr>
      <w:tr w:rsidR="00BA7FC5" w:rsidTr="00857DF8">
        <w:trPr>
          <w:cnfStyle w:val="000000010000"/>
        </w:trPr>
        <w:tc>
          <w:tcPr>
            <w:cnfStyle w:val="001000000000"/>
            <w:tcW w:w="2268" w:type="dxa"/>
          </w:tcPr>
          <w:p w:rsidR="00BA7FC5" w:rsidRDefault="00BA7FC5" w:rsidP="00DA65C1">
            <w:pPr>
              <w:keepNext/>
              <w:spacing w:before="20" w:after="20" w:line="240" w:lineRule="auto"/>
            </w:pPr>
            <w:r>
              <w:t>SLI</w:t>
            </w:r>
          </w:p>
        </w:tc>
        <w:tc>
          <w:tcPr>
            <w:tcW w:w="2127" w:type="dxa"/>
          </w:tcPr>
          <w:p w:rsidR="00BA7FC5" w:rsidRDefault="00BA7FC5" w:rsidP="00DA65C1">
            <w:pPr>
              <w:keepNext/>
              <w:spacing w:before="20" w:after="20" w:line="240" w:lineRule="auto"/>
              <w:ind w:right="600"/>
              <w:jc w:val="right"/>
              <w:cnfStyle w:val="000000010000"/>
            </w:pPr>
            <w:r>
              <w:t>5.84</w:t>
            </w:r>
          </w:p>
        </w:tc>
        <w:tc>
          <w:tcPr>
            <w:tcW w:w="1984" w:type="dxa"/>
          </w:tcPr>
          <w:p w:rsidR="00BA7FC5" w:rsidRDefault="00BA7FC5" w:rsidP="00DA65C1">
            <w:pPr>
              <w:keepNext/>
              <w:spacing w:before="20" w:after="20" w:line="240" w:lineRule="auto"/>
              <w:ind w:right="601"/>
              <w:jc w:val="right"/>
              <w:cnfStyle w:val="000000010000"/>
            </w:pPr>
            <w:r>
              <w:t>15.44</w:t>
            </w:r>
          </w:p>
        </w:tc>
        <w:tc>
          <w:tcPr>
            <w:tcW w:w="2126" w:type="dxa"/>
            <w:tcBorders>
              <w:right w:val="nil"/>
            </w:tcBorders>
          </w:tcPr>
          <w:p w:rsidR="00BA7FC5" w:rsidRDefault="00BA7FC5" w:rsidP="00DA65C1">
            <w:pPr>
              <w:keepNext/>
              <w:spacing w:before="20" w:after="20" w:line="240" w:lineRule="auto"/>
              <w:ind w:right="459"/>
              <w:jc w:val="right"/>
              <w:cnfStyle w:val="000000010000"/>
            </w:pPr>
            <w:r>
              <w:t>5.41</w:t>
            </w:r>
          </w:p>
        </w:tc>
      </w:tr>
      <w:tr w:rsidR="00BA7FC5" w:rsidTr="00857DF8">
        <w:trPr>
          <w:cnfStyle w:val="000000100000"/>
        </w:trPr>
        <w:tc>
          <w:tcPr>
            <w:cnfStyle w:val="001000000000"/>
            <w:tcW w:w="2268" w:type="dxa"/>
          </w:tcPr>
          <w:p w:rsidR="00BA7FC5" w:rsidRDefault="00BA7FC5" w:rsidP="00DA65C1">
            <w:pPr>
              <w:keepNext/>
              <w:spacing w:before="20" w:after="20" w:line="240" w:lineRule="auto"/>
            </w:pPr>
            <w:r>
              <w:t>Large and Industrial</w:t>
            </w:r>
          </w:p>
        </w:tc>
        <w:tc>
          <w:tcPr>
            <w:tcW w:w="2127" w:type="dxa"/>
          </w:tcPr>
          <w:p w:rsidR="00BA7FC5" w:rsidRDefault="00BA7FC5" w:rsidP="00DA65C1">
            <w:pPr>
              <w:keepNext/>
              <w:spacing w:before="20" w:after="20" w:line="240" w:lineRule="auto"/>
              <w:ind w:right="600"/>
              <w:jc w:val="right"/>
              <w:cnfStyle w:val="000000100000"/>
            </w:pPr>
            <w:r>
              <w:t>1.57</w:t>
            </w:r>
          </w:p>
        </w:tc>
        <w:tc>
          <w:tcPr>
            <w:tcW w:w="1984" w:type="dxa"/>
          </w:tcPr>
          <w:p w:rsidR="00BA7FC5" w:rsidRDefault="00BA7FC5" w:rsidP="00DA65C1">
            <w:pPr>
              <w:keepNext/>
              <w:spacing w:before="20" w:after="20" w:line="240" w:lineRule="auto"/>
              <w:ind w:right="601"/>
              <w:jc w:val="right"/>
              <w:cnfStyle w:val="000000100000"/>
            </w:pPr>
            <w:r>
              <w:t>5.98</w:t>
            </w:r>
          </w:p>
        </w:tc>
        <w:tc>
          <w:tcPr>
            <w:tcW w:w="2126" w:type="dxa"/>
            <w:tcBorders>
              <w:right w:val="nil"/>
            </w:tcBorders>
          </w:tcPr>
          <w:p w:rsidR="00BA7FC5" w:rsidRDefault="00BA7FC5" w:rsidP="00DA65C1">
            <w:pPr>
              <w:keepNext/>
              <w:spacing w:before="20" w:after="20" w:line="240" w:lineRule="auto"/>
              <w:ind w:right="459"/>
              <w:jc w:val="right"/>
              <w:cnfStyle w:val="000000100000"/>
            </w:pPr>
            <w:r>
              <w:t>1.42</w:t>
            </w:r>
          </w:p>
        </w:tc>
      </w:tr>
      <w:tr w:rsidR="00BA7FC5" w:rsidRPr="0052731C" w:rsidTr="00857DF8">
        <w:trPr>
          <w:cnfStyle w:val="000000010000"/>
        </w:trPr>
        <w:tc>
          <w:tcPr>
            <w:cnfStyle w:val="001000000000"/>
            <w:tcW w:w="2268" w:type="dxa"/>
          </w:tcPr>
          <w:p w:rsidR="00BA7FC5" w:rsidRPr="0052731C" w:rsidRDefault="00BA7FC5" w:rsidP="00DA65C1">
            <w:pPr>
              <w:spacing w:before="20" w:after="20" w:line="240" w:lineRule="auto"/>
              <w:rPr>
                <w:b/>
              </w:rPr>
            </w:pPr>
            <w:r w:rsidRPr="0052731C">
              <w:rPr>
                <w:b/>
              </w:rPr>
              <w:t>TOTAL</w:t>
            </w:r>
          </w:p>
        </w:tc>
        <w:tc>
          <w:tcPr>
            <w:tcW w:w="2127" w:type="dxa"/>
          </w:tcPr>
          <w:p w:rsidR="00BA7FC5" w:rsidRPr="0052731C" w:rsidRDefault="00BA7FC5" w:rsidP="00DA65C1">
            <w:pPr>
              <w:spacing w:before="20" w:after="20" w:line="240" w:lineRule="auto"/>
              <w:ind w:right="600"/>
              <w:jc w:val="right"/>
              <w:cnfStyle w:val="000000010000"/>
              <w:rPr>
                <w:b/>
              </w:rPr>
            </w:pPr>
            <w:r w:rsidRPr="0052731C">
              <w:rPr>
                <w:b/>
              </w:rPr>
              <w:t>9.23</w:t>
            </w:r>
          </w:p>
        </w:tc>
        <w:tc>
          <w:tcPr>
            <w:tcW w:w="1984" w:type="dxa"/>
          </w:tcPr>
          <w:p w:rsidR="00BA7FC5" w:rsidRPr="0052731C" w:rsidRDefault="00BA7FC5" w:rsidP="00DA65C1">
            <w:pPr>
              <w:spacing w:before="20" w:after="20" w:line="240" w:lineRule="auto"/>
              <w:ind w:right="601"/>
              <w:jc w:val="right"/>
              <w:cnfStyle w:val="000000010000"/>
              <w:rPr>
                <w:b/>
              </w:rPr>
            </w:pPr>
            <w:r w:rsidRPr="0052731C">
              <w:rPr>
                <w:b/>
              </w:rPr>
              <w:t>24.62</w:t>
            </w:r>
          </w:p>
        </w:tc>
        <w:tc>
          <w:tcPr>
            <w:tcW w:w="2126" w:type="dxa"/>
            <w:tcBorders>
              <w:right w:val="nil"/>
            </w:tcBorders>
          </w:tcPr>
          <w:p w:rsidR="00BA7FC5" w:rsidRPr="0052731C" w:rsidRDefault="00BA7FC5" w:rsidP="00DA65C1">
            <w:pPr>
              <w:spacing w:before="20" w:after="20" w:line="240" w:lineRule="auto"/>
              <w:ind w:right="459"/>
              <w:jc w:val="right"/>
              <w:cnfStyle w:val="000000010000"/>
              <w:rPr>
                <w:b/>
              </w:rPr>
            </w:pPr>
            <w:r w:rsidRPr="0052731C">
              <w:rPr>
                <w:b/>
              </w:rPr>
              <w:t>7.83</w:t>
            </w:r>
          </w:p>
        </w:tc>
      </w:tr>
    </w:tbl>
    <w:p w:rsidR="00BA7FC5" w:rsidRDefault="00BA7FC5" w:rsidP="00DA65C1">
      <w:pPr>
        <w:pStyle w:val="Caption"/>
        <w:keepNext/>
      </w:pPr>
      <w:bookmarkStart w:id="7" w:name="_Toc381102094"/>
      <w:r>
        <w:lastRenderedPageBreak/>
        <w:t xml:space="preserve">Table </w:t>
      </w:r>
      <w:r w:rsidR="007637BE">
        <w:fldChar w:fldCharType="begin"/>
      </w:r>
      <w:r>
        <w:instrText xml:space="preserve"> SEQ Table \* ARABIC </w:instrText>
      </w:r>
      <w:r w:rsidR="007637BE">
        <w:fldChar w:fldCharType="separate"/>
      </w:r>
      <w:r w:rsidR="00697A48">
        <w:rPr>
          <w:noProof/>
        </w:rPr>
        <w:t>3</w:t>
      </w:r>
      <w:r w:rsidR="007637BE">
        <w:fldChar w:fldCharType="end"/>
      </w:r>
      <w:r w:rsidR="003756BF">
        <w:t>:</w:t>
      </w:r>
      <w:r>
        <w:t xml:space="preserve"> </w:t>
      </w:r>
      <w:r w:rsidR="00CC10E8">
        <w:t>Breakdown of arisings</w:t>
      </w:r>
      <w:r>
        <w:t xml:space="preserve"> </w:t>
      </w:r>
      <w:r w:rsidR="0036129E">
        <w:t xml:space="preserve">in 2009/10 </w:t>
      </w:r>
      <w:r>
        <w:t>(</w:t>
      </w:r>
      <w:proofErr w:type="spellStart"/>
      <w:r>
        <w:t>kt</w:t>
      </w:r>
      <w:proofErr w:type="spellEnd"/>
      <w:r>
        <w:t>) (</w:t>
      </w:r>
      <w:proofErr w:type="spellStart"/>
      <w:r>
        <w:t>Warnken</w:t>
      </w:r>
      <w:proofErr w:type="spellEnd"/>
      <w:r>
        <w:t xml:space="preserve"> </w:t>
      </w:r>
      <w:r w:rsidR="00BB6D86">
        <w:t xml:space="preserve">ISE </w:t>
      </w:r>
      <w:r>
        <w:t>2010)</w:t>
      </w:r>
      <w:bookmarkEnd w:id="7"/>
    </w:p>
    <w:tbl>
      <w:tblPr>
        <w:tblStyle w:val="ColorfulGrid1"/>
        <w:tblW w:w="8647" w:type="dxa"/>
        <w:tblInd w:w="108" w:type="dxa"/>
        <w:tblLook w:val="04A0"/>
      </w:tblPr>
      <w:tblGrid>
        <w:gridCol w:w="2694"/>
        <w:gridCol w:w="1417"/>
        <w:gridCol w:w="1134"/>
        <w:gridCol w:w="1985"/>
        <w:gridCol w:w="1417"/>
      </w:tblGrid>
      <w:tr w:rsidR="00BA7FC5" w:rsidRPr="00CF1FEE" w:rsidTr="00857DF8">
        <w:trPr>
          <w:cnfStyle w:val="100000000000"/>
          <w:trHeight w:val="300"/>
        </w:trPr>
        <w:tc>
          <w:tcPr>
            <w:cnfStyle w:val="001000000000"/>
            <w:tcW w:w="2694" w:type="dxa"/>
            <w:tcBorders>
              <w:left w:val="nil"/>
            </w:tcBorders>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 xml:space="preserve">Fate of </w:t>
            </w:r>
            <w:r w:rsidR="000042BA">
              <w:rPr>
                <w:rFonts w:eastAsia="Times New Roman"/>
                <w:lang w:eastAsia="en-AU"/>
              </w:rPr>
              <w:t>lead-acid</w:t>
            </w:r>
            <w:r w:rsidRPr="00EC617D">
              <w:rPr>
                <w:rFonts w:eastAsia="Times New Roman"/>
                <w:lang w:eastAsia="en-AU"/>
              </w:rPr>
              <w:t xml:space="preserve"> batteries</w:t>
            </w:r>
          </w:p>
        </w:tc>
        <w:tc>
          <w:tcPr>
            <w:tcW w:w="1417" w:type="dxa"/>
            <w:noWrap/>
            <w:hideMark/>
          </w:tcPr>
          <w:p w:rsidR="00BA7FC5" w:rsidRPr="00EC617D" w:rsidRDefault="00BA7FC5" w:rsidP="00DA65C1">
            <w:pPr>
              <w:spacing w:before="20" w:after="20" w:line="240" w:lineRule="auto"/>
              <w:jc w:val="center"/>
              <w:cnfStyle w:val="100000000000"/>
              <w:rPr>
                <w:rFonts w:eastAsia="Times New Roman"/>
                <w:lang w:eastAsia="en-AU"/>
              </w:rPr>
            </w:pPr>
            <w:r w:rsidRPr="00EC617D">
              <w:rPr>
                <w:rFonts w:eastAsia="Times New Roman"/>
                <w:lang w:eastAsia="en-AU"/>
              </w:rPr>
              <w:t>Handheld</w:t>
            </w:r>
          </w:p>
        </w:tc>
        <w:tc>
          <w:tcPr>
            <w:tcW w:w="1134" w:type="dxa"/>
            <w:noWrap/>
            <w:hideMark/>
          </w:tcPr>
          <w:p w:rsidR="00BA7FC5" w:rsidRPr="00EC617D" w:rsidRDefault="00BA7FC5" w:rsidP="00DA65C1">
            <w:pPr>
              <w:spacing w:before="20" w:after="20" w:line="240" w:lineRule="auto"/>
              <w:jc w:val="center"/>
              <w:cnfStyle w:val="100000000000"/>
              <w:rPr>
                <w:rFonts w:eastAsia="Times New Roman"/>
                <w:lang w:eastAsia="en-AU"/>
              </w:rPr>
            </w:pPr>
            <w:r w:rsidRPr="00EC617D">
              <w:rPr>
                <w:rFonts w:eastAsia="Times New Roman"/>
                <w:lang w:eastAsia="en-AU"/>
              </w:rPr>
              <w:t>SLI</w:t>
            </w:r>
          </w:p>
        </w:tc>
        <w:tc>
          <w:tcPr>
            <w:tcW w:w="1985" w:type="dxa"/>
            <w:noWrap/>
            <w:hideMark/>
          </w:tcPr>
          <w:p w:rsidR="00BA7FC5" w:rsidRPr="00EC617D" w:rsidRDefault="00BA7FC5" w:rsidP="00DA65C1">
            <w:pPr>
              <w:spacing w:before="20" w:after="20" w:line="240" w:lineRule="auto"/>
              <w:jc w:val="center"/>
              <w:cnfStyle w:val="100000000000"/>
              <w:rPr>
                <w:rFonts w:eastAsia="Times New Roman"/>
                <w:lang w:eastAsia="en-AU"/>
              </w:rPr>
            </w:pPr>
            <w:r w:rsidRPr="00EC617D">
              <w:rPr>
                <w:rFonts w:eastAsia="Times New Roman"/>
                <w:lang w:eastAsia="en-AU"/>
              </w:rPr>
              <w:t>Large/Industrial</w:t>
            </w:r>
          </w:p>
        </w:tc>
        <w:tc>
          <w:tcPr>
            <w:tcW w:w="1417" w:type="dxa"/>
            <w:tcBorders>
              <w:right w:val="nil"/>
            </w:tcBorders>
            <w:noWrap/>
            <w:hideMark/>
          </w:tcPr>
          <w:p w:rsidR="00BA7FC5" w:rsidRPr="00EC617D" w:rsidRDefault="00EC617D" w:rsidP="00DA65C1">
            <w:pPr>
              <w:spacing w:before="20" w:after="20" w:line="240" w:lineRule="auto"/>
              <w:jc w:val="center"/>
              <w:cnfStyle w:val="100000000000"/>
              <w:rPr>
                <w:rFonts w:eastAsia="Times New Roman"/>
                <w:lang w:eastAsia="en-AU"/>
              </w:rPr>
            </w:pPr>
            <w:r>
              <w:rPr>
                <w:rFonts w:eastAsia="Times New Roman"/>
                <w:lang w:eastAsia="en-AU"/>
              </w:rPr>
              <w:t>TOTAL</w:t>
            </w:r>
          </w:p>
        </w:tc>
      </w:tr>
      <w:tr w:rsidR="00BA7FC5" w:rsidRPr="00CF1FEE" w:rsidTr="00857DF8">
        <w:trPr>
          <w:cnfStyle w:val="00000010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Reprocessed in Australia</w:t>
            </w:r>
          </w:p>
        </w:tc>
        <w:tc>
          <w:tcPr>
            <w:tcW w:w="1417" w:type="dxa"/>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Pr>
                <w:rFonts w:eastAsia="Times New Roman"/>
                <w:color w:val="000000"/>
                <w:lang w:eastAsia="en-AU"/>
              </w:rPr>
              <w:t>0.3</w:t>
            </w:r>
          </w:p>
        </w:tc>
        <w:tc>
          <w:tcPr>
            <w:tcW w:w="1134" w:type="dxa"/>
            <w:noWrap/>
            <w:hideMark/>
          </w:tcPr>
          <w:p w:rsidR="00BA7FC5" w:rsidRPr="00CF1FEE" w:rsidRDefault="00BA7FC5" w:rsidP="00DA65C1">
            <w:pPr>
              <w:spacing w:before="20" w:after="20" w:line="240" w:lineRule="auto"/>
              <w:ind w:right="98"/>
              <w:jc w:val="right"/>
              <w:cnfStyle w:val="000000100000"/>
              <w:rPr>
                <w:rFonts w:eastAsia="Times New Roman"/>
                <w:color w:val="000000"/>
                <w:lang w:eastAsia="en-AU"/>
              </w:rPr>
            </w:pPr>
            <w:r w:rsidRPr="00CF1FEE">
              <w:rPr>
                <w:rFonts w:eastAsia="Times New Roman"/>
                <w:color w:val="000000"/>
                <w:lang w:eastAsia="en-AU"/>
              </w:rPr>
              <w:t>66.</w:t>
            </w:r>
            <w:r>
              <w:rPr>
                <w:rFonts w:eastAsia="Times New Roman"/>
                <w:color w:val="000000"/>
                <w:lang w:eastAsia="en-AU"/>
              </w:rPr>
              <w:t>1</w:t>
            </w:r>
          </w:p>
        </w:tc>
        <w:tc>
          <w:tcPr>
            <w:tcW w:w="1985" w:type="dxa"/>
            <w:noWrap/>
            <w:hideMark/>
          </w:tcPr>
          <w:p w:rsidR="00BA7FC5" w:rsidRPr="00CF1FEE" w:rsidRDefault="00BA7FC5" w:rsidP="00DA65C1">
            <w:pPr>
              <w:spacing w:before="20" w:after="20" w:line="240" w:lineRule="auto"/>
              <w:ind w:right="459"/>
              <w:jc w:val="right"/>
              <w:cnfStyle w:val="000000100000"/>
              <w:rPr>
                <w:rFonts w:eastAsia="Times New Roman"/>
                <w:color w:val="000000"/>
                <w:lang w:eastAsia="en-AU"/>
              </w:rPr>
            </w:pPr>
            <w:r>
              <w:rPr>
                <w:rFonts w:eastAsia="Times New Roman"/>
                <w:color w:val="000000"/>
                <w:lang w:eastAsia="en-AU"/>
              </w:rPr>
              <w:t>34.0</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sidRPr="00CF1FEE">
              <w:rPr>
                <w:rFonts w:eastAsia="Times New Roman"/>
                <w:color w:val="000000"/>
                <w:lang w:eastAsia="en-AU"/>
              </w:rPr>
              <w:t>100.</w:t>
            </w:r>
            <w:r>
              <w:rPr>
                <w:rFonts w:eastAsia="Times New Roman"/>
                <w:color w:val="000000"/>
                <w:lang w:eastAsia="en-AU"/>
              </w:rPr>
              <w:t>3</w:t>
            </w:r>
          </w:p>
        </w:tc>
      </w:tr>
      <w:tr w:rsidR="00BA7FC5" w:rsidRPr="00CF1FEE" w:rsidTr="00857DF8">
        <w:trPr>
          <w:cnfStyle w:val="00000001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Landfill</w:t>
            </w:r>
          </w:p>
        </w:tc>
        <w:tc>
          <w:tcPr>
            <w:tcW w:w="1417" w:type="dxa"/>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0.2</w:t>
            </w:r>
          </w:p>
        </w:tc>
        <w:tc>
          <w:tcPr>
            <w:tcW w:w="1134" w:type="dxa"/>
            <w:noWrap/>
            <w:hideMark/>
          </w:tcPr>
          <w:p w:rsidR="00BA7FC5" w:rsidRPr="00CF1FEE" w:rsidRDefault="00BA7FC5" w:rsidP="00DA65C1">
            <w:pPr>
              <w:spacing w:before="20" w:after="20" w:line="240" w:lineRule="auto"/>
              <w:ind w:right="98"/>
              <w:jc w:val="right"/>
              <w:cnfStyle w:val="000000010000"/>
              <w:rPr>
                <w:rFonts w:eastAsia="Times New Roman"/>
                <w:color w:val="000000"/>
                <w:lang w:eastAsia="en-AU"/>
              </w:rPr>
            </w:pPr>
            <w:r>
              <w:rPr>
                <w:rFonts w:eastAsia="Times New Roman"/>
                <w:color w:val="000000"/>
                <w:lang w:eastAsia="en-AU"/>
              </w:rPr>
              <w:t>2.0</w:t>
            </w:r>
          </w:p>
        </w:tc>
        <w:tc>
          <w:tcPr>
            <w:tcW w:w="1985" w:type="dxa"/>
            <w:noWrap/>
            <w:hideMark/>
          </w:tcPr>
          <w:p w:rsidR="00BA7FC5" w:rsidRPr="00CF1FEE" w:rsidRDefault="00BA7FC5" w:rsidP="00DA65C1">
            <w:pPr>
              <w:spacing w:before="20" w:after="20" w:line="240" w:lineRule="auto"/>
              <w:ind w:right="459"/>
              <w:jc w:val="right"/>
              <w:cnfStyle w:val="000000010000"/>
              <w:rPr>
                <w:rFonts w:eastAsia="Times New Roman"/>
                <w:color w:val="000000"/>
                <w:lang w:eastAsia="en-AU"/>
              </w:rPr>
            </w:pPr>
            <w:r>
              <w:rPr>
                <w:rFonts w:eastAsia="Times New Roman"/>
                <w:color w:val="000000"/>
                <w:lang w:eastAsia="en-AU"/>
              </w:rPr>
              <w:t>1.0</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3.2</w:t>
            </w:r>
          </w:p>
        </w:tc>
      </w:tr>
      <w:tr w:rsidR="00BA7FC5" w:rsidRPr="00CF1FEE" w:rsidTr="00857DF8">
        <w:trPr>
          <w:cnfStyle w:val="00000010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Stockpiled formal</w:t>
            </w:r>
          </w:p>
        </w:tc>
        <w:tc>
          <w:tcPr>
            <w:tcW w:w="1417" w:type="dxa"/>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Pr>
                <w:rFonts w:eastAsia="Times New Roman"/>
                <w:color w:val="000000"/>
                <w:lang w:eastAsia="en-AU"/>
              </w:rPr>
              <w:t>0.0</w:t>
            </w:r>
          </w:p>
        </w:tc>
        <w:tc>
          <w:tcPr>
            <w:tcW w:w="1134" w:type="dxa"/>
            <w:noWrap/>
            <w:hideMark/>
          </w:tcPr>
          <w:p w:rsidR="00BA7FC5" w:rsidRPr="00CF1FEE" w:rsidRDefault="00BA7FC5" w:rsidP="00DA65C1">
            <w:pPr>
              <w:spacing w:before="20" w:after="20" w:line="240" w:lineRule="auto"/>
              <w:ind w:right="98"/>
              <w:jc w:val="right"/>
              <w:cnfStyle w:val="000000100000"/>
              <w:rPr>
                <w:rFonts w:eastAsia="Times New Roman"/>
                <w:color w:val="000000"/>
                <w:lang w:eastAsia="en-AU"/>
              </w:rPr>
            </w:pPr>
            <w:r>
              <w:rPr>
                <w:rFonts w:eastAsia="Times New Roman"/>
                <w:color w:val="000000"/>
                <w:lang w:eastAsia="en-AU"/>
              </w:rPr>
              <w:t>4.0</w:t>
            </w:r>
          </w:p>
        </w:tc>
        <w:tc>
          <w:tcPr>
            <w:tcW w:w="1985" w:type="dxa"/>
            <w:noWrap/>
            <w:hideMark/>
          </w:tcPr>
          <w:p w:rsidR="00BA7FC5" w:rsidRPr="00CF1FEE" w:rsidRDefault="00BA7FC5" w:rsidP="00DA65C1">
            <w:pPr>
              <w:spacing w:before="20" w:after="20" w:line="240" w:lineRule="auto"/>
              <w:ind w:right="459"/>
              <w:jc w:val="right"/>
              <w:cnfStyle w:val="000000100000"/>
              <w:rPr>
                <w:rFonts w:eastAsia="Times New Roman"/>
                <w:color w:val="000000"/>
                <w:lang w:eastAsia="en-AU"/>
              </w:rPr>
            </w:pPr>
            <w:r>
              <w:rPr>
                <w:rFonts w:eastAsia="Times New Roman"/>
                <w:color w:val="000000"/>
                <w:lang w:eastAsia="en-AU"/>
              </w:rPr>
              <w:t>2.0</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Pr>
                <w:rFonts w:eastAsia="Times New Roman"/>
                <w:color w:val="000000"/>
                <w:lang w:eastAsia="en-AU"/>
              </w:rPr>
              <w:t>6.0</w:t>
            </w:r>
          </w:p>
        </w:tc>
      </w:tr>
      <w:tr w:rsidR="00BA7FC5" w:rsidRPr="00CF1FEE" w:rsidTr="00857DF8">
        <w:trPr>
          <w:cnfStyle w:val="00000001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Stockpiled informal</w:t>
            </w:r>
          </w:p>
        </w:tc>
        <w:tc>
          <w:tcPr>
            <w:tcW w:w="1417" w:type="dxa"/>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0.2</w:t>
            </w:r>
          </w:p>
        </w:tc>
        <w:tc>
          <w:tcPr>
            <w:tcW w:w="1134" w:type="dxa"/>
            <w:noWrap/>
            <w:hideMark/>
          </w:tcPr>
          <w:p w:rsidR="00BA7FC5" w:rsidRPr="00CF1FEE" w:rsidRDefault="00BA7FC5" w:rsidP="00DA65C1">
            <w:pPr>
              <w:spacing w:before="20" w:after="20" w:line="240" w:lineRule="auto"/>
              <w:ind w:right="98"/>
              <w:jc w:val="right"/>
              <w:cnfStyle w:val="000000010000"/>
              <w:rPr>
                <w:rFonts w:eastAsia="Times New Roman"/>
                <w:color w:val="000000"/>
                <w:lang w:eastAsia="en-AU"/>
              </w:rPr>
            </w:pPr>
            <w:r>
              <w:rPr>
                <w:rFonts w:eastAsia="Times New Roman"/>
                <w:color w:val="000000"/>
                <w:lang w:eastAsia="en-AU"/>
              </w:rPr>
              <w:t>1.7</w:t>
            </w:r>
          </w:p>
        </w:tc>
        <w:tc>
          <w:tcPr>
            <w:tcW w:w="1985" w:type="dxa"/>
            <w:noWrap/>
            <w:hideMark/>
          </w:tcPr>
          <w:p w:rsidR="00BA7FC5" w:rsidRPr="00CF1FEE" w:rsidRDefault="00BA7FC5" w:rsidP="00DA65C1">
            <w:pPr>
              <w:spacing w:before="20" w:after="20" w:line="240" w:lineRule="auto"/>
              <w:ind w:right="459"/>
              <w:jc w:val="right"/>
              <w:cnfStyle w:val="000000010000"/>
              <w:rPr>
                <w:rFonts w:eastAsia="Times New Roman"/>
                <w:color w:val="000000"/>
                <w:lang w:eastAsia="en-AU"/>
              </w:rPr>
            </w:pPr>
            <w:r>
              <w:rPr>
                <w:rFonts w:eastAsia="Times New Roman"/>
                <w:color w:val="000000"/>
                <w:lang w:eastAsia="en-AU"/>
              </w:rPr>
              <w:t>0.9</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2.7</w:t>
            </w:r>
          </w:p>
        </w:tc>
      </w:tr>
      <w:tr w:rsidR="00BA7FC5" w:rsidRPr="00CF1FEE" w:rsidTr="00857DF8">
        <w:trPr>
          <w:cnfStyle w:val="00000010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Rebirth</w:t>
            </w:r>
          </w:p>
        </w:tc>
        <w:tc>
          <w:tcPr>
            <w:tcW w:w="1417" w:type="dxa"/>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Pr>
                <w:rFonts w:eastAsia="Times New Roman"/>
                <w:color w:val="000000"/>
                <w:lang w:eastAsia="en-AU"/>
              </w:rPr>
              <w:t>-</w:t>
            </w:r>
          </w:p>
        </w:tc>
        <w:tc>
          <w:tcPr>
            <w:tcW w:w="1134" w:type="dxa"/>
            <w:noWrap/>
            <w:hideMark/>
          </w:tcPr>
          <w:p w:rsidR="00BA7FC5" w:rsidRPr="00CF1FEE" w:rsidRDefault="00BA7FC5" w:rsidP="00DA65C1">
            <w:pPr>
              <w:spacing w:before="20" w:after="20" w:line="240" w:lineRule="auto"/>
              <w:ind w:right="98"/>
              <w:jc w:val="right"/>
              <w:cnfStyle w:val="000000100000"/>
              <w:rPr>
                <w:rFonts w:eastAsia="Times New Roman"/>
                <w:color w:val="000000"/>
                <w:lang w:eastAsia="en-AU"/>
              </w:rPr>
            </w:pPr>
            <w:r>
              <w:rPr>
                <w:rFonts w:eastAsia="Times New Roman"/>
                <w:color w:val="000000"/>
                <w:lang w:eastAsia="en-AU"/>
              </w:rPr>
              <w:t>1.3</w:t>
            </w:r>
          </w:p>
        </w:tc>
        <w:tc>
          <w:tcPr>
            <w:tcW w:w="1985" w:type="dxa"/>
            <w:noWrap/>
            <w:hideMark/>
          </w:tcPr>
          <w:p w:rsidR="00BA7FC5" w:rsidRPr="00CF1FEE" w:rsidRDefault="00BA7FC5" w:rsidP="00DA65C1">
            <w:pPr>
              <w:spacing w:before="20" w:after="20" w:line="240" w:lineRule="auto"/>
              <w:ind w:right="459"/>
              <w:jc w:val="right"/>
              <w:cnfStyle w:val="000000100000"/>
              <w:rPr>
                <w:rFonts w:eastAsia="Times New Roman"/>
                <w:color w:val="000000"/>
                <w:lang w:eastAsia="en-AU"/>
              </w:rPr>
            </w:pPr>
            <w:r>
              <w:rPr>
                <w:rFonts w:eastAsia="Times New Roman"/>
                <w:color w:val="000000"/>
                <w:lang w:eastAsia="en-AU"/>
              </w:rPr>
              <w:t>0.7</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100000"/>
              <w:rPr>
                <w:rFonts w:eastAsia="Times New Roman"/>
                <w:color w:val="000000"/>
                <w:lang w:eastAsia="en-AU"/>
              </w:rPr>
            </w:pPr>
            <w:r>
              <w:rPr>
                <w:rFonts w:eastAsia="Times New Roman"/>
                <w:color w:val="000000"/>
                <w:lang w:eastAsia="en-AU"/>
              </w:rPr>
              <w:t>2.0</w:t>
            </w:r>
          </w:p>
        </w:tc>
      </w:tr>
      <w:tr w:rsidR="00BA7FC5" w:rsidRPr="00CF1FEE" w:rsidTr="00857DF8">
        <w:trPr>
          <w:cnfStyle w:val="000000010000"/>
          <w:trHeight w:val="300"/>
        </w:trPr>
        <w:tc>
          <w:tcPr>
            <w:cnfStyle w:val="001000000000"/>
            <w:tcW w:w="2694" w:type="dxa"/>
            <w:noWrap/>
            <w:hideMark/>
          </w:tcPr>
          <w:p w:rsidR="00BA7FC5" w:rsidRPr="00EC617D" w:rsidRDefault="00BA7FC5" w:rsidP="00DA65C1">
            <w:pPr>
              <w:spacing w:before="20" w:after="20" w:line="240" w:lineRule="auto"/>
              <w:rPr>
                <w:rFonts w:eastAsia="Times New Roman"/>
                <w:lang w:eastAsia="en-AU"/>
              </w:rPr>
            </w:pPr>
            <w:r w:rsidRPr="00EC617D">
              <w:rPr>
                <w:rFonts w:eastAsia="Times New Roman"/>
                <w:lang w:eastAsia="en-AU"/>
              </w:rPr>
              <w:t>Illegal export</w:t>
            </w:r>
          </w:p>
        </w:tc>
        <w:tc>
          <w:tcPr>
            <w:tcW w:w="1417" w:type="dxa"/>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w:t>
            </w:r>
          </w:p>
        </w:tc>
        <w:tc>
          <w:tcPr>
            <w:tcW w:w="1134" w:type="dxa"/>
            <w:noWrap/>
            <w:hideMark/>
          </w:tcPr>
          <w:p w:rsidR="00BA7FC5" w:rsidRPr="00CF1FEE" w:rsidRDefault="00BA7FC5" w:rsidP="00DA65C1">
            <w:pPr>
              <w:spacing w:before="20" w:after="20" w:line="240" w:lineRule="auto"/>
              <w:ind w:right="98"/>
              <w:jc w:val="right"/>
              <w:cnfStyle w:val="000000010000"/>
              <w:rPr>
                <w:rFonts w:eastAsia="Times New Roman"/>
                <w:color w:val="000000"/>
                <w:lang w:eastAsia="en-AU"/>
              </w:rPr>
            </w:pPr>
            <w:r>
              <w:rPr>
                <w:rFonts w:eastAsia="Times New Roman"/>
                <w:color w:val="000000"/>
                <w:lang w:eastAsia="en-AU"/>
              </w:rPr>
              <w:t>5.3</w:t>
            </w:r>
          </w:p>
        </w:tc>
        <w:tc>
          <w:tcPr>
            <w:tcW w:w="1985" w:type="dxa"/>
            <w:noWrap/>
            <w:hideMark/>
          </w:tcPr>
          <w:p w:rsidR="00BA7FC5" w:rsidRPr="00CF1FEE" w:rsidRDefault="00BA7FC5" w:rsidP="00DA65C1">
            <w:pPr>
              <w:spacing w:before="20" w:after="20" w:line="240" w:lineRule="auto"/>
              <w:ind w:right="459"/>
              <w:jc w:val="right"/>
              <w:cnfStyle w:val="000000010000"/>
              <w:rPr>
                <w:rFonts w:eastAsia="Times New Roman"/>
                <w:color w:val="000000"/>
                <w:lang w:eastAsia="en-AU"/>
              </w:rPr>
            </w:pPr>
            <w:r>
              <w:rPr>
                <w:rFonts w:eastAsia="Times New Roman"/>
                <w:color w:val="000000"/>
                <w:lang w:eastAsia="en-AU"/>
              </w:rPr>
              <w:t>2.7</w:t>
            </w:r>
          </w:p>
        </w:tc>
        <w:tc>
          <w:tcPr>
            <w:tcW w:w="1417" w:type="dxa"/>
            <w:tcBorders>
              <w:right w:val="nil"/>
            </w:tcBorders>
            <w:noWrap/>
            <w:hideMark/>
          </w:tcPr>
          <w:p w:rsidR="00BA7FC5" w:rsidRPr="00CF1FEE" w:rsidRDefault="00BA7FC5" w:rsidP="00DA65C1">
            <w:pPr>
              <w:spacing w:before="20" w:after="20" w:line="240" w:lineRule="auto"/>
              <w:ind w:right="317"/>
              <w:jc w:val="right"/>
              <w:cnfStyle w:val="000000010000"/>
              <w:rPr>
                <w:rFonts w:eastAsia="Times New Roman"/>
                <w:color w:val="000000"/>
                <w:lang w:eastAsia="en-AU"/>
              </w:rPr>
            </w:pPr>
            <w:r>
              <w:rPr>
                <w:rFonts w:eastAsia="Times New Roman"/>
                <w:color w:val="000000"/>
                <w:lang w:eastAsia="en-AU"/>
              </w:rPr>
              <w:t>8.0</w:t>
            </w:r>
          </w:p>
        </w:tc>
      </w:tr>
      <w:tr w:rsidR="00BA7FC5" w:rsidRPr="00CF1FEE" w:rsidTr="00857DF8">
        <w:trPr>
          <w:cnfStyle w:val="000000100000"/>
          <w:trHeight w:val="300"/>
        </w:trPr>
        <w:tc>
          <w:tcPr>
            <w:cnfStyle w:val="001000000000"/>
            <w:tcW w:w="2694" w:type="dxa"/>
            <w:noWrap/>
            <w:hideMark/>
          </w:tcPr>
          <w:p w:rsidR="00BA7FC5" w:rsidRPr="0052731C" w:rsidRDefault="00EC617D" w:rsidP="00DA65C1">
            <w:pPr>
              <w:spacing w:before="20" w:after="20" w:line="240" w:lineRule="auto"/>
              <w:rPr>
                <w:rFonts w:eastAsia="Times New Roman"/>
                <w:b/>
                <w:lang w:eastAsia="en-AU"/>
              </w:rPr>
            </w:pPr>
            <w:r w:rsidRPr="0052731C">
              <w:rPr>
                <w:rFonts w:eastAsia="Times New Roman"/>
                <w:b/>
                <w:lang w:eastAsia="en-AU"/>
              </w:rPr>
              <w:t>TOTAL</w:t>
            </w:r>
          </w:p>
        </w:tc>
        <w:tc>
          <w:tcPr>
            <w:tcW w:w="1417" w:type="dxa"/>
            <w:noWrap/>
            <w:hideMark/>
          </w:tcPr>
          <w:p w:rsidR="00BA7FC5" w:rsidRPr="0052731C" w:rsidRDefault="00BA7FC5" w:rsidP="00DA65C1">
            <w:pPr>
              <w:spacing w:before="20" w:after="20" w:line="240" w:lineRule="auto"/>
              <w:ind w:right="317"/>
              <w:jc w:val="right"/>
              <w:cnfStyle w:val="000000100000"/>
              <w:rPr>
                <w:rFonts w:eastAsia="Times New Roman"/>
                <w:b/>
                <w:color w:val="000000"/>
                <w:lang w:eastAsia="en-AU"/>
              </w:rPr>
            </w:pPr>
            <w:r w:rsidRPr="0052731C">
              <w:rPr>
                <w:rFonts w:eastAsia="Times New Roman"/>
                <w:b/>
                <w:color w:val="000000"/>
                <w:lang w:eastAsia="en-AU"/>
              </w:rPr>
              <w:t>0.7</w:t>
            </w:r>
          </w:p>
        </w:tc>
        <w:tc>
          <w:tcPr>
            <w:tcW w:w="1134" w:type="dxa"/>
            <w:noWrap/>
            <w:hideMark/>
          </w:tcPr>
          <w:p w:rsidR="00BA7FC5" w:rsidRPr="0052731C" w:rsidRDefault="00BA7FC5" w:rsidP="00DA65C1">
            <w:pPr>
              <w:spacing w:before="20" w:after="20" w:line="240" w:lineRule="auto"/>
              <w:ind w:right="98"/>
              <w:jc w:val="right"/>
              <w:cnfStyle w:val="000000100000"/>
              <w:rPr>
                <w:rFonts w:eastAsia="Times New Roman"/>
                <w:b/>
                <w:color w:val="000000"/>
                <w:lang w:eastAsia="en-AU"/>
              </w:rPr>
            </w:pPr>
            <w:r w:rsidRPr="0052731C">
              <w:rPr>
                <w:rFonts w:eastAsia="Times New Roman"/>
                <w:b/>
                <w:color w:val="000000"/>
                <w:lang w:eastAsia="en-AU"/>
              </w:rPr>
              <w:t>80.3</w:t>
            </w:r>
          </w:p>
        </w:tc>
        <w:tc>
          <w:tcPr>
            <w:tcW w:w="1985" w:type="dxa"/>
            <w:noWrap/>
            <w:hideMark/>
          </w:tcPr>
          <w:p w:rsidR="00BA7FC5" w:rsidRPr="0052731C" w:rsidRDefault="00BA7FC5" w:rsidP="00DA65C1">
            <w:pPr>
              <w:spacing w:before="20" w:after="20" w:line="240" w:lineRule="auto"/>
              <w:ind w:right="459"/>
              <w:jc w:val="right"/>
              <w:cnfStyle w:val="000000100000"/>
              <w:rPr>
                <w:rFonts w:eastAsia="Times New Roman"/>
                <w:b/>
                <w:color w:val="000000"/>
                <w:lang w:eastAsia="en-AU"/>
              </w:rPr>
            </w:pPr>
            <w:r w:rsidRPr="0052731C">
              <w:rPr>
                <w:rFonts w:eastAsia="Times New Roman"/>
                <w:b/>
                <w:color w:val="000000"/>
                <w:lang w:eastAsia="en-AU"/>
              </w:rPr>
              <w:t>41.3</w:t>
            </w:r>
          </w:p>
        </w:tc>
        <w:tc>
          <w:tcPr>
            <w:tcW w:w="1417" w:type="dxa"/>
            <w:tcBorders>
              <w:right w:val="nil"/>
            </w:tcBorders>
            <w:noWrap/>
            <w:hideMark/>
          </w:tcPr>
          <w:p w:rsidR="00BA7FC5" w:rsidRPr="0052731C" w:rsidRDefault="00433034" w:rsidP="00DA65C1">
            <w:pPr>
              <w:spacing w:before="20" w:after="20" w:line="240" w:lineRule="auto"/>
              <w:ind w:right="317"/>
              <w:jc w:val="right"/>
              <w:cnfStyle w:val="000000100000"/>
              <w:rPr>
                <w:rFonts w:eastAsia="Times New Roman"/>
                <w:b/>
                <w:color w:val="000000"/>
                <w:lang w:eastAsia="en-AU"/>
              </w:rPr>
            </w:pPr>
            <w:r w:rsidRPr="0052731C">
              <w:rPr>
                <w:rFonts w:eastAsia="Times New Roman"/>
                <w:b/>
                <w:color w:val="000000"/>
                <w:lang w:eastAsia="en-AU"/>
              </w:rPr>
              <w:t>122.2</w:t>
            </w:r>
          </w:p>
        </w:tc>
      </w:tr>
    </w:tbl>
    <w:p w:rsidR="00BA7FC5" w:rsidRDefault="00BA7FC5" w:rsidP="00DA65C1">
      <w:pPr>
        <w:pStyle w:val="Heading2"/>
      </w:pPr>
      <w:bookmarkStart w:id="8" w:name="_Toc390444571"/>
      <w:r>
        <w:t>A</w:t>
      </w:r>
      <w:r w:rsidR="00B17189">
        <w:t xml:space="preserve">ustralian </w:t>
      </w:r>
      <w:r>
        <w:t>B</w:t>
      </w:r>
      <w:r w:rsidR="00B17189">
        <w:t xml:space="preserve">ureau of </w:t>
      </w:r>
      <w:r>
        <w:t>S</w:t>
      </w:r>
      <w:r w:rsidR="00B17189">
        <w:t>tatistics</w:t>
      </w:r>
      <w:r>
        <w:t xml:space="preserve"> </w:t>
      </w:r>
      <w:r w:rsidR="00F43770">
        <w:t>import data</w:t>
      </w:r>
      <w:bookmarkEnd w:id="8"/>
      <w:r w:rsidR="00F43770">
        <w:t xml:space="preserve"> </w:t>
      </w:r>
    </w:p>
    <w:p w:rsidR="00BA7FC5" w:rsidRDefault="00F43770" w:rsidP="009F6C1E">
      <w:pPr>
        <w:spacing w:after="60"/>
        <w:jc w:val="left"/>
      </w:pPr>
      <w:r>
        <w:t>The Australian Bureau of Statistics (ABS</w:t>
      </w:r>
      <w:r w:rsidR="00BD31A2">
        <w:t>, 2013</w:t>
      </w:r>
      <w:r>
        <w:t xml:space="preserve">) </w:t>
      </w:r>
      <w:r w:rsidR="00BA7FC5">
        <w:t xml:space="preserve">produced a customised report for </w:t>
      </w:r>
      <w:r w:rsidR="00EC617D">
        <w:t xml:space="preserve">the </w:t>
      </w:r>
      <w:r w:rsidR="00BA7FC5">
        <w:t xml:space="preserve">DoE that gives statistics on the number of </w:t>
      </w:r>
      <w:r w:rsidR="000042BA">
        <w:t>lead-acid</w:t>
      </w:r>
      <w:r w:rsidR="00BA7FC5">
        <w:t xml:space="preserve"> batteries imported into Australia as a stand-alone item</w:t>
      </w:r>
      <w:r>
        <w:t xml:space="preserve"> (ABS 2013)</w:t>
      </w:r>
      <w:r w:rsidR="00BA7FC5">
        <w:t xml:space="preserve">. The ABS </w:t>
      </w:r>
      <w:proofErr w:type="spellStart"/>
      <w:r w:rsidR="00BA7FC5">
        <w:t>breaks</w:t>
      </w:r>
      <w:proofErr w:type="spellEnd"/>
      <w:r w:rsidR="00BA7FC5">
        <w:t xml:space="preserve"> these numbers down into 7 categories:</w:t>
      </w:r>
    </w:p>
    <w:p w:rsidR="00BA7FC5" w:rsidRDefault="00BA7FC5" w:rsidP="00535DAB">
      <w:pPr>
        <w:pStyle w:val="ListParagraph"/>
        <w:numPr>
          <w:ilvl w:val="0"/>
          <w:numId w:val="5"/>
        </w:numPr>
        <w:spacing w:before="0" w:after="60" w:line="276" w:lineRule="auto"/>
        <w:contextualSpacing w:val="0"/>
        <w:jc w:val="left"/>
      </w:pPr>
      <w:r w:rsidRPr="00071829">
        <w:t>850710 Lead-acid electric accumulators (incl. separators therefor), of a kind used for starting piston engines (a)</w:t>
      </w:r>
    </w:p>
    <w:p w:rsidR="00BA7FC5" w:rsidRDefault="00BA7FC5" w:rsidP="009F6C1E">
      <w:pPr>
        <w:pStyle w:val="ListParagraph"/>
        <w:numPr>
          <w:ilvl w:val="0"/>
          <w:numId w:val="5"/>
        </w:numPr>
        <w:spacing w:before="0" w:after="60" w:line="276" w:lineRule="auto"/>
        <w:contextualSpacing w:val="0"/>
        <w:jc w:val="left"/>
      </w:pPr>
      <w:r w:rsidRPr="00071829">
        <w:t>8507101077 Lead-acid type electric accumulators of a kind used as replacement components in passenger motor vehicles</w:t>
      </w:r>
    </w:p>
    <w:p w:rsidR="00BA7FC5" w:rsidRDefault="00BA7FC5" w:rsidP="009F6C1E">
      <w:pPr>
        <w:pStyle w:val="ListParagraph"/>
        <w:numPr>
          <w:ilvl w:val="0"/>
          <w:numId w:val="5"/>
        </w:numPr>
        <w:spacing w:before="0" w:after="60" w:line="276" w:lineRule="auto"/>
        <w:contextualSpacing w:val="0"/>
        <w:jc w:val="left"/>
      </w:pPr>
      <w:r w:rsidRPr="00071829">
        <w:t>8507109078 Lead-acid electric accumulators, of a kind used for starting piston engines</w:t>
      </w:r>
      <w:r w:rsidR="00B0116F">
        <w:t xml:space="preserve"> </w:t>
      </w:r>
      <w:r w:rsidRPr="00071829">
        <w:t>for motor vehicles (excl those used as replacement components in passenger motor vehicles)</w:t>
      </w:r>
    </w:p>
    <w:p w:rsidR="00BA7FC5" w:rsidRDefault="00BA7FC5" w:rsidP="009F6C1E">
      <w:pPr>
        <w:pStyle w:val="ListParagraph"/>
        <w:numPr>
          <w:ilvl w:val="0"/>
          <w:numId w:val="5"/>
        </w:numPr>
        <w:spacing w:before="0" w:after="60" w:line="276" w:lineRule="auto"/>
        <w:contextualSpacing w:val="0"/>
        <w:jc w:val="left"/>
      </w:pPr>
      <w:r w:rsidRPr="00071829">
        <w:t>8507109090 Lead-acid accumulators, of a kind used for starting piston engines (excl those used as replacement components in passenger and other motor vehicles)</w:t>
      </w:r>
    </w:p>
    <w:p w:rsidR="00BA7FC5" w:rsidRDefault="00BA7FC5" w:rsidP="009F6C1E">
      <w:pPr>
        <w:pStyle w:val="ListParagraph"/>
        <w:numPr>
          <w:ilvl w:val="0"/>
          <w:numId w:val="5"/>
        </w:numPr>
        <w:spacing w:before="0" w:after="60" w:line="276" w:lineRule="auto"/>
        <w:contextualSpacing w:val="0"/>
        <w:jc w:val="left"/>
      </w:pPr>
      <w:r w:rsidRPr="00071829">
        <w:t>8507200079 Lead-acid electric accumulators (</w:t>
      </w:r>
      <w:proofErr w:type="spellStart"/>
      <w:r w:rsidRPr="00071829">
        <w:t>incl</w:t>
      </w:r>
      <w:proofErr w:type="spellEnd"/>
      <w:r w:rsidRPr="00071829">
        <w:t xml:space="preserve"> separators </w:t>
      </w:r>
      <w:proofErr w:type="spellStart"/>
      <w:r w:rsidRPr="00071829">
        <w:t>therefor</w:t>
      </w:r>
      <w:proofErr w:type="spellEnd"/>
      <w:r w:rsidRPr="00071829">
        <w:t>); for traction purposes (excl those used for starting piston engines)</w:t>
      </w:r>
    </w:p>
    <w:p w:rsidR="00BA7FC5" w:rsidRDefault="00BA7FC5" w:rsidP="009F6C1E">
      <w:pPr>
        <w:pStyle w:val="ListParagraph"/>
        <w:numPr>
          <w:ilvl w:val="0"/>
          <w:numId w:val="5"/>
        </w:numPr>
        <w:spacing w:before="0" w:after="60" w:line="276" w:lineRule="auto"/>
        <w:contextualSpacing w:val="0"/>
        <w:jc w:val="left"/>
      </w:pPr>
      <w:r w:rsidRPr="00071829">
        <w:t xml:space="preserve">8507200080 Lead-acid accumulators of regulated sealed valve type with a capacity greater than 65 Amp/hr at C20 (for 20 hour rate) at 25 degrees </w:t>
      </w:r>
      <w:r w:rsidR="00B0116F" w:rsidRPr="00071829">
        <w:t>Celsius</w:t>
      </w:r>
      <w:r w:rsidRPr="00071829">
        <w:t xml:space="preserve"> (excl. for traction purposes, or lead-acid, of a kind used for starting piston engines)</w:t>
      </w:r>
    </w:p>
    <w:p w:rsidR="00BA7FC5" w:rsidRDefault="00BA7FC5" w:rsidP="009F6C1E">
      <w:pPr>
        <w:pStyle w:val="ListParagraph"/>
        <w:numPr>
          <w:ilvl w:val="0"/>
          <w:numId w:val="5"/>
        </w:numPr>
        <w:spacing w:before="0" w:line="276" w:lineRule="auto"/>
        <w:contextualSpacing w:val="0"/>
        <w:jc w:val="left"/>
      </w:pPr>
      <w:r w:rsidRPr="00071829">
        <w:t>8507200081 Lead-acid type electric accumulators (excl those of a kind used for starting piston engines, those used for traction purposes, and regulated seal valve types with capacity &gt; 65 amps/hr at C20)</w:t>
      </w:r>
    </w:p>
    <w:p w:rsidR="00B0116F" w:rsidRDefault="00CC2467" w:rsidP="009F6C1E">
      <w:pPr>
        <w:spacing w:before="0" w:line="276" w:lineRule="auto"/>
        <w:jc w:val="left"/>
      </w:pPr>
      <w:r>
        <w:t xml:space="preserve">The ABS (2013) data </w:t>
      </w:r>
      <w:r w:rsidR="00766C00">
        <w:t xml:space="preserve">shown in Table 4 </w:t>
      </w:r>
      <w:r>
        <w:t>contains import figures by importer for the financial years 2008/09 through to 2012/13. Note that data from the FYE 2009/10 was used for all comparisons with the Warnken ISE (2010) data.</w:t>
      </w:r>
    </w:p>
    <w:p w:rsidR="00B0116F" w:rsidRDefault="00B0116F" w:rsidP="00DA65C1">
      <w:pPr>
        <w:spacing w:before="0" w:line="276" w:lineRule="auto"/>
      </w:pPr>
    </w:p>
    <w:p w:rsidR="00B0116F" w:rsidRDefault="00B0116F" w:rsidP="00DA65C1">
      <w:pPr>
        <w:spacing w:before="0" w:line="276" w:lineRule="auto"/>
      </w:pPr>
    </w:p>
    <w:p w:rsidR="00B0116F" w:rsidRDefault="00B0116F" w:rsidP="00DA65C1">
      <w:pPr>
        <w:spacing w:before="0" w:line="276" w:lineRule="auto"/>
      </w:pPr>
    </w:p>
    <w:p w:rsidR="00B0116F" w:rsidRDefault="00B0116F" w:rsidP="00DA65C1">
      <w:pPr>
        <w:spacing w:before="0" w:line="276" w:lineRule="auto"/>
      </w:pPr>
    </w:p>
    <w:p w:rsidR="00BA7FC5" w:rsidRDefault="00BA7FC5" w:rsidP="00DA65C1">
      <w:pPr>
        <w:pStyle w:val="Caption"/>
        <w:keepLines/>
      </w:pPr>
      <w:bookmarkStart w:id="9" w:name="_Toc381102095"/>
      <w:r>
        <w:lastRenderedPageBreak/>
        <w:t xml:space="preserve">Table </w:t>
      </w:r>
      <w:r w:rsidR="007637BE">
        <w:fldChar w:fldCharType="begin"/>
      </w:r>
      <w:r>
        <w:instrText xml:space="preserve"> SEQ Table \* ARABIC </w:instrText>
      </w:r>
      <w:r w:rsidR="007637BE">
        <w:fldChar w:fldCharType="separate"/>
      </w:r>
      <w:r w:rsidR="00697A48">
        <w:rPr>
          <w:noProof/>
        </w:rPr>
        <w:t>4</w:t>
      </w:r>
      <w:r w:rsidR="007637BE">
        <w:fldChar w:fldCharType="end"/>
      </w:r>
      <w:r w:rsidR="003756BF">
        <w:t>:</w:t>
      </w:r>
      <w:r>
        <w:t xml:space="preserve"> </w:t>
      </w:r>
      <w:r w:rsidR="009B5CAC">
        <w:t>Stand-alone i</w:t>
      </w:r>
      <w:r>
        <w:t>mports of batteries to Australia in 2009/10 (ABS</w:t>
      </w:r>
      <w:r w:rsidR="00BD31A2">
        <w:t>,</w:t>
      </w:r>
      <w:r>
        <w:t xml:space="preserve"> 2013)</w:t>
      </w:r>
      <w:bookmarkEnd w:id="9"/>
      <w:r w:rsidR="00B0116F">
        <w:t xml:space="preserve"> </w:t>
      </w:r>
    </w:p>
    <w:tbl>
      <w:tblPr>
        <w:tblStyle w:val="ColorfulGrid1"/>
        <w:tblW w:w="4678" w:type="dxa"/>
        <w:tblInd w:w="108" w:type="dxa"/>
        <w:tblLook w:val="04A0"/>
      </w:tblPr>
      <w:tblGrid>
        <w:gridCol w:w="1034"/>
        <w:gridCol w:w="1719"/>
        <w:gridCol w:w="1925"/>
      </w:tblGrid>
      <w:tr w:rsidR="00BA7FC5" w:rsidRPr="002C61A0" w:rsidTr="00857DF8">
        <w:trPr>
          <w:cnfStyle w:val="100000000000"/>
          <w:cantSplit/>
          <w:trHeight w:val="300"/>
        </w:trPr>
        <w:tc>
          <w:tcPr>
            <w:cnfStyle w:val="001000000000"/>
            <w:tcW w:w="975" w:type="dxa"/>
            <w:tcBorders>
              <w:left w:val="nil"/>
            </w:tcBorders>
            <w:noWrap/>
            <w:hideMark/>
          </w:tcPr>
          <w:p w:rsidR="00BA7FC5" w:rsidRPr="002C61A0" w:rsidRDefault="00BA7FC5" w:rsidP="003756BF">
            <w:pPr>
              <w:keepLines/>
              <w:spacing w:before="0" w:after="0" w:line="240" w:lineRule="auto"/>
              <w:jc w:val="left"/>
              <w:rPr>
                <w:rFonts w:asciiTheme="majorHAnsi" w:eastAsia="Times New Roman" w:hAnsiTheme="majorHAnsi" w:cs="Arial"/>
                <w:szCs w:val="22"/>
                <w:lang w:eastAsia="en-AU"/>
              </w:rPr>
            </w:pPr>
            <w:r w:rsidRPr="002C61A0">
              <w:rPr>
                <w:rFonts w:asciiTheme="majorHAnsi" w:eastAsia="Times New Roman" w:hAnsiTheme="majorHAnsi" w:cs="Arial"/>
                <w:szCs w:val="22"/>
                <w:lang w:eastAsia="en-AU"/>
              </w:rPr>
              <w:t>Category</w:t>
            </w:r>
          </w:p>
        </w:tc>
        <w:tc>
          <w:tcPr>
            <w:tcW w:w="1719" w:type="dxa"/>
            <w:noWrap/>
            <w:hideMark/>
          </w:tcPr>
          <w:p w:rsidR="00BA7FC5" w:rsidRPr="002C61A0" w:rsidRDefault="00BA7FC5" w:rsidP="003756BF">
            <w:pPr>
              <w:keepLines/>
              <w:tabs>
                <w:tab w:val="left" w:pos="1204"/>
              </w:tabs>
              <w:spacing w:before="0" w:after="0" w:line="240" w:lineRule="auto"/>
              <w:jc w:val="center"/>
              <w:cnfStyle w:val="100000000000"/>
              <w:rPr>
                <w:rFonts w:asciiTheme="majorHAnsi" w:eastAsia="Times New Roman" w:hAnsiTheme="majorHAnsi"/>
                <w:szCs w:val="22"/>
                <w:lang w:eastAsia="en-AU"/>
              </w:rPr>
            </w:pPr>
            <w:r w:rsidRPr="002C61A0">
              <w:rPr>
                <w:rFonts w:asciiTheme="majorHAnsi" w:eastAsia="Times New Roman" w:hAnsiTheme="majorHAnsi"/>
                <w:szCs w:val="22"/>
                <w:lang w:eastAsia="en-AU"/>
              </w:rPr>
              <w:t>Quantity</w:t>
            </w:r>
          </w:p>
          <w:p w:rsidR="00CC2467" w:rsidRPr="002C61A0" w:rsidRDefault="00CC2467" w:rsidP="003756BF">
            <w:pPr>
              <w:keepLines/>
              <w:tabs>
                <w:tab w:val="left" w:pos="1204"/>
              </w:tabs>
              <w:spacing w:before="0" w:after="0" w:line="240" w:lineRule="auto"/>
              <w:jc w:val="center"/>
              <w:cnfStyle w:val="100000000000"/>
              <w:rPr>
                <w:rFonts w:asciiTheme="majorHAnsi" w:eastAsia="Times New Roman" w:hAnsiTheme="majorHAnsi"/>
                <w:szCs w:val="22"/>
                <w:lang w:eastAsia="en-AU"/>
              </w:rPr>
            </w:pPr>
            <w:r w:rsidRPr="002C61A0">
              <w:rPr>
                <w:rFonts w:asciiTheme="majorHAnsi" w:eastAsia="Times New Roman" w:hAnsiTheme="majorHAnsi"/>
                <w:szCs w:val="22"/>
                <w:lang w:eastAsia="en-AU"/>
              </w:rPr>
              <w:t>(</w:t>
            </w:r>
            <w:proofErr w:type="spellStart"/>
            <w:r w:rsidRPr="002C61A0">
              <w:rPr>
                <w:rFonts w:asciiTheme="majorHAnsi" w:eastAsia="Times New Roman" w:hAnsiTheme="majorHAnsi"/>
                <w:szCs w:val="22"/>
                <w:lang w:eastAsia="en-AU"/>
              </w:rPr>
              <w:t>kt</w:t>
            </w:r>
            <w:proofErr w:type="spellEnd"/>
            <w:r w:rsidRPr="002C61A0">
              <w:rPr>
                <w:rFonts w:asciiTheme="majorHAnsi" w:eastAsia="Times New Roman" w:hAnsiTheme="majorHAnsi"/>
                <w:szCs w:val="22"/>
                <w:lang w:eastAsia="en-AU"/>
              </w:rPr>
              <w:t>)</w:t>
            </w:r>
          </w:p>
        </w:tc>
        <w:tc>
          <w:tcPr>
            <w:tcW w:w="1984" w:type="dxa"/>
            <w:tcBorders>
              <w:right w:val="nil"/>
            </w:tcBorders>
          </w:tcPr>
          <w:p w:rsidR="00BA7FC5" w:rsidRPr="002C61A0" w:rsidRDefault="00535DAB" w:rsidP="003756BF">
            <w:pPr>
              <w:keepLines/>
              <w:spacing w:before="0" w:after="0" w:line="240" w:lineRule="auto"/>
              <w:jc w:val="center"/>
              <w:cnfStyle w:val="100000000000"/>
              <w:rPr>
                <w:rFonts w:asciiTheme="majorHAnsi" w:eastAsia="Times New Roman" w:hAnsiTheme="majorHAnsi"/>
                <w:szCs w:val="22"/>
                <w:lang w:eastAsia="en-AU"/>
              </w:rPr>
            </w:pPr>
            <w:r>
              <w:rPr>
                <w:rFonts w:asciiTheme="majorHAnsi" w:eastAsia="Times New Roman" w:hAnsiTheme="majorHAnsi"/>
                <w:szCs w:val="22"/>
                <w:lang w:eastAsia="en-AU"/>
              </w:rPr>
              <w:t xml:space="preserve">Battery </w:t>
            </w:r>
            <w:r w:rsidR="00BA7FC5" w:rsidRPr="002C61A0">
              <w:rPr>
                <w:rFonts w:asciiTheme="majorHAnsi" w:eastAsia="Times New Roman" w:hAnsiTheme="majorHAnsi"/>
                <w:szCs w:val="22"/>
                <w:lang w:eastAsia="en-AU"/>
              </w:rPr>
              <w:t>Count</w:t>
            </w:r>
          </w:p>
          <w:p w:rsidR="00CC2467" w:rsidRPr="002C61A0" w:rsidRDefault="00CC2467" w:rsidP="003756BF">
            <w:pPr>
              <w:keepLines/>
              <w:spacing w:before="0" w:after="0" w:line="240" w:lineRule="auto"/>
              <w:jc w:val="center"/>
              <w:cnfStyle w:val="100000000000"/>
              <w:rPr>
                <w:rFonts w:asciiTheme="majorHAnsi" w:eastAsia="Times New Roman" w:hAnsiTheme="majorHAnsi"/>
                <w:szCs w:val="22"/>
                <w:lang w:eastAsia="en-AU"/>
              </w:rPr>
            </w:pPr>
            <w:r w:rsidRPr="002C61A0">
              <w:rPr>
                <w:rFonts w:asciiTheme="majorHAnsi" w:eastAsia="Times New Roman" w:hAnsiTheme="majorHAnsi"/>
                <w:szCs w:val="22"/>
                <w:lang w:eastAsia="en-AU"/>
              </w:rPr>
              <w:t>(millions)</w:t>
            </w:r>
          </w:p>
        </w:tc>
      </w:tr>
      <w:tr w:rsidR="00BA7FC5" w:rsidRPr="00071829" w:rsidTr="00857DF8">
        <w:trPr>
          <w:cnfStyle w:val="00000010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1</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100000"/>
              <w:rPr>
                <w:rFonts w:eastAsia="Times New Roman"/>
                <w:color w:val="000000"/>
                <w:lang w:eastAsia="en-AU"/>
              </w:rPr>
            </w:pPr>
            <w:r w:rsidRPr="00071829">
              <w:rPr>
                <w:rFonts w:eastAsia="Times New Roman"/>
                <w:color w:val="000000"/>
                <w:lang w:eastAsia="en-AU"/>
              </w:rPr>
              <w:t>59.8</w:t>
            </w:r>
            <w:r>
              <w:rPr>
                <w:rFonts w:eastAsia="Times New Roman"/>
                <w:color w:val="000000"/>
                <w:lang w:eastAsia="en-AU"/>
              </w:rPr>
              <w:t>5</w:t>
            </w:r>
          </w:p>
        </w:tc>
        <w:tc>
          <w:tcPr>
            <w:tcW w:w="1984" w:type="dxa"/>
            <w:tcBorders>
              <w:right w:val="nil"/>
            </w:tcBorders>
          </w:tcPr>
          <w:p w:rsidR="00BA7FC5" w:rsidRPr="00071829" w:rsidRDefault="00BA7FC5" w:rsidP="003756BF">
            <w:pPr>
              <w:keepLines/>
              <w:spacing w:before="0" w:after="0" w:line="240" w:lineRule="auto"/>
              <w:ind w:right="459"/>
              <w:jc w:val="right"/>
              <w:cnfStyle w:val="000000100000"/>
              <w:rPr>
                <w:rFonts w:eastAsia="Times New Roman"/>
                <w:color w:val="000000"/>
                <w:lang w:eastAsia="en-AU"/>
              </w:rPr>
            </w:pPr>
            <w:r>
              <w:rPr>
                <w:rFonts w:eastAsia="Times New Roman"/>
                <w:color w:val="000000"/>
                <w:lang w:eastAsia="en-AU"/>
              </w:rPr>
              <w:t>3.82</w:t>
            </w:r>
          </w:p>
        </w:tc>
      </w:tr>
      <w:tr w:rsidR="00BA7FC5" w:rsidRPr="00071829" w:rsidTr="00857DF8">
        <w:trPr>
          <w:cnfStyle w:val="00000001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2</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010000"/>
              <w:rPr>
                <w:rFonts w:eastAsia="Times New Roman"/>
                <w:color w:val="000000"/>
                <w:lang w:eastAsia="en-AU"/>
              </w:rPr>
            </w:pPr>
            <w:r w:rsidRPr="00071829">
              <w:rPr>
                <w:rFonts w:eastAsia="Times New Roman"/>
                <w:color w:val="000000"/>
                <w:lang w:eastAsia="en-AU"/>
              </w:rPr>
              <w:t>44.9</w:t>
            </w:r>
            <w:r>
              <w:rPr>
                <w:rFonts w:eastAsia="Times New Roman"/>
                <w:color w:val="000000"/>
                <w:lang w:eastAsia="en-AU"/>
              </w:rPr>
              <w:t>5</w:t>
            </w:r>
          </w:p>
        </w:tc>
        <w:tc>
          <w:tcPr>
            <w:tcW w:w="1984" w:type="dxa"/>
            <w:tcBorders>
              <w:right w:val="nil"/>
            </w:tcBorders>
          </w:tcPr>
          <w:p w:rsidR="00BA7FC5" w:rsidRPr="00071829" w:rsidRDefault="00BA7FC5" w:rsidP="003756BF">
            <w:pPr>
              <w:keepLines/>
              <w:spacing w:before="0" w:after="0" w:line="240" w:lineRule="auto"/>
              <w:ind w:right="459"/>
              <w:jc w:val="right"/>
              <w:cnfStyle w:val="000000010000"/>
              <w:rPr>
                <w:rFonts w:eastAsia="Times New Roman"/>
                <w:color w:val="000000"/>
                <w:lang w:eastAsia="en-AU"/>
              </w:rPr>
            </w:pPr>
            <w:r>
              <w:rPr>
                <w:rFonts w:eastAsia="Times New Roman"/>
                <w:color w:val="000000"/>
                <w:lang w:eastAsia="en-AU"/>
              </w:rPr>
              <w:t>2.20</w:t>
            </w:r>
          </w:p>
        </w:tc>
      </w:tr>
      <w:tr w:rsidR="00BA7FC5" w:rsidRPr="00071829" w:rsidTr="00857DF8">
        <w:trPr>
          <w:cnfStyle w:val="00000010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3</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100000"/>
              <w:rPr>
                <w:rFonts w:eastAsia="Times New Roman"/>
                <w:color w:val="000000"/>
                <w:lang w:eastAsia="en-AU"/>
              </w:rPr>
            </w:pPr>
            <w:r w:rsidRPr="00071829">
              <w:rPr>
                <w:rFonts w:eastAsia="Times New Roman"/>
                <w:color w:val="000000"/>
                <w:lang w:eastAsia="en-AU"/>
              </w:rPr>
              <w:t>9.0</w:t>
            </w:r>
            <w:r>
              <w:rPr>
                <w:rFonts w:eastAsia="Times New Roman"/>
                <w:color w:val="000000"/>
                <w:lang w:eastAsia="en-AU"/>
              </w:rPr>
              <w:t>2</w:t>
            </w:r>
          </w:p>
        </w:tc>
        <w:tc>
          <w:tcPr>
            <w:tcW w:w="1984" w:type="dxa"/>
            <w:tcBorders>
              <w:right w:val="nil"/>
            </w:tcBorders>
          </w:tcPr>
          <w:p w:rsidR="00BA7FC5" w:rsidRPr="00071829" w:rsidRDefault="00BA7FC5" w:rsidP="003756BF">
            <w:pPr>
              <w:keepLines/>
              <w:spacing w:before="0" w:after="0" w:line="240" w:lineRule="auto"/>
              <w:ind w:right="459"/>
              <w:jc w:val="right"/>
              <w:cnfStyle w:val="000000100000"/>
              <w:rPr>
                <w:rFonts w:eastAsia="Times New Roman"/>
                <w:color w:val="000000"/>
                <w:lang w:eastAsia="en-AU"/>
              </w:rPr>
            </w:pPr>
            <w:r>
              <w:rPr>
                <w:rFonts w:eastAsia="Times New Roman"/>
                <w:color w:val="000000"/>
                <w:lang w:eastAsia="en-AU"/>
              </w:rPr>
              <w:t>1.09</w:t>
            </w:r>
          </w:p>
        </w:tc>
      </w:tr>
      <w:tr w:rsidR="00BA7FC5" w:rsidRPr="00071829" w:rsidTr="00857DF8">
        <w:trPr>
          <w:cnfStyle w:val="00000001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4</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010000"/>
              <w:rPr>
                <w:rFonts w:eastAsia="Times New Roman"/>
                <w:color w:val="000000"/>
                <w:lang w:eastAsia="en-AU"/>
              </w:rPr>
            </w:pPr>
            <w:r w:rsidRPr="00071829">
              <w:rPr>
                <w:rFonts w:eastAsia="Times New Roman"/>
                <w:color w:val="000000"/>
                <w:lang w:eastAsia="en-AU"/>
              </w:rPr>
              <w:t>5.88</w:t>
            </w:r>
          </w:p>
        </w:tc>
        <w:tc>
          <w:tcPr>
            <w:tcW w:w="1984" w:type="dxa"/>
            <w:tcBorders>
              <w:right w:val="nil"/>
            </w:tcBorders>
          </w:tcPr>
          <w:p w:rsidR="00BA7FC5" w:rsidRPr="00071829" w:rsidRDefault="00BA7FC5" w:rsidP="003756BF">
            <w:pPr>
              <w:keepLines/>
              <w:spacing w:before="0" w:after="0" w:line="240" w:lineRule="auto"/>
              <w:ind w:right="459"/>
              <w:jc w:val="right"/>
              <w:cnfStyle w:val="000000010000"/>
              <w:rPr>
                <w:rFonts w:eastAsia="Times New Roman"/>
                <w:color w:val="000000"/>
                <w:lang w:eastAsia="en-AU"/>
              </w:rPr>
            </w:pPr>
            <w:r>
              <w:rPr>
                <w:rFonts w:eastAsia="Times New Roman"/>
                <w:color w:val="000000"/>
                <w:lang w:eastAsia="en-AU"/>
              </w:rPr>
              <w:t>0.52</w:t>
            </w:r>
          </w:p>
        </w:tc>
      </w:tr>
      <w:tr w:rsidR="00BA7FC5" w:rsidRPr="00071829" w:rsidTr="00857DF8">
        <w:trPr>
          <w:cnfStyle w:val="00000010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5</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100000"/>
              <w:rPr>
                <w:rFonts w:eastAsia="Times New Roman"/>
                <w:color w:val="000000"/>
                <w:lang w:eastAsia="en-AU"/>
              </w:rPr>
            </w:pPr>
            <w:r w:rsidRPr="00071829">
              <w:rPr>
                <w:rFonts w:eastAsia="Times New Roman"/>
                <w:color w:val="000000"/>
                <w:lang w:eastAsia="en-AU"/>
              </w:rPr>
              <w:t>1.0</w:t>
            </w:r>
            <w:r>
              <w:rPr>
                <w:rFonts w:eastAsia="Times New Roman"/>
                <w:color w:val="000000"/>
                <w:lang w:eastAsia="en-AU"/>
              </w:rPr>
              <w:t>5</w:t>
            </w:r>
          </w:p>
        </w:tc>
        <w:tc>
          <w:tcPr>
            <w:tcW w:w="1984" w:type="dxa"/>
            <w:tcBorders>
              <w:right w:val="nil"/>
            </w:tcBorders>
          </w:tcPr>
          <w:p w:rsidR="00BA7FC5" w:rsidRPr="00071829" w:rsidRDefault="00BA7FC5" w:rsidP="003756BF">
            <w:pPr>
              <w:keepLines/>
              <w:spacing w:before="0" w:after="0" w:line="240" w:lineRule="auto"/>
              <w:ind w:right="459"/>
              <w:jc w:val="right"/>
              <w:cnfStyle w:val="000000100000"/>
              <w:rPr>
                <w:rFonts w:eastAsia="Times New Roman"/>
                <w:color w:val="000000"/>
                <w:lang w:eastAsia="en-AU"/>
              </w:rPr>
            </w:pPr>
            <w:r>
              <w:rPr>
                <w:rFonts w:eastAsia="Times New Roman"/>
                <w:color w:val="000000"/>
                <w:lang w:eastAsia="en-AU"/>
              </w:rPr>
              <w:t>0.05</w:t>
            </w:r>
          </w:p>
        </w:tc>
      </w:tr>
      <w:tr w:rsidR="00BA7FC5" w:rsidRPr="00071829" w:rsidTr="00857DF8">
        <w:trPr>
          <w:cnfStyle w:val="00000001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6</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010000"/>
              <w:rPr>
                <w:rFonts w:eastAsia="Times New Roman"/>
                <w:color w:val="000000"/>
                <w:lang w:eastAsia="en-AU"/>
              </w:rPr>
            </w:pPr>
            <w:r w:rsidRPr="00071829">
              <w:rPr>
                <w:rFonts w:eastAsia="Times New Roman"/>
                <w:color w:val="000000"/>
                <w:lang w:eastAsia="en-AU"/>
              </w:rPr>
              <w:t>2.74</w:t>
            </w:r>
          </w:p>
        </w:tc>
        <w:tc>
          <w:tcPr>
            <w:tcW w:w="1984" w:type="dxa"/>
            <w:tcBorders>
              <w:right w:val="nil"/>
            </w:tcBorders>
          </w:tcPr>
          <w:p w:rsidR="00BA7FC5" w:rsidRPr="00071829" w:rsidRDefault="00BA7FC5" w:rsidP="003756BF">
            <w:pPr>
              <w:keepLines/>
              <w:spacing w:before="0" w:after="0" w:line="240" w:lineRule="auto"/>
              <w:ind w:right="459"/>
              <w:jc w:val="right"/>
              <w:cnfStyle w:val="000000010000"/>
              <w:rPr>
                <w:rFonts w:eastAsia="Times New Roman"/>
                <w:color w:val="000000"/>
                <w:lang w:eastAsia="en-AU"/>
              </w:rPr>
            </w:pPr>
            <w:r>
              <w:rPr>
                <w:rFonts w:eastAsia="Times New Roman"/>
                <w:color w:val="000000"/>
                <w:lang w:eastAsia="en-AU"/>
              </w:rPr>
              <w:t>0.10</w:t>
            </w:r>
          </w:p>
        </w:tc>
      </w:tr>
      <w:tr w:rsidR="00BA7FC5" w:rsidRPr="00071829" w:rsidTr="00857DF8">
        <w:trPr>
          <w:cnfStyle w:val="000000100000"/>
          <w:cantSplit/>
          <w:trHeight w:val="300"/>
        </w:trPr>
        <w:tc>
          <w:tcPr>
            <w:cnfStyle w:val="001000000000"/>
            <w:tcW w:w="975" w:type="dxa"/>
            <w:tcBorders>
              <w:bottom w:val="single" w:sz="4" w:space="0" w:color="FFFFFF" w:themeColor="background1"/>
            </w:tcBorders>
            <w:noWrap/>
            <w:hideMark/>
          </w:tcPr>
          <w:p w:rsidR="00BA7FC5" w:rsidRPr="00F43770" w:rsidRDefault="00535DAB" w:rsidP="003756BF">
            <w:pPr>
              <w:keepLines/>
              <w:spacing w:before="0" w:after="0" w:line="240" w:lineRule="auto"/>
              <w:rPr>
                <w:rFonts w:eastAsia="Times New Roman"/>
                <w:lang w:eastAsia="en-AU"/>
              </w:rPr>
            </w:pPr>
            <w:r>
              <w:rPr>
                <w:rFonts w:eastAsia="Times New Roman"/>
                <w:lang w:eastAsia="en-AU"/>
              </w:rPr>
              <w:t>(</w:t>
            </w:r>
            <w:r w:rsidR="00BA7FC5" w:rsidRPr="00F43770">
              <w:rPr>
                <w:rFonts w:eastAsia="Times New Roman"/>
                <w:lang w:eastAsia="en-AU"/>
              </w:rPr>
              <w:t>7</w:t>
            </w:r>
            <w:r>
              <w:rPr>
                <w:rFonts w:eastAsia="Times New Roman"/>
                <w:lang w:eastAsia="en-AU"/>
              </w:rPr>
              <w:t>)</w:t>
            </w:r>
          </w:p>
        </w:tc>
        <w:tc>
          <w:tcPr>
            <w:tcW w:w="1719" w:type="dxa"/>
            <w:noWrap/>
            <w:hideMark/>
          </w:tcPr>
          <w:p w:rsidR="00BA7FC5" w:rsidRPr="00071829" w:rsidRDefault="00BA7FC5" w:rsidP="003756BF">
            <w:pPr>
              <w:keepLines/>
              <w:spacing w:before="0" w:after="0" w:line="240" w:lineRule="auto"/>
              <w:ind w:right="318"/>
              <w:jc w:val="right"/>
              <w:cnfStyle w:val="000000100000"/>
              <w:rPr>
                <w:rFonts w:eastAsia="Times New Roman"/>
                <w:color w:val="000000"/>
                <w:lang w:eastAsia="en-AU"/>
              </w:rPr>
            </w:pPr>
            <w:r w:rsidRPr="00071829">
              <w:rPr>
                <w:rFonts w:eastAsia="Times New Roman"/>
                <w:color w:val="000000"/>
                <w:lang w:eastAsia="en-AU"/>
              </w:rPr>
              <w:t>23.8</w:t>
            </w:r>
            <w:r>
              <w:rPr>
                <w:rFonts w:eastAsia="Times New Roman"/>
                <w:color w:val="000000"/>
                <w:lang w:eastAsia="en-AU"/>
              </w:rPr>
              <w:t>7</w:t>
            </w:r>
          </w:p>
        </w:tc>
        <w:tc>
          <w:tcPr>
            <w:tcW w:w="1984" w:type="dxa"/>
            <w:tcBorders>
              <w:right w:val="nil"/>
            </w:tcBorders>
          </w:tcPr>
          <w:p w:rsidR="00BA7FC5" w:rsidRPr="00071829" w:rsidRDefault="00BA7FC5" w:rsidP="003756BF">
            <w:pPr>
              <w:keepLines/>
              <w:spacing w:before="0" w:after="0" w:line="240" w:lineRule="auto"/>
              <w:ind w:right="459"/>
              <w:jc w:val="right"/>
              <w:cnfStyle w:val="000000100000"/>
              <w:rPr>
                <w:rFonts w:eastAsia="Times New Roman"/>
                <w:color w:val="000000"/>
                <w:lang w:eastAsia="en-AU"/>
              </w:rPr>
            </w:pPr>
            <w:r>
              <w:rPr>
                <w:rFonts w:eastAsia="Times New Roman"/>
                <w:color w:val="000000"/>
                <w:lang w:eastAsia="en-AU"/>
              </w:rPr>
              <w:t>2.08</w:t>
            </w:r>
          </w:p>
        </w:tc>
      </w:tr>
      <w:tr w:rsidR="00BA7FC5" w:rsidRPr="00071829" w:rsidTr="00857DF8">
        <w:trPr>
          <w:cnfStyle w:val="000000010000"/>
          <w:cantSplit/>
          <w:trHeight w:val="300"/>
        </w:trPr>
        <w:tc>
          <w:tcPr>
            <w:cnfStyle w:val="001000000000"/>
            <w:tcW w:w="975" w:type="dxa"/>
            <w:noWrap/>
          </w:tcPr>
          <w:p w:rsidR="00BA7FC5" w:rsidRPr="003756BF" w:rsidRDefault="00F43770" w:rsidP="003756BF">
            <w:pPr>
              <w:keepLines/>
              <w:spacing w:before="0" w:after="0" w:line="240" w:lineRule="auto"/>
              <w:rPr>
                <w:rFonts w:eastAsia="Times New Roman"/>
                <w:b/>
                <w:lang w:eastAsia="en-AU"/>
              </w:rPr>
            </w:pPr>
            <w:r w:rsidRPr="003756BF">
              <w:rPr>
                <w:rFonts w:eastAsia="Times New Roman"/>
                <w:b/>
                <w:lang w:eastAsia="en-AU"/>
              </w:rPr>
              <w:t>TOTAL</w:t>
            </w:r>
          </w:p>
        </w:tc>
        <w:tc>
          <w:tcPr>
            <w:tcW w:w="1719" w:type="dxa"/>
            <w:noWrap/>
          </w:tcPr>
          <w:p w:rsidR="00BA7FC5" w:rsidRPr="003756BF" w:rsidRDefault="00BA7FC5" w:rsidP="003756BF">
            <w:pPr>
              <w:keepLines/>
              <w:spacing w:before="0" w:after="0" w:line="240" w:lineRule="auto"/>
              <w:ind w:right="318"/>
              <w:jc w:val="right"/>
              <w:cnfStyle w:val="000000010000"/>
              <w:rPr>
                <w:rFonts w:eastAsia="Times New Roman"/>
                <w:b/>
                <w:color w:val="000000"/>
                <w:lang w:eastAsia="en-AU"/>
              </w:rPr>
            </w:pPr>
            <w:r w:rsidRPr="003756BF">
              <w:rPr>
                <w:rFonts w:eastAsia="Times New Roman"/>
                <w:b/>
                <w:color w:val="000000"/>
                <w:lang w:eastAsia="en-AU"/>
              </w:rPr>
              <w:t>147.35</w:t>
            </w:r>
          </w:p>
        </w:tc>
        <w:tc>
          <w:tcPr>
            <w:tcW w:w="1984" w:type="dxa"/>
            <w:tcBorders>
              <w:right w:val="nil"/>
            </w:tcBorders>
          </w:tcPr>
          <w:p w:rsidR="00BA7FC5" w:rsidRPr="003756BF" w:rsidRDefault="00BA7FC5" w:rsidP="003756BF">
            <w:pPr>
              <w:keepLines/>
              <w:spacing w:before="0" w:after="0" w:line="240" w:lineRule="auto"/>
              <w:ind w:right="459"/>
              <w:jc w:val="right"/>
              <w:cnfStyle w:val="000000010000"/>
              <w:rPr>
                <w:rFonts w:eastAsia="Times New Roman"/>
                <w:b/>
                <w:color w:val="000000"/>
                <w:lang w:eastAsia="en-AU"/>
              </w:rPr>
            </w:pPr>
            <w:r w:rsidRPr="003756BF">
              <w:rPr>
                <w:rFonts w:eastAsia="Times New Roman"/>
                <w:b/>
                <w:color w:val="000000"/>
                <w:lang w:eastAsia="en-AU"/>
              </w:rPr>
              <w:t>9.88</w:t>
            </w:r>
          </w:p>
        </w:tc>
      </w:tr>
    </w:tbl>
    <w:p w:rsidR="00535DAB" w:rsidRDefault="00535DAB" w:rsidP="009F6C1E">
      <w:pPr>
        <w:pStyle w:val="Heading2"/>
        <w:jc w:val="left"/>
      </w:pPr>
      <w:bookmarkStart w:id="10" w:name="_Toc390444572"/>
      <w:r>
        <w:t>Other data</w:t>
      </w:r>
      <w:bookmarkEnd w:id="10"/>
    </w:p>
    <w:p w:rsidR="00BA7FC5" w:rsidRPr="00194314" w:rsidRDefault="00194314" w:rsidP="00535DAB">
      <w:pPr>
        <w:pStyle w:val="Heading3"/>
      </w:pPr>
      <w:bookmarkStart w:id="11" w:name="_Toc390444573"/>
      <w:r>
        <w:t xml:space="preserve">National </w:t>
      </w:r>
      <w:r w:rsidR="009F6C1E" w:rsidRPr="00194314">
        <w:t>hazardous waste data assessment</w:t>
      </w:r>
      <w:bookmarkEnd w:id="11"/>
    </w:p>
    <w:p w:rsidR="00BA7FC5" w:rsidRDefault="00A63CB2" w:rsidP="009F6C1E">
      <w:pPr>
        <w:jc w:val="left"/>
      </w:pPr>
      <w:r w:rsidRPr="00194314">
        <w:t xml:space="preserve">In 2013 </w:t>
      </w:r>
      <w:r w:rsidR="00433034">
        <w:t xml:space="preserve">recent </w:t>
      </w:r>
      <w:r w:rsidRPr="00194314">
        <w:t>a study into hazardous waste flows and c</w:t>
      </w:r>
      <w:r w:rsidR="009E4B67">
        <w:t>omposition across Australia, KMH</w:t>
      </w:r>
      <w:r w:rsidRPr="00194314">
        <w:t xml:space="preserve"> Environmental</w:t>
      </w:r>
      <w:r w:rsidR="00594276" w:rsidRPr="00194314">
        <w:t xml:space="preserve"> </w:t>
      </w:r>
      <w:r w:rsidR="00433034">
        <w:t xml:space="preserve">(2013) </w:t>
      </w:r>
      <w:r w:rsidR="00594276" w:rsidRPr="00194314">
        <w:t xml:space="preserve">estimated that municipal </w:t>
      </w:r>
      <w:r w:rsidR="00194314" w:rsidRPr="00194314">
        <w:t xml:space="preserve">solid </w:t>
      </w:r>
      <w:r w:rsidR="00594276" w:rsidRPr="00194314">
        <w:t xml:space="preserve">waste </w:t>
      </w:r>
      <w:r w:rsidR="00194314">
        <w:t xml:space="preserve">(MSW) </w:t>
      </w:r>
      <w:r w:rsidR="00594276" w:rsidRPr="00194314">
        <w:t xml:space="preserve">comprised some 34.5 </w:t>
      </w:r>
      <w:proofErr w:type="spellStart"/>
      <w:r w:rsidR="00594276" w:rsidRPr="00194314">
        <w:t>kt</w:t>
      </w:r>
      <w:proofErr w:type="spellEnd"/>
      <w:r w:rsidR="00594276" w:rsidRPr="00194314">
        <w:t xml:space="preserve"> lead-acid batteries based on</w:t>
      </w:r>
      <w:r w:rsidR="00194314" w:rsidRPr="00194314">
        <w:t xml:space="preserve"> an</w:t>
      </w:r>
      <w:r w:rsidR="00594276" w:rsidRPr="00194314">
        <w:t xml:space="preserve"> average per household hazardous waste generation </w:t>
      </w:r>
      <w:r w:rsidR="00194314" w:rsidRPr="00194314">
        <w:t>rate</w:t>
      </w:r>
      <w:r w:rsidR="00594276" w:rsidRPr="00194314">
        <w:t xml:space="preserve"> </w:t>
      </w:r>
      <w:r w:rsidR="00194314">
        <w:t>(3</w:t>
      </w:r>
      <w:r w:rsidR="00194314" w:rsidRPr="00194314">
        <w:t xml:space="preserve">5 kg per year) </w:t>
      </w:r>
      <w:r w:rsidR="00594276" w:rsidRPr="00194314">
        <w:t>and typical composition</w:t>
      </w:r>
      <w:r w:rsidR="00194314" w:rsidRPr="00194314">
        <w:t xml:space="preserve"> (4% lead-acid batteries), both of which came</w:t>
      </w:r>
      <w:r w:rsidR="00594276" w:rsidRPr="00194314">
        <w:t xml:space="preserve"> from NSW</w:t>
      </w:r>
      <w:r w:rsidR="00194314" w:rsidRPr="00194314">
        <w:t xml:space="preserve"> data</w:t>
      </w:r>
      <w:r w:rsidR="00594276" w:rsidRPr="00194314">
        <w:t>.</w:t>
      </w:r>
      <w:r w:rsidRPr="00194314">
        <w:t xml:space="preserve"> </w:t>
      </w:r>
    </w:p>
    <w:p w:rsidR="00BA7FC5" w:rsidRPr="00BA7FC5" w:rsidRDefault="00BA7FC5" w:rsidP="00535DAB">
      <w:pPr>
        <w:pStyle w:val="Heading3"/>
        <w:rPr>
          <w:lang w:val="en-US"/>
        </w:rPr>
      </w:pPr>
      <w:bookmarkStart w:id="12" w:name="_Toc390444574"/>
      <w:proofErr w:type="spellStart"/>
      <w:r>
        <w:rPr>
          <w:lang w:val="en-US"/>
        </w:rPr>
        <w:t>Hydromet</w:t>
      </w:r>
      <w:proofErr w:type="spellEnd"/>
      <w:r w:rsidR="00F43770">
        <w:rPr>
          <w:lang w:val="en-US"/>
        </w:rPr>
        <w:t xml:space="preserve"> </w:t>
      </w:r>
      <w:proofErr w:type="spellStart"/>
      <w:r w:rsidR="00F43770">
        <w:rPr>
          <w:lang w:val="en-US"/>
        </w:rPr>
        <w:t>arisings</w:t>
      </w:r>
      <w:proofErr w:type="spellEnd"/>
      <w:r w:rsidR="00F43770">
        <w:rPr>
          <w:lang w:val="en-US"/>
        </w:rPr>
        <w:t xml:space="preserve"> estimate</w:t>
      </w:r>
      <w:bookmarkEnd w:id="12"/>
    </w:p>
    <w:p w:rsidR="00BA7FC5" w:rsidRDefault="00B42E04" w:rsidP="009F6C1E">
      <w:pPr>
        <w:jc w:val="left"/>
        <w:rPr>
          <w:lang w:val="en-US"/>
        </w:rPr>
      </w:pPr>
      <w:proofErr w:type="spellStart"/>
      <w:r>
        <w:rPr>
          <w:lang w:val="en-US"/>
        </w:rPr>
        <w:t>Hydromet</w:t>
      </w:r>
      <w:proofErr w:type="spellEnd"/>
      <w:r>
        <w:rPr>
          <w:lang w:val="en-US"/>
        </w:rPr>
        <w:t xml:space="preserve"> Corporation is a major Australian ULAB recycler, processing up to 36 </w:t>
      </w:r>
      <w:proofErr w:type="spellStart"/>
      <w:r>
        <w:rPr>
          <w:lang w:val="en-US"/>
        </w:rPr>
        <w:t>kt</w:t>
      </w:r>
      <w:proofErr w:type="spellEnd"/>
      <w:r>
        <w:rPr>
          <w:lang w:val="en-US"/>
        </w:rPr>
        <w:t xml:space="preserve"> ULABs per year. The company’s website states that</w:t>
      </w:r>
      <w:r w:rsidR="00306029">
        <w:rPr>
          <w:lang w:val="en-US"/>
        </w:rPr>
        <w:t xml:space="preserve"> total annual (reference year unknown) generation of ULABs</w:t>
      </w:r>
      <w:r w:rsidR="00BA7FC5">
        <w:rPr>
          <w:lang w:val="en-US"/>
        </w:rPr>
        <w:t xml:space="preserve"> </w:t>
      </w:r>
      <w:r w:rsidR="00306029">
        <w:rPr>
          <w:lang w:val="en-US"/>
        </w:rPr>
        <w:t>in Australia amounts</w:t>
      </w:r>
      <w:r w:rsidR="00BA7FC5">
        <w:rPr>
          <w:lang w:val="en-US"/>
        </w:rPr>
        <w:t xml:space="preserve"> </w:t>
      </w:r>
      <w:r w:rsidR="00801F36">
        <w:rPr>
          <w:lang w:val="en-US"/>
        </w:rPr>
        <w:t>to</w:t>
      </w:r>
      <w:r w:rsidR="00306029">
        <w:rPr>
          <w:lang w:val="en-US"/>
        </w:rPr>
        <w:t xml:space="preserve"> 7.3 million motor and industrial batteries</w:t>
      </w:r>
      <w:r w:rsidR="00801F36">
        <w:rPr>
          <w:lang w:val="en-US"/>
        </w:rPr>
        <w:t xml:space="preserve">, which is estimated to amount to </w:t>
      </w:r>
      <w:r w:rsidR="00306029">
        <w:rPr>
          <w:lang w:val="en-US"/>
        </w:rPr>
        <w:t xml:space="preserve">90-110 </w:t>
      </w:r>
      <w:proofErr w:type="spellStart"/>
      <w:r w:rsidR="00306029">
        <w:rPr>
          <w:lang w:val="en-US"/>
        </w:rPr>
        <w:t>kt</w:t>
      </w:r>
      <w:proofErr w:type="spellEnd"/>
      <w:r w:rsidR="00306029">
        <w:rPr>
          <w:lang w:val="en-US"/>
        </w:rPr>
        <w:t>/year</w:t>
      </w:r>
      <w:r w:rsidR="00801F36">
        <w:rPr>
          <w:lang w:val="en-US"/>
        </w:rPr>
        <w:t xml:space="preserve"> </w:t>
      </w:r>
      <w:r w:rsidR="00801F36" w:rsidRPr="00BD31A2">
        <w:rPr>
          <w:lang w:val="en-US"/>
        </w:rPr>
        <w:t>(</w:t>
      </w:r>
      <w:proofErr w:type="spellStart"/>
      <w:r w:rsidR="00801F36" w:rsidRPr="00BD31A2">
        <w:rPr>
          <w:lang w:val="en-US"/>
        </w:rPr>
        <w:t>Hydro</w:t>
      </w:r>
      <w:r w:rsidR="00BD31A2" w:rsidRPr="00BD31A2">
        <w:rPr>
          <w:lang w:val="en-US"/>
        </w:rPr>
        <w:t>Met</w:t>
      </w:r>
      <w:proofErr w:type="spellEnd"/>
      <w:r w:rsidR="00BD31A2" w:rsidRPr="00BD31A2">
        <w:rPr>
          <w:lang w:val="en-US"/>
        </w:rPr>
        <w:t>, N.D.</w:t>
      </w:r>
      <w:r w:rsidR="00801F36" w:rsidRPr="00BD31A2">
        <w:rPr>
          <w:lang w:val="en-US"/>
        </w:rPr>
        <w:t>)</w:t>
      </w:r>
      <w:r w:rsidR="00306029" w:rsidRPr="00BD31A2">
        <w:rPr>
          <w:lang w:val="en-US"/>
        </w:rPr>
        <w:t>.</w:t>
      </w:r>
      <w:r w:rsidR="00801F36">
        <w:rPr>
          <w:lang w:val="en-US"/>
        </w:rPr>
        <w:t xml:space="preserve"> No reference or basis for these figures is given.</w:t>
      </w:r>
    </w:p>
    <w:p w:rsidR="00801F36" w:rsidRDefault="00801F36" w:rsidP="00535DAB">
      <w:pPr>
        <w:pStyle w:val="Heading3"/>
        <w:rPr>
          <w:lang w:val="en-US"/>
        </w:rPr>
      </w:pPr>
      <w:bookmarkStart w:id="13" w:name="_Toc390444575"/>
      <w:r>
        <w:rPr>
          <w:lang w:val="en-US"/>
        </w:rPr>
        <w:t>SITA waste car batteries estimate</w:t>
      </w:r>
      <w:bookmarkEnd w:id="13"/>
    </w:p>
    <w:p w:rsidR="00801F36" w:rsidRPr="00801F36" w:rsidRDefault="00801F36" w:rsidP="009F6C1E">
      <w:pPr>
        <w:jc w:val="left"/>
        <w:rPr>
          <w:lang w:val="en-US"/>
        </w:rPr>
      </w:pPr>
      <w:r>
        <w:rPr>
          <w:lang w:val="en-US"/>
        </w:rPr>
        <w:t xml:space="preserve">A page on the website of the waste and resource recovery company SITA suggests that Australia produces some 70 </w:t>
      </w:r>
      <w:proofErr w:type="spellStart"/>
      <w:r>
        <w:rPr>
          <w:lang w:val="en-US"/>
        </w:rPr>
        <w:t>kt</w:t>
      </w:r>
      <w:proofErr w:type="spellEnd"/>
      <w:r>
        <w:rPr>
          <w:lang w:val="en-US"/>
        </w:rPr>
        <w:t xml:space="preserve"> of spent car batteries per year </w:t>
      </w:r>
      <w:r w:rsidRPr="00BD31A2">
        <w:rPr>
          <w:lang w:val="en-US"/>
        </w:rPr>
        <w:t>(SITA</w:t>
      </w:r>
      <w:r w:rsidR="00BD31A2" w:rsidRPr="00BD31A2">
        <w:rPr>
          <w:lang w:val="en-US"/>
        </w:rPr>
        <w:t>, 2014</w:t>
      </w:r>
      <w:r w:rsidRPr="00BD31A2">
        <w:rPr>
          <w:lang w:val="en-US"/>
        </w:rPr>
        <w:t>)</w:t>
      </w:r>
      <w:r>
        <w:rPr>
          <w:lang w:val="en-US"/>
        </w:rPr>
        <w:t>. Again no reference or basis for the estimate is provided.</w:t>
      </w:r>
    </w:p>
    <w:p w:rsidR="00BA7FC5" w:rsidRPr="009E3D14" w:rsidRDefault="002E0864" w:rsidP="00DA65C1">
      <w:pPr>
        <w:pStyle w:val="Heading1"/>
      </w:pPr>
      <w:bookmarkStart w:id="14" w:name="_Toc390444576"/>
      <w:r>
        <w:rPr>
          <w:caps w:val="0"/>
        </w:rPr>
        <w:lastRenderedPageBreak/>
        <w:t xml:space="preserve">DATA </w:t>
      </w:r>
      <w:r w:rsidRPr="009E3D14">
        <w:rPr>
          <w:caps w:val="0"/>
        </w:rPr>
        <w:t>COMPARISONS AND RECONCILIATION</w:t>
      </w:r>
      <w:bookmarkEnd w:id="14"/>
    </w:p>
    <w:p w:rsidR="00BA7FC5" w:rsidRDefault="00BA7FC5" w:rsidP="009F6C1E">
      <w:pPr>
        <w:spacing w:after="60"/>
        <w:jc w:val="left"/>
      </w:pPr>
      <w:r>
        <w:t>Based on the numbers</w:t>
      </w:r>
      <w:r w:rsidR="00B0116F">
        <w:t xml:space="preserve"> reviewed in Section 2</w:t>
      </w:r>
      <w:r>
        <w:t xml:space="preserve">, there are three distinct issues that need to be examined and </w:t>
      </w:r>
      <w:r w:rsidR="00194314">
        <w:t>rectified</w:t>
      </w:r>
      <w:r>
        <w:t xml:space="preserve">: </w:t>
      </w:r>
    </w:p>
    <w:p w:rsidR="00BA7FC5" w:rsidRDefault="00BA7FC5" w:rsidP="009F6C1E">
      <w:pPr>
        <w:pStyle w:val="ListParagraph"/>
        <w:numPr>
          <w:ilvl w:val="0"/>
          <w:numId w:val="6"/>
        </w:numPr>
        <w:spacing w:before="0" w:after="60" w:line="276" w:lineRule="auto"/>
        <w:contextualSpacing w:val="0"/>
        <w:jc w:val="left"/>
      </w:pPr>
      <w:r>
        <w:t xml:space="preserve">Imports of </w:t>
      </w:r>
      <w:r w:rsidR="009B5CAC">
        <w:t xml:space="preserve">stand-alone </w:t>
      </w:r>
      <w:r w:rsidR="000042BA">
        <w:t>lead-acid</w:t>
      </w:r>
      <w:r>
        <w:t xml:space="preserve"> batteries from ABS </w:t>
      </w:r>
      <w:r w:rsidR="00801F36">
        <w:t xml:space="preserve">(2013) </w:t>
      </w:r>
      <w:r w:rsidR="00535DAB">
        <w:t xml:space="preserve">at 147 </w:t>
      </w:r>
      <w:proofErr w:type="spellStart"/>
      <w:r w:rsidR="00535DAB">
        <w:t>kt</w:t>
      </w:r>
      <w:proofErr w:type="spellEnd"/>
      <w:r w:rsidR="00535DAB">
        <w:t xml:space="preserve">/year </w:t>
      </w:r>
      <w:r>
        <w:t xml:space="preserve">are substantially higher than </w:t>
      </w:r>
      <w:r w:rsidR="000042BA">
        <w:t>lead-acid</w:t>
      </w:r>
      <w:r>
        <w:t xml:space="preserve"> battery inputs from Warnken </w:t>
      </w:r>
      <w:r w:rsidR="00801F36">
        <w:t>ISE (</w:t>
      </w:r>
      <w:r>
        <w:t>2010</w:t>
      </w:r>
      <w:r w:rsidR="00801F36">
        <w:t>)</w:t>
      </w:r>
      <w:r>
        <w:t xml:space="preserve"> </w:t>
      </w:r>
      <w:r w:rsidR="00535DAB">
        <w:t xml:space="preserve">at </w:t>
      </w:r>
      <w:r>
        <w:t xml:space="preserve">134 </w:t>
      </w:r>
      <w:proofErr w:type="spellStart"/>
      <w:r>
        <w:t>kt</w:t>
      </w:r>
      <w:proofErr w:type="spellEnd"/>
      <w:r>
        <w:t>/y</w:t>
      </w:r>
      <w:r w:rsidR="00535DAB">
        <w:t>r</w:t>
      </w:r>
    </w:p>
    <w:p w:rsidR="00BA7FC5" w:rsidRDefault="00BA7FC5" w:rsidP="009F6C1E">
      <w:pPr>
        <w:pStyle w:val="ListParagraph"/>
        <w:numPr>
          <w:ilvl w:val="0"/>
          <w:numId w:val="6"/>
        </w:numPr>
        <w:spacing w:before="0" w:after="60" w:line="276" w:lineRule="auto"/>
        <w:contextualSpacing w:val="0"/>
        <w:jc w:val="left"/>
      </w:pPr>
      <w:r>
        <w:t xml:space="preserve">The amount of </w:t>
      </w:r>
      <w:r w:rsidR="00194314">
        <w:t xml:space="preserve">total </w:t>
      </w:r>
      <w:r w:rsidR="000042BA">
        <w:t>lead-acid</w:t>
      </w:r>
      <w:r>
        <w:t xml:space="preserve"> </w:t>
      </w:r>
      <w:r w:rsidR="00194314">
        <w:t xml:space="preserve">battery </w:t>
      </w:r>
      <w:r>
        <w:t xml:space="preserve">arisings generated currently has a wide range between sources, namely 90-110 </w:t>
      </w:r>
      <w:proofErr w:type="spellStart"/>
      <w:r>
        <w:t>kt</w:t>
      </w:r>
      <w:proofErr w:type="spellEnd"/>
      <w:r>
        <w:t>/y</w:t>
      </w:r>
      <w:r w:rsidR="00801F36">
        <w:t>ear</w:t>
      </w:r>
      <w:r>
        <w:t xml:space="preserve"> </w:t>
      </w:r>
      <w:proofErr w:type="spellStart"/>
      <w:r>
        <w:t>Hydromet</w:t>
      </w:r>
      <w:proofErr w:type="spellEnd"/>
      <w:r w:rsidR="00801F36">
        <w:t xml:space="preserve"> </w:t>
      </w:r>
      <w:r w:rsidR="00801F36" w:rsidRPr="00BD31A2">
        <w:t>(</w:t>
      </w:r>
      <w:r w:rsidR="00BD31A2" w:rsidRPr="00BD31A2">
        <w:t>N.D.</w:t>
      </w:r>
      <w:r w:rsidR="00801F36" w:rsidRPr="00BD31A2">
        <w:t>)</w:t>
      </w:r>
      <w:r w:rsidR="006D1C9F">
        <w:t xml:space="preserve"> and</w:t>
      </w:r>
      <w:r>
        <w:t xml:space="preserve"> 122 </w:t>
      </w:r>
      <w:proofErr w:type="spellStart"/>
      <w:r>
        <w:t>kt</w:t>
      </w:r>
      <w:proofErr w:type="spellEnd"/>
      <w:r>
        <w:t>/y</w:t>
      </w:r>
      <w:r w:rsidR="00801F36">
        <w:t>ear</w:t>
      </w:r>
      <w:r>
        <w:t xml:space="preserve"> </w:t>
      </w:r>
      <w:proofErr w:type="spellStart"/>
      <w:r>
        <w:t>Warnken</w:t>
      </w:r>
      <w:proofErr w:type="spellEnd"/>
      <w:r>
        <w:t xml:space="preserve"> </w:t>
      </w:r>
      <w:r w:rsidR="00801F36">
        <w:t>ISE (</w:t>
      </w:r>
      <w:r>
        <w:t>2010</w:t>
      </w:r>
      <w:r w:rsidR="00801F36">
        <w:t>)</w:t>
      </w:r>
    </w:p>
    <w:p w:rsidR="00BA7FC5" w:rsidRPr="00332001" w:rsidRDefault="00BA7FC5" w:rsidP="009F6C1E">
      <w:pPr>
        <w:pStyle w:val="ListParagraph"/>
        <w:numPr>
          <w:ilvl w:val="0"/>
          <w:numId w:val="6"/>
        </w:numPr>
        <w:spacing w:before="0" w:line="276" w:lineRule="auto"/>
        <w:contextualSpacing w:val="0"/>
        <w:jc w:val="left"/>
      </w:pPr>
      <w:r w:rsidRPr="00332001">
        <w:t xml:space="preserve">The amount of </w:t>
      </w:r>
      <w:r w:rsidR="000042BA">
        <w:t>lead-acid</w:t>
      </w:r>
      <w:r w:rsidRPr="00332001">
        <w:t xml:space="preserve"> </w:t>
      </w:r>
      <w:r w:rsidR="00194314" w:rsidRPr="00332001">
        <w:t xml:space="preserve">batteries arising in the MSW stream </w:t>
      </w:r>
      <w:proofErr w:type="gramStart"/>
      <w:r w:rsidR="00BD31A2">
        <w:t xml:space="preserve">of </w:t>
      </w:r>
      <w:r w:rsidR="00433034" w:rsidRPr="00332001">
        <w:t xml:space="preserve">34.5 </w:t>
      </w:r>
      <w:proofErr w:type="spellStart"/>
      <w:r w:rsidR="00433034" w:rsidRPr="00332001">
        <w:t>kt</w:t>
      </w:r>
      <w:proofErr w:type="spellEnd"/>
      <w:r w:rsidR="00433034" w:rsidRPr="00332001">
        <w:t>/year</w:t>
      </w:r>
      <w:proofErr w:type="gramEnd"/>
      <w:r w:rsidR="00433034" w:rsidRPr="00332001">
        <w:t xml:space="preserve"> </w:t>
      </w:r>
      <w:r w:rsidR="009E4B67">
        <w:t>reported by KMH</w:t>
      </w:r>
      <w:r w:rsidR="00332001" w:rsidRPr="00332001">
        <w:t xml:space="preserve"> Environmental (2013) </w:t>
      </w:r>
      <w:r w:rsidR="00433034" w:rsidRPr="00332001">
        <w:t xml:space="preserve">amounts to 43% of all non-industrial </w:t>
      </w:r>
      <w:r w:rsidR="00332001" w:rsidRPr="00332001">
        <w:t xml:space="preserve">SLI </w:t>
      </w:r>
      <w:r w:rsidR="00433034" w:rsidRPr="00332001">
        <w:t>lead-acid batteries report</w:t>
      </w:r>
      <w:r w:rsidR="00332001" w:rsidRPr="00332001">
        <w:t>ed to be arising in Warnken ISE</w:t>
      </w:r>
      <w:r w:rsidR="00433034" w:rsidRPr="00332001">
        <w:t xml:space="preserve"> (2010)</w:t>
      </w:r>
      <w:r w:rsidR="00332001" w:rsidRPr="00332001">
        <w:t>, which would appear an excessively large fraction of used automotive batteries being handled domestically</w:t>
      </w:r>
      <w:r w:rsidRPr="00332001">
        <w:t>.</w:t>
      </w:r>
    </w:p>
    <w:p w:rsidR="00BA7FC5" w:rsidRDefault="00BA7FC5" w:rsidP="009F6C1E">
      <w:pPr>
        <w:spacing w:after="60"/>
        <w:jc w:val="left"/>
      </w:pPr>
      <w:r>
        <w:t xml:space="preserve">A systematic approach was taken to identifying potential sources of </w:t>
      </w:r>
      <w:r w:rsidR="00CC2467">
        <w:t>discrepancy</w:t>
      </w:r>
      <w:r>
        <w:t>, which involved:</w:t>
      </w:r>
    </w:p>
    <w:p w:rsidR="00BA7FC5" w:rsidRDefault="00BE44D1" w:rsidP="009F6C1E">
      <w:pPr>
        <w:pStyle w:val="ListParagraph"/>
        <w:numPr>
          <w:ilvl w:val="0"/>
          <w:numId w:val="4"/>
        </w:numPr>
        <w:spacing w:before="0" w:after="60" w:line="276" w:lineRule="auto"/>
        <w:contextualSpacing w:val="0"/>
        <w:jc w:val="left"/>
      </w:pPr>
      <w:r>
        <w:t xml:space="preserve">Inspection and </w:t>
      </w:r>
      <w:r w:rsidR="002E0864">
        <w:t xml:space="preserve">checking </w:t>
      </w:r>
      <w:r w:rsidR="00CC2467">
        <w:t xml:space="preserve">of </w:t>
      </w:r>
      <w:r w:rsidR="002E0864">
        <w:t>the</w:t>
      </w:r>
      <w:r w:rsidR="00CC2467">
        <w:t xml:space="preserve"> </w:t>
      </w:r>
      <w:r w:rsidR="00BA7FC5">
        <w:t xml:space="preserve">ABS </w:t>
      </w:r>
      <w:r w:rsidR="006F1F5E">
        <w:t xml:space="preserve">(2013) </w:t>
      </w:r>
      <w:r w:rsidR="00CC2467">
        <w:t>(FYE 2009/10) and</w:t>
      </w:r>
      <w:r w:rsidR="002E0864">
        <w:t xml:space="preserve"> </w:t>
      </w:r>
      <w:r w:rsidR="00BA7FC5">
        <w:t xml:space="preserve">Warnken </w:t>
      </w:r>
      <w:r w:rsidR="006F1F5E">
        <w:t>ISE (</w:t>
      </w:r>
      <w:r w:rsidR="00BA7FC5">
        <w:t>2010</w:t>
      </w:r>
      <w:r w:rsidR="006F1F5E">
        <w:t>)</w:t>
      </w:r>
      <w:r w:rsidR="00BA7FC5">
        <w:t xml:space="preserve"> </w:t>
      </w:r>
      <w:r w:rsidR="002E0864">
        <w:t>data/calculations</w:t>
      </w:r>
      <w:r w:rsidR="00BA7FC5">
        <w:t>.</w:t>
      </w:r>
    </w:p>
    <w:p w:rsidR="00BA7FC5" w:rsidRDefault="006F1F5E" w:rsidP="009F6C1E">
      <w:pPr>
        <w:pStyle w:val="ListParagraph"/>
        <w:numPr>
          <w:ilvl w:val="0"/>
          <w:numId w:val="4"/>
        </w:numPr>
        <w:spacing w:before="0" w:after="60" w:line="276" w:lineRule="auto"/>
        <w:contextualSpacing w:val="0"/>
        <w:jc w:val="left"/>
      </w:pPr>
      <w:r>
        <w:t>Examination</w:t>
      </w:r>
      <w:r w:rsidR="00F46299">
        <w:t xml:space="preserve"> of other </w:t>
      </w:r>
      <w:r w:rsidR="00BA7FC5">
        <w:t>data to find misalignments or errors</w:t>
      </w:r>
    </w:p>
    <w:p w:rsidR="00BA7FC5" w:rsidRDefault="00BA7FC5" w:rsidP="009F6C1E">
      <w:pPr>
        <w:pStyle w:val="ListParagraph"/>
        <w:numPr>
          <w:ilvl w:val="0"/>
          <w:numId w:val="4"/>
        </w:numPr>
        <w:spacing w:before="0" w:after="60" w:line="276" w:lineRule="auto"/>
        <w:contextualSpacing w:val="0"/>
        <w:jc w:val="left"/>
      </w:pPr>
      <w:r>
        <w:t>Identification of agreement between the different data sources</w:t>
      </w:r>
    </w:p>
    <w:p w:rsidR="00BA7FC5" w:rsidRDefault="00BA7FC5" w:rsidP="009F6C1E">
      <w:pPr>
        <w:pStyle w:val="ListParagraph"/>
        <w:numPr>
          <w:ilvl w:val="0"/>
          <w:numId w:val="4"/>
        </w:numPr>
        <w:spacing w:before="0" w:line="276" w:lineRule="auto"/>
        <w:contextualSpacing w:val="0"/>
        <w:jc w:val="left"/>
      </w:pPr>
      <w:r>
        <w:t>Deta</w:t>
      </w:r>
      <w:r w:rsidR="006F1F5E">
        <w:t xml:space="preserve">iled exploration of </w:t>
      </w:r>
      <w:r w:rsidR="00F46299">
        <w:t>significant</w:t>
      </w:r>
      <w:r>
        <w:t xml:space="preserve"> disagreements between datasets to gauge the robustness of the different numbers. </w:t>
      </w:r>
    </w:p>
    <w:p w:rsidR="00332001" w:rsidRDefault="00332001" w:rsidP="009F6C1E">
      <w:pPr>
        <w:spacing w:before="0" w:line="276" w:lineRule="auto"/>
        <w:jc w:val="left"/>
      </w:pPr>
      <w:r>
        <w:t>The outcomes of below of each stage of analysis are described below.</w:t>
      </w:r>
    </w:p>
    <w:p w:rsidR="00BA7FC5" w:rsidRDefault="00BA7FC5" w:rsidP="009F6C1E">
      <w:pPr>
        <w:pStyle w:val="Heading2"/>
        <w:jc w:val="left"/>
      </w:pPr>
      <w:bookmarkStart w:id="15" w:name="_Toc390444577"/>
      <w:r>
        <w:t xml:space="preserve">Data </w:t>
      </w:r>
      <w:r w:rsidR="00535DAB">
        <w:t xml:space="preserve">inspection </w:t>
      </w:r>
      <w:r w:rsidR="00BE44D1">
        <w:t xml:space="preserve">and </w:t>
      </w:r>
      <w:r w:rsidR="00535DAB">
        <w:t>checks</w:t>
      </w:r>
      <w:bookmarkEnd w:id="15"/>
    </w:p>
    <w:p w:rsidR="00E27493" w:rsidRPr="001121E5" w:rsidRDefault="00E27493" w:rsidP="009F6C1E">
      <w:pPr>
        <w:pStyle w:val="Heading3"/>
        <w:jc w:val="left"/>
      </w:pPr>
      <w:bookmarkStart w:id="16" w:name="_Toc390444578"/>
      <w:r>
        <w:t>Warnken ISE (2010) data</w:t>
      </w:r>
      <w:bookmarkEnd w:id="16"/>
      <w:r>
        <w:t xml:space="preserve"> </w:t>
      </w:r>
    </w:p>
    <w:p w:rsidR="007633C6" w:rsidRDefault="00E27493" w:rsidP="009F6C1E">
      <w:pPr>
        <w:jc w:val="left"/>
      </w:pPr>
      <w:r>
        <w:t xml:space="preserve">The estimates of </w:t>
      </w:r>
      <w:r w:rsidR="000042BA">
        <w:t>lead-acid</w:t>
      </w:r>
      <w:r>
        <w:t xml:space="preserve"> batteries import</w:t>
      </w:r>
      <w:r w:rsidR="00332001">
        <w:t>ed into Australia could be back-</w:t>
      </w:r>
      <w:r>
        <w:t xml:space="preserve">calculated from the numbers presented in the Warnken ISE </w:t>
      </w:r>
      <w:r w:rsidR="00930E87">
        <w:t xml:space="preserve">(2010) </w:t>
      </w:r>
      <w:r>
        <w:t xml:space="preserve">report. In </w:t>
      </w:r>
      <w:r w:rsidR="00930E87">
        <w:t>performing the back-calculations</w:t>
      </w:r>
      <w:r w:rsidR="007633C6">
        <w:t xml:space="preserve"> </w:t>
      </w:r>
      <w:r w:rsidR="0079710E">
        <w:t>one</w:t>
      </w:r>
      <w:r>
        <w:t xml:space="preserve"> relativel</w:t>
      </w:r>
      <w:r w:rsidR="00930E87">
        <w:t>y small issue w</w:t>
      </w:r>
      <w:r w:rsidR="0079710E">
        <w:t>as</w:t>
      </w:r>
      <w:r w:rsidR="00930E87">
        <w:t xml:space="preserve"> found in the l</w:t>
      </w:r>
      <w:r>
        <w:t>arge and industrial batteries category.</w:t>
      </w:r>
      <w:r w:rsidR="007633C6">
        <w:t xml:space="preserve"> </w:t>
      </w:r>
      <w:r w:rsidR="0079710E">
        <w:t>Namely</w:t>
      </w:r>
      <w:r w:rsidR="007633C6">
        <w:t>,</w:t>
      </w:r>
      <w:r>
        <w:t xml:space="preserve"> Warnken ISE (2010) indicates that 90% of batteries used in traction or stationary standby batteries were </w:t>
      </w:r>
      <w:r w:rsidR="000042BA">
        <w:t>lead-acid</w:t>
      </w:r>
      <w:r w:rsidR="00F52D4A">
        <w:t xml:space="preserve"> and batteries in m</w:t>
      </w:r>
      <w:r w:rsidR="00930E87">
        <w:t>arine or construction/f</w:t>
      </w:r>
      <w:r>
        <w:t>orest</w:t>
      </w:r>
      <w:r w:rsidR="00930E87">
        <w:t>ry/f</w:t>
      </w:r>
      <w:r>
        <w:t xml:space="preserve">arming and mining categories were 100% </w:t>
      </w:r>
      <w:r w:rsidR="000042BA">
        <w:t>lead-acid</w:t>
      </w:r>
      <w:r>
        <w:t xml:space="preserve">. However </w:t>
      </w:r>
      <w:r w:rsidR="00930E87">
        <w:t>when</w:t>
      </w:r>
      <w:r>
        <w:t xml:space="preserve"> calculating the number of </w:t>
      </w:r>
      <w:r w:rsidR="000042BA">
        <w:t>lead-acid</w:t>
      </w:r>
      <w:r>
        <w:t xml:space="preserve"> battery inputs based on this logic, the total </w:t>
      </w:r>
      <w:r w:rsidR="000042BA">
        <w:t>lead-acid</w:t>
      </w:r>
      <w:r>
        <w:t xml:space="preserve"> battery inputs to Australia comes out slightly higher than the reported number (135.8 </w:t>
      </w:r>
      <w:proofErr w:type="spellStart"/>
      <w:r>
        <w:t>kt</w:t>
      </w:r>
      <w:proofErr w:type="spellEnd"/>
      <w:r>
        <w:t xml:space="preserve"> instead of 133.6 </w:t>
      </w:r>
      <w:proofErr w:type="spellStart"/>
      <w:r>
        <w:t>kt</w:t>
      </w:r>
      <w:proofErr w:type="spellEnd"/>
      <w:r>
        <w:t xml:space="preserve">). It is </w:t>
      </w:r>
      <w:r w:rsidR="007633C6">
        <w:t>assumed</w:t>
      </w:r>
      <w:r>
        <w:t xml:space="preserve"> that this issue was due to the 90% </w:t>
      </w:r>
      <w:r w:rsidR="000042BA">
        <w:t>lead-acid</w:t>
      </w:r>
      <w:r>
        <w:t xml:space="preserve"> battery assumption </w:t>
      </w:r>
      <w:r w:rsidR="00747B29">
        <w:t xml:space="preserve">for traction or stationary standby batteries being </w:t>
      </w:r>
      <w:r w:rsidR="0005005A">
        <w:t xml:space="preserve">inadvertently </w:t>
      </w:r>
      <w:r>
        <w:t>applied to all batteries in the large and ind</w:t>
      </w:r>
      <w:r w:rsidR="00332001">
        <w:t xml:space="preserve">ustrial sector. </w:t>
      </w:r>
    </w:p>
    <w:p w:rsidR="00E27493" w:rsidRDefault="00332001" w:rsidP="009F6C1E">
      <w:pPr>
        <w:jc w:val="left"/>
      </w:pPr>
      <w:r>
        <w:t>Quoted and back-</w:t>
      </w:r>
      <w:r w:rsidR="00E27493">
        <w:t xml:space="preserve">calculated numbers </w:t>
      </w:r>
      <w:r w:rsidR="00747B29">
        <w:t xml:space="preserve">from this analysis are given in </w:t>
      </w:r>
      <w:r w:rsidR="00BD31A2">
        <w:t>Table</w:t>
      </w:r>
      <w:r w:rsidR="00945F15">
        <w:t xml:space="preserve"> A1 in</w:t>
      </w:r>
      <w:r w:rsidR="00BD31A2">
        <w:t xml:space="preserve"> </w:t>
      </w:r>
      <w:r w:rsidR="005E7ABE">
        <w:t xml:space="preserve">Appendix A, with the summary of the back-calculated numbers shown in </w:t>
      </w:r>
      <w:fldSimple w:instr=" REF _Ref381085107 \h  \* MERGEFORMAT ">
        <w:r w:rsidR="00697A48">
          <w:t xml:space="preserve">Table </w:t>
        </w:r>
        <w:r w:rsidR="00697A48">
          <w:rPr>
            <w:noProof/>
          </w:rPr>
          <w:t>5</w:t>
        </w:r>
      </w:fldSimple>
      <w:r w:rsidR="005E7ABE">
        <w:t xml:space="preserve">. </w:t>
      </w:r>
    </w:p>
    <w:p w:rsidR="0079710E" w:rsidRDefault="0079710E" w:rsidP="00DA65C1"/>
    <w:p w:rsidR="0079710E" w:rsidRDefault="0079710E" w:rsidP="00DA65C1"/>
    <w:p w:rsidR="005E7ABE" w:rsidRDefault="005E7ABE" w:rsidP="00DA65C1">
      <w:pPr>
        <w:pStyle w:val="Caption"/>
      </w:pPr>
      <w:bookmarkStart w:id="17" w:name="_Ref381085107"/>
      <w:bookmarkStart w:id="18" w:name="_Ref381085098"/>
      <w:bookmarkStart w:id="19" w:name="_Toc381102096"/>
      <w:r>
        <w:lastRenderedPageBreak/>
        <w:t xml:space="preserve">Table </w:t>
      </w:r>
      <w:r w:rsidR="007637BE">
        <w:fldChar w:fldCharType="begin"/>
      </w:r>
      <w:r>
        <w:instrText xml:space="preserve"> SEQ Table \* ARABIC </w:instrText>
      </w:r>
      <w:r w:rsidR="007637BE">
        <w:fldChar w:fldCharType="separate"/>
      </w:r>
      <w:r w:rsidR="00697A48">
        <w:rPr>
          <w:noProof/>
        </w:rPr>
        <w:t>5</w:t>
      </w:r>
      <w:r w:rsidR="007637BE">
        <w:fldChar w:fldCharType="end"/>
      </w:r>
      <w:bookmarkEnd w:id="17"/>
      <w:r w:rsidR="00DA65C1">
        <w:t>:</w:t>
      </w:r>
      <w:r>
        <w:t xml:space="preserve"> Warnken ISE (2010)</w:t>
      </w:r>
      <w:r>
        <w:rPr>
          <w:rStyle w:val="FootnoteReference"/>
        </w:rPr>
        <w:footnoteReference w:id="1"/>
      </w:r>
      <w:r>
        <w:t xml:space="preserve"> split into </w:t>
      </w:r>
      <w:r w:rsidR="0005005A">
        <w:t>mass</w:t>
      </w:r>
      <w:r>
        <w:t xml:space="preserve"> categories</w:t>
      </w:r>
      <w:bookmarkEnd w:id="18"/>
      <w:bookmarkEnd w:id="19"/>
    </w:p>
    <w:tbl>
      <w:tblPr>
        <w:tblStyle w:val="ColorfulGrid1"/>
        <w:tblW w:w="5529" w:type="dxa"/>
        <w:tblInd w:w="108" w:type="dxa"/>
        <w:tblLook w:val="04A0"/>
      </w:tblPr>
      <w:tblGrid>
        <w:gridCol w:w="2268"/>
        <w:gridCol w:w="1701"/>
        <w:gridCol w:w="1560"/>
      </w:tblGrid>
      <w:tr w:rsidR="005E7ABE" w:rsidRPr="00892ABE" w:rsidTr="00857DF8">
        <w:trPr>
          <w:cnfStyle w:val="100000000000"/>
          <w:trHeight w:val="300"/>
        </w:trPr>
        <w:tc>
          <w:tcPr>
            <w:cnfStyle w:val="001000000000"/>
            <w:tcW w:w="2268" w:type="dxa"/>
            <w:vMerge w:val="restart"/>
            <w:tcBorders>
              <w:left w:val="nil"/>
            </w:tcBorders>
            <w:noWrap/>
          </w:tcPr>
          <w:p w:rsidR="005E7ABE" w:rsidRPr="007751D8" w:rsidRDefault="00535DAB" w:rsidP="00DA65C1">
            <w:pPr>
              <w:spacing w:before="0" w:after="0" w:line="240" w:lineRule="auto"/>
              <w:rPr>
                <w:rFonts w:eastAsia="Times New Roman"/>
                <w:lang w:eastAsia="en-AU"/>
              </w:rPr>
            </w:pPr>
            <w:r>
              <w:rPr>
                <w:rFonts w:eastAsia="Times New Roman"/>
                <w:lang w:eastAsia="en-AU"/>
              </w:rPr>
              <w:t xml:space="preserve">Battery </w:t>
            </w:r>
            <w:r w:rsidR="00966015">
              <w:rPr>
                <w:rFonts w:eastAsia="Times New Roman"/>
                <w:lang w:eastAsia="en-AU"/>
              </w:rPr>
              <w:br/>
            </w:r>
            <w:r>
              <w:rPr>
                <w:rFonts w:eastAsia="Times New Roman"/>
                <w:lang w:eastAsia="en-AU"/>
              </w:rPr>
              <w:t>size</w:t>
            </w:r>
          </w:p>
        </w:tc>
        <w:tc>
          <w:tcPr>
            <w:tcW w:w="3261" w:type="dxa"/>
            <w:gridSpan w:val="2"/>
            <w:tcBorders>
              <w:right w:val="nil"/>
            </w:tcBorders>
            <w:noWrap/>
          </w:tcPr>
          <w:p w:rsidR="005E7ABE" w:rsidRDefault="005E7ABE" w:rsidP="00DA65C1">
            <w:pPr>
              <w:spacing w:before="0" w:after="0" w:line="240" w:lineRule="auto"/>
              <w:jc w:val="center"/>
              <w:cnfStyle w:val="100000000000"/>
              <w:rPr>
                <w:rFonts w:eastAsia="Times New Roman"/>
                <w:lang w:eastAsia="en-AU"/>
              </w:rPr>
            </w:pPr>
            <w:r w:rsidRPr="007751D8">
              <w:rPr>
                <w:rFonts w:eastAsia="Times New Roman"/>
                <w:lang w:eastAsia="en-AU"/>
              </w:rPr>
              <w:t>Warnken ISE (2010)</w:t>
            </w:r>
          </w:p>
          <w:p w:rsidR="005E7ABE" w:rsidRPr="007751D8" w:rsidRDefault="005E7ABE" w:rsidP="00DA65C1">
            <w:pPr>
              <w:spacing w:before="0" w:after="0" w:line="240" w:lineRule="auto"/>
              <w:jc w:val="center"/>
              <w:cnfStyle w:val="100000000000"/>
              <w:rPr>
                <w:rFonts w:eastAsia="Times New Roman"/>
                <w:lang w:eastAsia="en-AU"/>
              </w:rPr>
            </w:pPr>
            <w:r>
              <w:rPr>
                <w:rFonts w:eastAsia="Times New Roman"/>
                <w:lang w:eastAsia="en-AU"/>
              </w:rPr>
              <w:t>Inputs</w:t>
            </w:r>
          </w:p>
        </w:tc>
      </w:tr>
      <w:tr w:rsidR="005E7ABE" w:rsidRPr="00892ABE" w:rsidTr="00857DF8">
        <w:trPr>
          <w:cnfStyle w:val="000000100000"/>
          <w:trHeight w:val="300"/>
        </w:trPr>
        <w:tc>
          <w:tcPr>
            <w:cnfStyle w:val="001000000000"/>
            <w:tcW w:w="2268" w:type="dxa"/>
            <w:vMerge/>
            <w:tcBorders>
              <w:bottom w:val="single" w:sz="4" w:space="0" w:color="FFFFFF" w:themeColor="background1"/>
            </w:tcBorders>
            <w:noWrap/>
            <w:hideMark/>
          </w:tcPr>
          <w:p w:rsidR="005E7ABE" w:rsidRPr="007751D8" w:rsidRDefault="005E7ABE" w:rsidP="00DA65C1">
            <w:pPr>
              <w:spacing w:before="0" w:after="0" w:line="240" w:lineRule="auto"/>
              <w:rPr>
                <w:rFonts w:eastAsia="Times New Roman"/>
                <w:lang w:eastAsia="en-AU"/>
              </w:rPr>
            </w:pPr>
          </w:p>
        </w:tc>
        <w:tc>
          <w:tcPr>
            <w:tcW w:w="1701" w:type="dxa"/>
            <w:shd w:val="clear" w:color="auto" w:fill="B1005D" w:themeFill="accent1"/>
            <w:noWrap/>
            <w:hideMark/>
          </w:tcPr>
          <w:p w:rsidR="00535DAB" w:rsidRDefault="0005005A" w:rsidP="00535DAB">
            <w:pPr>
              <w:spacing w:before="0" w:after="0" w:line="240" w:lineRule="auto"/>
              <w:jc w:val="center"/>
              <w:cnfStyle w:val="000000100000"/>
              <w:rPr>
                <w:rFonts w:eastAsia="Times New Roman"/>
                <w:color w:val="FFFFFF" w:themeColor="background1"/>
                <w:lang w:eastAsia="en-AU"/>
              </w:rPr>
            </w:pPr>
            <w:r>
              <w:rPr>
                <w:rFonts w:eastAsia="Times New Roman"/>
                <w:color w:val="FFFFFF" w:themeColor="background1"/>
                <w:lang w:eastAsia="en-AU"/>
              </w:rPr>
              <w:t>Mass</w:t>
            </w:r>
          </w:p>
          <w:p w:rsidR="005E7ABE" w:rsidRPr="007751D8" w:rsidRDefault="005E7ABE" w:rsidP="00535DAB">
            <w:pPr>
              <w:spacing w:before="0" w:after="0" w:line="240" w:lineRule="auto"/>
              <w:jc w:val="center"/>
              <w:cnfStyle w:val="000000100000"/>
              <w:rPr>
                <w:rFonts w:eastAsia="Times New Roman"/>
                <w:color w:val="FFFFFF" w:themeColor="background1"/>
                <w:lang w:eastAsia="en-AU"/>
              </w:rPr>
            </w:pPr>
            <w:r w:rsidRPr="007751D8">
              <w:rPr>
                <w:rFonts w:eastAsia="Times New Roman"/>
                <w:color w:val="FFFFFF" w:themeColor="background1"/>
                <w:lang w:eastAsia="en-AU"/>
              </w:rPr>
              <w:t>(</w:t>
            </w:r>
            <w:proofErr w:type="spellStart"/>
            <w:r w:rsidRPr="007751D8">
              <w:rPr>
                <w:rFonts w:eastAsia="Times New Roman"/>
                <w:color w:val="FFFFFF" w:themeColor="background1"/>
                <w:lang w:eastAsia="en-AU"/>
              </w:rPr>
              <w:t>kt</w:t>
            </w:r>
            <w:proofErr w:type="spellEnd"/>
            <w:r w:rsidRPr="007751D8">
              <w:rPr>
                <w:rFonts w:eastAsia="Times New Roman"/>
                <w:color w:val="FFFFFF" w:themeColor="background1"/>
                <w:lang w:eastAsia="en-AU"/>
              </w:rPr>
              <w:t>)</w:t>
            </w:r>
          </w:p>
        </w:tc>
        <w:tc>
          <w:tcPr>
            <w:tcW w:w="1560" w:type="dxa"/>
            <w:tcBorders>
              <w:bottom w:val="single" w:sz="4" w:space="0" w:color="FFFFFF" w:themeColor="background1"/>
              <w:right w:val="nil"/>
            </w:tcBorders>
            <w:shd w:val="clear" w:color="auto" w:fill="B1005D" w:themeFill="accent1"/>
            <w:noWrap/>
            <w:hideMark/>
          </w:tcPr>
          <w:p w:rsidR="00535DAB" w:rsidRDefault="00535DAB" w:rsidP="00535DAB">
            <w:pPr>
              <w:spacing w:before="0" w:after="0" w:line="240" w:lineRule="auto"/>
              <w:jc w:val="center"/>
              <w:cnfStyle w:val="000000100000"/>
              <w:rPr>
                <w:rFonts w:eastAsia="Times New Roman"/>
                <w:color w:val="FFFFFF" w:themeColor="background1"/>
                <w:lang w:eastAsia="en-AU"/>
              </w:rPr>
            </w:pPr>
            <w:r>
              <w:rPr>
                <w:rFonts w:eastAsia="Times New Roman"/>
                <w:color w:val="FFFFFF" w:themeColor="background1"/>
                <w:lang w:eastAsia="en-AU"/>
              </w:rPr>
              <w:t xml:space="preserve">Battery </w:t>
            </w:r>
            <w:r w:rsidR="005E7ABE" w:rsidRPr="007751D8">
              <w:rPr>
                <w:rFonts w:eastAsia="Times New Roman"/>
                <w:color w:val="FFFFFF" w:themeColor="background1"/>
                <w:lang w:eastAsia="en-AU"/>
              </w:rPr>
              <w:t>Count</w:t>
            </w:r>
          </w:p>
          <w:p w:rsidR="005E7ABE" w:rsidRPr="0005005A" w:rsidRDefault="0005005A" w:rsidP="00535DAB">
            <w:pPr>
              <w:spacing w:before="0" w:after="0" w:line="240" w:lineRule="auto"/>
              <w:jc w:val="center"/>
              <w:cnfStyle w:val="000000100000"/>
              <w:rPr>
                <w:rFonts w:eastAsia="Times New Roman"/>
                <w:color w:val="FFFFFF" w:themeColor="background1"/>
                <w:vertAlign w:val="subscript"/>
                <w:lang w:eastAsia="en-AU"/>
              </w:rPr>
            </w:pPr>
            <w:r>
              <w:rPr>
                <w:rFonts w:eastAsia="Times New Roman"/>
                <w:color w:val="FFFFFF" w:themeColor="background1"/>
                <w:lang w:eastAsia="en-AU"/>
              </w:rPr>
              <w:t>(</w:t>
            </w:r>
            <w:r w:rsidR="00535DAB">
              <w:rPr>
                <w:rFonts w:eastAsia="Times New Roman"/>
                <w:color w:val="FFFFFF" w:themeColor="background1"/>
                <w:lang w:eastAsia="en-AU"/>
              </w:rPr>
              <w:t>millions</w:t>
            </w:r>
            <w:r w:rsidRPr="0005005A">
              <w:rPr>
                <w:rFonts w:eastAsia="Times New Roman"/>
                <w:color w:val="FFFFFF" w:themeColor="background1"/>
                <w:lang w:eastAsia="en-AU"/>
              </w:rPr>
              <w:t>)</w:t>
            </w:r>
          </w:p>
        </w:tc>
      </w:tr>
      <w:tr w:rsidR="005E7ABE" w:rsidRPr="00892ABE" w:rsidTr="00857DF8">
        <w:trPr>
          <w:cnfStyle w:val="000000010000"/>
          <w:trHeight w:val="300"/>
        </w:trPr>
        <w:tc>
          <w:tcPr>
            <w:cnfStyle w:val="001000000000"/>
            <w:tcW w:w="2268" w:type="dxa"/>
            <w:tcBorders>
              <w:top w:val="single" w:sz="4" w:space="0" w:color="FFFFFF" w:themeColor="background1"/>
            </w:tcBorders>
            <w:noWrap/>
            <w:hideMark/>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0-1</w:t>
            </w:r>
            <w:r w:rsidR="0005005A">
              <w:rPr>
                <w:rFonts w:eastAsia="Times New Roman"/>
                <w:lang w:eastAsia="en-AU"/>
              </w:rPr>
              <w:t xml:space="preserve"> kg</w:t>
            </w:r>
          </w:p>
        </w:tc>
        <w:tc>
          <w:tcPr>
            <w:tcW w:w="1701" w:type="dxa"/>
            <w:noWrap/>
            <w:hideMark/>
          </w:tcPr>
          <w:p w:rsidR="005E7ABE" w:rsidRPr="00892ABE" w:rsidRDefault="005E7ABE" w:rsidP="00535DAB">
            <w:pPr>
              <w:tabs>
                <w:tab w:val="left" w:pos="1452"/>
              </w:tabs>
              <w:spacing w:before="0" w:after="0" w:line="240" w:lineRule="auto"/>
              <w:ind w:right="459"/>
              <w:jc w:val="right"/>
              <w:cnfStyle w:val="000000010000"/>
              <w:rPr>
                <w:rFonts w:eastAsia="Times New Roman"/>
                <w:color w:val="000000"/>
                <w:lang w:eastAsia="en-AU"/>
              </w:rPr>
            </w:pPr>
            <w:r>
              <w:rPr>
                <w:rFonts w:eastAsia="Times New Roman"/>
                <w:color w:val="000000"/>
                <w:lang w:eastAsia="en-AU"/>
              </w:rPr>
              <w:t>1.3</w:t>
            </w:r>
          </w:p>
        </w:tc>
        <w:tc>
          <w:tcPr>
            <w:tcW w:w="1560" w:type="dxa"/>
            <w:tcBorders>
              <w:bottom w:val="single" w:sz="4" w:space="0" w:color="FFFFFF" w:themeColor="background1"/>
              <w:right w:val="nil"/>
            </w:tcBorders>
            <w:noWrap/>
            <w:hideMark/>
          </w:tcPr>
          <w:p w:rsidR="005E7ABE" w:rsidRPr="00892ABE" w:rsidRDefault="005E7ABE" w:rsidP="00535DAB">
            <w:pPr>
              <w:spacing w:before="0" w:after="0" w:line="240" w:lineRule="auto"/>
              <w:ind w:right="318"/>
              <w:jc w:val="right"/>
              <w:cnfStyle w:val="000000010000"/>
              <w:rPr>
                <w:rFonts w:eastAsia="Times New Roman"/>
                <w:color w:val="000000"/>
                <w:lang w:eastAsia="en-AU"/>
              </w:rPr>
            </w:pPr>
            <w:r w:rsidRPr="00892ABE">
              <w:rPr>
                <w:rFonts w:eastAsia="Times New Roman"/>
                <w:color w:val="000000"/>
                <w:lang w:eastAsia="en-AU"/>
              </w:rPr>
              <w:t>1.82</w:t>
            </w:r>
          </w:p>
        </w:tc>
      </w:tr>
      <w:tr w:rsidR="005E7ABE" w:rsidRPr="00892ABE" w:rsidTr="00857DF8">
        <w:trPr>
          <w:cnfStyle w:val="000000100000"/>
          <w:trHeight w:val="300"/>
        </w:trPr>
        <w:tc>
          <w:tcPr>
            <w:cnfStyle w:val="001000000000"/>
            <w:tcW w:w="2268" w:type="dxa"/>
            <w:noWrap/>
            <w:hideMark/>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1-5</w:t>
            </w:r>
            <w:r w:rsidR="0005005A">
              <w:rPr>
                <w:rFonts w:eastAsia="Times New Roman"/>
                <w:lang w:eastAsia="en-AU"/>
              </w:rPr>
              <w:t xml:space="preserve"> kg</w:t>
            </w:r>
          </w:p>
        </w:tc>
        <w:tc>
          <w:tcPr>
            <w:tcW w:w="1701" w:type="dxa"/>
            <w:noWrap/>
            <w:hideMark/>
          </w:tcPr>
          <w:p w:rsidR="005E7ABE" w:rsidRPr="00892ABE" w:rsidRDefault="005E7ABE" w:rsidP="00535DAB">
            <w:pPr>
              <w:tabs>
                <w:tab w:val="left" w:pos="1452"/>
              </w:tabs>
              <w:spacing w:before="0" w:after="0" w:line="240" w:lineRule="auto"/>
              <w:ind w:right="459"/>
              <w:jc w:val="right"/>
              <w:cnfStyle w:val="000000100000"/>
              <w:rPr>
                <w:rFonts w:eastAsia="Times New Roman"/>
                <w:color w:val="000000"/>
                <w:lang w:eastAsia="en-AU"/>
              </w:rPr>
            </w:pPr>
            <w:r>
              <w:rPr>
                <w:rFonts w:eastAsia="Times New Roman"/>
                <w:color w:val="000000"/>
                <w:lang w:eastAsia="en-AU"/>
              </w:rPr>
              <w:t>0.8</w:t>
            </w:r>
          </w:p>
        </w:tc>
        <w:tc>
          <w:tcPr>
            <w:tcW w:w="1560" w:type="dxa"/>
            <w:tcBorders>
              <w:bottom w:val="single" w:sz="4" w:space="0" w:color="FFFFFF" w:themeColor="background1"/>
              <w:right w:val="nil"/>
            </w:tcBorders>
            <w:noWrap/>
            <w:hideMark/>
          </w:tcPr>
          <w:p w:rsidR="005E7ABE" w:rsidRPr="00892ABE" w:rsidRDefault="005E7ABE" w:rsidP="00535DAB">
            <w:pPr>
              <w:spacing w:before="0" w:after="0" w:line="240" w:lineRule="auto"/>
              <w:ind w:right="318"/>
              <w:jc w:val="right"/>
              <w:cnfStyle w:val="000000100000"/>
              <w:rPr>
                <w:rFonts w:eastAsia="Times New Roman"/>
                <w:color w:val="000000"/>
                <w:lang w:eastAsia="en-AU"/>
              </w:rPr>
            </w:pPr>
            <w:r>
              <w:rPr>
                <w:rFonts w:eastAsia="Times New Roman"/>
                <w:color w:val="000000"/>
                <w:lang w:eastAsia="en-AU"/>
              </w:rPr>
              <w:t>0.26</w:t>
            </w:r>
          </w:p>
        </w:tc>
      </w:tr>
      <w:tr w:rsidR="005E7ABE" w:rsidRPr="00892ABE" w:rsidTr="00857DF8">
        <w:trPr>
          <w:cnfStyle w:val="000000010000"/>
          <w:trHeight w:val="300"/>
        </w:trPr>
        <w:tc>
          <w:tcPr>
            <w:cnfStyle w:val="001000000000"/>
            <w:tcW w:w="2268" w:type="dxa"/>
            <w:noWrap/>
            <w:hideMark/>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5-20</w:t>
            </w:r>
            <w:r w:rsidR="0005005A">
              <w:rPr>
                <w:rFonts w:eastAsia="Times New Roman"/>
                <w:lang w:eastAsia="en-AU"/>
              </w:rPr>
              <w:t xml:space="preserve"> kg</w:t>
            </w:r>
          </w:p>
        </w:tc>
        <w:tc>
          <w:tcPr>
            <w:tcW w:w="1701" w:type="dxa"/>
            <w:noWrap/>
            <w:hideMark/>
          </w:tcPr>
          <w:p w:rsidR="005E7ABE" w:rsidRPr="00892ABE" w:rsidRDefault="005E7ABE" w:rsidP="00535DAB">
            <w:pPr>
              <w:tabs>
                <w:tab w:val="left" w:pos="1452"/>
              </w:tabs>
              <w:spacing w:before="0" w:after="0" w:line="240" w:lineRule="auto"/>
              <w:ind w:right="459"/>
              <w:jc w:val="right"/>
              <w:cnfStyle w:val="000000010000"/>
              <w:rPr>
                <w:rFonts w:eastAsia="Times New Roman"/>
                <w:color w:val="000000"/>
                <w:lang w:eastAsia="en-AU"/>
              </w:rPr>
            </w:pPr>
            <w:r>
              <w:rPr>
                <w:rFonts w:eastAsia="Times New Roman"/>
                <w:color w:val="000000"/>
                <w:lang w:eastAsia="en-AU"/>
              </w:rPr>
              <w:t>78.0</w:t>
            </w:r>
          </w:p>
        </w:tc>
        <w:tc>
          <w:tcPr>
            <w:tcW w:w="1560" w:type="dxa"/>
            <w:tcBorders>
              <w:bottom w:val="single" w:sz="4" w:space="0" w:color="FFFFFF" w:themeColor="background1"/>
              <w:right w:val="nil"/>
            </w:tcBorders>
            <w:noWrap/>
            <w:hideMark/>
          </w:tcPr>
          <w:p w:rsidR="005E7ABE" w:rsidRPr="00892ABE" w:rsidRDefault="005E7ABE" w:rsidP="00535DAB">
            <w:pPr>
              <w:spacing w:before="0" w:after="0" w:line="240" w:lineRule="auto"/>
              <w:ind w:right="318"/>
              <w:jc w:val="right"/>
              <w:cnfStyle w:val="000000010000"/>
              <w:rPr>
                <w:rFonts w:eastAsia="Times New Roman"/>
                <w:color w:val="000000"/>
                <w:lang w:eastAsia="en-AU"/>
              </w:rPr>
            </w:pPr>
            <w:r>
              <w:rPr>
                <w:rFonts w:eastAsia="Times New Roman"/>
                <w:color w:val="000000"/>
                <w:lang w:eastAsia="en-AU"/>
              </w:rPr>
              <w:t>5.36</w:t>
            </w:r>
          </w:p>
        </w:tc>
      </w:tr>
      <w:tr w:rsidR="005E7ABE" w:rsidRPr="00892ABE" w:rsidTr="00857DF8">
        <w:trPr>
          <w:cnfStyle w:val="000000100000"/>
          <w:trHeight w:val="300"/>
        </w:trPr>
        <w:tc>
          <w:tcPr>
            <w:cnfStyle w:val="001000000000"/>
            <w:tcW w:w="2268" w:type="dxa"/>
            <w:noWrap/>
            <w:hideMark/>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20-50</w:t>
            </w:r>
            <w:r w:rsidR="0005005A">
              <w:rPr>
                <w:rFonts w:eastAsia="Times New Roman"/>
                <w:lang w:eastAsia="en-AU"/>
              </w:rPr>
              <w:t xml:space="preserve"> kg</w:t>
            </w:r>
          </w:p>
        </w:tc>
        <w:tc>
          <w:tcPr>
            <w:tcW w:w="1701" w:type="dxa"/>
            <w:noWrap/>
            <w:hideMark/>
          </w:tcPr>
          <w:p w:rsidR="005E7ABE" w:rsidRPr="00892ABE" w:rsidRDefault="005E7ABE" w:rsidP="00535DAB">
            <w:pPr>
              <w:tabs>
                <w:tab w:val="left" w:pos="1452"/>
              </w:tabs>
              <w:spacing w:before="0" w:after="0" w:line="240" w:lineRule="auto"/>
              <w:ind w:right="459"/>
              <w:jc w:val="right"/>
              <w:cnfStyle w:val="000000100000"/>
              <w:rPr>
                <w:rFonts w:eastAsia="Times New Roman"/>
                <w:color w:val="000000"/>
                <w:lang w:eastAsia="en-AU"/>
              </w:rPr>
            </w:pPr>
            <w:r>
              <w:rPr>
                <w:rFonts w:eastAsia="Times New Roman"/>
                <w:color w:val="000000"/>
                <w:lang w:eastAsia="en-AU"/>
              </w:rPr>
              <w:t>51.1</w:t>
            </w:r>
          </w:p>
        </w:tc>
        <w:tc>
          <w:tcPr>
            <w:tcW w:w="1560" w:type="dxa"/>
            <w:tcBorders>
              <w:bottom w:val="single" w:sz="4" w:space="0" w:color="FFFFFF" w:themeColor="background1"/>
              <w:right w:val="nil"/>
            </w:tcBorders>
            <w:noWrap/>
            <w:hideMark/>
          </w:tcPr>
          <w:p w:rsidR="005E7ABE" w:rsidRPr="00892ABE" w:rsidRDefault="00514A1F" w:rsidP="00535DAB">
            <w:pPr>
              <w:spacing w:before="0" w:after="0" w:line="240" w:lineRule="auto"/>
              <w:ind w:right="318"/>
              <w:jc w:val="right"/>
              <w:cnfStyle w:val="000000100000"/>
              <w:rPr>
                <w:rFonts w:eastAsia="Times New Roman"/>
                <w:color w:val="000000"/>
                <w:lang w:eastAsia="en-AU"/>
              </w:rPr>
            </w:pPr>
            <w:r>
              <w:rPr>
                <w:rFonts w:eastAsia="Times New Roman"/>
                <w:color w:val="000000"/>
                <w:lang w:eastAsia="en-AU"/>
              </w:rPr>
              <w:t>5.36</w:t>
            </w:r>
          </w:p>
        </w:tc>
      </w:tr>
      <w:tr w:rsidR="005E7ABE" w:rsidRPr="00892ABE" w:rsidTr="00857DF8">
        <w:trPr>
          <w:cnfStyle w:val="000000010000"/>
          <w:trHeight w:val="300"/>
        </w:trPr>
        <w:tc>
          <w:tcPr>
            <w:cnfStyle w:val="001000000000"/>
            <w:tcW w:w="2268" w:type="dxa"/>
            <w:noWrap/>
            <w:hideMark/>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50-100</w:t>
            </w:r>
            <w:r w:rsidR="0005005A">
              <w:rPr>
                <w:rFonts w:eastAsia="Times New Roman"/>
                <w:lang w:eastAsia="en-AU"/>
              </w:rPr>
              <w:t xml:space="preserve"> kg</w:t>
            </w:r>
          </w:p>
        </w:tc>
        <w:tc>
          <w:tcPr>
            <w:tcW w:w="1701" w:type="dxa"/>
            <w:noWrap/>
            <w:hideMark/>
          </w:tcPr>
          <w:p w:rsidR="005E7ABE" w:rsidRPr="00892ABE" w:rsidRDefault="005E7ABE" w:rsidP="00535DAB">
            <w:pPr>
              <w:tabs>
                <w:tab w:val="left" w:pos="1452"/>
              </w:tabs>
              <w:spacing w:before="0" w:after="0" w:line="240" w:lineRule="auto"/>
              <w:ind w:right="459"/>
              <w:jc w:val="right"/>
              <w:cnfStyle w:val="000000010000"/>
              <w:rPr>
                <w:rFonts w:eastAsia="Times New Roman"/>
                <w:color w:val="000000"/>
                <w:lang w:eastAsia="en-AU"/>
              </w:rPr>
            </w:pPr>
            <w:r>
              <w:rPr>
                <w:rFonts w:eastAsia="Times New Roman"/>
                <w:color w:val="000000"/>
                <w:lang w:eastAsia="en-AU"/>
              </w:rPr>
              <w:t>4.6</w:t>
            </w:r>
          </w:p>
        </w:tc>
        <w:tc>
          <w:tcPr>
            <w:tcW w:w="1560" w:type="dxa"/>
            <w:tcBorders>
              <w:bottom w:val="single" w:sz="4" w:space="0" w:color="FFFFFF" w:themeColor="background1"/>
              <w:right w:val="nil"/>
            </w:tcBorders>
            <w:noWrap/>
            <w:hideMark/>
          </w:tcPr>
          <w:p w:rsidR="005E7ABE" w:rsidRPr="00892ABE" w:rsidRDefault="005E7ABE" w:rsidP="00535DAB">
            <w:pPr>
              <w:spacing w:before="0" w:after="0" w:line="240" w:lineRule="auto"/>
              <w:ind w:right="318"/>
              <w:jc w:val="right"/>
              <w:cnfStyle w:val="000000010000"/>
              <w:rPr>
                <w:rFonts w:eastAsia="Times New Roman"/>
                <w:color w:val="000000"/>
                <w:lang w:eastAsia="en-AU"/>
              </w:rPr>
            </w:pPr>
            <w:r>
              <w:rPr>
                <w:rFonts w:eastAsia="Times New Roman"/>
                <w:color w:val="000000"/>
                <w:lang w:eastAsia="en-AU"/>
              </w:rPr>
              <w:t>0.02</w:t>
            </w:r>
          </w:p>
        </w:tc>
      </w:tr>
      <w:tr w:rsidR="005E7ABE" w:rsidRPr="00892ABE" w:rsidTr="00857DF8">
        <w:trPr>
          <w:cnfStyle w:val="000000100000"/>
          <w:trHeight w:val="300"/>
        </w:trPr>
        <w:tc>
          <w:tcPr>
            <w:cnfStyle w:val="001000000000"/>
            <w:tcW w:w="2268" w:type="dxa"/>
            <w:noWrap/>
          </w:tcPr>
          <w:p w:rsidR="005E7ABE" w:rsidRPr="007751D8" w:rsidRDefault="005E7ABE" w:rsidP="00DA65C1">
            <w:pPr>
              <w:spacing w:before="0" w:after="0" w:line="240" w:lineRule="auto"/>
              <w:rPr>
                <w:rFonts w:eastAsia="Times New Roman"/>
                <w:lang w:eastAsia="en-AU"/>
              </w:rPr>
            </w:pPr>
            <w:r w:rsidRPr="007751D8">
              <w:rPr>
                <w:rFonts w:eastAsia="Times New Roman"/>
                <w:lang w:eastAsia="en-AU"/>
              </w:rPr>
              <w:t>100-3000</w:t>
            </w:r>
            <w:r w:rsidR="0005005A">
              <w:rPr>
                <w:rFonts w:eastAsia="Times New Roman"/>
                <w:lang w:eastAsia="en-AU"/>
              </w:rPr>
              <w:t xml:space="preserve"> kg</w:t>
            </w:r>
          </w:p>
        </w:tc>
        <w:tc>
          <w:tcPr>
            <w:tcW w:w="1701" w:type="dxa"/>
            <w:noWrap/>
          </w:tcPr>
          <w:p w:rsidR="005E7ABE" w:rsidRPr="00892ABE" w:rsidRDefault="005E7ABE" w:rsidP="00535DAB">
            <w:pPr>
              <w:tabs>
                <w:tab w:val="left" w:pos="1452"/>
              </w:tabs>
              <w:spacing w:before="0" w:after="0" w:line="240" w:lineRule="auto"/>
              <w:ind w:right="459"/>
              <w:jc w:val="right"/>
              <w:cnfStyle w:val="000000100000"/>
              <w:rPr>
                <w:rFonts w:eastAsia="Times New Roman"/>
                <w:color w:val="000000"/>
                <w:lang w:eastAsia="en-AU"/>
              </w:rPr>
            </w:pPr>
            <w:r>
              <w:rPr>
                <w:rFonts w:eastAsia="Times New Roman"/>
                <w:color w:val="000000"/>
                <w:lang w:eastAsia="en-AU"/>
              </w:rPr>
              <w:t>0</w:t>
            </w:r>
          </w:p>
        </w:tc>
        <w:tc>
          <w:tcPr>
            <w:tcW w:w="1560" w:type="dxa"/>
            <w:tcBorders>
              <w:bottom w:val="single" w:sz="4" w:space="0" w:color="FFFFFF" w:themeColor="background1"/>
              <w:right w:val="nil"/>
            </w:tcBorders>
            <w:noWrap/>
          </w:tcPr>
          <w:p w:rsidR="005E7ABE" w:rsidRPr="00892ABE" w:rsidRDefault="005E7ABE" w:rsidP="00535DAB">
            <w:pPr>
              <w:spacing w:before="0" w:after="0" w:line="240" w:lineRule="auto"/>
              <w:ind w:right="318"/>
              <w:jc w:val="right"/>
              <w:cnfStyle w:val="000000100000"/>
              <w:rPr>
                <w:rFonts w:eastAsia="Times New Roman"/>
                <w:color w:val="000000"/>
                <w:lang w:eastAsia="en-AU"/>
              </w:rPr>
            </w:pPr>
            <w:r>
              <w:rPr>
                <w:rFonts w:eastAsia="Times New Roman"/>
                <w:color w:val="000000"/>
                <w:lang w:eastAsia="en-AU"/>
              </w:rPr>
              <w:t>0</w:t>
            </w:r>
          </w:p>
        </w:tc>
      </w:tr>
      <w:tr w:rsidR="005E7ABE" w:rsidRPr="0005005A" w:rsidTr="00857DF8">
        <w:trPr>
          <w:cnfStyle w:val="000000010000"/>
          <w:trHeight w:val="300"/>
        </w:trPr>
        <w:tc>
          <w:tcPr>
            <w:cnfStyle w:val="001000000000"/>
            <w:tcW w:w="2268" w:type="dxa"/>
            <w:noWrap/>
          </w:tcPr>
          <w:p w:rsidR="005E7ABE" w:rsidRPr="0005005A" w:rsidRDefault="002C61A0" w:rsidP="00DA65C1">
            <w:pPr>
              <w:spacing w:before="0" w:after="0" w:line="240" w:lineRule="auto"/>
              <w:rPr>
                <w:rFonts w:eastAsia="Times New Roman"/>
                <w:b/>
                <w:lang w:eastAsia="en-AU"/>
              </w:rPr>
            </w:pPr>
            <w:r w:rsidRPr="0005005A">
              <w:rPr>
                <w:rFonts w:eastAsia="Times New Roman"/>
                <w:b/>
                <w:lang w:eastAsia="en-AU"/>
              </w:rPr>
              <w:t>TOTAL</w:t>
            </w:r>
          </w:p>
        </w:tc>
        <w:tc>
          <w:tcPr>
            <w:tcW w:w="1701" w:type="dxa"/>
            <w:noWrap/>
          </w:tcPr>
          <w:p w:rsidR="005E7ABE" w:rsidRPr="0005005A" w:rsidRDefault="005E7ABE" w:rsidP="00535DAB">
            <w:pPr>
              <w:tabs>
                <w:tab w:val="left" w:pos="1452"/>
              </w:tabs>
              <w:spacing w:before="0" w:after="0" w:line="240" w:lineRule="auto"/>
              <w:ind w:right="459"/>
              <w:jc w:val="right"/>
              <w:cnfStyle w:val="000000010000"/>
              <w:rPr>
                <w:rFonts w:eastAsia="Times New Roman"/>
                <w:b/>
                <w:color w:val="000000"/>
                <w:lang w:eastAsia="en-AU"/>
              </w:rPr>
            </w:pPr>
            <w:r w:rsidRPr="0005005A">
              <w:rPr>
                <w:rFonts w:eastAsia="Times New Roman"/>
                <w:b/>
                <w:color w:val="000000"/>
                <w:lang w:eastAsia="en-AU"/>
              </w:rPr>
              <w:t>135.8</w:t>
            </w:r>
          </w:p>
        </w:tc>
        <w:tc>
          <w:tcPr>
            <w:tcW w:w="1560" w:type="dxa"/>
            <w:tcBorders>
              <w:right w:val="nil"/>
            </w:tcBorders>
            <w:noWrap/>
          </w:tcPr>
          <w:p w:rsidR="005E7ABE" w:rsidRPr="0005005A" w:rsidRDefault="00514A1F" w:rsidP="00535DAB">
            <w:pPr>
              <w:spacing w:before="0" w:after="0" w:line="240" w:lineRule="auto"/>
              <w:ind w:right="318"/>
              <w:jc w:val="right"/>
              <w:cnfStyle w:val="000000010000"/>
              <w:rPr>
                <w:rFonts w:eastAsia="Times New Roman"/>
                <w:b/>
                <w:color w:val="000000"/>
                <w:lang w:eastAsia="en-AU"/>
              </w:rPr>
            </w:pPr>
            <w:r w:rsidRPr="0005005A">
              <w:rPr>
                <w:rFonts w:eastAsia="Times New Roman"/>
                <w:b/>
                <w:color w:val="000000"/>
                <w:lang w:eastAsia="en-AU"/>
              </w:rPr>
              <w:t>9.28</w:t>
            </w:r>
          </w:p>
        </w:tc>
      </w:tr>
    </w:tbl>
    <w:p w:rsidR="005E7ABE" w:rsidRDefault="005E7ABE" w:rsidP="00DA65C1"/>
    <w:p w:rsidR="001121E5" w:rsidRPr="001121E5" w:rsidRDefault="001121E5" w:rsidP="00DA65C1">
      <w:pPr>
        <w:pStyle w:val="Heading3"/>
      </w:pPr>
      <w:bookmarkStart w:id="20" w:name="_Toc390444579"/>
      <w:r>
        <w:t xml:space="preserve">ABS </w:t>
      </w:r>
      <w:r w:rsidR="00E27493">
        <w:t xml:space="preserve">(2013) </w:t>
      </w:r>
      <w:r>
        <w:t>data</w:t>
      </w:r>
      <w:bookmarkEnd w:id="20"/>
    </w:p>
    <w:p w:rsidR="00BA7FC5" w:rsidRDefault="006F1F5E" w:rsidP="009F6C1E">
      <w:pPr>
        <w:spacing w:after="60"/>
        <w:jc w:val="left"/>
      </w:pPr>
      <w:r>
        <w:t>The</w:t>
      </w:r>
      <w:r w:rsidR="00BA7FC5">
        <w:t xml:space="preserve"> ABS </w:t>
      </w:r>
      <w:r w:rsidR="00CC2467">
        <w:t xml:space="preserve">(2013) </w:t>
      </w:r>
      <w:r w:rsidR="00BA7FC5">
        <w:t xml:space="preserve">data </w:t>
      </w:r>
      <w:r w:rsidR="00CC2467">
        <w:t xml:space="preserve">(FYE 2009/10) </w:t>
      </w:r>
      <w:r>
        <w:t xml:space="preserve">was examined </w:t>
      </w:r>
      <w:r w:rsidR="00BA7FC5">
        <w:t>in close detail to</w:t>
      </w:r>
      <w:r>
        <w:t xml:space="preserve"> attempt to find irregularities. Several</w:t>
      </w:r>
      <w:r w:rsidR="00BA7FC5">
        <w:t xml:space="preserve"> </w:t>
      </w:r>
      <w:r w:rsidR="001121E5">
        <w:t xml:space="preserve">issues </w:t>
      </w:r>
      <w:r>
        <w:t>were identified including</w:t>
      </w:r>
      <w:r w:rsidR="001121E5">
        <w:t>:</w:t>
      </w:r>
    </w:p>
    <w:p w:rsidR="001121E5" w:rsidRDefault="001121E5" w:rsidP="009F6C1E">
      <w:pPr>
        <w:pStyle w:val="ListParagraph"/>
        <w:numPr>
          <w:ilvl w:val="0"/>
          <w:numId w:val="10"/>
        </w:numPr>
        <w:spacing w:after="60"/>
        <w:contextualSpacing w:val="0"/>
        <w:jc w:val="left"/>
      </w:pPr>
      <w:r>
        <w:t>Confusing category codes</w:t>
      </w:r>
    </w:p>
    <w:p w:rsidR="001121E5" w:rsidRDefault="001121E5" w:rsidP="009F6C1E">
      <w:pPr>
        <w:pStyle w:val="ListParagraph"/>
        <w:numPr>
          <w:ilvl w:val="0"/>
          <w:numId w:val="10"/>
        </w:numPr>
        <w:spacing w:after="60"/>
        <w:contextualSpacing w:val="0"/>
        <w:jc w:val="left"/>
      </w:pPr>
      <w:r>
        <w:t>Possibly incorrect units</w:t>
      </w:r>
    </w:p>
    <w:p w:rsidR="001121E5" w:rsidRDefault="001121E5" w:rsidP="009F6C1E">
      <w:pPr>
        <w:pStyle w:val="ListParagraph"/>
        <w:numPr>
          <w:ilvl w:val="0"/>
          <w:numId w:val="10"/>
        </w:numPr>
        <w:contextualSpacing w:val="0"/>
        <w:jc w:val="left"/>
      </w:pPr>
      <w:r>
        <w:t>Duplicate records in the dataset</w:t>
      </w:r>
    </w:p>
    <w:p w:rsidR="001121E5" w:rsidRDefault="001121E5" w:rsidP="009F6C1E">
      <w:pPr>
        <w:jc w:val="left"/>
      </w:pPr>
      <w:r>
        <w:t xml:space="preserve">The first issue is the ABS categorisation of the </w:t>
      </w:r>
      <w:r w:rsidR="000042BA">
        <w:t>lead-acid</w:t>
      </w:r>
      <w:r>
        <w:t xml:space="preserve"> batteries is no</w:t>
      </w:r>
      <w:r w:rsidR="006F1F5E">
        <w:t>t clear, nor is it reflective of usage</w:t>
      </w:r>
      <w:r>
        <w:t xml:space="preserve">. For example, </w:t>
      </w:r>
      <w:r w:rsidRPr="00DD212A">
        <w:t xml:space="preserve">Warnken </w:t>
      </w:r>
      <w:r w:rsidR="006F1F5E" w:rsidRPr="00DD212A">
        <w:t xml:space="preserve">ISE (2010) </w:t>
      </w:r>
      <w:r w:rsidRPr="00DD212A">
        <w:t>assumed that “</w:t>
      </w:r>
      <w:r w:rsidRPr="00E07EC8">
        <w:rPr>
          <w:i/>
        </w:rPr>
        <w:t>8507200081 Lead-acid type electric accumulators (excl those of a kind used for starting piston engines, those used for traction purposes, and regulated seal valve types with capacity &gt; 65 amps/hr at C20)</w:t>
      </w:r>
      <w:r w:rsidRPr="00DD212A">
        <w:t xml:space="preserve">” referred to handheld batteries with a </w:t>
      </w:r>
      <w:r w:rsidR="0005005A">
        <w:t>mass</w:t>
      </w:r>
      <w:r w:rsidRPr="00DD212A">
        <w:t xml:space="preserve"> of less than 1 kg, however the median </w:t>
      </w:r>
      <w:r w:rsidR="0005005A">
        <w:t>mass</w:t>
      </w:r>
      <w:r w:rsidRPr="00DD212A">
        <w:t xml:space="preserve"> of batteries of this type is 10.6 kg</w:t>
      </w:r>
      <w:r>
        <w:t>. Similarly, “</w:t>
      </w:r>
      <w:r w:rsidRPr="00E07EC8">
        <w:rPr>
          <w:rFonts w:eastAsia="Times New Roman"/>
          <w:i/>
          <w:color w:val="000000"/>
          <w:lang w:eastAsia="en-AU"/>
        </w:rPr>
        <w:t>8507109090 Lead-acid accumulators; of a kind used for starting piston engines (excl those used as replacement components in passenger and other motor vehicles)</w:t>
      </w:r>
      <w:r>
        <w:rPr>
          <w:rFonts w:eastAsia="Times New Roman"/>
          <w:color w:val="000000"/>
          <w:lang w:eastAsia="en-AU"/>
        </w:rPr>
        <w:t xml:space="preserve">” has a median battery </w:t>
      </w:r>
      <w:r w:rsidR="0005005A">
        <w:rPr>
          <w:rFonts w:eastAsia="Times New Roman"/>
          <w:color w:val="000000"/>
          <w:lang w:eastAsia="en-AU"/>
        </w:rPr>
        <w:t>mass</w:t>
      </w:r>
      <w:r>
        <w:rPr>
          <w:rFonts w:eastAsia="Times New Roman"/>
          <w:color w:val="000000"/>
          <w:lang w:eastAsia="en-AU"/>
        </w:rPr>
        <w:t xml:space="preserve"> of only 3.8 kg, despite this category presumably referring to SLI batteries </w:t>
      </w:r>
      <w:r w:rsidR="009B5CAC">
        <w:rPr>
          <w:rFonts w:eastAsia="Times New Roman"/>
          <w:color w:val="000000"/>
          <w:lang w:eastAsia="en-AU"/>
        </w:rPr>
        <w:t>for</w:t>
      </w:r>
      <w:r>
        <w:rPr>
          <w:rFonts w:eastAsia="Times New Roman"/>
          <w:color w:val="000000"/>
          <w:lang w:eastAsia="en-AU"/>
        </w:rPr>
        <w:t xml:space="preserve"> specialist machinery. </w:t>
      </w:r>
    </w:p>
    <w:p w:rsidR="001121E5" w:rsidRDefault="001121E5" w:rsidP="009F6C1E">
      <w:pPr>
        <w:jc w:val="left"/>
      </w:pPr>
      <w:r w:rsidRPr="00E07EC8">
        <w:t xml:space="preserve">One of the possible reasons for the </w:t>
      </w:r>
      <w:r w:rsidR="0046706C" w:rsidRPr="00E07EC8">
        <w:t xml:space="preserve">above </w:t>
      </w:r>
      <w:r w:rsidRPr="00E07EC8">
        <w:t>discrepancies could be due to incorrect units being used in the ABS data. For example, one record for 50 batteries of type “</w:t>
      </w:r>
      <w:r w:rsidRPr="00E07EC8">
        <w:rPr>
          <w:rFonts w:eastAsia="Times New Roman" w:cs="Arial"/>
          <w:i/>
          <w:szCs w:val="20"/>
          <w:lang w:eastAsia="en-AU"/>
        </w:rPr>
        <w:t>8507109078 Lead-acid electric accumulators, of a kind used for starting piston engines for motor vehicles (excl those used as replacement components in passenger motor vehicles)</w:t>
      </w:r>
      <w:r w:rsidRPr="00E07EC8">
        <w:t xml:space="preserve">” had a gross </w:t>
      </w:r>
      <w:r w:rsidR="0005005A" w:rsidRPr="00E07EC8">
        <w:t>mass</w:t>
      </w:r>
      <w:r w:rsidRPr="00E07EC8">
        <w:t xml:space="preserve"> of 700 t, or 14 tonnes per battery. </w:t>
      </w:r>
      <w:r w:rsidR="002B6A41" w:rsidRPr="00E07EC8">
        <w:t>I</w:t>
      </w:r>
      <w:r w:rsidRPr="00E07EC8">
        <w:t xml:space="preserve">t </w:t>
      </w:r>
      <w:r w:rsidR="00013E1E" w:rsidRPr="00E07EC8">
        <w:t xml:space="preserve">is </w:t>
      </w:r>
      <w:r w:rsidRPr="00E07EC8">
        <w:t>considerably more likely that a battery used for starting a pis</w:t>
      </w:r>
      <w:r>
        <w:t xml:space="preserve">ton engine would be 14 kg rather than 14 tonnes. This issue in particular is difficult to quantify as </w:t>
      </w:r>
      <w:r w:rsidR="000042BA">
        <w:t>lead-acid</w:t>
      </w:r>
      <w:r>
        <w:t xml:space="preserve"> batteries come in a range of sizes from &lt;1 kg to up to 3t </w:t>
      </w:r>
      <w:r w:rsidR="006F1F5E">
        <w:t>(</w:t>
      </w:r>
      <w:r>
        <w:t>Warnken</w:t>
      </w:r>
      <w:r w:rsidR="006F1F5E">
        <w:t xml:space="preserve"> ISE</w:t>
      </w:r>
      <w:r>
        <w:t xml:space="preserve"> 2010</w:t>
      </w:r>
      <w:r w:rsidR="006F1F5E">
        <w:t>)</w:t>
      </w:r>
      <w:r>
        <w:t xml:space="preserve">. However the ISF has attempted to partially resolve this issue by removing any battery with an average </w:t>
      </w:r>
      <w:r w:rsidR="0005005A">
        <w:t>mass</w:t>
      </w:r>
      <w:r>
        <w:t xml:space="preserve"> of more than 3 t.</w:t>
      </w:r>
    </w:p>
    <w:p w:rsidR="001121E5" w:rsidRPr="009F6C1E" w:rsidRDefault="001121E5" w:rsidP="009F6C1E">
      <w:pPr>
        <w:pStyle w:val="Caption"/>
        <w:keepNext/>
        <w:spacing w:line="252" w:lineRule="auto"/>
        <w:jc w:val="left"/>
        <w:rPr>
          <w:b w:val="0"/>
        </w:rPr>
      </w:pPr>
      <w:r w:rsidRPr="009F6C1E">
        <w:rPr>
          <w:b w:val="0"/>
        </w:rPr>
        <w:lastRenderedPageBreak/>
        <w:t xml:space="preserve">Finally the ABS data appears to contain duplicate records. Specifically the categories used in the ABS dataset include 6 Statistical code levels and one HS code level </w:t>
      </w:r>
      <w:r w:rsidRPr="009F6C1E">
        <w:rPr>
          <w:rFonts w:eastAsia="Times New Roman"/>
          <w:b w:val="0"/>
          <w:color w:val="000000"/>
          <w:lang w:eastAsia="en-AU"/>
        </w:rPr>
        <w:t>(ABS</w:t>
      </w:r>
      <w:r w:rsidR="00BD31A2" w:rsidRPr="009F6C1E">
        <w:rPr>
          <w:rFonts w:eastAsia="Times New Roman"/>
          <w:b w:val="0"/>
          <w:color w:val="000000"/>
          <w:lang w:eastAsia="en-AU"/>
        </w:rPr>
        <w:t>, 2006</w:t>
      </w:r>
      <w:r w:rsidRPr="009F6C1E">
        <w:rPr>
          <w:rFonts w:eastAsia="Times New Roman"/>
          <w:b w:val="0"/>
          <w:color w:val="000000"/>
          <w:lang w:eastAsia="en-AU"/>
        </w:rPr>
        <w:t xml:space="preserve">). While some of the entries in the HS code level are unique (presumably because the raw data collated </w:t>
      </w:r>
      <w:r w:rsidR="006F1F5E" w:rsidRPr="009F6C1E">
        <w:rPr>
          <w:rFonts w:eastAsia="Times New Roman"/>
          <w:b w:val="0"/>
          <w:color w:val="000000"/>
          <w:lang w:eastAsia="en-AU"/>
        </w:rPr>
        <w:t xml:space="preserve">by ABS </w:t>
      </w:r>
      <w:r w:rsidRPr="009F6C1E">
        <w:rPr>
          <w:rFonts w:eastAsia="Times New Roman"/>
          <w:b w:val="0"/>
          <w:color w:val="000000"/>
          <w:lang w:eastAsia="en-AU"/>
        </w:rPr>
        <w:t xml:space="preserve">does not identify what Statistical code level the </w:t>
      </w:r>
      <w:r w:rsidR="000042BA" w:rsidRPr="009F6C1E">
        <w:rPr>
          <w:rFonts w:eastAsia="Times New Roman"/>
          <w:b w:val="0"/>
          <w:color w:val="000000"/>
          <w:lang w:eastAsia="en-AU"/>
        </w:rPr>
        <w:t>lead-acid</w:t>
      </w:r>
      <w:r w:rsidRPr="009F6C1E">
        <w:rPr>
          <w:rFonts w:eastAsia="Times New Roman"/>
          <w:b w:val="0"/>
          <w:color w:val="000000"/>
          <w:lang w:eastAsia="en-AU"/>
        </w:rPr>
        <w:t xml:space="preserve"> battery is), some of the HS code level category entries are replicated in a specific Statistical code level. As such, all HS code level categories that have a Statistical code level entry </w:t>
      </w:r>
      <w:r w:rsidR="006F1F5E" w:rsidRPr="009F6C1E">
        <w:rPr>
          <w:rFonts w:eastAsia="Times New Roman"/>
          <w:b w:val="0"/>
          <w:color w:val="000000"/>
          <w:lang w:eastAsia="en-AU"/>
        </w:rPr>
        <w:t>were removed from the dataset, reducing</w:t>
      </w:r>
      <w:r w:rsidRPr="009F6C1E">
        <w:rPr>
          <w:rFonts w:eastAsia="Times New Roman"/>
          <w:b w:val="0"/>
          <w:color w:val="000000"/>
          <w:lang w:eastAsia="en-AU"/>
        </w:rPr>
        <w:t xml:space="preserve"> the dataset by 1017 records</w:t>
      </w:r>
      <w:r w:rsidRPr="009F6C1E">
        <w:rPr>
          <w:b w:val="0"/>
        </w:rPr>
        <w:t xml:space="preserve">. The summary of the ABS dataset with the duplicates and records indicating battery </w:t>
      </w:r>
      <w:r w:rsidR="0005005A" w:rsidRPr="009F6C1E">
        <w:rPr>
          <w:b w:val="0"/>
        </w:rPr>
        <w:t>mas</w:t>
      </w:r>
      <w:r w:rsidRPr="009F6C1E">
        <w:rPr>
          <w:b w:val="0"/>
        </w:rPr>
        <w:t xml:space="preserve">s of greater than 3 tonnes removed is presented in </w:t>
      </w:r>
      <w:fldSimple w:instr=" REF _Ref379811300 \h  \* MERGEFORMAT ">
        <w:r w:rsidR="00697A48" w:rsidRPr="00697A48">
          <w:rPr>
            <w:b w:val="0"/>
          </w:rPr>
          <w:t xml:space="preserve">Figure </w:t>
        </w:r>
        <w:r w:rsidR="00697A48" w:rsidRPr="00697A48">
          <w:rPr>
            <w:b w:val="0"/>
            <w:noProof/>
          </w:rPr>
          <w:t>2</w:t>
        </w:r>
      </w:fldSimple>
      <w:r w:rsidR="0046706C" w:rsidRPr="009F6C1E">
        <w:rPr>
          <w:b w:val="0"/>
        </w:rPr>
        <w:t xml:space="preserve"> and </w:t>
      </w:r>
      <w:fldSimple w:instr=" REF _Ref379811321 \h  \* MERGEFORMAT ">
        <w:r w:rsidR="00697A48" w:rsidRPr="00697A48">
          <w:rPr>
            <w:b w:val="0"/>
          </w:rPr>
          <w:t xml:space="preserve">Figure </w:t>
        </w:r>
        <w:r w:rsidR="00697A48" w:rsidRPr="00697A48">
          <w:rPr>
            <w:b w:val="0"/>
            <w:noProof/>
          </w:rPr>
          <w:t>1</w:t>
        </w:r>
      </w:fldSimple>
      <w:r w:rsidR="0046706C" w:rsidRPr="009F6C1E">
        <w:rPr>
          <w:b w:val="0"/>
        </w:rPr>
        <w:t xml:space="preserve"> </w:t>
      </w:r>
      <w:r w:rsidR="00F134AB" w:rsidRPr="009F6C1E">
        <w:rPr>
          <w:b w:val="0"/>
        </w:rPr>
        <w:t xml:space="preserve">and </w:t>
      </w:r>
      <w:r w:rsidR="0046706C" w:rsidRPr="009F6C1E">
        <w:rPr>
          <w:b w:val="0"/>
        </w:rPr>
        <w:t xml:space="preserve">show </w:t>
      </w:r>
      <w:r w:rsidR="00F134AB" w:rsidRPr="009F6C1E">
        <w:rPr>
          <w:b w:val="0"/>
        </w:rPr>
        <w:t xml:space="preserve">the </w:t>
      </w:r>
      <w:r w:rsidR="0046706C" w:rsidRPr="009F6C1E">
        <w:rPr>
          <w:b w:val="0"/>
        </w:rPr>
        <w:t xml:space="preserve">imports by ABS category in counts and </w:t>
      </w:r>
      <w:r w:rsidR="0005005A" w:rsidRPr="009F6C1E">
        <w:rPr>
          <w:b w:val="0"/>
        </w:rPr>
        <w:t>mass</w:t>
      </w:r>
      <w:r w:rsidR="00BE44D1" w:rsidRPr="009F6C1E">
        <w:rPr>
          <w:b w:val="0"/>
        </w:rPr>
        <w:t>, respectively</w:t>
      </w:r>
      <w:r w:rsidR="0046706C" w:rsidRPr="009F6C1E">
        <w:rPr>
          <w:b w:val="0"/>
        </w:rPr>
        <w:t>. The data used to produce th</w:t>
      </w:r>
      <w:r w:rsidR="005E7ABE" w:rsidRPr="009F6C1E">
        <w:rPr>
          <w:b w:val="0"/>
        </w:rPr>
        <w:t xml:space="preserve">e plots are given in Appendix A, with the summary for the 2009/10 data shown in </w:t>
      </w:r>
      <w:fldSimple w:instr=" REF _Ref381017502 \h  \* MERGEFORMAT ">
        <w:r w:rsidR="00697A48" w:rsidRPr="00697A48">
          <w:rPr>
            <w:b w:val="0"/>
          </w:rPr>
          <w:t>Table</w:t>
        </w:r>
        <w:r w:rsidR="00697A48" w:rsidRPr="00697A48">
          <w:rPr>
            <w:b w:val="0"/>
            <w:noProof/>
          </w:rPr>
          <w:t xml:space="preserve"> 6</w:t>
        </w:r>
      </w:fldSimple>
      <w:r w:rsidR="009F6C1E" w:rsidRPr="009F6C1E">
        <w:rPr>
          <w:b w:val="0"/>
        </w:rPr>
        <w:t xml:space="preserve"> (overleaf).</w:t>
      </w:r>
    </w:p>
    <w:p w:rsidR="00BE44D1" w:rsidRDefault="00BE44D1" w:rsidP="00DA65C1">
      <w:r>
        <w:rPr>
          <w:noProof/>
          <w:lang w:eastAsia="en-AU"/>
        </w:rPr>
        <w:drawing>
          <wp:inline distT="0" distB="0" distL="0" distR="0">
            <wp:extent cx="4818490" cy="29260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5" t="1831" r="1732" b="1758"/>
                    <a:stretch/>
                  </pic:blipFill>
                  <pic:spPr bwMode="auto">
                    <a:xfrm>
                      <a:off x="0" y="0"/>
                      <a:ext cx="4839561" cy="293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44D1" w:rsidRDefault="00BE44D1" w:rsidP="009F6C1E">
      <w:pPr>
        <w:pStyle w:val="Caption"/>
        <w:spacing w:before="60" w:after="360"/>
      </w:pPr>
      <w:bookmarkStart w:id="21" w:name="_Ref379811321"/>
      <w:bookmarkStart w:id="22" w:name="_Toc381102100"/>
      <w:r>
        <w:t xml:space="preserve">Figure </w:t>
      </w:r>
      <w:r w:rsidR="007637BE">
        <w:fldChar w:fldCharType="begin"/>
      </w:r>
      <w:r>
        <w:instrText xml:space="preserve"> SEQ Figure \* ARABIC </w:instrText>
      </w:r>
      <w:r w:rsidR="007637BE">
        <w:fldChar w:fldCharType="separate"/>
      </w:r>
      <w:r w:rsidR="00697A48">
        <w:rPr>
          <w:noProof/>
        </w:rPr>
        <w:t>1</w:t>
      </w:r>
      <w:r w:rsidR="007637BE">
        <w:fldChar w:fldCharType="end"/>
      </w:r>
      <w:bookmarkEnd w:id="21"/>
      <w:r w:rsidR="00DA65C1">
        <w:t>:</w:t>
      </w:r>
      <w:r>
        <w:t xml:space="preserve"> Imports of lead-acid batteries calculated from ABS (2013) data (millions/y</w:t>
      </w:r>
      <w:r w:rsidR="00C65B16">
        <w:t>ear</w:t>
      </w:r>
      <w:r>
        <w:t>)</w:t>
      </w:r>
      <w:bookmarkEnd w:id="22"/>
    </w:p>
    <w:p w:rsidR="0046706C" w:rsidRDefault="00F134AB" w:rsidP="00DA65C1">
      <w:r>
        <w:rPr>
          <w:noProof/>
          <w:lang w:eastAsia="en-AU"/>
        </w:rPr>
        <w:drawing>
          <wp:inline distT="0" distB="0" distL="0" distR="0">
            <wp:extent cx="4905954" cy="296583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7" t="1547" r="638" b="2255"/>
                    <a:stretch/>
                  </pic:blipFill>
                  <pic:spPr bwMode="auto">
                    <a:xfrm>
                      <a:off x="0" y="0"/>
                      <a:ext cx="4916730" cy="29723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6706C" w:rsidRDefault="0046706C" w:rsidP="009F6C1E">
      <w:pPr>
        <w:pStyle w:val="Caption"/>
        <w:spacing w:before="60" w:after="360"/>
      </w:pPr>
      <w:bookmarkStart w:id="23" w:name="_Ref379811300"/>
      <w:bookmarkStart w:id="24" w:name="_Ref379811293"/>
      <w:bookmarkStart w:id="25" w:name="_Toc381102101"/>
      <w:r>
        <w:t xml:space="preserve">Figure </w:t>
      </w:r>
      <w:r w:rsidR="007637BE">
        <w:fldChar w:fldCharType="begin"/>
      </w:r>
      <w:r>
        <w:instrText xml:space="preserve"> SEQ Figure \* ARABIC </w:instrText>
      </w:r>
      <w:r w:rsidR="007637BE">
        <w:fldChar w:fldCharType="separate"/>
      </w:r>
      <w:r w:rsidR="00697A48">
        <w:rPr>
          <w:noProof/>
        </w:rPr>
        <w:t>2</w:t>
      </w:r>
      <w:r w:rsidR="007637BE">
        <w:fldChar w:fldCharType="end"/>
      </w:r>
      <w:bookmarkEnd w:id="23"/>
      <w:r w:rsidR="00DA65C1">
        <w:t>:</w:t>
      </w:r>
      <w:r>
        <w:t xml:space="preserve"> Imports of </w:t>
      </w:r>
      <w:r w:rsidR="000042BA">
        <w:t>lead-acid</w:t>
      </w:r>
      <w:r>
        <w:t xml:space="preserve"> batteries calculated from ABS</w:t>
      </w:r>
      <w:r w:rsidR="00F134AB">
        <w:t xml:space="preserve"> (2013)</w:t>
      </w:r>
      <w:r>
        <w:t xml:space="preserve"> data (</w:t>
      </w:r>
      <w:proofErr w:type="spellStart"/>
      <w:r>
        <w:t>kt</w:t>
      </w:r>
      <w:proofErr w:type="spellEnd"/>
      <w:r>
        <w:t>/y</w:t>
      </w:r>
      <w:r w:rsidR="00C65B16">
        <w:t>ear</w:t>
      </w:r>
      <w:r>
        <w:t>)</w:t>
      </w:r>
      <w:bookmarkEnd w:id="24"/>
      <w:bookmarkEnd w:id="25"/>
    </w:p>
    <w:p w:rsidR="001577F3" w:rsidRDefault="001577F3" w:rsidP="00DA65C1">
      <w:pPr>
        <w:pStyle w:val="Caption"/>
        <w:keepNext/>
      </w:pPr>
      <w:bookmarkStart w:id="26" w:name="_Ref381017502"/>
      <w:bookmarkStart w:id="27" w:name="_Toc381102097"/>
      <w:r>
        <w:lastRenderedPageBreak/>
        <w:t xml:space="preserve">Table </w:t>
      </w:r>
      <w:r w:rsidR="007637BE">
        <w:fldChar w:fldCharType="begin"/>
      </w:r>
      <w:r>
        <w:instrText xml:space="preserve"> SEQ Table \* ARABIC </w:instrText>
      </w:r>
      <w:r w:rsidR="007637BE">
        <w:fldChar w:fldCharType="separate"/>
      </w:r>
      <w:r w:rsidR="00697A48">
        <w:rPr>
          <w:noProof/>
        </w:rPr>
        <w:t>6</w:t>
      </w:r>
      <w:r w:rsidR="007637BE">
        <w:fldChar w:fldCharType="end"/>
      </w:r>
      <w:bookmarkEnd w:id="26"/>
      <w:r w:rsidR="00DA65C1">
        <w:t>:</w:t>
      </w:r>
      <w:r>
        <w:t xml:space="preserve"> ABS (2013) data </w:t>
      </w:r>
      <w:r w:rsidR="005E7ABE">
        <w:t>presented by</w:t>
      </w:r>
      <w:r>
        <w:t xml:space="preserve"> </w:t>
      </w:r>
      <w:r w:rsidR="0005005A">
        <w:t>mass</w:t>
      </w:r>
      <w:r>
        <w:t xml:space="preserve"> categories</w:t>
      </w:r>
      <w:bookmarkEnd w:id="27"/>
    </w:p>
    <w:tbl>
      <w:tblPr>
        <w:tblStyle w:val="ColorfulGrid1"/>
        <w:tblW w:w="5103" w:type="dxa"/>
        <w:tblInd w:w="108" w:type="dxa"/>
        <w:tblLook w:val="04A0"/>
      </w:tblPr>
      <w:tblGrid>
        <w:gridCol w:w="1985"/>
        <w:gridCol w:w="1417"/>
        <w:gridCol w:w="1701"/>
      </w:tblGrid>
      <w:tr w:rsidR="005E7ABE" w:rsidRPr="00892ABE" w:rsidTr="00A55BC4">
        <w:trPr>
          <w:cnfStyle w:val="100000000000"/>
          <w:trHeight w:val="300"/>
        </w:trPr>
        <w:tc>
          <w:tcPr>
            <w:cnfStyle w:val="001000000000"/>
            <w:tcW w:w="1985" w:type="dxa"/>
            <w:vMerge w:val="restart"/>
            <w:tcBorders>
              <w:left w:val="nil"/>
            </w:tcBorders>
            <w:noWrap/>
          </w:tcPr>
          <w:p w:rsidR="005E7ABE" w:rsidRPr="007751D8" w:rsidRDefault="00535DAB" w:rsidP="00DA65C1">
            <w:pPr>
              <w:spacing w:before="0" w:after="0" w:line="240" w:lineRule="auto"/>
              <w:rPr>
                <w:rFonts w:eastAsia="Times New Roman"/>
                <w:lang w:eastAsia="en-AU"/>
              </w:rPr>
            </w:pPr>
            <w:r>
              <w:rPr>
                <w:rFonts w:eastAsia="Times New Roman"/>
                <w:lang w:eastAsia="en-AU"/>
              </w:rPr>
              <w:t>Battery size</w:t>
            </w:r>
          </w:p>
        </w:tc>
        <w:tc>
          <w:tcPr>
            <w:tcW w:w="3118" w:type="dxa"/>
            <w:gridSpan w:val="2"/>
            <w:tcBorders>
              <w:right w:val="nil"/>
            </w:tcBorders>
          </w:tcPr>
          <w:p w:rsidR="005E7ABE" w:rsidRPr="007751D8" w:rsidRDefault="005E7ABE" w:rsidP="00DA65C1">
            <w:pPr>
              <w:spacing w:before="0" w:after="0" w:line="240" w:lineRule="auto"/>
              <w:cnfStyle w:val="100000000000"/>
              <w:rPr>
                <w:rFonts w:eastAsia="Times New Roman"/>
                <w:lang w:eastAsia="en-AU"/>
              </w:rPr>
            </w:pPr>
            <w:r w:rsidRPr="007751D8">
              <w:rPr>
                <w:rFonts w:eastAsia="Times New Roman"/>
                <w:lang w:eastAsia="en-AU"/>
              </w:rPr>
              <w:t>ABS (2013)</w:t>
            </w:r>
            <w:r>
              <w:rPr>
                <w:rFonts w:eastAsia="Times New Roman"/>
                <w:lang w:eastAsia="en-AU"/>
              </w:rPr>
              <w:t xml:space="preserve"> stand-alone imports</w:t>
            </w:r>
          </w:p>
        </w:tc>
      </w:tr>
      <w:tr w:rsidR="00535DAB" w:rsidRPr="00892ABE" w:rsidTr="00A55BC4">
        <w:trPr>
          <w:cnfStyle w:val="000000100000"/>
          <w:trHeight w:val="300"/>
        </w:trPr>
        <w:tc>
          <w:tcPr>
            <w:cnfStyle w:val="001000000000"/>
            <w:tcW w:w="1985" w:type="dxa"/>
            <w:vMerge/>
            <w:tcBorders>
              <w:bottom w:val="single" w:sz="4" w:space="0" w:color="FFFFFF" w:themeColor="background1"/>
            </w:tcBorders>
            <w:noWrap/>
            <w:hideMark/>
          </w:tcPr>
          <w:p w:rsidR="00535DAB" w:rsidRPr="007751D8" w:rsidRDefault="00535DAB" w:rsidP="00DA65C1">
            <w:pPr>
              <w:spacing w:before="0" w:after="0" w:line="240" w:lineRule="auto"/>
              <w:rPr>
                <w:rFonts w:eastAsia="Times New Roman"/>
                <w:lang w:eastAsia="en-AU"/>
              </w:rPr>
            </w:pPr>
          </w:p>
        </w:tc>
        <w:tc>
          <w:tcPr>
            <w:tcW w:w="1417" w:type="dxa"/>
            <w:shd w:val="clear" w:color="auto" w:fill="B1005D" w:themeFill="accent1"/>
          </w:tcPr>
          <w:p w:rsidR="00535DAB" w:rsidRDefault="00535DAB" w:rsidP="00697A48">
            <w:pPr>
              <w:spacing w:before="0" w:after="0" w:line="240" w:lineRule="auto"/>
              <w:jc w:val="center"/>
              <w:cnfStyle w:val="000000100000"/>
              <w:rPr>
                <w:rFonts w:eastAsia="Times New Roman"/>
                <w:color w:val="FFFFFF" w:themeColor="background1"/>
                <w:lang w:eastAsia="en-AU"/>
              </w:rPr>
            </w:pPr>
            <w:r>
              <w:rPr>
                <w:rFonts w:eastAsia="Times New Roman"/>
                <w:color w:val="FFFFFF" w:themeColor="background1"/>
                <w:lang w:eastAsia="en-AU"/>
              </w:rPr>
              <w:t>Mass</w:t>
            </w:r>
          </w:p>
          <w:p w:rsidR="00535DAB" w:rsidRPr="007751D8" w:rsidRDefault="00535DAB" w:rsidP="00697A48">
            <w:pPr>
              <w:spacing w:before="0" w:after="0" w:line="240" w:lineRule="auto"/>
              <w:jc w:val="center"/>
              <w:cnfStyle w:val="000000100000"/>
              <w:rPr>
                <w:rFonts w:eastAsia="Times New Roman"/>
                <w:color w:val="FFFFFF" w:themeColor="background1"/>
                <w:lang w:eastAsia="en-AU"/>
              </w:rPr>
            </w:pPr>
            <w:r w:rsidRPr="007751D8">
              <w:rPr>
                <w:rFonts w:eastAsia="Times New Roman"/>
                <w:color w:val="FFFFFF" w:themeColor="background1"/>
                <w:lang w:eastAsia="en-AU"/>
              </w:rPr>
              <w:t>(</w:t>
            </w:r>
            <w:proofErr w:type="spellStart"/>
            <w:r w:rsidRPr="007751D8">
              <w:rPr>
                <w:rFonts w:eastAsia="Times New Roman"/>
                <w:color w:val="FFFFFF" w:themeColor="background1"/>
                <w:lang w:eastAsia="en-AU"/>
              </w:rPr>
              <w:t>kt</w:t>
            </w:r>
            <w:proofErr w:type="spellEnd"/>
            <w:r w:rsidRPr="007751D8">
              <w:rPr>
                <w:rFonts w:eastAsia="Times New Roman"/>
                <w:color w:val="FFFFFF" w:themeColor="background1"/>
                <w:lang w:eastAsia="en-AU"/>
              </w:rPr>
              <w:t>)</w:t>
            </w:r>
          </w:p>
        </w:tc>
        <w:tc>
          <w:tcPr>
            <w:tcW w:w="1701" w:type="dxa"/>
            <w:tcBorders>
              <w:bottom w:val="single" w:sz="4" w:space="0" w:color="FFFFFF" w:themeColor="background1"/>
              <w:right w:val="nil"/>
            </w:tcBorders>
            <w:shd w:val="clear" w:color="auto" w:fill="B1005D" w:themeFill="accent1"/>
          </w:tcPr>
          <w:p w:rsidR="00535DAB" w:rsidRDefault="00535DAB" w:rsidP="00697A48">
            <w:pPr>
              <w:spacing w:before="0" w:after="0" w:line="240" w:lineRule="auto"/>
              <w:jc w:val="center"/>
              <w:cnfStyle w:val="000000100000"/>
              <w:rPr>
                <w:rFonts w:eastAsia="Times New Roman"/>
                <w:color w:val="FFFFFF" w:themeColor="background1"/>
                <w:lang w:eastAsia="en-AU"/>
              </w:rPr>
            </w:pPr>
            <w:r>
              <w:rPr>
                <w:rFonts w:eastAsia="Times New Roman"/>
                <w:color w:val="FFFFFF" w:themeColor="background1"/>
                <w:lang w:eastAsia="en-AU"/>
              </w:rPr>
              <w:t xml:space="preserve">Battery </w:t>
            </w:r>
            <w:r w:rsidRPr="007751D8">
              <w:rPr>
                <w:rFonts w:eastAsia="Times New Roman"/>
                <w:color w:val="FFFFFF" w:themeColor="background1"/>
                <w:lang w:eastAsia="en-AU"/>
              </w:rPr>
              <w:t>Count</w:t>
            </w:r>
          </w:p>
          <w:p w:rsidR="00535DAB" w:rsidRPr="0005005A" w:rsidRDefault="00535DAB" w:rsidP="00697A48">
            <w:pPr>
              <w:spacing w:before="0" w:after="0" w:line="240" w:lineRule="auto"/>
              <w:jc w:val="center"/>
              <w:cnfStyle w:val="000000100000"/>
              <w:rPr>
                <w:rFonts w:eastAsia="Times New Roman"/>
                <w:color w:val="FFFFFF" w:themeColor="background1"/>
                <w:vertAlign w:val="subscript"/>
                <w:lang w:eastAsia="en-AU"/>
              </w:rPr>
            </w:pPr>
            <w:r>
              <w:rPr>
                <w:rFonts w:eastAsia="Times New Roman"/>
                <w:color w:val="FFFFFF" w:themeColor="background1"/>
                <w:lang w:eastAsia="en-AU"/>
              </w:rPr>
              <w:t>(millions</w:t>
            </w:r>
            <w:r w:rsidRPr="0005005A">
              <w:rPr>
                <w:rFonts w:eastAsia="Times New Roman"/>
                <w:color w:val="FFFFFF" w:themeColor="background1"/>
                <w:lang w:eastAsia="en-AU"/>
              </w:rPr>
              <w:t>)</w:t>
            </w:r>
          </w:p>
        </w:tc>
      </w:tr>
      <w:tr w:rsidR="00E07EC8" w:rsidRPr="00892ABE" w:rsidTr="00A55BC4">
        <w:trPr>
          <w:cnfStyle w:val="000000010000"/>
          <w:trHeight w:val="300"/>
        </w:trPr>
        <w:tc>
          <w:tcPr>
            <w:cnfStyle w:val="001000000000"/>
            <w:tcW w:w="1985" w:type="dxa"/>
            <w:tcBorders>
              <w:top w:val="single" w:sz="4" w:space="0" w:color="FFFFFF" w:themeColor="background1"/>
            </w:tcBorders>
            <w:noWrap/>
            <w:hideMark/>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0-1</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010000"/>
              <w:rPr>
                <w:rFonts w:eastAsia="Times New Roman"/>
                <w:color w:val="000000"/>
                <w:lang w:eastAsia="en-AU"/>
              </w:rPr>
            </w:pPr>
            <w:r w:rsidRPr="009614A5">
              <w:rPr>
                <w:rFonts w:eastAsia="Times New Roman"/>
                <w:color w:val="000000"/>
                <w:lang w:eastAsia="en-AU"/>
              </w:rPr>
              <w:t>0.</w:t>
            </w:r>
            <w:r>
              <w:rPr>
                <w:rFonts w:eastAsia="Times New Roman"/>
                <w:color w:val="000000"/>
                <w:lang w:eastAsia="en-AU"/>
              </w:rPr>
              <w:t>2</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010000"/>
              <w:rPr>
                <w:rFonts w:eastAsia="Times New Roman"/>
                <w:color w:val="000000"/>
                <w:lang w:eastAsia="en-AU"/>
              </w:rPr>
            </w:pPr>
            <w:r>
              <w:rPr>
                <w:rFonts w:eastAsia="Times New Roman"/>
                <w:color w:val="000000"/>
                <w:lang w:eastAsia="en-AU"/>
              </w:rPr>
              <w:t>0.50</w:t>
            </w:r>
          </w:p>
        </w:tc>
      </w:tr>
      <w:tr w:rsidR="00E07EC8" w:rsidRPr="00892ABE" w:rsidTr="00857DF8">
        <w:trPr>
          <w:cnfStyle w:val="000000100000"/>
          <w:trHeight w:val="300"/>
        </w:trPr>
        <w:tc>
          <w:tcPr>
            <w:cnfStyle w:val="001000000000"/>
            <w:tcW w:w="1985" w:type="dxa"/>
            <w:noWrap/>
            <w:hideMark/>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1-5</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100000"/>
              <w:rPr>
                <w:rFonts w:eastAsia="Times New Roman"/>
                <w:color w:val="000000"/>
                <w:lang w:eastAsia="en-AU"/>
              </w:rPr>
            </w:pPr>
            <w:r>
              <w:rPr>
                <w:rFonts w:eastAsia="Times New Roman"/>
                <w:color w:val="000000"/>
                <w:lang w:eastAsia="en-AU"/>
              </w:rPr>
              <w:t>4.6</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10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2</w:t>
            </w:r>
            <w:r>
              <w:rPr>
                <w:rFonts w:eastAsia="Times New Roman"/>
                <w:color w:val="000000"/>
                <w:lang w:eastAsia="en-AU"/>
              </w:rPr>
              <w:t>3</w:t>
            </w:r>
          </w:p>
        </w:tc>
      </w:tr>
      <w:tr w:rsidR="00E07EC8" w:rsidRPr="00892ABE" w:rsidTr="00857DF8">
        <w:trPr>
          <w:cnfStyle w:val="000000010000"/>
          <w:trHeight w:val="300"/>
        </w:trPr>
        <w:tc>
          <w:tcPr>
            <w:cnfStyle w:val="001000000000"/>
            <w:tcW w:w="1985" w:type="dxa"/>
            <w:noWrap/>
            <w:hideMark/>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5-20</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010000"/>
              <w:rPr>
                <w:rFonts w:eastAsia="Times New Roman"/>
                <w:color w:val="000000"/>
                <w:lang w:eastAsia="en-AU"/>
              </w:rPr>
            </w:pPr>
            <w:r>
              <w:rPr>
                <w:rFonts w:eastAsia="Times New Roman"/>
                <w:color w:val="000000"/>
                <w:lang w:eastAsia="en-AU"/>
              </w:rPr>
              <w:t>76.5</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010000"/>
              <w:rPr>
                <w:rFonts w:eastAsia="Times New Roman"/>
                <w:color w:val="000000"/>
                <w:lang w:eastAsia="en-AU"/>
              </w:rPr>
            </w:pPr>
            <w:r w:rsidRPr="00D669E8">
              <w:rPr>
                <w:rFonts w:eastAsia="Times New Roman"/>
                <w:color w:val="000000"/>
                <w:lang w:eastAsia="en-AU"/>
              </w:rPr>
              <w:t>5</w:t>
            </w:r>
            <w:r>
              <w:rPr>
                <w:rFonts w:eastAsia="Times New Roman"/>
                <w:color w:val="000000"/>
                <w:lang w:eastAsia="en-AU"/>
              </w:rPr>
              <w:t>.</w:t>
            </w:r>
            <w:r w:rsidRPr="00D669E8">
              <w:rPr>
                <w:rFonts w:eastAsia="Times New Roman"/>
                <w:color w:val="000000"/>
                <w:lang w:eastAsia="en-AU"/>
              </w:rPr>
              <w:t>6</w:t>
            </w:r>
            <w:r>
              <w:rPr>
                <w:rFonts w:eastAsia="Times New Roman"/>
                <w:color w:val="000000"/>
                <w:lang w:eastAsia="en-AU"/>
              </w:rPr>
              <w:t>7</w:t>
            </w:r>
          </w:p>
        </w:tc>
      </w:tr>
      <w:tr w:rsidR="00E07EC8" w:rsidRPr="00892ABE" w:rsidTr="00857DF8">
        <w:trPr>
          <w:cnfStyle w:val="000000100000"/>
          <w:trHeight w:val="300"/>
        </w:trPr>
        <w:tc>
          <w:tcPr>
            <w:cnfStyle w:val="001000000000"/>
            <w:tcW w:w="1985" w:type="dxa"/>
            <w:noWrap/>
            <w:hideMark/>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20-50</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100000"/>
              <w:rPr>
                <w:rFonts w:eastAsia="Times New Roman"/>
                <w:color w:val="000000"/>
                <w:lang w:eastAsia="en-AU"/>
              </w:rPr>
            </w:pPr>
            <w:r>
              <w:rPr>
                <w:rFonts w:eastAsia="Times New Roman"/>
                <w:color w:val="000000"/>
                <w:lang w:eastAsia="en-AU"/>
              </w:rPr>
              <w:t>59.1</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100000"/>
              <w:rPr>
                <w:rFonts w:eastAsia="Times New Roman"/>
                <w:color w:val="000000"/>
                <w:lang w:eastAsia="en-AU"/>
              </w:rPr>
            </w:pPr>
            <w:r w:rsidRPr="00D669E8">
              <w:rPr>
                <w:rFonts w:eastAsia="Times New Roman"/>
                <w:color w:val="000000"/>
                <w:lang w:eastAsia="en-AU"/>
              </w:rPr>
              <w:t>2</w:t>
            </w:r>
            <w:r>
              <w:rPr>
                <w:rFonts w:eastAsia="Times New Roman"/>
                <w:color w:val="000000"/>
                <w:lang w:eastAsia="en-AU"/>
              </w:rPr>
              <w:t>.</w:t>
            </w:r>
            <w:r w:rsidRPr="00D669E8">
              <w:rPr>
                <w:rFonts w:eastAsia="Times New Roman"/>
                <w:color w:val="000000"/>
                <w:lang w:eastAsia="en-AU"/>
              </w:rPr>
              <w:t>28</w:t>
            </w:r>
          </w:p>
        </w:tc>
      </w:tr>
      <w:tr w:rsidR="00E07EC8" w:rsidRPr="00892ABE" w:rsidTr="00857DF8">
        <w:trPr>
          <w:cnfStyle w:val="000000010000"/>
          <w:trHeight w:val="300"/>
        </w:trPr>
        <w:tc>
          <w:tcPr>
            <w:cnfStyle w:val="001000000000"/>
            <w:tcW w:w="1985" w:type="dxa"/>
            <w:noWrap/>
            <w:hideMark/>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50-100</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010000"/>
              <w:rPr>
                <w:rFonts w:eastAsia="Times New Roman"/>
                <w:color w:val="000000"/>
                <w:lang w:eastAsia="en-AU"/>
              </w:rPr>
            </w:pPr>
            <w:r>
              <w:rPr>
                <w:rFonts w:eastAsia="Times New Roman"/>
                <w:color w:val="000000"/>
                <w:lang w:eastAsia="en-AU"/>
              </w:rPr>
              <w:t>3.9</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01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6</w:t>
            </w:r>
          </w:p>
        </w:tc>
      </w:tr>
      <w:tr w:rsidR="00E07EC8" w:rsidRPr="00892ABE" w:rsidTr="00857DF8">
        <w:trPr>
          <w:cnfStyle w:val="000000100000"/>
          <w:trHeight w:val="300"/>
        </w:trPr>
        <w:tc>
          <w:tcPr>
            <w:cnfStyle w:val="001000000000"/>
            <w:tcW w:w="1985" w:type="dxa"/>
            <w:noWrap/>
          </w:tcPr>
          <w:p w:rsidR="00E07EC8" w:rsidRPr="007751D8" w:rsidRDefault="00E07EC8" w:rsidP="00DA65C1">
            <w:pPr>
              <w:spacing w:before="0" w:after="0" w:line="240" w:lineRule="auto"/>
              <w:rPr>
                <w:rFonts w:eastAsia="Times New Roman"/>
                <w:lang w:eastAsia="en-AU"/>
              </w:rPr>
            </w:pPr>
            <w:r w:rsidRPr="007751D8">
              <w:rPr>
                <w:rFonts w:eastAsia="Times New Roman"/>
                <w:lang w:eastAsia="en-AU"/>
              </w:rPr>
              <w:t>100-3000</w:t>
            </w:r>
            <w:r w:rsidR="00535DAB">
              <w:rPr>
                <w:rFonts w:eastAsia="Times New Roman"/>
                <w:lang w:eastAsia="en-AU"/>
              </w:rPr>
              <w:t xml:space="preserve"> kg</w:t>
            </w:r>
          </w:p>
        </w:tc>
        <w:tc>
          <w:tcPr>
            <w:tcW w:w="1417" w:type="dxa"/>
          </w:tcPr>
          <w:p w:rsidR="00E07EC8" w:rsidRPr="00892ABE" w:rsidRDefault="00E07EC8" w:rsidP="00535DAB">
            <w:pPr>
              <w:spacing w:before="0" w:after="0" w:line="240" w:lineRule="auto"/>
              <w:ind w:right="317"/>
              <w:jc w:val="right"/>
              <w:cnfStyle w:val="000000100000"/>
              <w:rPr>
                <w:rFonts w:eastAsia="Times New Roman"/>
                <w:color w:val="000000"/>
                <w:lang w:eastAsia="en-AU"/>
              </w:rPr>
            </w:pPr>
            <w:r>
              <w:rPr>
                <w:rFonts w:eastAsia="Times New Roman"/>
                <w:color w:val="000000"/>
                <w:lang w:eastAsia="en-AU"/>
              </w:rPr>
              <w:t>2.2</w:t>
            </w:r>
          </w:p>
        </w:tc>
        <w:tc>
          <w:tcPr>
            <w:tcW w:w="1701" w:type="dxa"/>
            <w:tcBorders>
              <w:bottom w:val="single" w:sz="4" w:space="0" w:color="FFFFFF" w:themeColor="background1"/>
              <w:right w:val="nil"/>
            </w:tcBorders>
          </w:tcPr>
          <w:p w:rsidR="00E07EC8" w:rsidRPr="00892ABE" w:rsidRDefault="00E07EC8" w:rsidP="00535DAB">
            <w:pPr>
              <w:spacing w:before="0" w:after="0" w:line="240" w:lineRule="auto"/>
              <w:ind w:right="459"/>
              <w:jc w:val="right"/>
              <w:cnfStyle w:val="00000010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1</w:t>
            </w:r>
          </w:p>
        </w:tc>
      </w:tr>
      <w:tr w:rsidR="005E7ABE" w:rsidRPr="0005005A" w:rsidTr="00857DF8">
        <w:trPr>
          <w:cnfStyle w:val="000000010000"/>
          <w:trHeight w:val="300"/>
        </w:trPr>
        <w:tc>
          <w:tcPr>
            <w:cnfStyle w:val="001000000000"/>
            <w:tcW w:w="1985" w:type="dxa"/>
            <w:noWrap/>
          </w:tcPr>
          <w:p w:rsidR="005E7ABE" w:rsidRPr="0005005A" w:rsidRDefault="002C61A0" w:rsidP="00DA65C1">
            <w:pPr>
              <w:spacing w:before="0" w:after="0" w:line="240" w:lineRule="auto"/>
              <w:rPr>
                <w:rFonts w:eastAsia="Times New Roman"/>
                <w:b/>
                <w:lang w:eastAsia="en-AU"/>
              </w:rPr>
            </w:pPr>
            <w:r w:rsidRPr="0005005A">
              <w:rPr>
                <w:rFonts w:eastAsia="Times New Roman"/>
                <w:b/>
                <w:lang w:eastAsia="en-AU"/>
              </w:rPr>
              <w:t>TOTAL</w:t>
            </w:r>
          </w:p>
        </w:tc>
        <w:tc>
          <w:tcPr>
            <w:tcW w:w="1417" w:type="dxa"/>
          </w:tcPr>
          <w:p w:rsidR="005E7ABE" w:rsidRPr="0005005A" w:rsidRDefault="005E7ABE" w:rsidP="00535DAB">
            <w:pPr>
              <w:spacing w:before="0" w:after="0" w:line="240" w:lineRule="auto"/>
              <w:ind w:right="317"/>
              <w:jc w:val="right"/>
              <w:cnfStyle w:val="000000010000"/>
              <w:rPr>
                <w:rFonts w:eastAsia="Times New Roman"/>
                <w:b/>
                <w:color w:val="000000"/>
                <w:lang w:eastAsia="en-AU"/>
              </w:rPr>
            </w:pPr>
            <w:r w:rsidRPr="0005005A">
              <w:rPr>
                <w:rFonts w:eastAsia="Times New Roman"/>
                <w:b/>
                <w:color w:val="000000"/>
                <w:lang w:eastAsia="en-AU"/>
              </w:rPr>
              <w:t>146.4</w:t>
            </w:r>
          </w:p>
        </w:tc>
        <w:tc>
          <w:tcPr>
            <w:tcW w:w="1701" w:type="dxa"/>
            <w:tcBorders>
              <w:right w:val="nil"/>
            </w:tcBorders>
          </w:tcPr>
          <w:p w:rsidR="005E7ABE" w:rsidRPr="0005005A" w:rsidRDefault="005E7ABE" w:rsidP="00535DAB">
            <w:pPr>
              <w:spacing w:before="0" w:after="0" w:line="240" w:lineRule="auto"/>
              <w:ind w:right="459"/>
              <w:jc w:val="right"/>
              <w:cnfStyle w:val="000000010000"/>
              <w:rPr>
                <w:rFonts w:eastAsia="Times New Roman"/>
                <w:b/>
                <w:color w:val="000000"/>
                <w:lang w:eastAsia="en-AU"/>
              </w:rPr>
            </w:pPr>
            <w:r w:rsidRPr="0005005A">
              <w:rPr>
                <w:rFonts w:eastAsia="Times New Roman"/>
                <w:b/>
                <w:color w:val="000000"/>
                <w:lang w:eastAsia="en-AU"/>
              </w:rPr>
              <w:t>9.76</w:t>
            </w:r>
          </w:p>
        </w:tc>
      </w:tr>
    </w:tbl>
    <w:p w:rsidR="001577F3" w:rsidRPr="001577F3" w:rsidRDefault="001577F3" w:rsidP="00DA65C1"/>
    <w:p w:rsidR="001577F3" w:rsidRDefault="001577F3" w:rsidP="00DA65C1">
      <w:pPr>
        <w:pStyle w:val="Heading2"/>
      </w:pPr>
      <w:bookmarkStart w:id="28" w:name="_Toc390444580"/>
      <w:r>
        <w:t xml:space="preserve">Misalignments and </w:t>
      </w:r>
      <w:r w:rsidR="00535DAB">
        <w:t>errors</w:t>
      </w:r>
      <w:bookmarkEnd w:id="28"/>
    </w:p>
    <w:p w:rsidR="001577F3" w:rsidRPr="00966341" w:rsidRDefault="006D1C9F" w:rsidP="009F6C1E">
      <w:pPr>
        <w:jc w:val="left"/>
      </w:pPr>
      <w:r>
        <w:t>A</w:t>
      </w:r>
      <w:r w:rsidRPr="00966341">
        <w:t xml:space="preserve"> </w:t>
      </w:r>
      <w:r w:rsidR="001577F3" w:rsidRPr="00966341">
        <w:t xml:space="preserve">minor disagreement between the various data sources </w:t>
      </w:r>
      <w:r w:rsidRPr="00966341">
        <w:t>w</w:t>
      </w:r>
      <w:r>
        <w:t>as</w:t>
      </w:r>
      <w:r w:rsidRPr="00966341">
        <w:t xml:space="preserve"> </w:t>
      </w:r>
      <w:r w:rsidR="001577F3" w:rsidRPr="00966341">
        <w:t xml:space="preserve">identified: </w:t>
      </w:r>
    </w:p>
    <w:p w:rsidR="001577F3" w:rsidRDefault="001577F3" w:rsidP="000A6C66">
      <w:pPr>
        <w:pStyle w:val="ListParagraph"/>
        <w:numPr>
          <w:ilvl w:val="0"/>
          <w:numId w:val="18"/>
        </w:numPr>
        <w:spacing w:before="0" w:line="276" w:lineRule="auto"/>
        <w:ind w:left="927"/>
        <w:contextualSpacing w:val="0"/>
        <w:jc w:val="left"/>
      </w:pPr>
      <w:r>
        <w:t xml:space="preserve">A high </w:t>
      </w:r>
      <w:r w:rsidRPr="00966341">
        <w:t xml:space="preserve">estimate of lead-acid batteries entering the MSW stream from KMH Environmental (2013) relative to </w:t>
      </w:r>
      <w:r>
        <w:t>battery replacement</w:t>
      </w:r>
      <w:r w:rsidRPr="00966341">
        <w:t xml:space="preserve"> estimates from Warnken ISE (2010).</w:t>
      </w:r>
    </w:p>
    <w:p w:rsidR="001577F3" w:rsidRDefault="001577F3" w:rsidP="009F6C1E">
      <w:pPr>
        <w:jc w:val="left"/>
      </w:pPr>
      <w:r w:rsidRPr="00441554">
        <w:t xml:space="preserve">The issue related to the large relative size of the estimated quantity of lead-acid batteries in the MSW stream appears to stem from a simple error in the KMH Environmental (2013) estimate. In table 12 of the report, the mass of waste lead-acid </w:t>
      </w:r>
      <w:proofErr w:type="gramStart"/>
      <w:r w:rsidRPr="00441554">
        <w:t>batteries arising from households is</w:t>
      </w:r>
      <w:proofErr w:type="gramEnd"/>
      <w:r w:rsidRPr="00441554">
        <w:t xml:space="preserve"> listed as 4 kg per year, when according to the text of the report it should be 4% of 35 kg per year (1.4 kg per year).  Using the correct mass of annual lead-acid battery waste, the total annual load of batteries entering the MSW stream is about 12 </w:t>
      </w:r>
      <w:proofErr w:type="spellStart"/>
      <w:r w:rsidRPr="00441554">
        <w:t>kt</w:t>
      </w:r>
      <w:proofErr w:type="spellEnd"/>
      <w:r w:rsidRPr="00441554">
        <w:t xml:space="preserve"> per year, or 15% of total SLI and handheld batteries (the types of batteries that can enter the MSW stream) arising from Warnken ISE (2010). Warnken ISE (2010) estimates that do-it-yourself car battery replacements made up</w:t>
      </w:r>
      <w:r>
        <w:t xml:space="preserve"> </w:t>
      </w:r>
      <w:r w:rsidRPr="00441554">
        <w:t xml:space="preserve">30.8 </w:t>
      </w:r>
      <w:proofErr w:type="spellStart"/>
      <w:r w:rsidRPr="00441554">
        <w:t>kt</w:t>
      </w:r>
      <w:proofErr w:type="spellEnd"/>
      <w:r w:rsidRPr="00441554">
        <w:t xml:space="preserve"> </w:t>
      </w:r>
      <w:r>
        <w:t xml:space="preserve">(35%) </w:t>
      </w:r>
      <w:r w:rsidRPr="00441554">
        <w:t xml:space="preserve">of 85.7 </w:t>
      </w:r>
      <w:proofErr w:type="spellStart"/>
      <w:r w:rsidRPr="00441554">
        <w:t>kt</w:t>
      </w:r>
      <w:proofErr w:type="spellEnd"/>
      <w:r w:rsidRPr="00441554">
        <w:t xml:space="preserve"> SLI battery inputs.</w:t>
      </w:r>
      <w:r>
        <w:t xml:space="preserve"> Some fraction of this flow would be handled through commercial and industrial waste collection, since some do-it-yourself replacement would involve businesses replacing their car/truck fleet batteries, and a fraction ULABs from domestic vehicles being handed over to battery vendors. In addition, informal stockpiling would reduce the number of batteries entering the collected MSW stream.</w:t>
      </w:r>
    </w:p>
    <w:p w:rsidR="009F6C1E" w:rsidRDefault="009F6C1E">
      <w:pPr>
        <w:spacing w:before="0" w:after="0" w:line="240" w:lineRule="auto"/>
        <w:jc w:val="left"/>
        <w:rPr>
          <w:rFonts w:asciiTheme="majorHAnsi" w:eastAsia="Times New Roman" w:hAnsiTheme="majorHAnsi"/>
          <w:b/>
          <w:bCs/>
          <w:sz w:val="28"/>
        </w:rPr>
      </w:pPr>
      <w:r>
        <w:br w:type="page"/>
      </w:r>
    </w:p>
    <w:p w:rsidR="001577F3" w:rsidRDefault="001577F3" w:rsidP="00DA65C1">
      <w:pPr>
        <w:pStyle w:val="Heading2"/>
      </w:pPr>
      <w:bookmarkStart w:id="29" w:name="_Toc390444581"/>
      <w:r>
        <w:lastRenderedPageBreak/>
        <w:t>Comparison of Warnken ISE (2010) and ABS (2013) numbers</w:t>
      </w:r>
      <w:bookmarkEnd w:id="29"/>
    </w:p>
    <w:p w:rsidR="001577F3" w:rsidRDefault="007B7968" w:rsidP="00DA65C1">
      <w:pPr>
        <w:pStyle w:val="Heading3"/>
      </w:pPr>
      <w:bookmarkStart w:id="30" w:name="_Toc390444582"/>
      <w:r>
        <w:t>Methodology</w:t>
      </w:r>
      <w:bookmarkEnd w:id="30"/>
    </w:p>
    <w:p w:rsidR="007E1403" w:rsidRDefault="00953E69" w:rsidP="009F6C1E">
      <w:pPr>
        <w:jc w:val="left"/>
      </w:pPr>
      <w:r>
        <w:t>In order to c</w:t>
      </w:r>
      <w:r w:rsidR="007E1403">
        <w:t>ompar</w:t>
      </w:r>
      <w:r>
        <w:t>e</w:t>
      </w:r>
      <w:r w:rsidR="007E1403">
        <w:t xml:space="preserve"> ABS (2013) stand-alone imports with Warnken ISE (2010) inputs</w:t>
      </w:r>
      <w:r>
        <w:t xml:space="preserve"> a method of standardising the two streams will need to be found</w:t>
      </w:r>
      <w:r w:rsidR="007E1403">
        <w:t xml:space="preserve">. </w:t>
      </w:r>
      <w:r>
        <w:t>T</w:t>
      </w:r>
      <w:r w:rsidR="007E1403">
        <w:t xml:space="preserve">he following relationship </w:t>
      </w:r>
      <w:r>
        <w:t xml:space="preserve">presumably </w:t>
      </w:r>
      <w:r w:rsidR="007E1403">
        <w:t>exists between the two</w:t>
      </w:r>
      <w:r>
        <w:t xml:space="preserve"> datasets</w:t>
      </w:r>
      <w:r w:rsidR="007E1403">
        <w:t>:</w:t>
      </w:r>
    </w:p>
    <w:p w:rsidR="007E1403" w:rsidRDefault="00953E69" w:rsidP="009F6C1E">
      <w:pPr>
        <w:jc w:val="left"/>
      </w:pPr>
      <m:oMath>
        <m:r>
          <w:rPr>
            <w:rFonts w:ascii="Cambria Math" w:hAnsi="Cambria Math"/>
            <w:sz w:val="20"/>
            <w:szCs w:val="20"/>
          </w:rPr>
          <m:t xml:space="preserve">inputs= </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 xml:space="preserve">standalone </m:t>
                </m:r>
              </m:e>
              <m:e>
                <m:r>
                  <w:rPr>
                    <w:rFonts w:ascii="Cambria Math" w:hAnsi="Cambria Math"/>
                    <w:sz w:val="20"/>
                    <w:szCs w:val="20"/>
                  </w:rPr>
                  <m:t>imports</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 xml:space="preserve">embedded imports </m:t>
                </m:r>
              </m:e>
              <m:e>
                <m:r>
                  <w:rPr>
                    <w:rFonts w:ascii="Cambria Math" w:hAnsi="Cambria Math"/>
                    <w:sz w:val="20"/>
                    <w:szCs w:val="20"/>
                  </w:rPr>
                  <m:t>cars and trucks</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embedded imports</m:t>
                </m:r>
              </m:e>
              <m:e>
                <m:r>
                  <w:rPr>
                    <w:rFonts w:ascii="Cambria Math" w:hAnsi="Cambria Math"/>
                    <w:sz w:val="20"/>
                    <w:szCs w:val="20"/>
                  </w:rPr>
                  <m:t>other equipment</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domestic</m:t>
                </m:r>
              </m:e>
              <m:e>
                <m:r>
                  <w:rPr>
                    <w:rFonts w:ascii="Cambria Math" w:hAnsi="Cambria Math"/>
                    <w:sz w:val="20"/>
                    <w:szCs w:val="20"/>
                  </w:rPr>
                  <m:t>production</m:t>
                </m:r>
              </m:e>
            </m:eqArr>
          </m:e>
        </m:d>
        <m:r>
          <w:rPr>
            <w:rFonts w:ascii="Cambria Math" w:hAnsi="Cambria Math"/>
            <w:sz w:val="20"/>
            <w:szCs w:val="20"/>
          </w:rPr>
          <m:t>-exports</m:t>
        </m:r>
      </m:oMath>
      <w:r>
        <w:t xml:space="preserve"> </w:t>
      </w:r>
      <w:r w:rsidR="007E1403">
        <w:t>(1)</w:t>
      </w:r>
    </w:p>
    <w:p w:rsidR="004345D0" w:rsidRDefault="00953E69" w:rsidP="009F6C1E">
      <w:pPr>
        <w:jc w:val="left"/>
      </w:pPr>
      <w:r>
        <w:t xml:space="preserve">A </w:t>
      </w:r>
      <w:r w:rsidR="007E1403">
        <w:t xml:space="preserve">comparison between Warnken ISE (2010) numbers and ABS (2013) estimates for the same time period (2009/10) </w:t>
      </w:r>
      <w:r>
        <w:t xml:space="preserve">can be created by rearranging </w:t>
      </w:r>
      <w:r w:rsidR="007E1403">
        <w:t>equation 1 as:</w:t>
      </w:r>
    </w:p>
    <w:p w:rsidR="00D269BB" w:rsidRDefault="00953E69" w:rsidP="009F6C1E">
      <w:pPr>
        <w:jc w:val="left"/>
      </w:pPr>
      <m:oMath>
        <m:r>
          <w:rPr>
            <w:rFonts w:ascii="Cambria Math" w:hAnsi="Cambria Math"/>
            <w:sz w:val="20"/>
            <w:szCs w:val="20"/>
          </w:rPr>
          <m:t xml:space="preserve">inputs+exports- </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 xml:space="preserve">embedded imports </m:t>
                </m:r>
              </m:e>
              <m:e>
                <m:r>
                  <w:rPr>
                    <w:rFonts w:ascii="Cambria Math" w:hAnsi="Cambria Math"/>
                    <w:sz w:val="20"/>
                    <w:szCs w:val="20"/>
                  </w:rPr>
                  <m:t>cars and trucks</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 xml:space="preserve">standalone </m:t>
                </m:r>
              </m:e>
              <m:e>
                <m:r>
                  <w:rPr>
                    <w:rFonts w:ascii="Cambria Math" w:hAnsi="Cambria Math"/>
                    <w:sz w:val="20"/>
                    <w:szCs w:val="20"/>
                  </w:rPr>
                  <m:t>imports</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embedded imports</m:t>
                </m:r>
              </m:e>
              <m:e>
                <m:r>
                  <w:rPr>
                    <w:rFonts w:ascii="Cambria Math" w:hAnsi="Cambria Math"/>
                    <w:sz w:val="20"/>
                    <w:szCs w:val="20"/>
                  </w:rPr>
                  <m:t>other equipment</m:t>
                </m:r>
              </m:e>
            </m:eqArr>
          </m:e>
        </m:d>
        <m:r>
          <w:rPr>
            <w:rFonts w:ascii="Cambria Math" w:hAnsi="Cambria Math"/>
            <w:sz w:val="20"/>
            <w:szCs w:val="20"/>
          </w:rPr>
          <m:t>+</m:t>
        </m:r>
        <m:d>
          <m:dPr>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domestic</m:t>
                </m:r>
              </m:e>
              <m:e>
                <m:r>
                  <w:rPr>
                    <w:rFonts w:ascii="Cambria Math" w:hAnsi="Cambria Math"/>
                    <w:sz w:val="20"/>
                    <w:szCs w:val="20"/>
                  </w:rPr>
                  <m:t>prod</m:t>
                </m:r>
                <m:r>
                  <w:rPr>
                    <w:rFonts w:ascii="Cambria Math" w:hAnsi="Cambria Math"/>
                    <w:sz w:val="20"/>
                    <w:szCs w:val="20"/>
                  </w:rPr>
                  <m:t>uction</m:t>
                </m:r>
              </m:e>
            </m:eqArr>
          </m:e>
        </m:d>
      </m:oMath>
      <w:r w:rsidRPr="009F6C1E">
        <w:rPr>
          <w:sz w:val="20"/>
          <w:szCs w:val="20"/>
        </w:rPr>
        <w:t xml:space="preserve"> </w:t>
      </w:r>
      <w:r>
        <w:t>(2)</w:t>
      </w:r>
    </w:p>
    <w:p w:rsidR="00D269BB" w:rsidRDefault="007E1403" w:rsidP="009F6C1E">
      <w:pPr>
        <w:jc w:val="left"/>
      </w:pPr>
      <w:r>
        <w:t>The left hand side of equation 2 can all be estimated from Warnken ISE (2010) numbers</w:t>
      </w:r>
      <w:r w:rsidR="00945BCD">
        <w:t xml:space="preserve">, whereas the right hand side can be determined by ABS numbers (stand-alone imports) + some unknown but positive value (embedded imports in other equipment and domestic production). </w:t>
      </w:r>
      <w:r w:rsidR="00D269BB">
        <w:t>This means that equation 2 can be conceptualised as:</w:t>
      </w:r>
    </w:p>
    <w:p w:rsidR="00D269BB" w:rsidRDefault="00D269BB" w:rsidP="009F6C1E">
      <w:pPr>
        <w:jc w:val="left"/>
      </w:pPr>
      <m:oMath>
        <m:r>
          <w:rPr>
            <w:rFonts w:ascii="Cambria Math" w:hAnsi="Cambria Math"/>
            <w:sz w:val="20"/>
            <w:szCs w:val="20"/>
          </w:rPr>
          <m:t xml:space="preserve">Warnken ISE </m:t>
        </m:r>
        <m:d>
          <m:dPr>
            <m:ctrlPr>
              <w:rPr>
                <w:rFonts w:ascii="Cambria Math" w:hAnsi="Cambria Math"/>
                <w:i/>
                <w:sz w:val="20"/>
                <w:szCs w:val="20"/>
              </w:rPr>
            </m:ctrlPr>
          </m:dPr>
          <m:e>
            <m:r>
              <w:rPr>
                <w:rFonts w:ascii="Cambria Math" w:hAnsi="Cambria Math"/>
                <w:sz w:val="20"/>
                <w:szCs w:val="20"/>
              </w:rPr>
              <m:t>2010</m:t>
            </m:r>
          </m:e>
        </m:d>
        <m:r>
          <w:rPr>
            <w:rFonts w:ascii="Cambria Math" w:hAnsi="Cambria Math"/>
            <w:sz w:val="20"/>
            <w:szCs w:val="20"/>
          </w:rPr>
          <m:t xml:space="preserve">=ABS </m:t>
        </m:r>
        <m:d>
          <m:dPr>
            <m:ctrlPr>
              <w:rPr>
                <w:rFonts w:ascii="Cambria Math" w:hAnsi="Cambria Math"/>
                <w:i/>
                <w:sz w:val="20"/>
                <w:szCs w:val="20"/>
              </w:rPr>
            </m:ctrlPr>
          </m:dPr>
          <m:e>
            <m:r>
              <w:rPr>
                <w:rFonts w:ascii="Cambria Math" w:hAnsi="Cambria Math"/>
                <w:sz w:val="20"/>
                <w:szCs w:val="20"/>
              </w:rPr>
              <m:t>2013</m:t>
            </m:r>
          </m:e>
        </m:d>
        <m:r>
          <w:rPr>
            <w:rFonts w:ascii="Cambria Math" w:hAnsi="Cambria Math"/>
            <w:sz w:val="20"/>
            <w:szCs w:val="20"/>
          </w:rPr>
          <m:t>+ ε</m:t>
        </m:r>
      </m:oMath>
      <w:r>
        <w:tab/>
      </w:r>
      <w:r>
        <w:tab/>
      </w:r>
      <w:r>
        <w:tab/>
      </w:r>
      <w:r>
        <w:tab/>
      </w:r>
      <w:r>
        <w:tab/>
      </w:r>
      <w:r>
        <w:tab/>
      </w:r>
      <w:r>
        <w:tab/>
      </w:r>
      <w:r>
        <w:tab/>
        <w:t>(3)</w:t>
      </w:r>
    </w:p>
    <w:p w:rsidR="00945BCD" w:rsidRDefault="00D269BB" w:rsidP="009F6C1E">
      <w:pPr>
        <w:jc w:val="left"/>
      </w:pPr>
      <w:proofErr w:type="gramStart"/>
      <w:r>
        <w:t xml:space="preserve">Where </w:t>
      </w:r>
      <w:r w:rsidRPr="00D269BB">
        <w:rPr>
          <w:rFonts w:ascii="Symbol" w:hAnsi="Symbol"/>
          <w:i/>
        </w:rPr>
        <w:t></w:t>
      </w:r>
      <w:r w:rsidR="004C6447">
        <w:t xml:space="preserve"> is a positive unknown value.</w:t>
      </w:r>
      <w:proofErr w:type="gramEnd"/>
      <w:r w:rsidR="004C6447">
        <w:t xml:space="preserve"> </w:t>
      </w:r>
      <w:r w:rsidR="00945BCD">
        <w:t>The left hand side can be estimated using Warnken ISE (2010) to be:</w:t>
      </w:r>
    </w:p>
    <w:p w:rsidR="00D011F7" w:rsidRPr="00BC4101" w:rsidRDefault="00953E69" w:rsidP="009F6C1E">
      <w:pPr>
        <w:ind w:left="720"/>
        <w:jc w:val="left"/>
      </w:pPr>
      <w:r w:rsidRPr="00BC4101">
        <w:rPr>
          <w:b/>
        </w:rPr>
        <w:t>Inputs</w:t>
      </w:r>
      <w:r w:rsidR="00D011F7" w:rsidRPr="00BC4101">
        <w:rPr>
          <w:b/>
        </w:rPr>
        <w:t>:</w:t>
      </w:r>
      <w:r w:rsidR="00D011F7" w:rsidRPr="00BC4101">
        <w:t xml:space="preserve"> </w:t>
      </w:r>
      <w:r w:rsidRPr="00BC4101">
        <w:t>Warnken ISE (2010) estimate of inputs has already been calculated</w:t>
      </w:r>
      <w:r w:rsidR="003E4416" w:rsidRPr="00BC4101">
        <w:t xml:space="preserve"> to be 135.8 </w:t>
      </w:r>
      <w:proofErr w:type="spellStart"/>
      <w:r w:rsidR="003E4416" w:rsidRPr="00BC4101">
        <w:t>kt</w:t>
      </w:r>
      <w:proofErr w:type="spellEnd"/>
      <w:r w:rsidRPr="00BC4101">
        <w:t xml:space="preserve"> </w:t>
      </w:r>
      <w:r w:rsidR="00C33C73" w:rsidRPr="00BC4101">
        <w:t xml:space="preserve">or </w:t>
      </w:r>
      <w:r w:rsidR="00514A1F" w:rsidRPr="00BC4101">
        <w:t>9.28</w:t>
      </w:r>
      <w:r w:rsidR="00C33C73" w:rsidRPr="00BC4101">
        <w:t xml:space="preserve"> million batteries as</w:t>
      </w:r>
      <w:r w:rsidRPr="00BC4101">
        <w:t xml:space="preserve"> is shown in Table 5.</w:t>
      </w:r>
    </w:p>
    <w:p w:rsidR="00953E69" w:rsidRPr="00BC4101" w:rsidRDefault="00953E69" w:rsidP="009F6C1E">
      <w:pPr>
        <w:ind w:left="720"/>
        <w:jc w:val="left"/>
      </w:pPr>
      <w:r w:rsidRPr="00BC4101">
        <w:rPr>
          <w:b/>
        </w:rPr>
        <w:t>Exports</w:t>
      </w:r>
      <w:r w:rsidR="00BC4101" w:rsidRPr="00BC4101">
        <w:rPr>
          <w:b/>
        </w:rPr>
        <w:t>:</w:t>
      </w:r>
      <w:r w:rsidR="00D011F7" w:rsidRPr="00BC4101">
        <w:t xml:space="preserve"> </w:t>
      </w:r>
      <w:r w:rsidRPr="00BC4101">
        <w:t>Warnken ISE (2010) estimates that 0.12 million</w:t>
      </w:r>
      <w:r w:rsidR="00D011F7" w:rsidRPr="00BC4101">
        <w:t xml:space="preserve"> batteries in vehicles </w:t>
      </w:r>
      <w:r w:rsidRPr="00BC4101">
        <w:t>were exported from Australia</w:t>
      </w:r>
      <w:r w:rsidR="0069307E" w:rsidRPr="00BC4101">
        <w:t xml:space="preserve"> in 200</w:t>
      </w:r>
      <w:r w:rsidR="00FF5488" w:rsidRPr="00BC4101">
        <w:t>8</w:t>
      </w:r>
      <w:r w:rsidR="0069307E" w:rsidRPr="00BC4101">
        <w:t>/</w:t>
      </w:r>
      <w:r w:rsidR="00FF5488" w:rsidRPr="00BC4101">
        <w:t>09</w:t>
      </w:r>
      <w:r w:rsidR="0069307E" w:rsidRPr="00BC4101">
        <w:t>.</w:t>
      </w:r>
      <w:r w:rsidR="00FF5488" w:rsidRPr="00BC4101">
        <w:t xml:space="preserve"> It is assumed that a similar number was exported in 2009/10. By further a</w:t>
      </w:r>
      <w:r w:rsidR="0069307E" w:rsidRPr="00BC4101">
        <w:t xml:space="preserve">ssuming these batteries had an average </w:t>
      </w:r>
      <w:r w:rsidR="0005005A">
        <w:t>mass</w:t>
      </w:r>
      <w:r w:rsidRPr="00BC4101">
        <w:t xml:space="preserve"> of </w:t>
      </w:r>
      <w:r w:rsidRPr="005A7AFE">
        <w:t>14.3 kg</w:t>
      </w:r>
      <w:r w:rsidR="00535DAB" w:rsidRPr="005A7AFE">
        <w:t xml:space="preserve"> </w:t>
      </w:r>
      <w:r w:rsidR="005A7AFE" w:rsidRPr="005A7AFE">
        <w:t>(</w:t>
      </w:r>
      <w:r w:rsidR="005A7AFE">
        <w:t xml:space="preserve">the average weight </w:t>
      </w:r>
      <w:r w:rsidR="00966015">
        <w:t xml:space="preserve">that </w:t>
      </w:r>
      <w:r w:rsidR="005A7AFE">
        <w:t>Warnken ISE (2010) assumes for passenger vehicles)</w:t>
      </w:r>
      <w:r w:rsidRPr="00BC4101">
        <w:t xml:space="preserve"> </w:t>
      </w:r>
      <w:r w:rsidR="0069307E" w:rsidRPr="00BC4101">
        <w:t>this</w:t>
      </w:r>
      <w:r w:rsidRPr="00BC4101">
        <w:t xml:space="preserve"> </w:t>
      </w:r>
      <w:r w:rsidR="0069307E" w:rsidRPr="00BC4101">
        <w:t xml:space="preserve">would </w:t>
      </w:r>
      <w:r w:rsidRPr="00BC4101">
        <w:t xml:space="preserve">result in 1.7 </w:t>
      </w:r>
      <w:proofErr w:type="spellStart"/>
      <w:r w:rsidRPr="00BC4101">
        <w:t>kt</w:t>
      </w:r>
      <w:proofErr w:type="spellEnd"/>
      <w:r w:rsidR="0069307E" w:rsidRPr="00BC4101">
        <w:t xml:space="preserve"> of batteries exported.</w:t>
      </w:r>
      <w:r w:rsidR="00FF5488" w:rsidRPr="00BC4101">
        <w:t xml:space="preserve"> It is assumed for simplicity that these batteries were all from passenger vehicles.</w:t>
      </w:r>
    </w:p>
    <w:p w:rsidR="00953E69" w:rsidRDefault="0069307E" w:rsidP="009F6C1E">
      <w:pPr>
        <w:ind w:left="720"/>
        <w:jc w:val="left"/>
      </w:pPr>
      <w:r w:rsidRPr="00BC4101">
        <w:rPr>
          <w:b/>
        </w:rPr>
        <w:t>Embedded imports – cars and trucks</w:t>
      </w:r>
      <w:r w:rsidR="00BC4101" w:rsidRPr="00BC4101">
        <w:rPr>
          <w:b/>
        </w:rPr>
        <w:t>:</w:t>
      </w:r>
      <w:r w:rsidR="00D011F7" w:rsidRPr="00BC4101">
        <w:t xml:space="preserve"> </w:t>
      </w:r>
      <w:r w:rsidRPr="00BC4101">
        <w:t xml:space="preserve">Warnken ISE (2010) estimates that 84% of new vehicles were imported in 2009/10. If this percentage is constant across the various vehicle categories then the amount of embedded imports from cars and trucks </w:t>
      </w:r>
      <w:r w:rsidR="00C33C73" w:rsidRPr="00BC4101">
        <w:t xml:space="preserve">can be determined from Warnken ISE (2010) to be 12.5 </w:t>
      </w:r>
      <w:proofErr w:type="spellStart"/>
      <w:r w:rsidR="00C33C73" w:rsidRPr="00BC4101">
        <w:t>kt</w:t>
      </w:r>
      <w:proofErr w:type="spellEnd"/>
      <w:r w:rsidR="00C33C73" w:rsidRPr="00BC4101">
        <w:t xml:space="preserve"> or 0.92 million batteries as</w:t>
      </w:r>
      <w:r w:rsidRPr="00BC4101">
        <w:t xml:space="preserve"> is shown in </w:t>
      </w:r>
      <w:fldSimple w:instr=" REF _Ref381021249 \h  \* MERGEFORMAT ">
        <w:r w:rsidR="00697A48">
          <w:t>Table 7</w:t>
        </w:r>
      </w:fldSimple>
      <w:r w:rsidRPr="00BC4101">
        <w:t>.</w:t>
      </w:r>
    </w:p>
    <w:p w:rsidR="004C6447" w:rsidRDefault="004C6447" w:rsidP="00DA65C1">
      <w:pPr>
        <w:ind w:left="720"/>
      </w:pPr>
    </w:p>
    <w:p w:rsidR="004C6447" w:rsidRDefault="004C6447" w:rsidP="00DA65C1">
      <w:pPr>
        <w:ind w:left="720"/>
      </w:pPr>
    </w:p>
    <w:p w:rsidR="004C6447" w:rsidRDefault="004C6447" w:rsidP="00DA65C1">
      <w:pPr>
        <w:ind w:left="720"/>
      </w:pPr>
    </w:p>
    <w:p w:rsidR="004C6447" w:rsidRDefault="004C6447" w:rsidP="00DA65C1">
      <w:pPr>
        <w:ind w:left="720"/>
      </w:pPr>
    </w:p>
    <w:p w:rsidR="004C6447" w:rsidRDefault="004C6447" w:rsidP="00DA65C1">
      <w:pPr>
        <w:ind w:left="720"/>
      </w:pPr>
    </w:p>
    <w:p w:rsidR="004C6447" w:rsidRDefault="004C6447" w:rsidP="00DA65C1">
      <w:pPr>
        <w:ind w:left="720"/>
      </w:pPr>
    </w:p>
    <w:p w:rsidR="004C6447" w:rsidRDefault="004C6447" w:rsidP="00DA65C1">
      <w:pPr>
        <w:ind w:left="720"/>
      </w:pPr>
    </w:p>
    <w:p w:rsidR="004C6447" w:rsidRPr="00BC4101" w:rsidRDefault="004C6447" w:rsidP="00DA65C1">
      <w:pPr>
        <w:ind w:left="720"/>
      </w:pPr>
    </w:p>
    <w:p w:rsidR="0069307E" w:rsidRDefault="0069307E" w:rsidP="00DA65C1">
      <w:pPr>
        <w:pStyle w:val="Caption"/>
      </w:pPr>
      <w:bookmarkStart w:id="31" w:name="_Ref381021249"/>
      <w:bookmarkStart w:id="32" w:name="_Toc381102098"/>
      <w:r>
        <w:lastRenderedPageBreak/>
        <w:t xml:space="preserve">Table </w:t>
      </w:r>
      <w:r w:rsidR="007637BE">
        <w:fldChar w:fldCharType="begin"/>
      </w:r>
      <w:r>
        <w:instrText xml:space="preserve"> SEQ Table \* ARABIC </w:instrText>
      </w:r>
      <w:r w:rsidR="007637BE">
        <w:fldChar w:fldCharType="separate"/>
      </w:r>
      <w:r w:rsidR="00697A48">
        <w:rPr>
          <w:noProof/>
        </w:rPr>
        <w:t>7</w:t>
      </w:r>
      <w:r w:rsidR="007637BE">
        <w:fldChar w:fldCharType="end"/>
      </w:r>
      <w:bookmarkEnd w:id="31"/>
      <w:r w:rsidR="00DA65C1">
        <w:t>:</w:t>
      </w:r>
      <w:r>
        <w:t xml:space="preserve"> The amount of embedded lead acid battery imports from cars and trucks</w:t>
      </w:r>
      <w:bookmarkEnd w:id="32"/>
    </w:p>
    <w:tbl>
      <w:tblPr>
        <w:tblStyle w:val="ColorfulGrid1"/>
        <w:tblW w:w="7088" w:type="dxa"/>
        <w:tblInd w:w="108" w:type="dxa"/>
        <w:tblLook w:val="04A0"/>
      </w:tblPr>
      <w:tblGrid>
        <w:gridCol w:w="2835"/>
        <w:gridCol w:w="1843"/>
        <w:gridCol w:w="2410"/>
      </w:tblGrid>
      <w:tr w:rsidR="00945BCD" w:rsidRPr="00892ABE" w:rsidTr="00857DF8">
        <w:trPr>
          <w:cnfStyle w:val="100000000000"/>
          <w:trHeight w:val="300"/>
        </w:trPr>
        <w:tc>
          <w:tcPr>
            <w:cnfStyle w:val="001000000000"/>
            <w:tcW w:w="2835" w:type="dxa"/>
            <w:tcBorders>
              <w:left w:val="nil"/>
            </w:tcBorders>
            <w:noWrap/>
            <w:vAlign w:val="bottom"/>
            <w:hideMark/>
          </w:tcPr>
          <w:p w:rsidR="00945BCD" w:rsidRPr="00945BCD" w:rsidRDefault="00945BCD" w:rsidP="00DA65C1">
            <w:pPr>
              <w:spacing w:before="0" w:after="0" w:line="240" w:lineRule="auto"/>
              <w:rPr>
                <w:rFonts w:eastAsia="Times New Roman"/>
                <w:lang w:eastAsia="en-AU"/>
              </w:rPr>
            </w:pPr>
            <w:r w:rsidRPr="00945BCD">
              <w:rPr>
                <w:rFonts w:eastAsia="Times New Roman"/>
                <w:lang w:eastAsia="en-AU"/>
              </w:rPr>
              <w:t>Embedded imports</w:t>
            </w:r>
          </w:p>
        </w:tc>
        <w:tc>
          <w:tcPr>
            <w:tcW w:w="1843" w:type="dxa"/>
            <w:noWrap/>
            <w:hideMark/>
          </w:tcPr>
          <w:p w:rsidR="00945BCD" w:rsidRPr="007751D8" w:rsidRDefault="0005005A" w:rsidP="00DA65C1">
            <w:pPr>
              <w:spacing w:before="0" w:after="0" w:line="240" w:lineRule="auto"/>
              <w:jc w:val="center"/>
              <w:cnfStyle w:val="100000000000"/>
              <w:rPr>
                <w:rFonts w:eastAsia="Times New Roman"/>
                <w:lang w:eastAsia="en-AU"/>
              </w:rPr>
            </w:pPr>
            <w:r>
              <w:rPr>
                <w:rFonts w:eastAsia="Times New Roman"/>
                <w:lang w:eastAsia="en-AU"/>
              </w:rPr>
              <w:t>Mass</w:t>
            </w:r>
            <w:r w:rsidR="00945BCD" w:rsidRPr="007751D8">
              <w:rPr>
                <w:rFonts w:eastAsia="Times New Roman"/>
                <w:lang w:eastAsia="en-AU"/>
              </w:rPr>
              <w:t xml:space="preserve"> </w:t>
            </w:r>
            <w:r w:rsidR="00B521A6">
              <w:rPr>
                <w:rFonts w:eastAsia="Times New Roman"/>
                <w:lang w:eastAsia="en-AU"/>
              </w:rPr>
              <w:br/>
            </w:r>
            <w:r w:rsidR="00945BCD" w:rsidRPr="007751D8">
              <w:rPr>
                <w:rFonts w:eastAsia="Times New Roman"/>
                <w:lang w:eastAsia="en-AU"/>
              </w:rPr>
              <w:t>(</w:t>
            </w:r>
            <w:proofErr w:type="spellStart"/>
            <w:r w:rsidR="00945BCD" w:rsidRPr="007751D8">
              <w:rPr>
                <w:rFonts w:eastAsia="Times New Roman"/>
                <w:lang w:eastAsia="en-AU"/>
              </w:rPr>
              <w:t>kt</w:t>
            </w:r>
            <w:proofErr w:type="spellEnd"/>
            <w:r w:rsidR="00945BCD" w:rsidRPr="007751D8">
              <w:rPr>
                <w:rFonts w:eastAsia="Times New Roman"/>
                <w:lang w:eastAsia="en-AU"/>
              </w:rPr>
              <w:t>)</w:t>
            </w:r>
          </w:p>
        </w:tc>
        <w:tc>
          <w:tcPr>
            <w:tcW w:w="2410" w:type="dxa"/>
            <w:tcBorders>
              <w:right w:val="nil"/>
            </w:tcBorders>
            <w:noWrap/>
            <w:hideMark/>
          </w:tcPr>
          <w:p w:rsidR="00945BCD" w:rsidRPr="007751D8" w:rsidRDefault="00945BCD" w:rsidP="00DA65C1">
            <w:pPr>
              <w:spacing w:before="0" w:after="0" w:line="240" w:lineRule="auto"/>
              <w:jc w:val="center"/>
              <w:cnfStyle w:val="100000000000"/>
              <w:rPr>
                <w:rFonts w:eastAsia="Times New Roman"/>
                <w:lang w:eastAsia="en-AU"/>
              </w:rPr>
            </w:pPr>
            <w:r w:rsidRPr="007751D8">
              <w:rPr>
                <w:rFonts w:eastAsia="Times New Roman"/>
                <w:lang w:eastAsia="en-AU"/>
              </w:rPr>
              <w:t>Count</w:t>
            </w:r>
            <w:r w:rsidR="00B521A6">
              <w:rPr>
                <w:rFonts w:eastAsia="Times New Roman"/>
                <w:lang w:eastAsia="en-AU"/>
              </w:rPr>
              <w:t xml:space="preserve"> </w:t>
            </w:r>
            <w:r w:rsidR="00B521A6">
              <w:rPr>
                <w:rFonts w:eastAsia="Times New Roman"/>
                <w:lang w:eastAsia="en-AU"/>
              </w:rPr>
              <w:br/>
              <w:t>(million batteries)</w:t>
            </w:r>
          </w:p>
        </w:tc>
      </w:tr>
      <w:tr w:rsidR="00D269BB" w:rsidRPr="00892ABE" w:rsidTr="00857DF8">
        <w:trPr>
          <w:cnfStyle w:val="000000100000"/>
          <w:trHeight w:val="300"/>
        </w:trPr>
        <w:tc>
          <w:tcPr>
            <w:cnfStyle w:val="001000000000"/>
            <w:tcW w:w="2835" w:type="dxa"/>
            <w:noWrap/>
            <w:vAlign w:val="bottom"/>
            <w:hideMark/>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Motorcycle</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100000"/>
              <w:rPr>
                <w:rFonts w:eastAsia="Times New Roman"/>
                <w:color w:val="000000"/>
                <w:szCs w:val="22"/>
                <w:lang w:eastAsia="en-AU"/>
              </w:rPr>
            </w:pPr>
            <w:r w:rsidRPr="0069307E">
              <w:rPr>
                <w:rFonts w:eastAsia="Times New Roman"/>
                <w:color w:val="000000"/>
                <w:szCs w:val="22"/>
                <w:lang w:eastAsia="en-AU"/>
              </w:rPr>
              <w:t>0.</w:t>
            </w:r>
            <w:r>
              <w:rPr>
                <w:rFonts w:eastAsia="Times New Roman"/>
                <w:color w:val="000000"/>
                <w:szCs w:val="22"/>
                <w:lang w:eastAsia="en-AU"/>
              </w:rPr>
              <w:t>3</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100000"/>
              <w:rPr>
                <w:rFonts w:eastAsia="Times New Roman"/>
                <w:color w:val="000000"/>
                <w:szCs w:val="22"/>
                <w:lang w:eastAsia="en-AU"/>
              </w:rPr>
            </w:pPr>
            <w:r>
              <w:rPr>
                <w:rFonts w:eastAsia="Times New Roman"/>
                <w:color w:val="000000"/>
                <w:szCs w:val="22"/>
                <w:lang w:eastAsia="en-AU"/>
              </w:rPr>
              <w:t>0.10</w:t>
            </w:r>
          </w:p>
        </w:tc>
      </w:tr>
      <w:tr w:rsidR="00D269BB" w:rsidRPr="00892ABE" w:rsidTr="00857DF8">
        <w:trPr>
          <w:cnfStyle w:val="000000010000"/>
          <w:trHeight w:val="300"/>
        </w:trPr>
        <w:tc>
          <w:tcPr>
            <w:cnfStyle w:val="001000000000"/>
            <w:tcW w:w="2835" w:type="dxa"/>
            <w:noWrap/>
            <w:vAlign w:val="bottom"/>
            <w:hideMark/>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Passenger Vehicles</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010000"/>
              <w:rPr>
                <w:rFonts w:eastAsia="Times New Roman"/>
                <w:color w:val="000000"/>
                <w:szCs w:val="22"/>
                <w:lang w:eastAsia="en-AU"/>
              </w:rPr>
            </w:pPr>
            <w:r w:rsidRPr="0069307E">
              <w:rPr>
                <w:rFonts w:eastAsia="Times New Roman"/>
                <w:color w:val="000000"/>
                <w:szCs w:val="22"/>
                <w:lang w:eastAsia="en-AU"/>
              </w:rPr>
              <w:t>9.1</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010000"/>
              <w:rPr>
                <w:rFonts w:eastAsia="Times New Roman"/>
                <w:color w:val="000000"/>
                <w:szCs w:val="22"/>
                <w:lang w:eastAsia="en-AU"/>
              </w:rPr>
            </w:pPr>
            <w:r>
              <w:rPr>
                <w:rFonts w:eastAsia="Times New Roman"/>
                <w:color w:val="000000"/>
                <w:szCs w:val="22"/>
                <w:lang w:eastAsia="en-AU"/>
              </w:rPr>
              <w:t>0.63</w:t>
            </w:r>
          </w:p>
        </w:tc>
      </w:tr>
      <w:tr w:rsidR="00D269BB" w:rsidRPr="00892ABE" w:rsidTr="00857DF8">
        <w:trPr>
          <w:cnfStyle w:val="000000100000"/>
          <w:trHeight w:val="300"/>
        </w:trPr>
        <w:tc>
          <w:tcPr>
            <w:cnfStyle w:val="001000000000"/>
            <w:tcW w:w="2835" w:type="dxa"/>
            <w:noWrap/>
            <w:vAlign w:val="bottom"/>
            <w:hideMark/>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Light Commercial</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100000"/>
              <w:rPr>
                <w:rFonts w:eastAsia="Times New Roman"/>
                <w:color w:val="000000"/>
                <w:szCs w:val="22"/>
                <w:lang w:eastAsia="en-AU"/>
              </w:rPr>
            </w:pPr>
            <w:r w:rsidRPr="0069307E">
              <w:rPr>
                <w:rFonts w:eastAsia="Times New Roman"/>
                <w:color w:val="000000"/>
                <w:szCs w:val="22"/>
                <w:lang w:eastAsia="en-AU"/>
              </w:rPr>
              <w:t>2.4</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100000"/>
              <w:rPr>
                <w:rFonts w:eastAsia="Times New Roman"/>
                <w:color w:val="000000"/>
                <w:szCs w:val="22"/>
                <w:lang w:eastAsia="en-AU"/>
              </w:rPr>
            </w:pPr>
            <w:r>
              <w:rPr>
                <w:rFonts w:eastAsia="Times New Roman"/>
                <w:color w:val="000000"/>
                <w:szCs w:val="22"/>
                <w:lang w:eastAsia="en-AU"/>
              </w:rPr>
              <w:t>0.16</w:t>
            </w:r>
          </w:p>
        </w:tc>
      </w:tr>
      <w:tr w:rsidR="00D269BB" w:rsidRPr="00892ABE" w:rsidTr="00857DF8">
        <w:trPr>
          <w:cnfStyle w:val="000000010000"/>
          <w:trHeight w:val="300"/>
        </w:trPr>
        <w:tc>
          <w:tcPr>
            <w:cnfStyle w:val="001000000000"/>
            <w:tcW w:w="2835" w:type="dxa"/>
            <w:noWrap/>
            <w:vAlign w:val="bottom"/>
            <w:hideMark/>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Rigid Trucks</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010000"/>
              <w:rPr>
                <w:rFonts w:eastAsia="Times New Roman"/>
                <w:color w:val="000000"/>
                <w:szCs w:val="22"/>
                <w:lang w:eastAsia="en-AU"/>
              </w:rPr>
            </w:pPr>
            <w:r w:rsidRPr="0069307E">
              <w:rPr>
                <w:rFonts w:eastAsia="Times New Roman"/>
                <w:color w:val="000000"/>
                <w:szCs w:val="22"/>
                <w:lang w:eastAsia="en-AU"/>
              </w:rPr>
              <w:t>0.4</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010000"/>
              <w:rPr>
                <w:rFonts w:eastAsia="Times New Roman"/>
                <w:color w:val="000000"/>
                <w:szCs w:val="22"/>
                <w:lang w:eastAsia="en-AU"/>
              </w:rPr>
            </w:pPr>
            <w:r>
              <w:rPr>
                <w:rFonts w:eastAsia="Times New Roman"/>
                <w:color w:val="000000"/>
                <w:szCs w:val="22"/>
                <w:lang w:eastAsia="en-AU"/>
              </w:rPr>
              <w:t>0.02</w:t>
            </w:r>
          </w:p>
        </w:tc>
      </w:tr>
      <w:tr w:rsidR="00D269BB" w:rsidRPr="00892ABE" w:rsidTr="00857DF8">
        <w:trPr>
          <w:cnfStyle w:val="000000100000"/>
          <w:trHeight w:val="300"/>
        </w:trPr>
        <w:tc>
          <w:tcPr>
            <w:cnfStyle w:val="001000000000"/>
            <w:tcW w:w="2835" w:type="dxa"/>
            <w:noWrap/>
            <w:vAlign w:val="bottom"/>
            <w:hideMark/>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Articulated Trucks</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100000"/>
              <w:rPr>
                <w:rFonts w:eastAsia="Times New Roman"/>
                <w:color w:val="000000"/>
                <w:szCs w:val="22"/>
                <w:lang w:eastAsia="en-AU"/>
              </w:rPr>
            </w:pPr>
            <w:r w:rsidRPr="0069307E">
              <w:rPr>
                <w:rFonts w:eastAsia="Times New Roman"/>
                <w:color w:val="000000"/>
                <w:szCs w:val="22"/>
                <w:lang w:eastAsia="en-AU"/>
              </w:rPr>
              <w:t>0.1</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100000"/>
              <w:rPr>
                <w:rFonts w:eastAsia="Times New Roman"/>
                <w:color w:val="000000"/>
                <w:szCs w:val="22"/>
                <w:lang w:eastAsia="en-AU"/>
              </w:rPr>
            </w:pPr>
            <w:r>
              <w:rPr>
                <w:rFonts w:eastAsia="Times New Roman"/>
                <w:color w:val="000000"/>
                <w:szCs w:val="22"/>
                <w:lang w:eastAsia="en-AU"/>
              </w:rPr>
              <w:t>-</w:t>
            </w:r>
          </w:p>
        </w:tc>
      </w:tr>
      <w:tr w:rsidR="00D269BB" w:rsidRPr="00892ABE" w:rsidTr="00857DF8">
        <w:trPr>
          <w:cnfStyle w:val="000000010000"/>
          <w:trHeight w:val="300"/>
        </w:trPr>
        <w:tc>
          <w:tcPr>
            <w:cnfStyle w:val="001000000000"/>
            <w:tcW w:w="2835" w:type="dxa"/>
            <w:noWrap/>
            <w:vAlign w:val="bottom"/>
          </w:tcPr>
          <w:p w:rsidR="00D269BB" w:rsidRPr="00DA65C1" w:rsidRDefault="00D269BB" w:rsidP="00DA65C1">
            <w:pPr>
              <w:spacing w:before="0" w:after="0" w:line="240" w:lineRule="auto"/>
              <w:jc w:val="left"/>
              <w:rPr>
                <w:rFonts w:eastAsia="Times New Roman"/>
                <w:bCs/>
                <w:lang w:eastAsia="en-AU"/>
              </w:rPr>
            </w:pPr>
            <w:r w:rsidRPr="00DA65C1">
              <w:rPr>
                <w:rFonts w:eastAsia="Times New Roman"/>
                <w:bCs/>
                <w:lang w:eastAsia="en-AU"/>
              </w:rPr>
              <w:t>Non-Freight Carrying Trucks</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010000"/>
              <w:rPr>
                <w:rFonts w:eastAsia="Times New Roman"/>
                <w:color w:val="000000"/>
                <w:szCs w:val="22"/>
                <w:lang w:eastAsia="en-AU"/>
              </w:rPr>
            </w:pPr>
            <w:r>
              <w:rPr>
                <w:rFonts w:eastAsia="Times New Roman"/>
                <w:color w:val="000000"/>
                <w:szCs w:val="22"/>
                <w:lang w:eastAsia="en-AU"/>
              </w:rPr>
              <w:t>-</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010000"/>
              <w:rPr>
                <w:rFonts w:eastAsia="Times New Roman"/>
                <w:color w:val="000000"/>
                <w:szCs w:val="22"/>
                <w:lang w:eastAsia="en-AU"/>
              </w:rPr>
            </w:pPr>
            <w:r>
              <w:rPr>
                <w:rFonts w:eastAsia="Times New Roman"/>
                <w:color w:val="000000"/>
                <w:szCs w:val="22"/>
                <w:lang w:eastAsia="en-AU"/>
              </w:rPr>
              <w:t>-</w:t>
            </w:r>
          </w:p>
        </w:tc>
      </w:tr>
      <w:tr w:rsidR="00D269BB" w:rsidRPr="00892ABE" w:rsidTr="00857DF8">
        <w:trPr>
          <w:cnfStyle w:val="000000100000"/>
          <w:trHeight w:val="300"/>
        </w:trPr>
        <w:tc>
          <w:tcPr>
            <w:cnfStyle w:val="001000000000"/>
            <w:tcW w:w="2835" w:type="dxa"/>
            <w:noWrap/>
            <w:vAlign w:val="bottom"/>
          </w:tcPr>
          <w:p w:rsidR="00D269BB" w:rsidRPr="00DA65C1" w:rsidRDefault="00D269BB" w:rsidP="00DA65C1">
            <w:pPr>
              <w:spacing w:before="0" w:after="0" w:line="240" w:lineRule="auto"/>
              <w:rPr>
                <w:rFonts w:eastAsia="Times New Roman"/>
                <w:bCs/>
                <w:lang w:eastAsia="en-AU"/>
              </w:rPr>
            </w:pPr>
            <w:r w:rsidRPr="00DA65C1">
              <w:rPr>
                <w:rFonts w:eastAsia="Times New Roman"/>
                <w:bCs/>
                <w:lang w:eastAsia="en-AU"/>
              </w:rPr>
              <w:t>Buses</w:t>
            </w:r>
          </w:p>
        </w:tc>
        <w:tc>
          <w:tcPr>
            <w:tcW w:w="1843" w:type="dxa"/>
            <w:noWrap/>
            <w:vAlign w:val="bottom"/>
          </w:tcPr>
          <w:p w:rsidR="00D269BB" w:rsidRPr="0069307E" w:rsidRDefault="00D269BB" w:rsidP="00535DAB">
            <w:pPr>
              <w:tabs>
                <w:tab w:val="left" w:pos="2302"/>
              </w:tabs>
              <w:spacing w:before="0" w:after="0" w:line="240" w:lineRule="auto"/>
              <w:ind w:right="601"/>
              <w:jc w:val="right"/>
              <w:cnfStyle w:val="000000100000"/>
              <w:rPr>
                <w:rFonts w:eastAsia="Times New Roman"/>
                <w:color w:val="000000"/>
                <w:szCs w:val="22"/>
                <w:lang w:eastAsia="en-AU"/>
              </w:rPr>
            </w:pPr>
            <w:r w:rsidRPr="0069307E">
              <w:rPr>
                <w:rFonts w:eastAsia="Times New Roman"/>
                <w:color w:val="000000"/>
                <w:szCs w:val="22"/>
                <w:lang w:eastAsia="en-AU"/>
              </w:rPr>
              <w:t>0.1</w:t>
            </w:r>
          </w:p>
        </w:tc>
        <w:tc>
          <w:tcPr>
            <w:tcW w:w="2410" w:type="dxa"/>
            <w:tcBorders>
              <w:right w:val="nil"/>
            </w:tcBorders>
            <w:noWrap/>
            <w:vAlign w:val="bottom"/>
          </w:tcPr>
          <w:p w:rsidR="00D269BB" w:rsidRPr="0069307E" w:rsidRDefault="00D269BB" w:rsidP="00DA65C1">
            <w:pPr>
              <w:spacing w:before="0" w:after="0" w:line="240" w:lineRule="auto"/>
              <w:ind w:right="884"/>
              <w:jc w:val="right"/>
              <w:cnfStyle w:val="000000100000"/>
              <w:rPr>
                <w:rFonts w:eastAsia="Times New Roman"/>
                <w:color w:val="000000"/>
                <w:szCs w:val="22"/>
                <w:lang w:eastAsia="en-AU"/>
              </w:rPr>
            </w:pPr>
            <w:r>
              <w:rPr>
                <w:rFonts w:eastAsia="Times New Roman"/>
                <w:color w:val="000000"/>
                <w:szCs w:val="22"/>
                <w:lang w:eastAsia="en-AU"/>
              </w:rPr>
              <w:t>-</w:t>
            </w:r>
          </w:p>
        </w:tc>
      </w:tr>
      <w:tr w:rsidR="00D269BB" w:rsidRPr="00B521A6" w:rsidTr="00857DF8">
        <w:trPr>
          <w:cnfStyle w:val="000000010000"/>
          <w:trHeight w:val="300"/>
        </w:trPr>
        <w:tc>
          <w:tcPr>
            <w:cnfStyle w:val="001000000000"/>
            <w:tcW w:w="2835" w:type="dxa"/>
            <w:noWrap/>
            <w:vAlign w:val="bottom"/>
          </w:tcPr>
          <w:p w:rsidR="00D269BB" w:rsidRPr="00B521A6" w:rsidRDefault="002C61A0" w:rsidP="00DA65C1">
            <w:pPr>
              <w:spacing w:before="0" w:after="0" w:line="240" w:lineRule="auto"/>
              <w:rPr>
                <w:rFonts w:eastAsia="Times New Roman"/>
                <w:b/>
                <w:bCs/>
                <w:lang w:eastAsia="en-AU"/>
              </w:rPr>
            </w:pPr>
            <w:r w:rsidRPr="00B521A6">
              <w:rPr>
                <w:rFonts w:eastAsia="Times New Roman"/>
                <w:b/>
                <w:bCs/>
                <w:lang w:eastAsia="en-AU"/>
              </w:rPr>
              <w:t>TOTAL</w:t>
            </w:r>
          </w:p>
        </w:tc>
        <w:tc>
          <w:tcPr>
            <w:tcW w:w="1843" w:type="dxa"/>
            <w:noWrap/>
            <w:vAlign w:val="bottom"/>
          </w:tcPr>
          <w:p w:rsidR="00D269BB" w:rsidRPr="00B521A6" w:rsidRDefault="00D269BB" w:rsidP="00535DAB">
            <w:pPr>
              <w:tabs>
                <w:tab w:val="left" w:pos="2302"/>
              </w:tabs>
              <w:spacing w:before="0" w:after="0" w:line="240" w:lineRule="auto"/>
              <w:ind w:right="601"/>
              <w:jc w:val="right"/>
              <w:cnfStyle w:val="000000010000"/>
              <w:rPr>
                <w:rFonts w:eastAsia="Times New Roman"/>
                <w:b/>
                <w:color w:val="000000"/>
                <w:szCs w:val="22"/>
                <w:lang w:eastAsia="en-AU"/>
              </w:rPr>
            </w:pPr>
            <w:r w:rsidRPr="00B521A6">
              <w:rPr>
                <w:rFonts w:eastAsia="Times New Roman"/>
                <w:b/>
                <w:color w:val="000000"/>
                <w:szCs w:val="22"/>
                <w:lang w:eastAsia="en-AU"/>
              </w:rPr>
              <w:t>12.5</w:t>
            </w:r>
          </w:p>
        </w:tc>
        <w:tc>
          <w:tcPr>
            <w:tcW w:w="2410" w:type="dxa"/>
            <w:tcBorders>
              <w:right w:val="nil"/>
            </w:tcBorders>
            <w:noWrap/>
            <w:vAlign w:val="bottom"/>
          </w:tcPr>
          <w:p w:rsidR="00D269BB" w:rsidRPr="00B521A6" w:rsidRDefault="00D269BB" w:rsidP="00DA65C1">
            <w:pPr>
              <w:spacing w:before="0" w:after="0" w:line="240" w:lineRule="auto"/>
              <w:ind w:right="884"/>
              <w:jc w:val="right"/>
              <w:cnfStyle w:val="000000010000"/>
              <w:rPr>
                <w:rFonts w:eastAsia="Times New Roman"/>
                <w:b/>
                <w:color w:val="000000"/>
                <w:szCs w:val="22"/>
                <w:lang w:eastAsia="en-AU"/>
              </w:rPr>
            </w:pPr>
            <w:r w:rsidRPr="00B521A6">
              <w:rPr>
                <w:rFonts w:eastAsia="Times New Roman"/>
                <w:b/>
                <w:color w:val="000000"/>
                <w:szCs w:val="22"/>
                <w:lang w:eastAsia="en-AU"/>
              </w:rPr>
              <w:t>0.92</w:t>
            </w:r>
          </w:p>
        </w:tc>
      </w:tr>
    </w:tbl>
    <w:p w:rsidR="00DA65C1" w:rsidRDefault="00DA65C1" w:rsidP="00DA65C1"/>
    <w:p w:rsidR="00953E69" w:rsidRDefault="00D011F7" w:rsidP="009F6C1E">
      <w:pPr>
        <w:jc w:val="left"/>
      </w:pPr>
      <w:r>
        <w:t>The left hand side of equation 2 can now be determined</w:t>
      </w:r>
      <w:r w:rsidR="003E4416">
        <w:t xml:space="preserve"> entirely from Warnken ISE (2010)</w:t>
      </w:r>
      <w:r>
        <w:t xml:space="preserve"> </w:t>
      </w:r>
      <w:r w:rsidR="003E4416">
        <w:t xml:space="preserve">to be: 135.8 +1.7 – 12.5 = 124.9 </w:t>
      </w:r>
      <w:proofErr w:type="spellStart"/>
      <w:r w:rsidR="003E4416">
        <w:t>kt</w:t>
      </w:r>
      <w:proofErr w:type="spellEnd"/>
      <w:r w:rsidR="003E4416">
        <w:t xml:space="preserve"> </w:t>
      </w:r>
      <w:r>
        <w:t xml:space="preserve">and is presented in </w:t>
      </w:r>
      <w:fldSimple w:instr=" REF _Ref381086560 \h  \* MERGEFORMAT ">
        <w:r w:rsidR="00697A48">
          <w:t xml:space="preserve">Table </w:t>
        </w:r>
        <w:r w:rsidR="00697A48">
          <w:rPr>
            <w:noProof/>
          </w:rPr>
          <w:t>8</w:t>
        </w:r>
      </w:fldSimple>
      <w:r>
        <w:t>.</w:t>
      </w:r>
    </w:p>
    <w:p w:rsidR="00FF5488" w:rsidRDefault="00FF5488" w:rsidP="009F6C1E">
      <w:pPr>
        <w:jc w:val="left"/>
      </w:pPr>
      <w:r>
        <w:t xml:space="preserve">The right hand side of equation 2 is partially estimated from ABS (2013) </w:t>
      </w:r>
      <w:r w:rsidR="00F5043E">
        <w:t>to be 146.4</w:t>
      </w:r>
      <w:r w:rsidR="003E4416">
        <w:t xml:space="preserve"> </w:t>
      </w:r>
      <w:proofErr w:type="spellStart"/>
      <w:r w:rsidR="003E4416">
        <w:t>kt</w:t>
      </w:r>
      <w:proofErr w:type="spellEnd"/>
      <w:r w:rsidR="003E4416">
        <w:t xml:space="preserve"> </w:t>
      </w:r>
      <w:r w:rsidR="007C3E49">
        <w:t>as shown in Table 5 and,</w:t>
      </w:r>
      <w:r>
        <w:t xml:space="preserve"> as it only contains the stand-alone imports</w:t>
      </w:r>
      <w:r w:rsidR="003E4416">
        <w:t xml:space="preserve"> portion</w:t>
      </w:r>
      <w:r>
        <w:t>, it is an under estimate of the right hand side of equation</w:t>
      </w:r>
      <w:r w:rsidR="003E4416">
        <w:t xml:space="preserve"> 2</w:t>
      </w:r>
      <w:r>
        <w:t xml:space="preserve">. </w:t>
      </w:r>
      <w:r w:rsidR="003E4416">
        <w:t xml:space="preserve">It is </w:t>
      </w:r>
      <w:r w:rsidR="00535DAB">
        <w:t xml:space="preserve">apparent </w:t>
      </w:r>
      <w:r w:rsidR="003E4416">
        <w:t>that these two sources contain a lar</w:t>
      </w:r>
      <w:r w:rsidR="00F5043E">
        <w:t>ge disagreement of at least 21.5</w:t>
      </w:r>
      <w:r w:rsidR="003E4416">
        <w:t xml:space="preserve"> kt.</w:t>
      </w:r>
    </w:p>
    <w:p w:rsidR="00D269BB" w:rsidRDefault="00D269BB" w:rsidP="009F6C1E">
      <w:pPr>
        <w:pStyle w:val="Caption"/>
        <w:keepNext/>
        <w:ind w:left="851" w:hanging="851"/>
      </w:pPr>
      <w:bookmarkStart w:id="33" w:name="_Ref381086560"/>
      <w:bookmarkStart w:id="34" w:name="_Toc381102099"/>
      <w:proofErr w:type="gramStart"/>
      <w:r>
        <w:t xml:space="preserve">Table </w:t>
      </w:r>
      <w:r w:rsidR="007637BE">
        <w:fldChar w:fldCharType="begin"/>
      </w:r>
      <w:r>
        <w:instrText xml:space="preserve"> SEQ Table \* ARABIC </w:instrText>
      </w:r>
      <w:r w:rsidR="007637BE">
        <w:fldChar w:fldCharType="separate"/>
      </w:r>
      <w:r w:rsidR="00697A48">
        <w:rPr>
          <w:noProof/>
        </w:rPr>
        <w:t>8</w:t>
      </w:r>
      <w:r w:rsidR="007637BE">
        <w:fldChar w:fldCharType="end"/>
      </w:r>
      <w:bookmarkEnd w:id="33"/>
      <w:r w:rsidR="00DA65C1">
        <w:t>:</w:t>
      </w:r>
      <w:r w:rsidR="009F6C1E">
        <w:tab/>
      </w:r>
      <w:r>
        <w:t>Comparison between Warnken ISE (2010)</w:t>
      </w:r>
      <w:r>
        <w:rPr>
          <w:rStyle w:val="FootnoteReference"/>
        </w:rPr>
        <w:footnoteReference w:id="2"/>
      </w:r>
      <w:r>
        <w:t xml:space="preserve"> and ABS (2013) data using alternative </w:t>
      </w:r>
      <w:r w:rsidR="0005005A">
        <w:t>mass</w:t>
      </w:r>
      <w:r>
        <w:t xml:space="preserve"> categories</w:t>
      </w:r>
      <w:r w:rsidR="00A93179">
        <w:t xml:space="preserve"> for the period 2009/10.</w:t>
      </w:r>
      <w:bookmarkEnd w:id="34"/>
      <w:proofErr w:type="gramEnd"/>
    </w:p>
    <w:tbl>
      <w:tblPr>
        <w:tblStyle w:val="ColorfulGrid1"/>
        <w:tblW w:w="9373" w:type="dxa"/>
        <w:tblInd w:w="108" w:type="dxa"/>
        <w:tblLook w:val="04A0"/>
      </w:tblPr>
      <w:tblGrid>
        <w:gridCol w:w="1418"/>
        <w:gridCol w:w="1292"/>
        <w:gridCol w:w="814"/>
        <w:gridCol w:w="1454"/>
        <w:gridCol w:w="1114"/>
        <w:gridCol w:w="1721"/>
        <w:gridCol w:w="1560"/>
      </w:tblGrid>
      <w:tr w:rsidR="00D269BB" w:rsidRPr="00892ABE" w:rsidTr="00857DF8">
        <w:trPr>
          <w:cnfStyle w:val="100000000000"/>
          <w:trHeight w:val="300"/>
        </w:trPr>
        <w:tc>
          <w:tcPr>
            <w:cnfStyle w:val="001000000000"/>
            <w:tcW w:w="1418" w:type="dxa"/>
            <w:vMerge w:val="restart"/>
            <w:noWrap/>
          </w:tcPr>
          <w:p w:rsidR="00D269BB" w:rsidRPr="007751D8" w:rsidRDefault="00535DAB" w:rsidP="00DA65C1">
            <w:pPr>
              <w:spacing w:before="0" w:after="0" w:line="240" w:lineRule="auto"/>
              <w:rPr>
                <w:rFonts w:eastAsia="Times New Roman"/>
                <w:lang w:eastAsia="en-AU"/>
              </w:rPr>
            </w:pPr>
            <w:r>
              <w:rPr>
                <w:rFonts w:eastAsia="Times New Roman"/>
                <w:lang w:eastAsia="en-AU"/>
              </w:rPr>
              <w:t>Battery size</w:t>
            </w:r>
          </w:p>
        </w:tc>
        <w:tc>
          <w:tcPr>
            <w:tcW w:w="2106" w:type="dxa"/>
            <w:gridSpan w:val="2"/>
            <w:noWrap/>
          </w:tcPr>
          <w:p w:rsidR="00D269BB" w:rsidRPr="007751D8" w:rsidRDefault="00D269BB" w:rsidP="002C61A0">
            <w:pPr>
              <w:spacing w:before="0" w:after="0" w:line="240" w:lineRule="auto"/>
              <w:jc w:val="left"/>
              <w:cnfStyle w:val="100000000000"/>
              <w:rPr>
                <w:rFonts w:eastAsia="Times New Roman"/>
                <w:lang w:eastAsia="en-AU"/>
              </w:rPr>
            </w:pPr>
            <w:r w:rsidRPr="007751D8">
              <w:rPr>
                <w:rFonts w:eastAsia="Times New Roman"/>
                <w:lang w:eastAsia="en-AU"/>
              </w:rPr>
              <w:t>Warnken ISE (2010)</w:t>
            </w:r>
            <w:r>
              <w:rPr>
                <w:rFonts w:eastAsia="Times New Roman"/>
                <w:lang w:eastAsia="en-AU"/>
              </w:rPr>
              <w:br/>
              <w:t>(Left hand side of equation 2)</w:t>
            </w:r>
          </w:p>
        </w:tc>
        <w:tc>
          <w:tcPr>
            <w:tcW w:w="2568" w:type="dxa"/>
            <w:gridSpan w:val="2"/>
          </w:tcPr>
          <w:p w:rsidR="00D269BB" w:rsidRDefault="00D269BB" w:rsidP="002C61A0">
            <w:pPr>
              <w:spacing w:before="0" w:after="0" w:line="240" w:lineRule="auto"/>
              <w:jc w:val="left"/>
              <w:cnfStyle w:val="100000000000"/>
              <w:rPr>
                <w:rFonts w:eastAsia="Times New Roman"/>
                <w:lang w:eastAsia="en-AU"/>
              </w:rPr>
            </w:pPr>
            <w:r w:rsidRPr="007751D8">
              <w:rPr>
                <w:rFonts w:eastAsia="Times New Roman"/>
                <w:lang w:eastAsia="en-AU"/>
              </w:rPr>
              <w:t>ABS (2013)</w:t>
            </w:r>
          </w:p>
          <w:p w:rsidR="00D269BB" w:rsidRPr="007751D8" w:rsidRDefault="00D269BB" w:rsidP="002C61A0">
            <w:pPr>
              <w:spacing w:before="0" w:after="0" w:line="240" w:lineRule="auto"/>
              <w:jc w:val="left"/>
              <w:cnfStyle w:val="100000000000"/>
              <w:rPr>
                <w:rFonts w:eastAsia="Times New Roman"/>
                <w:lang w:eastAsia="en-AU"/>
              </w:rPr>
            </w:pPr>
            <w:r>
              <w:rPr>
                <w:rFonts w:eastAsia="Times New Roman"/>
                <w:lang w:eastAsia="en-AU"/>
              </w:rPr>
              <w:t>(Partial estimate of right hand side of equation 2)</w:t>
            </w:r>
          </w:p>
        </w:tc>
        <w:tc>
          <w:tcPr>
            <w:tcW w:w="3281" w:type="dxa"/>
            <w:gridSpan w:val="2"/>
            <w:tcBorders>
              <w:right w:val="nil"/>
            </w:tcBorders>
          </w:tcPr>
          <w:p w:rsidR="00D269BB" w:rsidRPr="007751D8" w:rsidRDefault="00D269BB" w:rsidP="002C61A0">
            <w:pPr>
              <w:spacing w:before="0" w:after="0" w:line="240" w:lineRule="auto"/>
              <w:jc w:val="left"/>
              <w:cnfStyle w:val="100000000000"/>
              <w:rPr>
                <w:rFonts w:eastAsia="Times New Roman"/>
                <w:lang w:eastAsia="en-AU"/>
              </w:rPr>
            </w:pPr>
            <w:r w:rsidRPr="007751D8">
              <w:rPr>
                <w:rFonts w:eastAsia="Times New Roman"/>
                <w:lang w:eastAsia="en-AU"/>
              </w:rPr>
              <w:t>Difference (ABS – Warnken ISE)</w:t>
            </w:r>
            <w:r>
              <w:rPr>
                <w:rFonts w:eastAsia="Times New Roman"/>
                <w:lang w:eastAsia="en-AU"/>
              </w:rPr>
              <w:t xml:space="preserve"> Note this is a conservative estimate of the actual difference</w:t>
            </w:r>
          </w:p>
        </w:tc>
      </w:tr>
      <w:tr w:rsidR="00D269BB" w:rsidRPr="00892ABE" w:rsidTr="00857DF8">
        <w:trPr>
          <w:cnfStyle w:val="000000100000"/>
          <w:trHeight w:val="300"/>
        </w:trPr>
        <w:tc>
          <w:tcPr>
            <w:cnfStyle w:val="001000000000"/>
            <w:tcW w:w="1418" w:type="dxa"/>
            <w:vMerge/>
            <w:noWrap/>
            <w:hideMark/>
          </w:tcPr>
          <w:p w:rsidR="00D269BB" w:rsidRPr="007751D8" w:rsidRDefault="00D269BB" w:rsidP="00DA65C1">
            <w:pPr>
              <w:spacing w:before="0" w:after="0" w:line="240" w:lineRule="auto"/>
              <w:rPr>
                <w:rFonts w:eastAsia="Times New Roman"/>
                <w:lang w:eastAsia="en-AU"/>
              </w:rPr>
            </w:pPr>
          </w:p>
        </w:tc>
        <w:tc>
          <w:tcPr>
            <w:tcW w:w="1292" w:type="dxa"/>
            <w:shd w:val="clear" w:color="auto" w:fill="B1005D" w:themeFill="accent1"/>
            <w:noWrap/>
            <w:hideMark/>
          </w:tcPr>
          <w:p w:rsidR="006107B8" w:rsidRDefault="0005005A"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Mass</w:t>
            </w:r>
          </w:p>
          <w:p w:rsidR="00D269BB" w:rsidRPr="007751D8"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w:t>
            </w:r>
            <w:proofErr w:type="spellStart"/>
            <w:r w:rsidRPr="007751D8">
              <w:rPr>
                <w:rFonts w:eastAsia="Times New Roman"/>
                <w:color w:val="FFFFFF" w:themeColor="background1"/>
                <w:lang w:eastAsia="en-AU"/>
              </w:rPr>
              <w:t>kt</w:t>
            </w:r>
            <w:proofErr w:type="spellEnd"/>
            <w:r w:rsidRPr="007751D8">
              <w:rPr>
                <w:rFonts w:eastAsia="Times New Roman"/>
                <w:color w:val="FFFFFF" w:themeColor="background1"/>
                <w:lang w:eastAsia="en-AU"/>
              </w:rPr>
              <w:t>)</w:t>
            </w:r>
          </w:p>
        </w:tc>
        <w:tc>
          <w:tcPr>
            <w:tcW w:w="814" w:type="dxa"/>
            <w:shd w:val="clear" w:color="auto" w:fill="B1005D" w:themeFill="accent1"/>
            <w:noWrap/>
            <w:hideMark/>
          </w:tcPr>
          <w:p w:rsidR="00D269BB"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Count</w:t>
            </w:r>
          </w:p>
          <w:p w:rsidR="006107B8" w:rsidRPr="006107B8" w:rsidRDefault="006107B8"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(x 10</w:t>
            </w:r>
            <w:r>
              <w:rPr>
                <w:rFonts w:eastAsia="Times New Roman"/>
                <w:color w:val="FFFFFF" w:themeColor="background1"/>
                <w:vertAlign w:val="superscript"/>
                <w:lang w:eastAsia="en-AU"/>
              </w:rPr>
              <w:t>6</w:t>
            </w:r>
            <w:r>
              <w:rPr>
                <w:rFonts w:eastAsia="Times New Roman"/>
                <w:color w:val="FFFFFF" w:themeColor="background1"/>
                <w:lang w:eastAsia="en-AU"/>
              </w:rPr>
              <w:t>)</w:t>
            </w:r>
          </w:p>
        </w:tc>
        <w:tc>
          <w:tcPr>
            <w:tcW w:w="1454" w:type="dxa"/>
            <w:shd w:val="clear" w:color="auto" w:fill="B1005D" w:themeFill="accent1"/>
          </w:tcPr>
          <w:p w:rsidR="006107B8" w:rsidRDefault="0005005A"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Mass</w:t>
            </w:r>
          </w:p>
          <w:p w:rsidR="00D269BB" w:rsidRPr="007751D8"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w:t>
            </w:r>
            <w:proofErr w:type="spellStart"/>
            <w:r w:rsidRPr="007751D8">
              <w:rPr>
                <w:rFonts w:eastAsia="Times New Roman"/>
                <w:color w:val="FFFFFF" w:themeColor="background1"/>
                <w:lang w:eastAsia="en-AU"/>
              </w:rPr>
              <w:t>kt</w:t>
            </w:r>
            <w:proofErr w:type="spellEnd"/>
            <w:r w:rsidRPr="007751D8">
              <w:rPr>
                <w:rFonts w:eastAsia="Times New Roman"/>
                <w:color w:val="FFFFFF" w:themeColor="background1"/>
                <w:lang w:eastAsia="en-AU"/>
              </w:rPr>
              <w:t>)</w:t>
            </w:r>
          </w:p>
        </w:tc>
        <w:tc>
          <w:tcPr>
            <w:tcW w:w="1114" w:type="dxa"/>
            <w:shd w:val="clear" w:color="auto" w:fill="B1005D" w:themeFill="accent1"/>
          </w:tcPr>
          <w:p w:rsidR="00D269BB"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Count</w:t>
            </w:r>
          </w:p>
          <w:p w:rsidR="006107B8" w:rsidRPr="007751D8" w:rsidRDefault="006107B8"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(x 10</w:t>
            </w:r>
            <w:r>
              <w:rPr>
                <w:rFonts w:eastAsia="Times New Roman"/>
                <w:color w:val="FFFFFF" w:themeColor="background1"/>
                <w:vertAlign w:val="superscript"/>
                <w:lang w:eastAsia="en-AU"/>
              </w:rPr>
              <w:t>6</w:t>
            </w:r>
            <w:r>
              <w:rPr>
                <w:rFonts w:eastAsia="Times New Roman"/>
                <w:color w:val="FFFFFF" w:themeColor="background1"/>
                <w:lang w:eastAsia="en-AU"/>
              </w:rPr>
              <w:t>)</w:t>
            </w:r>
          </w:p>
        </w:tc>
        <w:tc>
          <w:tcPr>
            <w:tcW w:w="1721" w:type="dxa"/>
            <w:shd w:val="clear" w:color="auto" w:fill="B1005D" w:themeFill="accent1"/>
          </w:tcPr>
          <w:p w:rsidR="006107B8" w:rsidRDefault="0005005A"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Mass</w:t>
            </w:r>
          </w:p>
          <w:p w:rsidR="00D269BB" w:rsidRPr="007751D8"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w:t>
            </w:r>
            <w:proofErr w:type="spellStart"/>
            <w:r w:rsidRPr="007751D8">
              <w:rPr>
                <w:rFonts w:eastAsia="Times New Roman"/>
                <w:color w:val="FFFFFF" w:themeColor="background1"/>
                <w:lang w:eastAsia="en-AU"/>
              </w:rPr>
              <w:t>kt</w:t>
            </w:r>
            <w:proofErr w:type="spellEnd"/>
            <w:r w:rsidRPr="007751D8">
              <w:rPr>
                <w:rFonts w:eastAsia="Times New Roman"/>
                <w:color w:val="FFFFFF" w:themeColor="background1"/>
                <w:lang w:eastAsia="en-AU"/>
              </w:rPr>
              <w:t>)</w:t>
            </w:r>
          </w:p>
        </w:tc>
        <w:tc>
          <w:tcPr>
            <w:tcW w:w="1560" w:type="dxa"/>
            <w:tcBorders>
              <w:bottom w:val="single" w:sz="4" w:space="0" w:color="FFFFFF" w:themeColor="background1"/>
              <w:right w:val="nil"/>
            </w:tcBorders>
            <w:shd w:val="clear" w:color="auto" w:fill="B1005D" w:themeFill="accent1"/>
          </w:tcPr>
          <w:p w:rsidR="00D269BB" w:rsidRDefault="00D269BB" w:rsidP="00DA65C1">
            <w:pPr>
              <w:spacing w:before="0" w:after="0" w:line="240" w:lineRule="auto"/>
              <w:jc w:val="right"/>
              <w:cnfStyle w:val="000000100000"/>
              <w:rPr>
                <w:rFonts w:eastAsia="Times New Roman"/>
                <w:color w:val="FFFFFF" w:themeColor="background1"/>
                <w:lang w:eastAsia="en-AU"/>
              </w:rPr>
            </w:pPr>
            <w:r w:rsidRPr="007751D8">
              <w:rPr>
                <w:rFonts w:eastAsia="Times New Roman"/>
                <w:color w:val="FFFFFF" w:themeColor="background1"/>
                <w:lang w:eastAsia="en-AU"/>
              </w:rPr>
              <w:t>Count</w:t>
            </w:r>
          </w:p>
          <w:p w:rsidR="006107B8" w:rsidRPr="007751D8" w:rsidRDefault="006107B8" w:rsidP="00DA65C1">
            <w:pPr>
              <w:spacing w:before="0" w:after="0" w:line="240" w:lineRule="auto"/>
              <w:jc w:val="right"/>
              <w:cnfStyle w:val="000000100000"/>
              <w:rPr>
                <w:rFonts w:eastAsia="Times New Roman"/>
                <w:color w:val="FFFFFF" w:themeColor="background1"/>
                <w:lang w:eastAsia="en-AU"/>
              </w:rPr>
            </w:pPr>
            <w:r>
              <w:rPr>
                <w:rFonts w:eastAsia="Times New Roman"/>
                <w:color w:val="FFFFFF" w:themeColor="background1"/>
                <w:lang w:eastAsia="en-AU"/>
              </w:rPr>
              <w:t>(x 10</w:t>
            </w:r>
            <w:r>
              <w:rPr>
                <w:rFonts w:eastAsia="Times New Roman"/>
                <w:color w:val="FFFFFF" w:themeColor="background1"/>
                <w:vertAlign w:val="superscript"/>
                <w:lang w:eastAsia="en-AU"/>
              </w:rPr>
              <w:t>6</w:t>
            </w:r>
            <w:r>
              <w:rPr>
                <w:rFonts w:eastAsia="Times New Roman"/>
                <w:color w:val="FFFFFF" w:themeColor="background1"/>
                <w:lang w:eastAsia="en-AU"/>
              </w:rPr>
              <w:t>)</w:t>
            </w:r>
          </w:p>
        </w:tc>
      </w:tr>
      <w:tr w:rsidR="00216CAF" w:rsidRPr="00892ABE" w:rsidTr="00857DF8">
        <w:trPr>
          <w:cnfStyle w:val="000000010000"/>
          <w:trHeight w:val="300"/>
        </w:trPr>
        <w:tc>
          <w:tcPr>
            <w:cnfStyle w:val="001000000000"/>
            <w:tcW w:w="1418" w:type="dxa"/>
            <w:noWrap/>
            <w:hideMark/>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0-1</w:t>
            </w:r>
            <w:r w:rsidR="006107B8">
              <w:rPr>
                <w:rFonts w:eastAsia="Times New Roman"/>
                <w:lang w:eastAsia="en-AU"/>
              </w:rPr>
              <w:t xml:space="preserve"> kg</w:t>
            </w:r>
          </w:p>
        </w:tc>
        <w:tc>
          <w:tcPr>
            <w:tcW w:w="1292"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1.3</w:t>
            </w:r>
          </w:p>
        </w:tc>
        <w:tc>
          <w:tcPr>
            <w:tcW w:w="814"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1.82</w:t>
            </w:r>
          </w:p>
        </w:tc>
        <w:tc>
          <w:tcPr>
            <w:tcW w:w="1454" w:type="dxa"/>
          </w:tcPr>
          <w:p w:rsidR="00216CAF" w:rsidRPr="00892ABE" w:rsidRDefault="00216CAF"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0.</w:t>
            </w:r>
            <w:r>
              <w:rPr>
                <w:rFonts w:eastAsia="Times New Roman"/>
                <w:color w:val="000000"/>
                <w:lang w:eastAsia="en-AU"/>
              </w:rPr>
              <w:t>2</w:t>
            </w:r>
          </w:p>
        </w:tc>
        <w:tc>
          <w:tcPr>
            <w:tcW w:w="1114" w:type="dxa"/>
          </w:tcPr>
          <w:p w:rsidR="00216CAF" w:rsidRPr="00892ABE" w:rsidRDefault="00216CAF"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0.50</w:t>
            </w:r>
          </w:p>
        </w:tc>
        <w:tc>
          <w:tcPr>
            <w:tcW w:w="1721" w:type="dxa"/>
            <w:vAlign w:val="bottom"/>
          </w:tcPr>
          <w:p w:rsidR="00216CAF" w:rsidRDefault="00216CAF" w:rsidP="00DA65C1">
            <w:pPr>
              <w:spacing w:before="0" w:after="0" w:line="240" w:lineRule="auto"/>
              <w:jc w:val="right"/>
              <w:cnfStyle w:val="000000010000"/>
              <w:rPr>
                <w:color w:val="000000"/>
                <w:szCs w:val="22"/>
              </w:rPr>
            </w:pPr>
            <w:r>
              <w:rPr>
                <w:color w:val="000000"/>
                <w:szCs w:val="22"/>
              </w:rPr>
              <w:t>-1.1</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010000"/>
              <w:rPr>
                <w:color w:val="000000"/>
                <w:szCs w:val="22"/>
              </w:rPr>
            </w:pPr>
            <w:r>
              <w:rPr>
                <w:color w:val="000000"/>
                <w:szCs w:val="22"/>
              </w:rPr>
              <w:t>-1.32</w:t>
            </w:r>
          </w:p>
        </w:tc>
      </w:tr>
      <w:tr w:rsidR="00216CAF" w:rsidRPr="00892ABE" w:rsidTr="00857DF8">
        <w:trPr>
          <w:cnfStyle w:val="000000100000"/>
          <w:trHeight w:val="300"/>
        </w:trPr>
        <w:tc>
          <w:tcPr>
            <w:cnfStyle w:val="001000000000"/>
            <w:tcW w:w="1418" w:type="dxa"/>
            <w:noWrap/>
            <w:hideMark/>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1-5</w:t>
            </w:r>
            <w:r w:rsidR="006107B8">
              <w:rPr>
                <w:rFonts w:eastAsia="Times New Roman"/>
                <w:lang w:eastAsia="en-AU"/>
              </w:rPr>
              <w:t xml:space="preserve"> kg</w:t>
            </w:r>
          </w:p>
        </w:tc>
        <w:tc>
          <w:tcPr>
            <w:tcW w:w="1292" w:type="dxa"/>
            <w:noWrap/>
            <w:vAlign w:val="bottom"/>
          </w:tcPr>
          <w:p w:rsidR="00216CAF" w:rsidRDefault="00216CAF" w:rsidP="00DA65C1">
            <w:pPr>
              <w:spacing w:before="0" w:after="0" w:line="240" w:lineRule="auto"/>
              <w:jc w:val="right"/>
              <w:cnfStyle w:val="000000100000"/>
              <w:rPr>
                <w:color w:val="000000"/>
                <w:szCs w:val="22"/>
              </w:rPr>
            </w:pPr>
            <w:r>
              <w:rPr>
                <w:color w:val="000000"/>
                <w:szCs w:val="22"/>
              </w:rPr>
              <w:t>0.5</w:t>
            </w:r>
          </w:p>
        </w:tc>
        <w:tc>
          <w:tcPr>
            <w:tcW w:w="814" w:type="dxa"/>
            <w:noWrap/>
            <w:vAlign w:val="bottom"/>
          </w:tcPr>
          <w:p w:rsidR="00216CAF" w:rsidRDefault="00216CAF" w:rsidP="00DA65C1">
            <w:pPr>
              <w:spacing w:before="0" w:after="0" w:line="240" w:lineRule="auto"/>
              <w:jc w:val="right"/>
              <w:cnfStyle w:val="000000100000"/>
              <w:rPr>
                <w:color w:val="000000"/>
                <w:szCs w:val="22"/>
              </w:rPr>
            </w:pPr>
            <w:r>
              <w:rPr>
                <w:color w:val="000000"/>
                <w:szCs w:val="22"/>
              </w:rPr>
              <w:t>0.16</w:t>
            </w:r>
          </w:p>
        </w:tc>
        <w:tc>
          <w:tcPr>
            <w:tcW w:w="1454" w:type="dxa"/>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4.6</w:t>
            </w:r>
          </w:p>
        </w:tc>
        <w:tc>
          <w:tcPr>
            <w:tcW w:w="1114" w:type="dxa"/>
          </w:tcPr>
          <w:p w:rsidR="00216CAF" w:rsidRPr="00892ABE" w:rsidRDefault="00216CAF"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2</w:t>
            </w:r>
            <w:r>
              <w:rPr>
                <w:rFonts w:eastAsia="Times New Roman"/>
                <w:color w:val="000000"/>
                <w:lang w:eastAsia="en-AU"/>
              </w:rPr>
              <w:t>3</w:t>
            </w:r>
          </w:p>
        </w:tc>
        <w:tc>
          <w:tcPr>
            <w:tcW w:w="1721" w:type="dxa"/>
            <w:vAlign w:val="bottom"/>
          </w:tcPr>
          <w:p w:rsidR="00216CAF" w:rsidRDefault="00216CAF" w:rsidP="00DA65C1">
            <w:pPr>
              <w:spacing w:before="0" w:after="0" w:line="240" w:lineRule="auto"/>
              <w:jc w:val="right"/>
              <w:cnfStyle w:val="000000100000"/>
              <w:rPr>
                <w:color w:val="000000"/>
                <w:szCs w:val="22"/>
              </w:rPr>
            </w:pPr>
            <w:r>
              <w:rPr>
                <w:color w:val="000000"/>
                <w:szCs w:val="22"/>
              </w:rPr>
              <w:t>4.1</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100000"/>
              <w:rPr>
                <w:color w:val="000000"/>
                <w:szCs w:val="22"/>
              </w:rPr>
            </w:pPr>
            <w:r>
              <w:rPr>
                <w:color w:val="000000"/>
                <w:szCs w:val="22"/>
              </w:rPr>
              <w:t>1.07</w:t>
            </w:r>
          </w:p>
        </w:tc>
      </w:tr>
      <w:tr w:rsidR="00216CAF" w:rsidRPr="00892ABE" w:rsidTr="00857DF8">
        <w:trPr>
          <w:cnfStyle w:val="000000010000"/>
          <w:trHeight w:val="300"/>
        </w:trPr>
        <w:tc>
          <w:tcPr>
            <w:cnfStyle w:val="001000000000"/>
            <w:tcW w:w="1418" w:type="dxa"/>
            <w:noWrap/>
            <w:hideMark/>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5-20</w:t>
            </w:r>
            <w:r w:rsidR="006107B8">
              <w:rPr>
                <w:rFonts w:eastAsia="Times New Roman"/>
                <w:lang w:eastAsia="en-AU"/>
              </w:rPr>
              <w:t xml:space="preserve"> kg</w:t>
            </w:r>
          </w:p>
        </w:tc>
        <w:tc>
          <w:tcPr>
            <w:tcW w:w="1292"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68.1</w:t>
            </w:r>
          </w:p>
        </w:tc>
        <w:tc>
          <w:tcPr>
            <w:tcW w:w="814"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4.69</w:t>
            </w:r>
          </w:p>
        </w:tc>
        <w:tc>
          <w:tcPr>
            <w:tcW w:w="1454" w:type="dxa"/>
          </w:tcPr>
          <w:p w:rsidR="00216CAF" w:rsidRPr="00892ABE" w:rsidRDefault="00216CAF"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76.5</w:t>
            </w:r>
          </w:p>
        </w:tc>
        <w:tc>
          <w:tcPr>
            <w:tcW w:w="1114" w:type="dxa"/>
          </w:tcPr>
          <w:p w:rsidR="00216CAF" w:rsidRPr="00892ABE" w:rsidRDefault="00216CAF"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5</w:t>
            </w:r>
            <w:r>
              <w:rPr>
                <w:rFonts w:eastAsia="Times New Roman"/>
                <w:color w:val="000000"/>
                <w:lang w:eastAsia="en-AU"/>
              </w:rPr>
              <w:t>.</w:t>
            </w:r>
            <w:r w:rsidRPr="00D669E8">
              <w:rPr>
                <w:rFonts w:eastAsia="Times New Roman"/>
                <w:color w:val="000000"/>
                <w:lang w:eastAsia="en-AU"/>
              </w:rPr>
              <w:t>6</w:t>
            </w:r>
            <w:r>
              <w:rPr>
                <w:rFonts w:eastAsia="Times New Roman"/>
                <w:color w:val="000000"/>
                <w:lang w:eastAsia="en-AU"/>
              </w:rPr>
              <w:t>7</w:t>
            </w:r>
          </w:p>
        </w:tc>
        <w:tc>
          <w:tcPr>
            <w:tcW w:w="1721" w:type="dxa"/>
            <w:vAlign w:val="bottom"/>
          </w:tcPr>
          <w:p w:rsidR="00216CAF" w:rsidRDefault="00216CAF" w:rsidP="00DA65C1">
            <w:pPr>
              <w:spacing w:before="0" w:after="0" w:line="240" w:lineRule="auto"/>
              <w:jc w:val="right"/>
              <w:cnfStyle w:val="000000010000"/>
              <w:rPr>
                <w:color w:val="000000"/>
                <w:szCs w:val="22"/>
              </w:rPr>
            </w:pPr>
            <w:r>
              <w:rPr>
                <w:color w:val="000000"/>
                <w:szCs w:val="22"/>
              </w:rPr>
              <w:t>8.4</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010000"/>
              <w:rPr>
                <w:color w:val="000000"/>
                <w:szCs w:val="22"/>
              </w:rPr>
            </w:pPr>
            <w:r>
              <w:rPr>
                <w:color w:val="000000"/>
                <w:szCs w:val="22"/>
              </w:rPr>
              <w:t>0.98</w:t>
            </w:r>
          </w:p>
        </w:tc>
      </w:tr>
      <w:tr w:rsidR="00216CAF" w:rsidRPr="00892ABE" w:rsidTr="00857DF8">
        <w:trPr>
          <w:cnfStyle w:val="000000100000"/>
          <w:trHeight w:val="300"/>
        </w:trPr>
        <w:tc>
          <w:tcPr>
            <w:cnfStyle w:val="001000000000"/>
            <w:tcW w:w="1418" w:type="dxa"/>
            <w:noWrap/>
            <w:hideMark/>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20-50</w:t>
            </w:r>
            <w:r w:rsidR="006107B8">
              <w:rPr>
                <w:rFonts w:eastAsia="Times New Roman"/>
                <w:lang w:eastAsia="en-AU"/>
              </w:rPr>
              <w:t xml:space="preserve"> kg</w:t>
            </w:r>
          </w:p>
        </w:tc>
        <w:tc>
          <w:tcPr>
            <w:tcW w:w="1292" w:type="dxa"/>
            <w:noWrap/>
            <w:vAlign w:val="bottom"/>
          </w:tcPr>
          <w:p w:rsidR="00216CAF" w:rsidRDefault="00216CAF" w:rsidP="00DA65C1">
            <w:pPr>
              <w:spacing w:before="0" w:after="0" w:line="240" w:lineRule="auto"/>
              <w:jc w:val="right"/>
              <w:cnfStyle w:val="000000100000"/>
              <w:rPr>
                <w:color w:val="000000"/>
                <w:szCs w:val="22"/>
              </w:rPr>
            </w:pPr>
            <w:r>
              <w:rPr>
                <w:color w:val="000000"/>
                <w:szCs w:val="22"/>
              </w:rPr>
              <w:t>50.4</w:t>
            </w:r>
          </w:p>
        </w:tc>
        <w:tc>
          <w:tcPr>
            <w:tcW w:w="814" w:type="dxa"/>
            <w:noWrap/>
            <w:vAlign w:val="bottom"/>
          </w:tcPr>
          <w:p w:rsidR="00216CAF" w:rsidRDefault="00216CAF" w:rsidP="00DA65C1">
            <w:pPr>
              <w:spacing w:before="0" w:after="0" w:line="240" w:lineRule="auto"/>
              <w:jc w:val="right"/>
              <w:cnfStyle w:val="000000100000"/>
              <w:rPr>
                <w:color w:val="000000"/>
                <w:szCs w:val="22"/>
              </w:rPr>
            </w:pPr>
            <w:r>
              <w:rPr>
                <w:color w:val="000000"/>
                <w:szCs w:val="22"/>
              </w:rPr>
              <w:t>1.79</w:t>
            </w:r>
          </w:p>
        </w:tc>
        <w:tc>
          <w:tcPr>
            <w:tcW w:w="1454" w:type="dxa"/>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59.1</w:t>
            </w:r>
          </w:p>
        </w:tc>
        <w:tc>
          <w:tcPr>
            <w:tcW w:w="1114" w:type="dxa"/>
          </w:tcPr>
          <w:p w:rsidR="00216CAF" w:rsidRPr="00892ABE" w:rsidRDefault="00216CAF"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2</w:t>
            </w:r>
            <w:r>
              <w:rPr>
                <w:rFonts w:eastAsia="Times New Roman"/>
                <w:color w:val="000000"/>
                <w:lang w:eastAsia="en-AU"/>
              </w:rPr>
              <w:t>.</w:t>
            </w:r>
            <w:r w:rsidRPr="00D669E8">
              <w:rPr>
                <w:rFonts w:eastAsia="Times New Roman"/>
                <w:color w:val="000000"/>
                <w:lang w:eastAsia="en-AU"/>
              </w:rPr>
              <w:t>28</w:t>
            </w:r>
          </w:p>
        </w:tc>
        <w:tc>
          <w:tcPr>
            <w:tcW w:w="1721" w:type="dxa"/>
            <w:vAlign w:val="bottom"/>
          </w:tcPr>
          <w:p w:rsidR="00216CAF" w:rsidRDefault="00216CAF" w:rsidP="00DA65C1">
            <w:pPr>
              <w:spacing w:before="0" w:after="0" w:line="240" w:lineRule="auto"/>
              <w:jc w:val="right"/>
              <w:cnfStyle w:val="000000100000"/>
              <w:rPr>
                <w:color w:val="000000"/>
                <w:szCs w:val="22"/>
              </w:rPr>
            </w:pPr>
            <w:r>
              <w:rPr>
                <w:color w:val="000000"/>
                <w:szCs w:val="22"/>
              </w:rPr>
              <w:t>8.7</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100000"/>
              <w:rPr>
                <w:color w:val="000000"/>
                <w:szCs w:val="22"/>
              </w:rPr>
            </w:pPr>
            <w:r>
              <w:rPr>
                <w:color w:val="000000"/>
                <w:szCs w:val="22"/>
              </w:rPr>
              <w:t>0.49</w:t>
            </w:r>
          </w:p>
        </w:tc>
      </w:tr>
      <w:tr w:rsidR="00216CAF" w:rsidRPr="00892ABE" w:rsidTr="00857DF8">
        <w:trPr>
          <w:cnfStyle w:val="000000010000"/>
          <w:trHeight w:val="300"/>
        </w:trPr>
        <w:tc>
          <w:tcPr>
            <w:cnfStyle w:val="001000000000"/>
            <w:tcW w:w="1418" w:type="dxa"/>
            <w:noWrap/>
            <w:hideMark/>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50-100</w:t>
            </w:r>
            <w:r w:rsidR="006107B8">
              <w:rPr>
                <w:rFonts w:eastAsia="Times New Roman"/>
                <w:lang w:eastAsia="en-AU"/>
              </w:rPr>
              <w:t xml:space="preserve"> kg</w:t>
            </w:r>
          </w:p>
        </w:tc>
        <w:tc>
          <w:tcPr>
            <w:tcW w:w="1292"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4.6</w:t>
            </w:r>
          </w:p>
        </w:tc>
        <w:tc>
          <w:tcPr>
            <w:tcW w:w="814" w:type="dxa"/>
            <w:noWrap/>
            <w:vAlign w:val="bottom"/>
          </w:tcPr>
          <w:p w:rsidR="00216CAF" w:rsidRDefault="00216CAF" w:rsidP="00DA65C1">
            <w:pPr>
              <w:spacing w:before="0" w:after="0" w:line="240" w:lineRule="auto"/>
              <w:jc w:val="right"/>
              <w:cnfStyle w:val="000000010000"/>
              <w:rPr>
                <w:color w:val="000000"/>
                <w:szCs w:val="22"/>
              </w:rPr>
            </w:pPr>
            <w:r>
              <w:rPr>
                <w:color w:val="000000"/>
                <w:szCs w:val="22"/>
              </w:rPr>
              <w:t>0.02</w:t>
            </w:r>
          </w:p>
        </w:tc>
        <w:tc>
          <w:tcPr>
            <w:tcW w:w="1454" w:type="dxa"/>
          </w:tcPr>
          <w:p w:rsidR="00216CAF" w:rsidRPr="00892ABE" w:rsidRDefault="00216CAF"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3.9</w:t>
            </w:r>
          </w:p>
        </w:tc>
        <w:tc>
          <w:tcPr>
            <w:tcW w:w="1114" w:type="dxa"/>
          </w:tcPr>
          <w:p w:rsidR="00216CAF" w:rsidRPr="00892ABE" w:rsidRDefault="00216CAF"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6</w:t>
            </w:r>
          </w:p>
        </w:tc>
        <w:tc>
          <w:tcPr>
            <w:tcW w:w="1721" w:type="dxa"/>
            <w:vAlign w:val="bottom"/>
          </w:tcPr>
          <w:p w:rsidR="00216CAF" w:rsidRDefault="00216CAF" w:rsidP="00DA65C1">
            <w:pPr>
              <w:spacing w:before="0" w:after="0" w:line="240" w:lineRule="auto"/>
              <w:jc w:val="right"/>
              <w:cnfStyle w:val="000000010000"/>
              <w:rPr>
                <w:color w:val="000000"/>
                <w:szCs w:val="22"/>
              </w:rPr>
            </w:pPr>
            <w:r>
              <w:rPr>
                <w:color w:val="000000"/>
                <w:szCs w:val="22"/>
              </w:rPr>
              <w:t>-0.7</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010000"/>
              <w:rPr>
                <w:color w:val="000000"/>
                <w:szCs w:val="22"/>
              </w:rPr>
            </w:pPr>
            <w:r>
              <w:rPr>
                <w:color w:val="000000"/>
                <w:szCs w:val="22"/>
              </w:rPr>
              <w:t>0.04</w:t>
            </w:r>
          </w:p>
        </w:tc>
      </w:tr>
      <w:tr w:rsidR="00216CAF" w:rsidRPr="00892ABE" w:rsidTr="00857DF8">
        <w:trPr>
          <w:cnfStyle w:val="000000100000"/>
          <w:trHeight w:val="300"/>
        </w:trPr>
        <w:tc>
          <w:tcPr>
            <w:cnfStyle w:val="001000000000"/>
            <w:tcW w:w="1418" w:type="dxa"/>
            <w:noWrap/>
          </w:tcPr>
          <w:p w:rsidR="00216CAF" w:rsidRPr="007751D8" w:rsidRDefault="00216CAF" w:rsidP="00DA65C1">
            <w:pPr>
              <w:spacing w:before="0" w:after="0" w:line="240" w:lineRule="auto"/>
              <w:rPr>
                <w:rFonts w:eastAsia="Times New Roman"/>
                <w:lang w:eastAsia="en-AU"/>
              </w:rPr>
            </w:pPr>
            <w:r w:rsidRPr="007751D8">
              <w:rPr>
                <w:rFonts w:eastAsia="Times New Roman"/>
                <w:lang w:eastAsia="en-AU"/>
              </w:rPr>
              <w:t>100-3000</w:t>
            </w:r>
            <w:r w:rsidR="006107B8">
              <w:rPr>
                <w:rFonts w:eastAsia="Times New Roman"/>
                <w:lang w:eastAsia="en-AU"/>
              </w:rPr>
              <w:t xml:space="preserve"> kg</w:t>
            </w:r>
          </w:p>
        </w:tc>
        <w:tc>
          <w:tcPr>
            <w:tcW w:w="1292" w:type="dxa"/>
            <w:noWrap/>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p>
        </w:tc>
        <w:tc>
          <w:tcPr>
            <w:tcW w:w="814" w:type="dxa"/>
            <w:noWrap/>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p>
        </w:tc>
        <w:tc>
          <w:tcPr>
            <w:tcW w:w="1454" w:type="dxa"/>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2.2</w:t>
            </w:r>
          </w:p>
        </w:tc>
        <w:tc>
          <w:tcPr>
            <w:tcW w:w="1114" w:type="dxa"/>
          </w:tcPr>
          <w:p w:rsidR="00216CAF" w:rsidRPr="00892ABE" w:rsidRDefault="00216CAF"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1</w:t>
            </w:r>
          </w:p>
        </w:tc>
        <w:tc>
          <w:tcPr>
            <w:tcW w:w="1721" w:type="dxa"/>
            <w:vAlign w:val="bottom"/>
          </w:tcPr>
          <w:p w:rsidR="00216CAF" w:rsidRDefault="00216CAF" w:rsidP="00DA65C1">
            <w:pPr>
              <w:spacing w:before="0" w:after="0" w:line="240" w:lineRule="auto"/>
              <w:jc w:val="right"/>
              <w:cnfStyle w:val="000000100000"/>
              <w:rPr>
                <w:color w:val="000000"/>
                <w:szCs w:val="22"/>
              </w:rPr>
            </w:pPr>
            <w:r>
              <w:rPr>
                <w:color w:val="000000"/>
                <w:szCs w:val="22"/>
              </w:rPr>
              <w:t>2.2</w:t>
            </w:r>
          </w:p>
        </w:tc>
        <w:tc>
          <w:tcPr>
            <w:tcW w:w="1560" w:type="dxa"/>
            <w:tcBorders>
              <w:bottom w:val="single" w:sz="4" w:space="0" w:color="FFFFFF" w:themeColor="background1"/>
              <w:right w:val="nil"/>
            </w:tcBorders>
            <w:vAlign w:val="bottom"/>
          </w:tcPr>
          <w:p w:rsidR="00216CAF" w:rsidRDefault="00216CAF" w:rsidP="00DA65C1">
            <w:pPr>
              <w:spacing w:before="0" w:after="0" w:line="240" w:lineRule="auto"/>
              <w:jc w:val="right"/>
              <w:cnfStyle w:val="000000100000"/>
              <w:rPr>
                <w:color w:val="000000"/>
                <w:szCs w:val="22"/>
              </w:rPr>
            </w:pPr>
            <w:r>
              <w:rPr>
                <w:color w:val="000000"/>
                <w:szCs w:val="22"/>
              </w:rPr>
              <w:t>0.01</w:t>
            </w:r>
          </w:p>
        </w:tc>
      </w:tr>
      <w:tr w:rsidR="00216CAF" w:rsidRPr="00B521A6" w:rsidTr="00857DF8">
        <w:trPr>
          <w:cnfStyle w:val="000000010000"/>
          <w:trHeight w:val="300"/>
        </w:trPr>
        <w:tc>
          <w:tcPr>
            <w:cnfStyle w:val="001000000000"/>
            <w:tcW w:w="1418" w:type="dxa"/>
            <w:noWrap/>
          </w:tcPr>
          <w:p w:rsidR="00216CAF" w:rsidRPr="00B521A6" w:rsidRDefault="002C61A0" w:rsidP="00DA65C1">
            <w:pPr>
              <w:spacing w:before="0" w:after="0" w:line="240" w:lineRule="auto"/>
              <w:rPr>
                <w:rFonts w:eastAsia="Times New Roman"/>
                <w:b/>
                <w:lang w:eastAsia="en-AU"/>
              </w:rPr>
            </w:pPr>
            <w:r w:rsidRPr="00B521A6">
              <w:rPr>
                <w:rFonts w:eastAsia="Times New Roman"/>
                <w:b/>
                <w:lang w:eastAsia="en-AU"/>
              </w:rPr>
              <w:t>TOTAL</w:t>
            </w:r>
          </w:p>
        </w:tc>
        <w:tc>
          <w:tcPr>
            <w:tcW w:w="1292" w:type="dxa"/>
            <w:noWrap/>
            <w:vAlign w:val="bottom"/>
          </w:tcPr>
          <w:p w:rsidR="00216CAF" w:rsidRPr="00B521A6" w:rsidRDefault="00216CAF" w:rsidP="00DA65C1">
            <w:pPr>
              <w:spacing w:before="0" w:after="0" w:line="240" w:lineRule="auto"/>
              <w:jc w:val="right"/>
              <w:cnfStyle w:val="000000010000"/>
              <w:rPr>
                <w:b/>
                <w:color w:val="000000"/>
                <w:szCs w:val="22"/>
              </w:rPr>
            </w:pPr>
            <w:r w:rsidRPr="00B521A6">
              <w:rPr>
                <w:b/>
                <w:color w:val="000000"/>
                <w:szCs w:val="22"/>
              </w:rPr>
              <w:t>124.9</w:t>
            </w:r>
          </w:p>
        </w:tc>
        <w:tc>
          <w:tcPr>
            <w:tcW w:w="814" w:type="dxa"/>
            <w:noWrap/>
            <w:vAlign w:val="bottom"/>
          </w:tcPr>
          <w:p w:rsidR="00216CAF" w:rsidRPr="00B521A6" w:rsidRDefault="00216CAF" w:rsidP="00DA65C1">
            <w:pPr>
              <w:spacing w:before="0" w:after="0" w:line="240" w:lineRule="auto"/>
              <w:jc w:val="right"/>
              <w:cnfStyle w:val="000000010000"/>
              <w:rPr>
                <w:b/>
                <w:color w:val="000000"/>
                <w:szCs w:val="22"/>
              </w:rPr>
            </w:pPr>
            <w:r w:rsidRPr="00B521A6">
              <w:rPr>
                <w:b/>
                <w:color w:val="000000"/>
                <w:szCs w:val="22"/>
              </w:rPr>
              <w:t>8.49</w:t>
            </w:r>
          </w:p>
        </w:tc>
        <w:tc>
          <w:tcPr>
            <w:tcW w:w="1454" w:type="dxa"/>
          </w:tcPr>
          <w:p w:rsidR="00216CAF" w:rsidRPr="00B521A6" w:rsidRDefault="00216CAF" w:rsidP="00DA65C1">
            <w:pPr>
              <w:spacing w:before="0" w:after="0" w:line="240" w:lineRule="auto"/>
              <w:jc w:val="right"/>
              <w:cnfStyle w:val="000000010000"/>
              <w:rPr>
                <w:rFonts w:eastAsia="Times New Roman"/>
                <w:b/>
                <w:color w:val="000000"/>
                <w:lang w:eastAsia="en-AU"/>
              </w:rPr>
            </w:pPr>
            <w:r w:rsidRPr="00B521A6">
              <w:rPr>
                <w:rFonts w:eastAsia="Times New Roman"/>
                <w:b/>
                <w:color w:val="000000"/>
                <w:lang w:eastAsia="en-AU"/>
              </w:rPr>
              <w:t>146.4</w:t>
            </w:r>
          </w:p>
        </w:tc>
        <w:tc>
          <w:tcPr>
            <w:tcW w:w="1114" w:type="dxa"/>
          </w:tcPr>
          <w:p w:rsidR="00216CAF" w:rsidRPr="00B521A6" w:rsidRDefault="00216CAF" w:rsidP="00DA65C1">
            <w:pPr>
              <w:spacing w:before="0" w:after="0" w:line="240" w:lineRule="auto"/>
              <w:jc w:val="right"/>
              <w:cnfStyle w:val="000000010000"/>
              <w:rPr>
                <w:rFonts w:eastAsia="Times New Roman"/>
                <w:b/>
                <w:color w:val="000000"/>
                <w:lang w:eastAsia="en-AU"/>
              </w:rPr>
            </w:pPr>
            <w:r w:rsidRPr="00B521A6">
              <w:rPr>
                <w:rFonts w:eastAsia="Times New Roman"/>
                <w:b/>
                <w:color w:val="000000"/>
                <w:lang w:eastAsia="en-AU"/>
              </w:rPr>
              <w:t>9.76</w:t>
            </w:r>
          </w:p>
        </w:tc>
        <w:tc>
          <w:tcPr>
            <w:tcW w:w="1721" w:type="dxa"/>
            <w:vAlign w:val="bottom"/>
          </w:tcPr>
          <w:p w:rsidR="00216CAF" w:rsidRPr="00B521A6" w:rsidRDefault="00216CAF" w:rsidP="00DA65C1">
            <w:pPr>
              <w:spacing w:before="0" w:after="0" w:line="240" w:lineRule="auto"/>
              <w:jc w:val="right"/>
              <w:cnfStyle w:val="000000010000"/>
              <w:rPr>
                <w:b/>
                <w:color w:val="000000"/>
                <w:szCs w:val="22"/>
              </w:rPr>
            </w:pPr>
            <w:r w:rsidRPr="00B521A6">
              <w:rPr>
                <w:b/>
                <w:color w:val="000000"/>
                <w:szCs w:val="22"/>
              </w:rPr>
              <w:t>21.5</w:t>
            </w:r>
          </w:p>
        </w:tc>
        <w:tc>
          <w:tcPr>
            <w:tcW w:w="1560" w:type="dxa"/>
            <w:tcBorders>
              <w:right w:val="nil"/>
            </w:tcBorders>
            <w:vAlign w:val="bottom"/>
          </w:tcPr>
          <w:p w:rsidR="00216CAF" w:rsidRPr="00B521A6" w:rsidRDefault="00216CAF" w:rsidP="00DA65C1">
            <w:pPr>
              <w:spacing w:before="0" w:after="0" w:line="240" w:lineRule="auto"/>
              <w:jc w:val="right"/>
              <w:cnfStyle w:val="000000010000"/>
              <w:rPr>
                <w:b/>
                <w:color w:val="000000"/>
                <w:szCs w:val="22"/>
              </w:rPr>
            </w:pPr>
            <w:r w:rsidRPr="00B521A6">
              <w:rPr>
                <w:b/>
                <w:color w:val="000000"/>
                <w:szCs w:val="22"/>
              </w:rPr>
              <w:t>1.27</w:t>
            </w:r>
          </w:p>
        </w:tc>
      </w:tr>
    </w:tbl>
    <w:p w:rsidR="00D269BB" w:rsidRDefault="00D269BB" w:rsidP="00DA65C1"/>
    <w:p w:rsidR="00BB1E4A" w:rsidRDefault="00A93179" w:rsidP="009F6C1E">
      <w:pPr>
        <w:jc w:val="left"/>
      </w:pPr>
      <w:r>
        <w:lastRenderedPageBreak/>
        <w:t xml:space="preserve">As can be seen from </w:t>
      </w:r>
      <w:fldSimple w:instr=" REF _Ref381086560 \h  \* MERGEFORMAT ">
        <w:r w:rsidR="00697A48">
          <w:t xml:space="preserve">Table </w:t>
        </w:r>
        <w:r w:rsidR="00697A48">
          <w:rPr>
            <w:noProof/>
          </w:rPr>
          <w:t>8</w:t>
        </w:r>
      </w:fldSimple>
      <w:r>
        <w:t xml:space="preserve"> the </w:t>
      </w:r>
      <w:proofErr w:type="spellStart"/>
      <w:r>
        <w:t>Warnken</w:t>
      </w:r>
      <w:proofErr w:type="spellEnd"/>
      <w:r>
        <w:t xml:space="preserve"> ISE (2010) values are approximately 14% below the ABS numbers for both the count and </w:t>
      </w:r>
      <w:r w:rsidR="0005005A">
        <w:t>mass</w:t>
      </w:r>
      <w:r>
        <w:t xml:space="preserve"> basis. Further, since ABS is an under representation of the right hand side of equation 2, this discrepancy could be even larger than is presented. </w:t>
      </w:r>
      <w:r w:rsidR="004304B7">
        <w:t xml:space="preserve">Hence there are over 1.3 million lead acid batteries unaccounted for in Warnken ISE (2010) that are presumed to exist based on the ABS (2013) data. </w:t>
      </w:r>
      <w:r w:rsidR="00BB1E4A">
        <w:t>In order to examine the discrepancy closer two approaches will be used:</w:t>
      </w:r>
    </w:p>
    <w:p w:rsidR="00BB1E4A" w:rsidRDefault="00BB1E4A" w:rsidP="009F6C1E">
      <w:pPr>
        <w:pStyle w:val="ListParagraph"/>
        <w:numPr>
          <w:ilvl w:val="0"/>
          <w:numId w:val="15"/>
        </w:numPr>
        <w:contextualSpacing w:val="0"/>
        <w:jc w:val="left"/>
      </w:pPr>
      <w:r>
        <w:t xml:space="preserve">The calculations from Warnken ISE (2010) will be examined to determine if there is any way for the discrepancy to be accountable in this data set. This examination will be based in three steps, first </w:t>
      </w:r>
      <w:r w:rsidR="00F5043E">
        <w:t xml:space="preserve">handheld batteries </w:t>
      </w:r>
      <w:r>
        <w:t xml:space="preserve">calculations will be examined, then </w:t>
      </w:r>
      <w:r w:rsidR="00F5043E">
        <w:t xml:space="preserve">SLI </w:t>
      </w:r>
      <w:r>
        <w:t>and finally</w:t>
      </w:r>
      <w:r w:rsidR="00F5043E">
        <w:t xml:space="preserve"> large and industrial batteries</w:t>
      </w:r>
      <w:r>
        <w:t xml:space="preserve">. </w:t>
      </w:r>
    </w:p>
    <w:p w:rsidR="00BB1E4A" w:rsidRDefault="00BB1E4A" w:rsidP="009F6C1E">
      <w:pPr>
        <w:pStyle w:val="ListParagraph"/>
        <w:numPr>
          <w:ilvl w:val="0"/>
          <w:numId w:val="15"/>
        </w:numPr>
        <w:contextualSpacing w:val="0"/>
        <w:jc w:val="left"/>
      </w:pPr>
      <w:r>
        <w:t xml:space="preserve">The ABS data will be further scrutinised. </w:t>
      </w:r>
      <w:r w:rsidR="00DA65C1">
        <w:t xml:space="preserve"> </w:t>
      </w:r>
    </w:p>
    <w:p w:rsidR="00A93179" w:rsidRDefault="00BB1E4A" w:rsidP="009F6C1E">
      <w:pPr>
        <w:pStyle w:val="Heading3"/>
        <w:jc w:val="left"/>
      </w:pPr>
      <w:bookmarkStart w:id="35" w:name="_Toc390444583"/>
      <w:r>
        <w:t xml:space="preserve">Warnken ISE </w:t>
      </w:r>
      <w:r w:rsidR="00B17189">
        <w:t xml:space="preserve">detailed data </w:t>
      </w:r>
      <w:r>
        <w:t>examination</w:t>
      </w:r>
      <w:bookmarkEnd w:id="35"/>
    </w:p>
    <w:p w:rsidR="00BC4101" w:rsidRDefault="00BC4101" w:rsidP="009F6C1E">
      <w:pPr>
        <w:pStyle w:val="Heading3"/>
        <w:numPr>
          <w:ilvl w:val="3"/>
          <w:numId w:val="3"/>
        </w:numPr>
        <w:jc w:val="left"/>
      </w:pPr>
      <w:bookmarkStart w:id="36" w:name="_Toc381102084"/>
      <w:bookmarkStart w:id="37" w:name="_Toc390423121"/>
      <w:bookmarkStart w:id="38" w:name="_Toc390423263"/>
      <w:bookmarkStart w:id="39" w:name="_Toc390444584"/>
      <w:r>
        <w:t>Handheld batteries</w:t>
      </w:r>
      <w:bookmarkEnd w:id="36"/>
      <w:bookmarkEnd w:id="37"/>
      <w:bookmarkEnd w:id="38"/>
      <w:bookmarkEnd w:id="39"/>
    </w:p>
    <w:p w:rsidR="004304B7" w:rsidRDefault="00BC4101" w:rsidP="009F6C1E">
      <w:pPr>
        <w:jc w:val="left"/>
      </w:pPr>
      <w:r>
        <w:t xml:space="preserve">Warnken ISE (2010), estimates that the number of input handheld lead-acid batteries to be 1.3 kt. By comparison ABS (2013) import data indicates that imported lead-acid batteries of 1 kg or less to be 0.2 </w:t>
      </w:r>
      <w:proofErr w:type="spellStart"/>
      <w:r>
        <w:t>kt</w:t>
      </w:r>
      <w:proofErr w:type="spellEnd"/>
      <w:r>
        <w:t xml:space="preserve"> (see</w:t>
      </w:r>
      <w:r w:rsidR="00DF4E92">
        <w:t xml:space="preserve"> </w:t>
      </w:r>
      <w:fldSimple w:instr=" REF _Ref381086560 \h  \* MERGEFORMAT ">
        <w:r w:rsidR="00697A48">
          <w:t>Table 8</w:t>
        </w:r>
      </w:fldSimple>
      <w:r>
        <w:t>). The number of handheld batteries estimated by Warnken ISE (2010), are similarly higher than ABS (2013) figures with 1.8 million versus 0.5 million.</w:t>
      </w:r>
      <w:r w:rsidR="00DF4E92">
        <w:t xml:space="preserve"> The reason for this difference is likely due to Warnken assuming the ABS code: </w:t>
      </w:r>
      <w:r w:rsidR="00DF4E92" w:rsidRPr="00DF4E92">
        <w:t>8507200081 Lead-acid type electric accumulators</w:t>
      </w:r>
      <w:r w:rsidR="00DF4E92">
        <w:t xml:space="preserve"> (excl those of a kind used for </w:t>
      </w:r>
      <w:r w:rsidR="00DF4E92" w:rsidRPr="00DF4E92">
        <w:t>starting piston engines, those used for t</w:t>
      </w:r>
      <w:r w:rsidR="00DF4E92">
        <w:t xml:space="preserve">raction purposes, and regulated </w:t>
      </w:r>
      <w:r w:rsidR="00DF4E92" w:rsidRPr="00DF4E92">
        <w:t>seal valve types with capacity &gt; 65 amps/hr at C20)</w:t>
      </w:r>
      <w:r w:rsidR="00DF4E92">
        <w:t xml:space="preserve"> represented handheld batteries of a </w:t>
      </w:r>
      <w:r w:rsidR="0005005A">
        <w:t>mass</w:t>
      </w:r>
      <w:r w:rsidR="00DF4E92">
        <w:t xml:space="preserve"> less than 1 kg, when the median </w:t>
      </w:r>
      <w:r w:rsidR="0005005A">
        <w:t>mass</w:t>
      </w:r>
      <w:r w:rsidR="00DF4E92">
        <w:t xml:space="preserve"> of these batteries is </w:t>
      </w:r>
      <w:r w:rsidR="00DF4E92" w:rsidRPr="00DD212A">
        <w:t>10.6 kg</w:t>
      </w:r>
      <w:r w:rsidR="00DF4E92">
        <w:t xml:space="preserve">. </w:t>
      </w:r>
      <w:r w:rsidR="00BD25B2">
        <w:t>Both the ABS and Warnken ISE numbers are relatively small (&lt;1% or less</w:t>
      </w:r>
      <w:r w:rsidR="00F5043E">
        <w:t xml:space="preserve"> on a mass basis</w:t>
      </w:r>
      <w:r w:rsidR="00BD25B2">
        <w:t>) hence this misalignment in the data is presumably a relatively minor issue.</w:t>
      </w:r>
    </w:p>
    <w:p w:rsidR="001577F3" w:rsidRDefault="00EF0CAE" w:rsidP="009F6C1E">
      <w:pPr>
        <w:pStyle w:val="Heading3"/>
        <w:numPr>
          <w:ilvl w:val="3"/>
          <w:numId w:val="3"/>
        </w:numPr>
        <w:jc w:val="left"/>
      </w:pPr>
      <w:bookmarkStart w:id="40" w:name="_Toc381102085"/>
      <w:bookmarkStart w:id="41" w:name="_Toc390423122"/>
      <w:bookmarkStart w:id="42" w:name="_Toc390423264"/>
      <w:bookmarkStart w:id="43" w:name="_Toc390444585"/>
      <w:r>
        <w:t>SLI batteries</w:t>
      </w:r>
      <w:bookmarkEnd w:id="40"/>
      <w:bookmarkEnd w:id="41"/>
      <w:bookmarkEnd w:id="42"/>
      <w:bookmarkEnd w:id="43"/>
    </w:p>
    <w:p w:rsidR="001577F3" w:rsidRDefault="000247F4" w:rsidP="009F6C1E">
      <w:pPr>
        <w:autoSpaceDE w:val="0"/>
        <w:autoSpaceDN w:val="0"/>
        <w:adjustRightInd w:val="0"/>
        <w:spacing w:before="0" w:after="0" w:line="240" w:lineRule="auto"/>
        <w:jc w:val="left"/>
      </w:pPr>
      <w:r>
        <w:t>SLI batteries</w:t>
      </w:r>
      <w:r w:rsidR="00EF0CAE">
        <w:t xml:space="preserve"> calculations for</w:t>
      </w:r>
      <w:r>
        <w:t xml:space="preserve"> </w:t>
      </w:r>
      <w:r w:rsidR="00EF0CAE">
        <w:t xml:space="preserve">motor vehicles in </w:t>
      </w:r>
      <w:r>
        <w:t xml:space="preserve">Warnken ISE (2010) are based on new motor vehicle sales and the size of the motor vehicle fleet, which are attributed to government sources (notably ABS and Department of Innovation, </w:t>
      </w:r>
      <w:r w:rsidRPr="000247F4">
        <w:t>Industry, Science and Research</w:t>
      </w:r>
      <w:r>
        <w:t>). These fleet and new car sales data are then combined with estimates for the size of the battery for the various vehicle types</w:t>
      </w:r>
      <w:r w:rsidR="00EF0CAE">
        <w:t xml:space="preserve"> (14.3 – 31.6 kg)</w:t>
      </w:r>
      <w:r>
        <w:t xml:space="preserve"> and the average life of these batteries</w:t>
      </w:r>
      <w:r w:rsidR="00EF0CAE">
        <w:t xml:space="preserve"> (typically 3 years)</w:t>
      </w:r>
      <w:r>
        <w:t>.</w:t>
      </w:r>
      <w:r w:rsidR="00EF0CAE">
        <w:t xml:space="preserve"> All of these assumptions and the calculations appear to be correct and sensible. T</w:t>
      </w:r>
      <w:r w:rsidR="001577F3">
        <w:t xml:space="preserve">he total </w:t>
      </w:r>
      <w:r w:rsidR="00BC4101">
        <w:t xml:space="preserve">inputs of lead-acid batteries used for SLI in vehicles of 85.7 </w:t>
      </w:r>
      <w:proofErr w:type="spellStart"/>
      <w:r w:rsidR="00BC4101">
        <w:t>kt</w:t>
      </w:r>
      <w:proofErr w:type="spellEnd"/>
      <w:r w:rsidR="00BC4101">
        <w:t xml:space="preserve"> from </w:t>
      </w:r>
      <w:proofErr w:type="spellStart"/>
      <w:r w:rsidR="00BC4101">
        <w:t>Warnken</w:t>
      </w:r>
      <w:proofErr w:type="spellEnd"/>
      <w:r w:rsidR="00BC4101">
        <w:t xml:space="preserve"> ISE (2010) are</w:t>
      </w:r>
      <w:r w:rsidR="001577F3">
        <w:t xml:space="preserve"> </w:t>
      </w:r>
      <w:r w:rsidR="00EF0CAE">
        <w:t xml:space="preserve">therefore </w:t>
      </w:r>
      <w:r w:rsidR="001577F3">
        <w:t>considered an accurate reflection of the real figure.</w:t>
      </w:r>
    </w:p>
    <w:p w:rsidR="001577F3" w:rsidRDefault="001577F3" w:rsidP="009F6C1E">
      <w:pPr>
        <w:jc w:val="left"/>
      </w:pPr>
      <w:r>
        <w:t xml:space="preserve">Warnken ISE (2010) estimated replacement automotive SLI batteries to amount to ~70 kt. Given the closeness of this to the figure reported by SITA (2014), it is possible that the SITA </w:t>
      </w:r>
      <w:r w:rsidR="00F5043E">
        <w:t>e</w:t>
      </w:r>
      <w:r>
        <w:t>stimate was drawn from the Warnken ISE (2010) report.</w:t>
      </w:r>
    </w:p>
    <w:p w:rsidR="001577F3" w:rsidRDefault="001577F3" w:rsidP="009F6C1E">
      <w:pPr>
        <w:pStyle w:val="Heading3"/>
        <w:numPr>
          <w:ilvl w:val="3"/>
          <w:numId w:val="3"/>
        </w:numPr>
        <w:jc w:val="left"/>
      </w:pPr>
      <w:bookmarkStart w:id="44" w:name="_Toc381102086"/>
      <w:bookmarkStart w:id="45" w:name="_Toc390423123"/>
      <w:bookmarkStart w:id="46" w:name="_Toc390423265"/>
      <w:bookmarkStart w:id="47" w:name="_Toc390444586"/>
      <w:r>
        <w:t>Large Industrial batteries</w:t>
      </w:r>
      <w:bookmarkEnd w:id="44"/>
      <w:bookmarkEnd w:id="45"/>
      <w:bookmarkEnd w:id="46"/>
      <w:bookmarkEnd w:id="47"/>
    </w:p>
    <w:p w:rsidR="001577F3" w:rsidRDefault="001577F3" w:rsidP="009F6C1E">
      <w:pPr>
        <w:spacing w:after="60"/>
        <w:jc w:val="left"/>
      </w:pPr>
      <w:r>
        <w:t>Warnken ISE (2010) highlights that the large and industrial battery category contains the greatest uncertainty, which we suggest is mainly due to:</w:t>
      </w:r>
    </w:p>
    <w:p w:rsidR="001577F3" w:rsidRDefault="001577F3" w:rsidP="009F6C1E">
      <w:pPr>
        <w:pStyle w:val="ListParagraph"/>
        <w:numPr>
          <w:ilvl w:val="0"/>
          <w:numId w:val="4"/>
        </w:numPr>
        <w:spacing w:before="0" w:after="60"/>
        <w:ind w:left="714" w:hanging="357"/>
        <w:contextualSpacing w:val="0"/>
        <w:jc w:val="left"/>
      </w:pPr>
      <w:r>
        <w:t xml:space="preserve">Fork lifts numbers potentially being too low due to only </w:t>
      </w:r>
      <w:r w:rsidR="00535DAB">
        <w:t xml:space="preserve">the </w:t>
      </w:r>
      <w:r>
        <w:t xml:space="preserve">manufacturing </w:t>
      </w:r>
      <w:r w:rsidR="00535DAB">
        <w:t xml:space="preserve">being </w:t>
      </w:r>
      <w:r>
        <w:t>used to estimate the fleet size, leaving out other potentially significant sectors that use forklifts</w:t>
      </w:r>
    </w:p>
    <w:p w:rsidR="001577F3" w:rsidRDefault="009F3A0D" w:rsidP="009F6C1E">
      <w:pPr>
        <w:pStyle w:val="ListParagraph"/>
        <w:numPr>
          <w:ilvl w:val="0"/>
          <w:numId w:val="4"/>
        </w:numPr>
        <w:spacing w:before="0" w:after="60"/>
        <w:contextualSpacing w:val="0"/>
        <w:jc w:val="left"/>
      </w:pPr>
      <w:r>
        <w:t>A</w:t>
      </w:r>
      <w:r w:rsidR="001577F3">
        <w:t>ssumptions related to golf carts and mobility scooters</w:t>
      </w:r>
    </w:p>
    <w:p w:rsidR="001577F3" w:rsidRDefault="001577F3" w:rsidP="009F6C1E">
      <w:pPr>
        <w:pStyle w:val="ListParagraph"/>
        <w:numPr>
          <w:ilvl w:val="0"/>
          <w:numId w:val="4"/>
        </w:numPr>
        <w:spacing w:before="0"/>
        <w:contextualSpacing w:val="0"/>
        <w:jc w:val="left"/>
      </w:pPr>
      <w:r>
        <w:t>Stationary standby batteries calculations being based on data taken from the UK</w:t>
      </w:r>
    </w:p>
    <w:p w:rsidR="001577F3" w:rsidRDefault="001577F3" w:rsidP="009F6C1E">
      <w:pPr>
        <w:spacing w:before="0"/>
        <w:jc w:val="left"/>
      </w:pPr>
      <w:r>
        <w:t xml:space="preserve">The Warnken ISE (2010) calculation of forklifts (both electronic and IC) and material handling equipment was made by assuming a fleet size based on the number of manufacturing businesses only. However these types of equipment are used in a wider section of the business community would include warehousing, </w:t>
      </w:r>
      <w:r>
        <w:lastRenderedPageBreak/>
        <w:t xml:space="preserve">supermarkets and other large chain retail businesses (e.g. Bunnings, Coles, Woolworths, Ikea). As a result the Warnken ISE (2010) estimate of </w:t>
      </w:r>
      <w:r w:rsidR="00D13EAB">
        <w:t xml:space="preserve">8 </w:t>
      </w:r>
      <w:proofErr w:type="spellStart"/>
      <w:r w:rsidR="00D13EAB">
        <w:t>kt</w:t>
      </w:r>
      <w:proofErr w:type="spellEnd"/>
      <w:r w:rsidR="00D13EAB">
        <w:t xml:space="preserve"> or </w:t>
      </w:r>
      <w:r>
        <w:t xml:space="preserve">0.33 </w:t>
      </w:r>
      <w:r w:rsidR="00D13EAB">
        <w:t xml:space="preserve">million </w:t>
      </w:r>
      <w:r>
        <w:t xml:space="preserve">lead acid </w:t>
      </w:r>
      <w:r w:rsidR="00AE2C5C">
        <w:t>batteries</w:t>
      </w:r>
      <w:r>
        <w:t xml:space="preserve"> for forklifts and material handling equipment could be a significant underestimate of the actual value.</w:t>
      </w:r>
    </w:p>
    <w:p w:rsidR="001577F3" w:rsidRDefault="001577F3" w:rsidP="009F6C1E">
      <w:pPr>
        <w:spacing w:before="0"/>
        <w:jc w:val="left"/>
      </w:pPr>
      <w:r>
        <w:t xml:space="preserve">The estimate of the number of golf carts and mobility scooters in Australia is possibly conservatively calculated. Warnken ISE (2010) estimates the national golf cart fleet based on an assumed 25 carts per golf course across Australia, which is not readily verified. On account of a </w:t>
      </w:r>
      <w:r w:rsidR="009F3A0D">
        <w:t xml:space="preserve">paucity </w:t>
      </w:r>
      <w:r>
        <w:t xml:space="preserve">of data, the number of mobility scooters is then assumed to be the same as the number of golf carts. Finally, similarly sized carts used for baggage handling (airports, large train stations) and at sporting arenas have not been accounted for. While these categories only accounts for 1.2 </w:t>
      </w:r>
      <w:proofErr w:type="spellStart"/>
      <w:r>
        <w:t>kt</w:t>
      </w:r>
      <w:proofErr w:type="spellEnd"/>
      <w:r w:rsidR="00D13EAB">
        <w:t xml:space="preserve"> or </w:t>
      </w:r>
      <w:r w:rsidR="004304B7">
        <w:t>0.06 million</w:t>
      </w:r>
      <w:r>
        <w:t xml:space="preserve"> lead-acid batteries, the uncertainty in this number </w:t>
      </w:r>
      <w:r w:rsidR="009F3A0D">
        <w:t>remains considerable</w:t>
      </w:r>
      <w:r>
        <w:t>.</w:t>
      </w:r>
    </w:p>
    <w:p w:rsidR="001577F3" w:rsidRDefault="001577F3" w:rsidP="009F6C1E">
      <w:pPr>
        <w:spacing w:after="60"/>
        <w:jc w:val="left"/>
      </w:pPr>
      <w:r>
        <w:t xml:space="preserve">The calculations of the stationary standby batteries in Australia are also highly uncertain. </w:t>
      </w:r>
      <w:proofErr w:type="gramStart"/>
      <w:r>
        <w:t xml:space="preserve">This category accounts for 13.5 </w:t>
      </w:r>
      <w:proofErr w:type="spellStart"/>
      <w:r>
        <w:t>kt</w:t>
      </w:r>
      <w:proofErr w:type="spellEnd"/>
      <w:r w:rsidR="004304B7">
        <w:t xml:space="preserve"> or 0.38 million</w:t>
      </w:r>
      <w:r>
        <w:t xml:space="preserve"> </w:t>
      </w:r>
      <w:r w:rsidR="004304B7">
        <w:t>lead acid batteries</w:t>
      </w:r>
      <w:r>
        <w:t xml:space="preserve"> (Warnken ISE 2010).</w:t>
      </w:r>
      <w:proofErr w:type="gramEnd"/>
      <w:r>
        <w:t xml:space="preserve"> Importantly the calculation is based on an extrapolation of UK data on large standby battery arisings, which could be inaccurate as: </w:t>
      </w:r>
    </w:p>
    <w:p w:rsidR="001577F3" w:rsidRDefault="001577F3" w:rsidP="009F6C1E">
      <w:pPr>
        <w:pStyle w:val="ListParagraph"/>
        <w:numPr>
          <w:ilvl w:val="0"/>
          <w:numId w:val="9"/>
        </w:numPr>
        <w:spacing w:before="0" w:after="60"/>
        <w:contextualSpacing w:val="0"/>
        <w:jc w:val="left"/>
      </w:pPr>
      <w:r>
        <w:t>Australia and UK presumably have different</w:t>
      </w:r>
      <w:r w:rsidR="0069315A">
        <w:t xml:space="preserve"> per capita</w:t>
      </w:r>
      <w:r>
        <w:t xml:space="preserve"> levels of penetration in solar and wind technologies </w:t>
      </w:r>
    </w:p>
    <w:p w:rsidR="001577F3" w:rsidRDefault="001577F3" w:rsidP="009F6C1E">
      <w:pPr>
        <w:pStyle w:val="ListParagraph"/>
        <w:numPr>
          <w:ilvl w:val="0"/>
          <w:numId w:val="9"/>
        </w:numPr>
        <w:spacing w:before="0"/>
        <w:contextualSpacing w:val="0"/>
        <w:jc w:val="left"/>
      </w:pPr>
      <w:r>
        <w:t xml:space="preserve">Australia </w:t>
      </w:r>
      <w:r w:rsidR="0069315A">
        <w:t>and UK presumably have different percentages of solar and wind techno</w:t>
      </w:r>
      <w:r w:rsidR="00CB4FE1">
        <w:t>logies coupled</w:t>
      </w:r>
      <w:r w:rsidR="0069315A">
        <w:t xml:space="preserve"> to standby batteries.</w:t>
      </w:r>
    </w:p>
    <w:p w:rsidR="001577F3" w:rsidRDefault="001577F3" w:rsidP="009F6C1E">
      <w:pPr>
        <w:spacing w:before="0"/>
        <w:jc w:val="left"/>
      </w:pPr>
      <w:r>
        <w:t>As a result the amount of lead acid batteries used for stationary standby purposes could be substantially different in reality.</w:t>
      </w:r>
    </w:p>
    <w:p w:rsidR="00BB1E4A" w:rsidRDefault="00BD25B2" w:rsidP="009F6C1E">
      <w:pPr>
        <w:spacing w:before="0"/>
        <w:jc w:val="left"/>
      </w:pPr>
      <w:r>
        <w:t>T</w:t>
      </w:r>
      <w:r w:rsidR="004304B7">
        <w:t>hese three categories are likely to be underestimated, the combined number of batteries from these sectors is 0.8 million</w:t>
      </w:r>
      <w:r>
        <w:t xml:space="preserve"> or 22.7kt. Although these numbers are in disagreement it is unlikely that they account fully for the misalignment between the ABS and Warnken ISE datasets. </w:t>
      </w:r>
      <w:r w:rsidR="004304B7">
        <w:t xml:space="preserve"> </w:t>
      </w:r>
      <w:r w:rsidR="00D13EAB">
        <w:t xml:space="preserve"> </w:t>
      </w:r>
    </w:p>
    <w:p w:rsidR="00BB1E4A" w:rsidRDefault="00BB1E4A" w:rsidP="00DA65C1">
      <w:pPr>
        <w:pStyle w:val="Heading3"/>
      </w:pPr>
      <w:bookmarkStart w:id="48" w:name="_Toc390444587"/>
      <w:r>
        <w:t xml:space="preserve">ABS </w:t>
      </w:r>
      <w:r w:rsidR="00B17189">
        <w:t xml:space="preserve">detailed data </w:t>
      </w:r>
      <w:r>
        <w:t>examination</w:t>
      </w:r>
      <w:bookmarkEnd w:id="48"/>
    </w:p>
    <w:p w:rsidR="00BB1E4A" w:rsidRDefault="00BB1E4A" w:rsidP="009F6C1E">
      <w:pPr>
        <w:jc w:val="left"/>
      </w:pPr>
      <w:r>
        <w:t xml:space="preserve">The ABS (2013) dataset presents imports for financial years from 2008/09 to 2012/13 inclusive. Apparent growth rates in imports, shown in </w:t>
      </w:r>
      <w:fldSimple w:instr=" REF _Ref379819776 \h  \* MERGEFORMAT ">
        <w:r w:rsidR="00697A48">
          <w:t xml:space="preserve">Figure </w:t>
        </w:r>
        <w:r w:rsidR="00697A48">
          <w:rPr>
            <w:noProof/>
          </w:rPr>
          <w:t>3</w:t>
        </w:r>
      </w:fldSimple>
      <w:r>
        <w:t>, are unusually high, with an overall annual growth rate of 7.3% over the five years. Growth by category, however, is highly variable, with every size category having at least one year of negative growth and one year of greater than 20% growth. Of the categories presented, batteries in the 5-20 kg range should</w:t>
      </w:r>
      <w:r w:rsidR="007F7FA9">
        <w:t xml:space="preserve"> have a </w:t>
      </w:r>
      <w:r>
        <w:t>stable</w:t>
      </w:r>
      <w:r w:rsidR="007F7FA9">
        <w:t xml:space="preserve"> growth rate</w:t>
      </w:r>
      <w:r>
        <w:t xml:space="preserve"> over time as they are typically used for replacement batteries in cars and light commercial vehicles</w:t>
      </w:r>
      <w:r w:rsidR="007F7FA9">
        <w:t xml:space="preserve"> which presumably require replacement fairly randomly and only linked to the size of the overall vehicle fleet</w:t>
      </w:r>
      <w:r>
        <w:t xml:space="preserve">. However in 2010/11 growth in this category spikes at 32% and in the following year drops to -10%. </w:t>
      </w:r>
      <w:r w:rsidR="007F7FA9">
        <w:t xml:space="preserve">In addition, the overall growth rate for 5-20 kg batteries of 9.7% per annum seems unrealistically high given new car sales have grown at only 5.2% for the same period. Finally, the </w:t>
      </w:r>
      <w:r>
        <w:t xml:space="preserve">overall growth for the period was </w:t>
      </w:r>
      <w:r w:rsidR="00633697">
        <w:t>7.3</w:t>
      </w:r>
      <w:r>
        <w:t xml:space="preserve">% per annum. This high apparent growth </w:t>
      </w:r>
      <w:r w:rsidR="007F7FA9">
        <w:t>is considerably higher than the</w:t>
      </w:r>
      <w:r>
        <w:t xml:space="preserve"> growth assumptions used by Warnken ISE (2010) of only 3.4% per annum.</w:t>
      </w:r>
    </w:p>
    <w:p w:rsidR="00BB1E4A" w:rsidRDefault="00BB1E4A" w:rsidP="009F6C1E">
      <w:pPr>
        <w:jc w:val="left"/>
      </w:pPr>
      <w:r>
        <w:t xml:space="preserve">As discussed </w:t>
      </w:r>
      <w:r w:rsidR="009F3A0D">
        <w:t>earlier</w:t>
      </w:r>
      <w:r>
        <w:t xml:space="preserve">, some issues were detected in the ABS (2013) dataset, and it is possible that other issues in the dataset </w:t>
      </w:r>
      <w:r w:rsidR="00CB4FE1">
        <w:t xml:space="preserve">still </w:t>
      </w:r>
      <w:r>
        <w:t xml:space="preserve">exist that could contribute to the discrepancy between the Warnken ISE (2010) and ABS (2013) </w:t>
      </w:r>
      <w:r w:rsidR="007F7FA9">
        <w:t>data</w:t>
      </w:r>
      <w:r>
        <w:t>.</w:t>
      </w:r>
    </w:p>
    <w:p w:rsidR="00BB1E4A" w:rsidRDefault="00BB1E4A" w:rsidP="00DA65C1"/>
    <w:p w:rsidR="00BB1E4A" w:rsidRDefault="00BB1E4A" w:rsidP="00DA65C1"/>
    <w:p w:rsidR="00BB1E4A" w:rsidRDefault="00DA1400" w:rsidP="00D7777C">
      <w:r>
        <w:rPr>
          <w:noProof/>
          <w:lang w:eastAsia="en-AU"/>
        </w:rPr>
        <w:lastRenderedPageBreak/>
        <w:drawing>
          <wp:inline distT="0" distB="0" distL="0" distR="0">
            <wp:extent cx="5923721" cy="3745065"/>
            <wp:effectExtent l="0" t="0" r="127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8" t="1443" r="1297" b="1443"/>
                    <a:stretch/>
                  </pic:blipFill>
                  <pic:spPr bwMode="auto">
                    <a:xfrm>
                      <a:off x="0" y="0"/>
                      <a:ext cx="5940983" cy="37559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1E4A" w:rsidRDefault="00BB1E4A" w:rsidP="00DA65C1">
      <w:pPr>
        <w:pStyle w:val="Caption"/>
      </w:pPr>
      <w:bookmarkStart w:id="49" w:name="_Ref379819776"/>
      <w:bookmarkStart w:id="50" w:name="_Toc379478516"/>
      <w:bookmarkStart w:id="51" w:name="_Toc381102102"/>
      <w:r>
        <w:t xml:space="preserve">Figure </w:t>
      </w:r>
      <w:r w:rsidR="007637BE">
        <w:fldChar w:fldCharType="begin"/>
      </w:r>
      <w:r>
        <w:instrText xml:space="preserve"> SEQ Figure \* ARABIC </w:instrText>
      </w:r>
      <w:r w:rsidR="007637BE">
        <w:fldChar w:fldCharType="separate"/>
      </w:r>
      <w:r w:rsidR="00697A48">
        <w:rPr>
          <w:noProof/>
        </w:rPr>
        <w:t>3</w:t>
      </w:r>
      <w:r w:rsidR="007637BE">
        <w:fldChar w:fldCharType="end"/>
      </w:r>
      <w:bookmarkEnd w:id="49"/>
      <w:r w:rsidR="00DA65C1">
        <w:t>:</w:t>
      </w:r>
      <w:r>
        <w:t xml:space="preserve"> The high and variable growth rates in the various sizes of lead acid batteries.</w:t>
      </w:r>
      <w:bookmarkEnd w:id="50"/>
      <w:bookmarkEnd w:id="51"/>
      <w:r>
        <w:t xml:space="preserve"> </w:t>
      </w:r>
    </w:p>
    <w:p w:rsidR="00BB1E4A" w:rsidRDefault="00BB1E4A" w:rsidP="00DA65C1">
      <w:pPr>
        <w:spacing w:before="0" w:line="276" w:lineRule="auto"/>
      </w:pPr>
    </w:p>
    <w:p w:rsidR="001121E5" w:rsidRDefault="00D13EAB" w:rsidP="00DA65C1">
      <w:pPr>
        <w:pStyle w:val="Heading3"/>
      </w:pPr>
      <w:bookmarkStart w:id="52" w:name="_Toc390444588"/>
      <w:r>
        <w:t>Summary on the discrepancy between ABS and Warnken ISE</w:t>
      </w:r>
      <w:bookmarkEnd w:id="52"/>
    </w:p>
    <w:p w:rsidR="00BD25B2" w:rsidRPr="00D13EAB" w:rsidRDefault="004304B7" w:rsidP="009F6C1E">
      <w:pPr>
        <w:jc w:val="left"/>
      </w:pPr>
      <w:r>
        <w:t>S</w:t>
      </w:r>
      <w:r w:rsidR="00D13EAB">
        <w:t xml:space="preserve">ome discrepancies have been found </w:t>
      </w:r>
      <w:r>
        <w:t xml:space="preserve">in the Warnken ISE (2010) data, namely a believed underestimation of three categories in large and industrial batteries, and </w:t>
      </w:r>
      <w:r w:rsidR="00BD25B2">
        <w:t xml:space="preserve">a </w:t>
      </w:r>
      <w:r>
        <w:t xml:space="preserve">1 million </w:t>
      </w:r>
      <w:r w:rsidR="00BD25B2">
        <w:t xml:space="preserve">overestimate of the number of handheld </w:t>
      </w:r>
      <w:r>
        <w:t>batteries.</w:t>
      </w:r>
      <w:r w:rsidR="00BD25B2">
        <w:t xml:space="preserve"> Neither of these issues </w:t>
      </w:r>
      <w:r w:rsidR="00CB4FE1">
        <w:t>is</w:t>
      </w:r>
      <w:r w:rsidR="00BD25B2">
        <w:t xml:space="preserve"> likely to explain the discrepancy between the ABS and Warnken ISE numbers.</w:t>
      </w:r>
      <w:r w:rsidR="006E1930">
        <w:t xml:space="preserve"> The growth rates shown in the ABS data are difficult to explain </w:t>
      </w:r>
      <w:r w:rsidR="00DA16BE">
        <w:t xml:space="preserve">and the extent of any anomalies which may be present in the data is not readily able to be ascertained. </w:t>
      </w:r>
      <w:r w:rsidR="00BD25B2">
        <w:t xml:space="preserve"> </w:t>
      </w:r>
    </w:p>
    <w:p w:rsidR="001121E5" w:rsidRDefault="001121E5" w:rsidP="00DA65C1"/>
    <w:p w:rsidR="001121E5" w:rsidRPr="003664EB" w:rsidRDefault="001121E5" w:rsidP="00DA65C1"/>
    <w:p w:rsidR="00BA7FC5" w:rsidRDefault="00BA7FC5" w:rsidP="00DA65C1">
      <w:pPr>
        <w:pStyle w:val="Heading1"/>
      </w:pPr>
      <w:bookmarkStart w:id="53" w:name="_Toc390444589"/>
      <w:r>
        <w:lastRenderedPageBreak/>
        <w:t>Conclusion</w:t>
      </w:r>
      <w:bookmarkEnd w:id="53"/>
    </w:p>
    <w:p w:rsidR="00E021A1" w:rsidRDefault="00E021A1" w:rsidP="009F6C1E">
      <w:pPr>
        <w:jc w:val="left"/>
      </w:pPr>
      <w:r>
        <w:t xml:space="preserve">A detailed review of data related to lead-acid batteries in Australia was undertaken to determine the most robust and reliable estimates of inputs to and arisings within the Australian market. The most comprehensive analysis of lead-acid batteries is presented in a report by Warnken ISE (2010) prepared for ABRI, which documents Australia-wide inputs, stocks and arisings of batteries. Accordingly the review </w:t>
      </w:r>
      <w:r w:rsidR="00C82604">
        <w:t>entailed</w:t>
      </w:r>
      <w:r>
        <w:t xml:space="preserve"> checking the calculations and assumptions used in the Warnken ISE (2010) report</w:t>
      </w:r>
      <w:r w:rsidR="00C82604">
        <w:t>,</w:t>
      </w:r>
      <w:r>
        <w:t xml:space="preserve"> and verification of the Warnken ISE (2010) outputs against alternative data sources, including a customised data report on lead-acid battery imports prepared by ABS (2013) and a handful of estimates of lead-acid battery arisings.</w:t>
      </w:r>
    </w:p>
    <w:p w:rsidR="00E021A1" w:rsidRDefault="00E021A1" w:rsidP="009F6C1E">
      <w:pPr>
        <w:jc w:val="left"/>
      </w:pPr>
      <w:r>
        <w:t xml:space="preserve">Other than one relatively minor </w:t>
      </w:r>
      <w:r w:rsidR="00C82604">
        <w:t xml:space="preserve">apparent </w:t>
      </w:r>
      <w:r>
        <w:t>error in a calculation of large and industrial battery numbers, the Warnken ISE (201</w:t>
      </w:r>
      <w:r w:rsidR="00697A48">
        <w:t>0</w:t>
      </w:r>
      <w:r>
        <w:t xml:space="preserve">) modelling appears to be robust. </w:t>
      </w:r>
      <w:r w:rsidR="00C82604">
        <w:t>Estimates</w:t>
      </w:r>
      <w:r>
        <w:t xml:space="preserve"> of large and industrial battery inputs </w:t>
      </w:r>
      <w:r w:rsidR="00C82604">
        <w:t>are most likely to</w:t>
      </w:r>
      <w:r>
        <w:t xml:space="preserve"> be low due to </w:t>
      </w:r>
      <w:r w:rsidR="00C82604">
        <w:t xml:space="preserve">both the error referred to above as well as a number of key </w:t>
      </w:r>
      <w:r>
        <w:t xml:space="preserve">assumptions </w:t>
      </w:r>
      <w:r w:rsidR="00C82604">
        <w:t xml:space="preserve">made necessary </w:t>
      </w:r>
      <w:r>
        <w:t>by</w:t>
      </w:r>
      <w:r w:rsidR="00C82604">
        <w:t xml:space="preserve"> a paucity of data</w:t>
      </w:r>
      <w:r>
        <w:t xml:space="preserve">. Conversely, exceptionally high apparent growth rates in the ABS (2013) lead-acid battery import data appear </w:t>
      </w:r>
      <w:r w:rsidR="00DA16BE">
        <w:t>curious</w:t>
      </w:r>
      <w:r>
        <w:t>. He</w:t>
      </w:r>
      <w:r w:rsidR="00F00716">
        <w:t xml:space="preserve">nce </w:t>
      </w:r>
      <w:r w:rsidR="000E3082">
        <w:t xml:space="preserve">from the review undertaken in the herein report, </w:t>
      </w:r>
      <w:r>
        <w:t>it is believed that the numbers of lead</w:t>
      </w:r>
      <w:r w:rsidR="00F00716">
        <w:t>-</w:t>
      </w:r>
      <w:r>
        <w:t>acid batteries from Warnken ISE (2010) are likely to be a conservative</w:t>
      </w:r>
      <w:r w:rsidR="000E3082">
        <w:t xml:space="preserve"> (lower-bound) estimate</w:t>
      </w:r>
      <w:r>
        <w:t xml:space="preserve">. </w:t>
      </w:r>
      <w:r w:rsidR="00F00716">
        <w:t xml:space="preserve">Greater accuracy in the Warnken ISE (2010) estimates could only be achieved by obtaining </w:t>
      </w:r>
      <w:r>
        <w:t xml:space="preserve">better data on the national fleet of forklifts, golf carts, mobility scooters and large standby batteries, all of which were not available at the time of the </w:t>
      </w:r>
      <w:r w:rsidR="00C97947">
        <w:t>original study</w:t>
      </w:r>
      <w:r w:rsidR="00442AF8">
        <w:t xml:space="preserve"> and </w:t>
      </w:r>
      <w:r w:rsidR="00F52D4A">
        <w:t>are unlikely to be accessible now without significant research effort</w:t>
      </w:r>
      <w:r>
        <w:t>.</w:t>
      </w:r>
    </w:p>
    <w:p w:rsidR="000E3082" w:rsidRDefault="00E021A1" w:rsidP="009F6C1E">
      <w:pPr>
        <w:jc w:val="left"/>
      </w:pPr>
      <w:r>
        <w:t>Assum</w:t>
      </w:r>
      <w:r w:rsidR="00F52D4A">
        <w:t xml:space="preserve">ing the small error identified in the calculation of batteries in marine, construction/forestry/farming and mining categories </w:t>
      </w:r>
      <w:r>
        <w:t xml:space="preserve">is </w:t>
      </w:r>
      <w:r w:rsidR="00F52D4A">
        <w:t>legitimate</w:t>
      </w:r>
      <w:r>
        <w:t xml:space="preserve">, then </w:t>
      </w:r>
      <w:r w:rsidR="00F52D4A" w:rsidRPr="000E3082">
        <w:t xml:space="preserve">total </w:t>
      </w:r>
      <w:r w:rsidRPr="000E3082">
        <w:t xml:space="preserve">inputs </w:t>
      </w:r>
      <w:r w:rsidR="00F52D4A" w:rsidRPr="000E3082">
        <w:t xml:space="preserve">into the Australian market </w:t>
      </w:r>
      <w:r w:rsidRPr="000E3082">
        <w:t>should be 136</w:t>
      </w:r>
      <w:r w:rsidR="00F52D4A" w:rsidRPr="000E3082">
        <w:t xml:space="preserve"> </w:t>
      </w:r>
      <w:proofErr w:type="spellStart"/>
      <w:r w:rsidR="00F52D4A" w:rsidRPr="000E3082">
        <w:t>kt</w:t>
      </w:r>
      <w:proofErr w:type="spellEnd"/>
      <w:r w:rsidR="00F52D4A" w:rsidRPr="000E3082">
        <w:t xml:space="preserve"> in 2009/10. The calculation error w</w:t>
      </w:r>
      <w:r w:rsidRPr="000E3082">
        <w:t xml:space="preserve">ould </w:t>
      </w:r>
      <w:r w:rsidR="00F52D4A" w:rsidRPr="000E3082">
        <w:t xml:space="preserve">also </w:t>
      </w:r>
      <w:r w:rsidRPr="000E3082">
        <w:t xml:space="preserve">flow through to the arisings, increasing </w:t>
      </w:r>
      <w:r w:rsidR="00F52D4A" w:rsidRPr="000E3082">
        <w:t xml:space="preserve">them to </w:t>
      </w:r>
      <w:r w:rsidRPr="000E3082">
        <w:t xml:space="preserve">124 </w:t>
      </w:r>
      <w:proofErr w:type="spellStart"/>
      <w:r w:rsidRPr="000E3082">
        <w:t>kt</w:t>
      </w:r>
      <w:proofErr w:type="spellEnd"/>
      <w:r w:rsidR="00F52D4A" w:rsidRPr="000E3082">
        <w:t xml:space="preserve"> in 2009/10</w:t>
      </w:r>
      <w:r w:rsidRPr="000E3082">
        <w:t xml:space="preserve">. </w:t>
      </w:r>
      <w:r w:rsidR="00F52D4A" w:rsidRPr="000E3082">
        <w:t>Both figures should be treated a</w:t>
      </w:r>
      <w:r w:rsidR="00F52D4A">
        <w:t>s conservative</w:t>
      </w:r>
      <w:r w:rsidR="00313B1E">
        <w:t xml:space="preserve">, and a margin of 10-15% </w:t>
      </w:r>
      <w:r w:rsidR="00633697">
        <w:t>is plausible given the disagreement with the ABS data.</w:t>
      </w:r>
      <w:r w:rsidR="00313B1E">
        <w:t xml:space="preserve"> </w:t>
      </w:r>
    </w:p>
    <w:p w:rsidR="000E3082" w:rsidRDefault="00F52D4A" w:rsidP="009F6C1E">
      <w:pPr>
        <w:jc w:val="left"/>
      </w:pPr>
      <w:r>
        <w:t xml:space="preserve">Given the uncertainty surrounding the ABS (2013) growth rates, </w:t>
      </w:r>
      <w:r w:rsidR="00633697">
        <w:t xml:space="preserve">two sets of numbers are </w:t>
      </w:r>
      <w:r w:rsidR="00633697" w:rsidRPr="00647B98">
        <w:rPr>
          <w:b/>
        </w:rPr>
        <w:t xml:space="preserve">presented for </w:t>
      </w:r>
      <w:r w:rsidR="00D31A46" w:rsidRPr="00647B98">
        <w:rPr>
          <w:b/>
        </w:rPr>
        <w:t xml:space="preserve">the amount of lead acid batteries entering the Australian market in </w:t>
      </w:r>
      <w:r w:rsidR="00633697" w:rsidRPr="00647B98">
        <w:rPr>
          <w:b/>
        </w:rPr>
        <w:t>2012/13</w:t>
      </w:r>
      <w:r w:rsidR="00D31A46">
        <w:t>.</w:t>
      </w:r>
      <w:r w:rsidR="00633697">
        <w:t xml:space="preserve"> </w:t>
      </w:r>
      <w:r w:rsidR="00D31A46">
        <w:t>F</w:t>
      </w:r>
      <w:r w:rsidR="000E3082">
        <w:t>irstly</w:t>
      </w:r>
      <w:r w:rsidR="00633697">
        <w:t xml:space="preserve">, </w:t>
      </w:r>
      <w:r w:rsidR="00EE53AF" w:rsidRPr="000E3082">
        <w:rPr>
          <w:b/>
        </w:rPr>
        <w:t>150.1</w:t>
      </w:r>
      <w:r w:rsidR="00633697" w:rsidRPr="000E3082">
        <w:rPr>
          <w:b/>
        </w:rPr>
        <w:t xml:space="preserve"> </w:t>
      </w:r>
      <w:proofErr w:type="spellStart"/>
      <w:r w:rsidR="00633697" w:rsidRPr="000E3082">
        <w:rPr>
          <w:b/>
        </w:rPr>
        <w:t>kt</w:t>
      </w:r>
      <w:proofErr w:type="spellEnd"/>
      <w:r w:rsidR="00633697" w:rsidRPr="000E3082">
        <w:rPr>
          <w:b/>
        </w:rPr>
        <w:t xml:space="preserve"> or </w:t>
      </w:r>
      <w:r w:rsidR="00EE53AF" w:rsidRPr="000E3082">
        <w:rPr>
          <w:b/>
        </w:rPr>
        <w:t>10.3</w:t>
      </w:r>
      <w:r w:rsidR="00633697" w:rsidRPr="000E3082">
        <w:rPr>
          <w:b/>
        </w:rPr>
        <w:t xml:space="preserve"> million</w:t>
      </w:r>
      <w:r w:rsidR="000E3082" w:rsidRPr="000E3082">
        <w:rPr>
          <w:b/>
        </w:rPr>
        <w:t xml:space="preserve"> batterie</w:t>
      </w:r>
      <w:r w:rsidR="00633697" w:rsidRPr="000E3082">
        <w:rPr>
          <w:b/>
        </w:rPr>
        <w:t>s</w:t>
      </w:r>
      <w:r w:rsidR="00633697">
        <w:t xml:space="preserve"> and </w:t>
      </w:r>
      <w:r w:rsidR="000E3082">
        <w:t xml:space="preserve">an alternative estimate of </w:t>
      </w:r>
      <w:r w:rsidR="00EE53AF">
        <w:t>167.8</w:t>
      </w:r>
      <w:r w:rsidR="00633697">
        <w:t xml:space="preserve"> </w:t>
      </w:r>
      <w:proofErr w:type="spellStart"/>
      <w:r w:rsidR="00633697">
        <w:t>kt</w:t>
      </w:r>
      <w:proofErr w:type="spellEnd"/>
      <w:r w:rsidR="00633697">
        <w:t xml:space="preserve"> or </w:t>
      </w:r>
      <w:r w:rsidR="00EE53AF">
        <w:t>11.5</w:t>
      </w:r>
      <w:r w:rsidR="00633697">
        <w:t xml:space="preserve"> million</w:t>
      </w:r>
      <w:r w:rsidR="000E3082">
        <w:t xml:space="preserve"> batterie</w:t>
      </w:r>
      <w:r w:rsidR="00633697">
        <w:t xml:space="preserve">s reflecting two different </w:t>
      </w:r>
      <w:proofErr w:type="gramStart"/>
      <w:r w:rsidR="00633697">
        <w:t>growth</w:t>
      </w:r>
      <w:proofErr w:type="gramEnd"/>
      <w:r w:rsidR="00633697">
        <w:t xml:space="preserve"> rate assumptions</w:t>
      </w:r>
      <w:r w:rsidR="00D31A46">
        <w:t>.</w:t>
      </w:r>
      <w:r w:rsidR="00633697">
        <w:t xml:space="preserve"> </w:t>
      </w:r>
      <w:r w:rsidR="00D31A46">
        <w:t>T</w:t>
      </w:r>
      <w:r w:rsidR="000E3082">
        <w:t xml:space="preserve">he first </w:t>
      </w:r>
      <w:r w:rsidR="00D31A46">
        <w:rPr>
          <w:b/>
        </w:rPr>
        <w:t>assumes</w:t>
      </w:r>
      <w:r w:rsidR="00EE53AF" w:rsidRPr="000E3082">
        <w:rPr>
          <w:b/>
        </w:rPr>
        <w:t xml:space="preserve"> an average growth rate of 3.4% from Warnken ISE</w:t>
      </w:r>
      <w:r w:rsidR="00EE53AF">
        <w:t xml:space="preserve"> and the </w:t>
      </w:r>
      <w:r w:rsidR="000E3082">
        <w:t xml:space="preserve">alternative estimate using </w:t>
      </w:r>
      <w:r w:rsidR="00EE53AF">
        <w:t>7.3% based on the</w:t>
      </w:r>
      <w:r w:rsidR="00633697">
        <w:t xml:space="preserve"> ABS imports </w:t>
      </w:r>
      <w:r w:rsidR="00EE53AF">
        <w:t>data growth rate</w:t>
      </w:r>
      <w:r w:rsidR="00633697">
        <w:t xml:space="preserve">. </w:t>
      </w:r>
    </w:p>
    <w:p w:rsidR="00BA7FC5" w:rsidRDefault="00EE53AF" w:rsidP="009F6C1E">
      <w:pPr>
        <w:jc w:val="left"/>
      </w:pPr>
      <w:r>
        <w:t xml:space="preserve">The </w:t>
      </w:r>
      <w:r w:rsidRPr="000E3082">
        <w:rPr>
          <w:b/>
        </w:rPr>
        <w:t>corresponding</w:t>
      </w:r>
      <w:r w:rsidR="00D31A46">
        <w:rPr>
          <w:b/>
        </w:rPr>
        <w:t xml:space="preserve"> amount of lead acid batteries arising as wastes in 2012/13</w:t>
      </w:r>
      <w:r w:rsidRPr="000E3082">
        <w:rPr>
          <w:b/>
        </w:rPr>
        <w:t xml:space="preserve"> </w:t>
      </w:r>
      <w:r w:rsidR="00D31A46">
        <w:rPr>
          <w:b/>
        </w:rPr>
        <w:t>is</w:t>
      </w:r>
      <w:r w:rsidRPr="000E3082">
        <w:rPr>
          <w:b/>
        </w:rPr>
        <w:t xml:space="preserve"> 137 </w:t>
      </w:r>
      <w:proofErr w:type="spellStart"/>
      <w:r w:rsidRPr="000E3082">
        <w:rPr>
          <w:b/>
        </w:rPr>
        <w:t>kt</w:t>
      </w:r>
      <w:proofErr w:type="spellEnd"/>
      <w:r>
        <w:t xml:space="preserve"> or 153 </w:t>
      </w:r>
      <w:proofErr w:type="spellStart"/>
      <w:r>
        <w:t>kt</w:t>
      </w:r>
      <w:proofErr w:type="spellEnd"/>
      <w:r>
        <w:t xml:space="preserve"> respectively. </w:t>
      </w:r>
    </w:p>
    <w:p w:rsidR="000A5930" w:rsidRDefault="00826546" w:rsidP="00DA65C1">
      <w:pPr>
        <w:pStyle w:val="Heading1"/>
      </w:pPr>
      <w:bookmarkStart w:id="54" w:name="_Toc390444590"/>
      <w:r>
        <w:lastRenderedPageBreak/>
        <w:t>REFERENCES</w:t>
      </w:r>
      <w:bookmarkEnd w:id="54"/>
    </w:p>
    <w:p w:rsidR="00C329FC" w:rsidRPr="00826546" w:rsidRDefault="00C329FC" w:rsidP="002C61A0">
      <w:pPr>
        <w:ind w:left="720" w:hanging="720"/>
        <w:jc w:val="left"/>
      </w:pPr>
      <w:r>
        <w:t xml:space="preserve">ABS (2006) 5489.0 International Merchandise Trade, Australia, Concepts, Sources and Methods, 2001, ABS website </w:t>
      </w:r>
      <w:hyperlink r:id="rId24" w:history="1">
        <w:r w:rsidRPr="00731C5B">
          <w:rPr>
            <w:lang w:eastAsia="en-AU"/>
          </w:rPr>
          <w:t>http://www.abs.gov.au/ausstats/abs@.nsf/0/8DF2F05EE6BCF565CA256A5B001BD78A</w:t>
        </w:r>
      </w:hyperlink>
      <w:r w:rsidRPr="00731C5B">
        <w:rPr>
          <w:rFonts w:eastAsia="Times New Roman"/>
          <w:color w:val="000000"/>
          <w:lang w:eastAsia="en-AU"/>
        </w:rPr>
        <w:t xml:space="preserve"> l</w:t>
      </w:r>
      <w:r>
        <w:rPr>
          <w:rFonts w:eastAsia="Times New Roman"/>
          <w:color w:val="000000"/>
          <w:lang w:eastAsia="en-AU"/>
        </w:rPr>
        <w:t>ast updated 2006 (accessed 10/02/2014)</w:t>
      </w:r>
    </w:p>
    <w:p w:rsidR="00C329FC" w:rsidRDefault="00C329FC" w:rsidP="002C61A0">
      <w:pPr>
        <w:ind w:left="720" w:hanging="720"/>
        <w:jc w:val="left"/>
      </w:pPr>
      <w:r>
        <w:t>ABS (2013) Australian Bureau of Statistics, International Trade: Customised Report for Commonwealth Department of Environment, 2013.</w:t>
      </w:r>
    </w:p>
    <w:p w:rsidR="00C329FC" w:rsidRDefault="00C329FC" w:rsidP="002C61A0">
      <w:pPr>
        <w:ind w:left="720" w:hanging="720"/>
        <w:jc w:val="left"/>
      </w:pPr>
      <w:proofErr w:type="spellStart"/>
      <w:r>
        <w:t>HydroMet</w:t>
      </w:r>
      <w:proofErr w:type="spellEnd"/>
      <w:r>
        <w:t xml:space="preserve"> (N.D.) Lead Acid Battery Recycling, </w:t>
      </w:r>
      <w:proofErr w:type="spellStart"/>
      <w:r>
        <w:t>HydroMet</w:t>
      </w:r>
      <w:proofErr w:type="spellEnd"/>
      <w:r>
        <w:t xml:space="preserve"> website </w:t>
      </w:r>
      <w:hyperlink r:id="rId25" w:history="1">
        <w:r w:rsidRPr="009B3E59">
          <w:t>http://www.hydromet.com.au/services/battery-recycling</w:t>
        </w:r>
      </w:hyperlink>
      <w:r>
        <w:t xml:space="preserve"> (accessed 10/02/2014)</w:t>
      </w:r>
    </w:p>
    <w:p w:rsidR="00C329FC" w:rsidRPr="00C329FC" w:rsidRDefault="00C329FC" w:rsidP="00C329FC">
      <w:pPr>
        <w:ind w:left="720" w:hanging="720"/>
        <w:jc w:val="left"/>
        <w:rPr>
          <w:rFonts w:eastAsia="Times New Roman"/>
          <w:color w:val="000000"/>
          <w:lang w:eastAsia="en-AU"/>
        </w:rPr>
      </w:pPr>
      <w:r w:rsidRPr="00C329FC">
        <w:rPr>
          <w:rFonts w:eastAsia="Times New Roman"/>
          <w:color w:val="000000"/>
          <w:lang w:eastAsia="en-AU"/>
        </w:rPr>
        <w:t xml:space="preserve">KMH Environmental (2013) Hazardous Waste Data Assessment: Final Report Project 5012.086. </w:t>
      </w:r>
      <w:r>
        <w:rPr>
          <w:rFonts w:eastAsia="Times New Roman"/>
          <w:color w:val="000000"/>
          <w:lang w:eastAsia="en-AU"/>
        </w:rPr>
        <w:t xml:space="preserve">Report </w:t>
      </w:r>
      <w:r w:rsidRPr="00C329FC">
        <w:rPr>
          <w:rFonts w:eastAsia="Times New Roman"/>
          <w:color w:val="000000"/>
          <w:lang w:eastAsia="en-AU"/>
        </w:rPr>
        <w:t xml:space="preserve">for Department of Sustainability, Environment, Water, </w:t>
      </w:r>
      <w:r>
        <w:rPr>
          <w:rFonts w:eastAsia="Times New Roman"/>
          <w:color w:val="000000"/>
          <w:lang w:eastAsia="en-AU"/>
        </w:rPr>
        <w:t>Population and Communities, Canberra.</w:t>
      </w:r>
    </w:p>
    <w:p w:rsidR="00C329FC" w:rsidRDefault="00C329FC" w:rsidP="002C61A0">
      <w:pPr>
        <w:ind w:left="720" w:hanging="720"/>
        <w:jc w:val="left"/>
      </w:pPr>
      <w:r>
        <w:t xml:space="preserve">SITA (2014) Car Batteries, SITA website </w:t>
      </w:r>
      <w:hyperlink r:id="rId26" w:history="1">
        <w:r w:rsidRPr="00731C5B">
          <w:t>http://www.sita.com.au/community-education/site-tours-education/recycling-tips/car-batteries/</w:t>
        </w:r>
      </w:hyperlink>
      <w:r>
        <w:t xml:space="preserve"> (accessed 10/02/2014)</w:t>
      </w:r>
    </w:p>
    <w:p w:rsidR="00C329FC" w:rsidRDefault="00C329FC" w:rsidP="002C61A0">
      <w:pPr>
        <w:ind w:left="720" w:hanging="720"/>
        <w:jc w:val="left"/>
      </w:pPr>
      <w:proofErr w:type="gramStart"/>
      <w:r>
        <w:t>Warnken ISE (2010) Analysis of Battery Consumption, Recycling and Disposal in Australia.</w:t>
      </w:r>
      <w:proofErr w:type="gramEnd"/>
      <w:r>
        <w:t xml:space="preserve"> Report for Australian Battery Recycling Initiative (ABRI) November 2010.</w:t>
      </w:r>
    </w:p>
    <w:p w:rsidR="00C329FC" w:rsidRDefault="00C329FC" w:rsidP="002C61A0">
      <w:pPr>
        <w:ind w:left="720" w:hanging="720"/>
        <w:jc w:val="left"/>
      </w:pPr>
      <w:proofErr w:type="gramStart"/>
      <w:r>
        <w:t>Warnken ISE (2012) A</w:t>
      </w:r>
      <w:r w:rsidRPr="005B5CFF">
        <w:t>nalysis of lead acid battery consumption, recycling and disposal in Western Australia</w:t>
      </w:r>
      <w:r>
        <w:t>.</w:t>
      </w:r>
      <w:proofErr w:type="gramEnd"/>
      <w:r>
        <w:t xml:space="preserve"> Report for Australian Battery Recycling Initiative (ABRI) November 2012.</w:t>
      </w:r>
    </w:p>
    <w:p w:rsidR="000A5930" w:rsidRDefault="000A5930" w:rsidP="00DA65C1"/>
    <w:p w:rsidR="000A5930" w:rsidRDefault="000A5930" w:rsidP="00DA65C1"/>
    <w:p w:rsidR="000A5930" w:rsidRDefault="000A5930" w:rsidP="00DA65C1"/>
    <w:p w:rsidR="00BA7FC5" w:rsidRDefault="00747B29" w:rsidP="00DA65C1">
      <w:pPr>
        <w:pStyle w:val="Heading1"/>
      </w:pPr>
      <w:bookmarkStart w:id="55" w:name="_Toc390444591"/>
      <w:r>
        <w:lastRenderedPageBreak/>
        <w:t>APPENDIX A</w:t>
      </w:r>
      <w:bookmarkEnd w:id="55"/>
    </w:p>
    <w:p w:rsidR="00747B29" w:rsidRDefault="00BD31A2" w:rsidP="00DA65C1">
      <w:pPr>
        <w:pStyle w:val="Caption"/>
        <w:keepNext/>
      </w:pPr>
      <w:r>
        <w:t>Table A1</w:t>
      </w:r>
      <w:r w:rsidR="00DA65C1">
        <w:t>:</w:t>
      </w:r>
      <w:r w:rsidR="00747B29">
        <w:t xml:space="preserve"> Partially back calculated full breakdown of lead-acid battery inputs from Warnken ISE (2010)</w:t>
      </w:r>
    </w:p>
    <w:tbl>
      <w:tblPr>
        <w:tblStyle w:val="ColorfulGrid1"/>
        <w:tblW w:w="9498" w:type="dxa"/>
        <w:tblInd w:w="108" w:type="dxa"/>
        <w:tblLayout w:type="fixed"/>
        <w:tblLook w:val="04A0"/>
      </w:tblPr>
      <w:tblGrid>
        <w:gridCol w:w="1217"/>
        <w:gridCol w:w="2786"/>
        <w:gridCol w:w="1384"/>
        <w:gridCol w:w="1134"/>
        <w:gridCol w:w="1134"/>
        <w:gridCol w:w="1843"/>
      </w:tblGrid>
      <w:tr w:rsidR="00FC3AD4" w:rsidRPr="0065208A" w:rsidTr="00857DF8">
        <w:trPr>
          <w:cnfStyle w:val="100000000000"/>
          <w:trHeight w:val="300"/>
        </w:trPr>
        <w:tc>
          <w:tcPr>
            <w:cnfStyle w:val="001000000000"/>
            <w:tcW w:w="1217" w:type="dxa"/>
            <w:tcBorders>
              <w:left w:val="nil"/>
            </w:tcBorders>
            <w:noWrap/>
            <w:hideMark/>
          </w:tcPr>
          <w:p w:rsidR="00FC3AD4" w:rsidRPr="00E27493" w:rsidRDefault="00535DAB" w:rsidP="00DA65C1">
            <w:pPr>
              <w:spacing w:before="0" w:after="0" w:line="240" w:lineRule="auto"/>
              <w:rPr>
                <w:rFonts w:eastAsia="Times New Roman"/>
                <w:lang w:eastAsia="en-AU"/>
              </w:rPr>
            </w:pPr>
            <w:r>
              <w:rPr>
                <w:rFonts w:eastAsia="Times New Roman"/>
                <w:lang w:eastAsia="en-AU"/>
              </w:rPr>
              <w:t>Sector/</w:t>
            </w:r>
            <w:r>
              <w:rPr>
                <w:rFonts w:eastAsia="Times New Roman"/>
                <w:lang w:eastAsia="en-AU"/>
              </w:rPr>
              <w:br/>
              <w:t>Type</w:t>
            </w:r>
          </w:p>
        </w:tc>
        <w:tc>
          <w:tcPr>
            <w:tcW w:w="2786" w:type="dxa"/>
            <w:noWrap/>
            <w:hideMark/>
          </w:tcPr>
          <w:p w:rsidR="00FC3AD4" w:rsidRPr="00E27493" w:rsidRDefault="00FC3AD4" w:rsidP="00DA65C1">
            <w:pPr>
              <w:spacing w:before="0" w:after="0" w:line="240" w:lineRule="auto"/>
              <w:cnfStyle w:val="100000000000"/>
              <w:rPr>
                <w:rFonts w:eastAsia="Times New Roman"/>
                <w:lang w:eastAsia="en-AU"/>
              </w:rPr>
            </w:pPr>
            <w:r w:rsidRPr="00E27493">
              <w:rPr>
                <w:rFonts w:eastAsia="Times New Roman"/>
                <w:lang w:eastAsia="en-AU"/>
              </w:rPr>
              <w:t>Item</w:t>
            </w:r>
          </w:p>
        </w:tc>
        <w:tc>
          <w:tcPr>
            <w:tcW w:w="1384" w:type="dxa"/>
            <w:noWrap/>
            <w:hideMark/>
          </w:tcPr>
          <w:p w:rsidR="00FC3AD4" w:rsidRPr="00E27493" w:rsidRDefault="00FC3AD4" w:rsidP="00535DAB">
            <w:pPr>
              <w:spacing w:before="0" w:after="0" w:line="240" w:lineRule="auto"/>
              <w:jc w:val="center"/>
              <w:cnfStyle w:val="100000000000"/>
              <w:rPr>
                <w:rFonts w:eastAsia="Times New Roman"/>
                <w:lang w:eastAsia="en-AU"/>
              </w:rPr>
            </w:pPr>
            <w:r w:rsidRPr="00E27493">
              <w:rPr>
                <w:rFonts w:eastAsia="Times New Roman"/>
                <w:lang w:eastAsia="en-AU"/>
              </w:rPr>
              <w:t xml:space="preserve">Average </w:t>
            </w:r>
            <w:r w:rsidR="0005005A">
              <w:rPr>
                <w:rFonts w:eastAsia="Times New Roman"/>
                <w:lang w:eastAsia="en-AU"/>
              </w:rPr>
              <w:t>mass</w:t>
            </w:r>
            <w:r w:rsidRPr="00E27493">
              <w:rPr>
                <w:rFonts w:eastAsia="Times New Roman"/>
                <w:lang w:eastAsia="en-AU"/>
              </w:rPr>
              <w:t xml:space="preserve"> of battery</w:t>
            </w:r>
            <w:r>
              <w:rPr>
                <w:rFonts w:eastAsia="Times New Roman"/>
                <w:lang w:eastAsia="en-AU"/>
              </w:rPr>
              <w:t xml:space="preserve"> (kg)</w:t>
            </w:r>
          </w:p>
        </w:tc>
        <w:tc>
          <w:tcPr>
            <w:tcW w:w="1134" w:type="dxa"/>
          </w:tcPr>
          <w:p w:rsidR="00FC3AD4" w:rsidRPr="00E27493" w:rsidRDefault="00307AA5" w:rsidP="00535DAB">
            <w:pPr>
              <w:spacing w:before="0" w:after="0" w:line="240" w:lineRule="auto"/>
              <w:jc w:val="center"/>
              <w:cnfStyle w:val="100000000000"/>
              <w:rPr>
                <w:rFonts w:eastAsia="Times New Roman"/>
                <w:lang w:eastAsia="en-AU"/>
              </w:rPr>
            </w:pPr>
            <w:r>
              <w:rPr>
                <w:rFonts w:eastAsia="Times New Roman"/>
                <w:lang w:eastAsia="en-AU"/>
              </w:rPr>
              <w:t xml:space="preserve">Battery </w:t>
            </w:r>
            <w:r w:rsidR="00DA65C1">
              <w:rPr>
                <w:rFonts w:eastAsia="Times New Roman"/>
                <w:lang w:eastAsia="en-AU"/>
              </w:rPr>
              <w:t>c</w:t>
            </w:r>
            <w:r w:rsidR="00FC3AD4" w:rsidRPr="00E27493">
              <w:rPr>
                <w:rFonts w:eastAsia="Times New Roman"/>
                <w:lang w:eastAsia="en-AU"/>
              </w:rPr>
              <w:t>ount (millions)</w:t>
            </w:r>
          </w:p>
        </w:tc>
        <w:tc>
          <w:tcPr>
            <w:tcW w:w="1134" w:type="dxa"/>
            <w:noWrap/>
            <w:hideMark/>
          </w:tcPr>
          <w:p w:rsidR="00307AA5" w:rsidRDefault="00FC3AD4" w:rsidP="00535DAB">
            <w:pPr>
              <w:spacing w:before="0" w:after="0" w:line="240" w:lineRule="auto"/>
              <w:jc w:val="center"/>
              <w:cnfStyle w:val="100000000000"/>
              <w:rPr>
                <w:rFonts w:eastAsia="Times New Roman"/>
                <w:lang w:eastAsia="en-AU"/>
              </w:rPr>
            </w:pPr>
            <w:r>
              <w:rPr>
                <w:rFonts w:eastAsia="Times New Roman"/>
                <w:lang w:eastAsia="en-AU"/>
              </w:rPr>
              <w:t xml:space="preserve">Total </w:t>
            </w:r>
            <w:r w:rsidR="00DA65C1">
              <w:rPr>
                <w:rFonts w:eastAsia="Times New Roman"/>
                <w:lang w:eastAsia="en-AU"/>
              </w:rPr>
              <w:t>m</w:t>
            </w:r>
            <w:r w:rsidRPr="00E27493">
              <w:rPr>
                <w:rFonts w:eastAsia="Times New Roman"/>
                <w:lang w:eastAsia="en-AU"/>
              </w:rPr>
              <w:t>ass</w:t>
            </w:r>
          </w:p>
          <w:p w:rsidR="00FC3AD4" w:rsidRPr="00E27493" w:rsidRDefault="00FC3AD4" w:rsidP="00535DAB">
            <w:pPr>
              <w:spacing w:before="0" w:after="0" w:line="240" w:lineRule="auto"/>
              <w:jc w:val="center"/>
              <w:cnfStyle w:val="100000000000"/>
              <w:rPr>
                <w:rFonts w:eastAsia="Times New Roman"/>
                <w:lang w:eastAsia="en-AU"/>
              </w:rPr>
            </w:pPr>
            <w:r w:rsidRPr="00E27493">
              <w:rPr>
                <w:rFonts w:eastAsia="Times New Roman"/>
                <w:lang w:eastAsia="en-AU"/>
              </w:rPr>
              <w:t>(</w:t>
            </w:r>
            <w:proofErr w:type="spellStart"/>
            <w:r w:rsidRPr="00E27493">
              <w:rPr>
                <w:rFonts w:eastAsia="Times New Roman"/>
                <w:lang w:eastAsia="en-AU"/>
              </w:rPr>
              <w:t>kt</w:t>
            </w:r>
            <w:proofErr w:type="spellEnd"/>
            <w:r w:rsidRPr="00E27493">
              <w:rPr>
                <w:rFonts w:eastAsia="Times New Roman"/>
                <w:lang w:eastAsia="en-AU"/>
              </w:rPr>
              <w:t>)</w:t>
            </w:r>
          </w:p>
        </w:tc>
        <w:tc>
          <w:tcPr>
            <w:tcW w:w="1843" w:type="dxa"/>
            <w:tcBorders>
              <w:right w:val="nil"/>
            </w:tcBorders>
            <w:noWrap/>
            <w:hideMark/>
          </w:tcPr>
          <w:p w:rsidR="00FC3AD4" w:rsidRPr="00E27493" w:rsidRDefault="00FC3AD4" w:rsidP="00535DAB">
            <w:pPr>
              <w:spacing w:before="0" w:after="0" w:line="240" w:lineRule="auto"/>
              <w:jc w:val="center"/>
              <w:cnfStyle w:val="100000000000"/>
              <w:rPr>
                <w:rFonts w:eastAsia="Times New Roman"/>
                <w:lang w:eastAsia="en-AU"/>
              </w:rPr>
            </w:pPr>
            <w:r w:rsidRPr="00E27493">
              <w:rPr>
                <w:rFonts w:eastAsia="Times New Roman"/>
                <w:lang w:eastAsia="en-AU"/>
              </w:rPr>
              <w:t>Quoted/</w:t>
            </w:r>
            <w:r w:rsidR="00DA65C1">
              <w:rPr>
                <w:rFonts w:eastAsia="Times New Roman"/>
                <w:lang w:eastAsia="en-AU"/>
              </w:rPr>
              <w:br/>
            </w:r>
            <w:r w:rsidR="00535DAB">
              <w:rPr>
                <w:rFonts w:eastAsia="Times New Roman"/>
                <w:lang w:eastAsia="en-AU"/>
              </w:rPr>
              <w:t>Back-</w:t>
            </w:r>
            <w:r w:rsidR="00DA65C1">
              <w:rPr>
                <w:rFonts w:eastAsia="Times New Roman"/>
                <w:lang w:eastAsia="en-AU"/>
              </w:rPr>
              <w:t>e</w:t>
            </w:r>
            <w:r w:rsidRPr="00E27493">
              <w:rPr>
                <w:rFonts w:eastAsia="Times New Roman"/>
                <w:lang w:eastAsia="en-AU"/>
              </w:rPr>
              <w:t>stimated</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Handheld</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Handheld</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0.7</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1.82</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1.3</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Motorcycle</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3</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0.26</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0.8</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Earth moving</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Bobcats</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9.1</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0.2</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 xml:space="preserve">Industrial </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Small IC forklifts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9.1</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0.2</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Passenger vehicle</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14.3</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4.41</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63.2</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Light Commercial</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15.7</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0.86</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13.5</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Earth moving</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Compressors/</w:t>
            </w:r>
            <w:proofErr w:type="spellStart"/>
            <w:r>
              <w:rPr>
                <w:color w:val="000000"/>
              </w:rPr>
              <w:t>Gensets</w:t>
            </w:r>
            <w:proofErr w:type="spellEnd"/>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19.4</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0.5</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Mining</w:t>
            </w:r>
          </w:p>
        </w:tc>
        <w:tc>
          <w:tcPr>
            <w:tcW w:w="2786" w:type="dxa"/>
            <w:noWrap/>
            <w:hideMark/>
          </w:tcPr>
          <w:p w:rsidR="00FC3AD4" w:rsidRPr="0065208A" w:rsidRDefault="00AE2C5C" w:rsidP="00DA65C1">
            <w:pPr>
              <w:spacing w:before="0" w:after="0" w:line="240" w:lineRule="auto"/>
              <w:cnfStyle w:val="000000010000"/>
              <w:rPr>
                <w:rFonts w:eastAsia="Times New Roman"/>
                <w:color w:val="000000"/>
                <w:lang w:eastAsia="en-AU"/>
              </w:rPr>
            </w:pPr>
            <w:r>
              <w:rPr>
                <w:color w:val="000000"/>
              </w:rPr>
              <w:t>Ancillary</w:t>
            </w:r>
            <w:r w:rsidR="00FC3AD4">
              <w:rPr>
                <w:color w:val="000000"/>
              </w:rPr>
              <w:t xml:space="preserve"> equip</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19.4</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0.4</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Marine</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Marine</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21.8</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0.29</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6.3</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Traction</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Golf carts/Scooters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22.6</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0.055</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1.2</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Traction</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Small electric forklift</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22.6</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0.05</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1.2</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Traction</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Large electric forklifts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25</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0.24</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5.9</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Rigid Trucks</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23.1</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0.17</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4.0</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Earth moving</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Graders/Dozers/Front-end loaders/Excavators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27.9</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0.10</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2.9</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Farming</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Tractors/</w:t>
            </w:r>
            <w:r w:rsidR="00AE2C5C">
              <w:rPr>
                <w:color w:val="000000"/>
              </w:rPr>
              <w:t>Harvesters</w:t>
            </w:r>
            <w:r>
              <w:rPr>
                <w:color w:val="000000"/>
              </w:rPr>
              <w:t>/Trench Diggers</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27.9</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0.36</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10.8</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Forestry</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Feller-</w:t>
            </w:r>
            <w:proofErr w:type="spellStart"/>
            <w:r>
              <w:rPr>
                <w:color w:val="000000"/>
              </w:rPr>
              <w:t>bunchers</w:t>
            </w:r>
            <w:proofErr w:type="spellEnd"/>
            <w:r>
              <w:rPr>
                <w:color w:val="000000"/>
              </w:rPr>
              <w:t>/Chippers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27.9</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0.01</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0.3</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Articulated Trucks</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31.6</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0.06</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1.9</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Non-Freight carrying trucks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31.6</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0.01</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0.3</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Vehicles</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Buses</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31.6</w:t>
            </w:r>
          </w:p>
        </w:tc>
        <w:tc>
          <w:tcPr>
            <w:tcW w:w="1134" w:type="dxa"/>
          </w:tcPr>
          <w:p w:rsidR="00FC3AD4" w:rsidRDefault="00FC3AD4" w:rsidP="00535DAB">
            <w:pPr>
              <w:spacing w:before="0" w:after="0" w:line="240" w:lineRule="auto"/>
              <w:ind w:right="98"/>
              <w:jc w:val="right"/>
              <w:cnfStyle w:val="000000100000"/>
              <w:rPr>
                <w:color w:val="000000"/>
              </w:rPr>
            </w:pPr>
            <w:r>
              <w:rPr>
                <w:color w:val="000000"/>
              </w:rPr>
              <w:t>0.07</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2.1</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 xml:space="preserve">Industrial </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Large IC forklifts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31.6</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0.6</w:t>
            </w:r>
          </w:p>
        </w:tc>
        <w:tc>
          <w:tcPr>
            <w:tcW w:w="1843" w:type="dxa"/>
            <w:tcBorders>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65208A" w:rsidTr="00857DF8">
        <w:trPr>
          <w:cnfStyle w:val="00000010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Stationary standby</w:t>
            </w:r>
          </w:p>
        </w:tc>
        <w:tc>
          <w:tcPr>
            <w:tcW w:w="2786" w:type="dxa"/>
            <w:noWrap/>
            <w:hideMark/>
          </w:tcPr>
          <w:p w:rsidR="00FC3AD4" w:rsidRPr="0065208A" w:rsidRDefault="00FC3AD4" w:rsidP="00DA65C1">
            <w:pPr>
              <w:spacing w:before="0" w:after="0" w:line="240" w:lineRule="auto"/>
              <w:cnfStyle w:val="000000100000"/>
              <w:rPr>
                <w:rFonts w:eastAsia="Times New Roman"/>
                <w:color w:val="000000"/>
                <w:lang w:eastAsia="en-AU"/>
              </w:rPr>
            </w:pPr>
            <w:r>
              <w:rPr>
                <w:color w:val="000000"/>
              </w:rPr>
              <w:t>Stationary standby</w:t>
            </w:r>
          </w:p>
        </w:tc>
        <w:tc>
          <w:tcPr>
            <w:tcW w:w="1384" w:type="dxa"/>
            <w:noWrap/>
            <w:hideMark/>
          </w:tcPr>
          <w:p w:rsidR="00FC3AD4" w:rsidRPr="0065208A" w:rsidRDefault="00FC3AD4" w:rsidP="00535DAB">
            <w:pPr>
              <w:spacing w:before="0" w:after="0" w:line="240" w:lineRule="auto"/>
              <w:ind w:right="317"/>
              <w:jc w:val="right"/>
              <w:cnfStyle w:val="000000100000"/>
              <w:rPr>
                <w:rFonts w:eastAsia="Times New Roman"/>
                <w:color w:val="000000"/>
                <w:lang w:eastAsia="en-AU"/>
              </w:rPr>
            </w:pPr>
            <w:r>
              <w:rPr>
                <w:color w:val="000000"/>
              </w:rPr>
              <w:t>35</w:t>
            </w:r>
          </w:p>
        </w:tc>
        <w:tc>
          <w:tcPr>
            <w:tcW w:w="1134" w:type="dxa"/>
          </w:tcPr>
          <w:p w:rsidR="00FC3AD4" w:rsidRPr="00514A1F" w:rsidRDefault="00514A1F" w:rsidP="00535DAB">
            <w:pPr>
              <w:spacing w:before="0" w:after="0" w:line="240" w:lineRule="auto"/>
              <w:ind w:right="98"/>
              <w:jc w:val="right"/>
              <w:cnfStyle w:val="000000100000"/>
              <w:rPr>
                <w:color w:val="000000"/>
                <w:szCs w:val="22"/>
              </w:rPr>
            </w:pPr>
            <w:r>
              <w:rPr>
                <w:color w:val="000000"/>
                <w:szCs w:val="22"/>
              </w:rPr>
              <w:t>0.39</w:t>
            </w:r>
          </w:p>
        </w:tc>
        <w:tc>
          <w:tcPr>
            <w:tcW w:w="1134" w:type="dxa"/>
            <w:noWrap/>
            <w:hideMark/>
          </w:tcPr>
          <w:p w:rsidR="00FC3AD4" w:rsidRPr="0065208A" w:rsidRDefault="00FC3AD4" w:rsidP="00535DAB">
            <w:pPr>
              <w:spacing w:before="0" w:after="0" w:line="240" w:lineRule="auto"/>
              <w:ind w:right="98"/>
              <w:jc w:val="right"/>
              <w:cnfStyle w:val="000000100000"/>
              <w:rPr>
                <w:rFonts w:eastAsia="Times New Roman"/>
                <w:color w:val="000000"/>
                <w:lang w:eastAsia="en-AU"/>
              </w:rPr>
            </w:pPr>
            <w:r>
              <w:rPr>
                <w:color w:val="000000"/>
              </w:rPr>
              <w:t>13.5</w:t>
            </w:r>
          </w:p>
        </w:tc>
        <w:tc>
          <w:tcPr>
            <w:tcW w:w="1843" w:type="dxa"/>
            <w:tcBorders>
              <w:right w:val="nil"/>
            </w:tcBorders>
            <w:noWrap/>
            <w:hideMark/>
          </w:tcPr>
          <w:p w:rsidR="00FC3AD4" w:rsidRPr="0065208A" w:rsidRDefault="00FC3AD4" w:rsidP="00535DAB">
            <w:pPr>
              <w:spacing w:before="0" w:after="0" w:line="240" w:lineRule="auto"/>
              <w:jc w:val="center"/>
              <w:cnfStyle w:val="000000100000"/>
              <w:rPr>
                <w:rFonts w:eastAsia="Times New Roman"/>
                <w:color w:val="000000"/>
                <w:lang w:eastAsia="en-AU"/>
              </w:rPr>
            </w:pPr>
            <w:r w:rsidRPr="0065208A">
              <w:rPr>
                <w:rFonts w:eastAsia="Times New Roman"/>
                <w:color w:val="000000"/>
                <w:lang w:eastAsia="en-AU"/>
              </w:rPr>
              <w:t>Q</w:t>
            </w:r>
          </w:p>
        </w:tc>
      </w:tr>
      <w:tr w:rsidR="00FC3AD4" w:rsidRPr="0065208A" w:rsidTr="00857DF8">
        <w:trPr>
          <w:cnfStyle w:val="000000010000"/>
          <w:trHeight w:val="300"/>
        </w:trPr>
        <w:tc>
          <w:tcPr>
            <w:cnfStyle w:val="001000000000"/>
            <w:tcW w:w="1217" w:type="dxa"/>
            <w:noWrap/>
            <w:hideMark/>
          </w:tcPr>
          <w:p w:rsidR="00FC3AD4" w:rsidRPr="00E27493" w:rsidRDefault="00FC3AD4" w:rsidP="00DA65C1">
            <w:pPr>
              <w:spacing w:before="0" w:after="0" w:line="240" w:lineRule="auto"/>
              <w:rPr>
                <w:rFonts w:eastAsia="Times New Roman"/>
                <w:lang w:eastAsia="en-AU"/>
              </w:rPr>
            </w:pPr>
            <w:r w:rsidRPr="00E27493">
              <w:t>Mining</w:t>
            </w:r>
          </w:p>
        </w:tc>
        <w:tc>
          <w:tcPr>
            <w:tcW w:w="2786" w:type="dxa"/>
            <w:noWrap/>
            <w:hideMark/>
          </w:tcPr>
          <w:p w:rsidR="00FC3AD4" w:rsidRPr="0065208A" w:rsidRDefault="00FC3AD4" w:rsidP="00DA65C1">
            <w:pPr>
              <w:spacing w:before="0" w:after="0" w:line="240" w:lineRule="auto"/>
              <w:cnfStyle w:val="000000010000"/>
              <w:rPr>
                <w:rFonts w:eastAsia="Times New Roman"/>
                <w:color w:val="000000"/>
                <w:lang w:eastAsia="en-AU"/>
              </w:rPr>
            </w:pPr>
            <w:r>
              <w:rPr>
                <w:color w:val="000000"/>
              </w:rPr>
              <w:t>Dump trucks/Dozers/Wheel loaders/Shovels</w:t>
            </w:r>
          </w:p>
        </w:tc>
        <w:tc>
          <w:tcPr>
            <w:tcW w:w="1384" w:type="dxa"/>
            <w:noWrap/>
            <w:hideMark/>
          </w:tcPr>
          <w:p w:rsidR="00FC3AD4" w:rsidRPr="0065208A" w:rsidRDefault="00FC3AD4" w:rsidP="00535DAB">
            <w:pPr>
              <w:spacing w:before="0" w:after="0" w:line="240" w:lineRule="auto"/>
              <w:ind w:right="317"/>
              <w:jc w:val="right"/>
              <w:cnfStyle w:val="000000010000"/>
              <w:rPr>
                <w:rFonts w:eastAsia="Times New Roman"/>
                <w:color w:val="000000"/>
                <w:lang w:eastAsia="en-AU"/>
              </w:rPr>
            </w:pPr>
            <w:r>
              <w:rPr>
                <w:color w:val="000000"/>
              </w:rPr>
              <w:t>53.9</w:t>
            </w:r>
          </w:p>
        </w:tc>
        <w:tc>
          <w:tcPr>
            <w:tcW w:w="1134" w:type="dxa"/>
          </w:tcPr>
          <w:p w:rsidR="00FC3AD4" w:rsidRDefault="00FC3AD4" w:rsidP="00535DAB">
            <w:pPr>
              <w:spacing w:before="0" w:after="0" w:line="240" w:lineRule="auto"/>
              <w:ind w:right="98"/>
              <w:jc w:val="right"/>
              <w:cnfStyle w:val="000000010000"/>
              <w:rPr>
                <w:color w:val="000000"/>
              </w:rPr>
            </w:pPr>
            <w:r>
              <w:rPr>
                <w:color w:val="000000"/>
              </w:rPr>
              <w:t>0.02</w:t>
            </w:r>
          </w:p>
        </w:tc>
        <w:tc>
          <w:tcPr>
            <w:tcW w:w="1134" w:type="dxa"/>
            <w:noWrap/>
            <w:hideMark/>
          </w:tcPr>
          <w:p w:rsidR="00FC3AD4" w:rsidRPr="0065208A" w:rsidRDefault="00FC3AD4" w:rsidP="00535DAB">
            <w:pPr>
              <w:spacing w:before="0" w:after="0" w:line="240" w:lineRule="auto"/>
              <w:ind w:right="98"/>
              <w:jc w:val="right"/>
              <w:cnfStyle w:val="000000010000"/>
              <w:rPr>
                <w:rFonts w:eastAsia="Times New Roman"/>
                <w:color w:val="000000"/>
                <w:lang w:eastAsia="en-AU"/>
              </w:rPr>
            </w:pPr>
            <w:r>
              <w:rPr>
                <w:color w:val="000000"/>
              </w:rPr>
              <w:t>4.6</w:t>
            </w:r>
          </w:p>
        </w:tc>
        <w:tc>
          <w:tcPr>
            <w:tcW w:w="1843" w:type="dxa"/>
            <w:tcBorders>
              <w:bottom w:val="single" w:sz="4" w:space="0" w:color="FFFFFF" w:themeColor="background1"/>
              <w:right w:val="nil"/>
            </w:tcBorders>
            <w:noWrap/>
            <w:hideMark/>
          </w:tcPr>
          <w:p w:rsidR="00FC3AD4" w:rsidRPr="0065208A" w:rsidRDefault="00FC3AD4" w:rsidP="00535DAB">
            <w:pPr>
              <w:spacing w:before="0" w:after="0" w:line="240" w:lineRule="auto"/>
              <w:jc w:val="center"/>
              <w:cnfStyle w:val="000000010000"/>
              <w:rPr>
                <w:rFonts w:eastAsia="Times New Roman"/>
                <w:color w:val="000000"/>
                <w:lang w:eastAsia="en-AU"/>
              </w:rPr>
            </w:pPr>
            <w:r w:rsidRPr="0065208A">
              <w:rPr>
                <w:rFonts w:eastAsia="Times New Roman"/>
                <w:color w:val="000000"/>
                <w:lang w:eastAsia="en-AU"/>
              </w:rPr>
              <w:t>B</w:t>
            </w:r>
          </w:p>
        </w:tc>
      </w:tr>
      <w:tr w:rsidR="00FC3AD4" w:rsidRPr="00DA65C1" w:rsidTr="00857DF8">
        <w:trPr>
          <w:cnfStyle w:val="000000100000"/>
          <w:trHeight w:val="300"/>
        </w:trPr>
        <w:tc>
          <w:tcPr>
            <w:cnfStyle w:val="001000000000"/>
            <w:tcW w:w="1217" w:type="dxa"/>
            <w:noWrap/>
            <w:hideMark/>
          </w:tcPr>
          <w:p w:rsidR="00FC3AD4" w:rsidRPr="00DA65C1" w:rsidRDefault="00FC3AD4" w:rsidP="00DA65C1">
            <w:pPr>
              <w:spacing w:before="0" w:after="0" w:line="240" w:lineRule="auto"/>
              <w:rPr>
                <w:rFonts w:eastAsia="Times New Roman"/>
                <w:b/>
                <w:lang w:eastAsia="en-AU"/>
              </w:rPr>
            </w:pPr>
            <w:r w:rsidRPr="00DA65C1">
              <w:rPr>
                <w:b/>
              </w:rPr>
              <w:t>TOTAL</w:t>
            </w:r>
          </w:p>
        </w:tc>
        <w:tc>
          <w:tcPr>
            <w:tcW w:w="2786" w:type="dxa"/>
            <w:noWrap/>
            <w:hideMark/>
          </w:tcPr>
          <w:p w:rsidR="00FC3AD4" w:rsidRPr="00DA65C1" w:rsidRDefault="00FC3AD4" w:rsidP="00DA65C1">
            <w:pPr>
              <w:spacing w:before="0" w:after="0" w:line="240" w:lineRule="auto"/>
              <w:cnfStyle w:val="000000100000"/>
              <w:rPr>
                <w:rFonts w:eastAsia="Times New Roman"/>
                <w:b/>
                <w:color w:val="000000"/>
                <w:lang w:eastAsia="en-AU"/>
              </w:rPr>
            </w:pPr>
          </w:p>
        </w:tc>
        <w:tc>
          <w:tcPr>
            <w:tcW w:w="1384" w:type="dxa"/>
            <w:noWrap/>
            <w:hideMark/>
          </w:tcPr>
          <w:p w:rsidR="00FC3AD4" w:rsidRPr="00DA65C1" w:rsidRDefault="00FC3AD4" w:rsidP="00DA65C1">
            <w:pPr>
              <w:spacing w:before="0" w:after="0" w:line="240" w:lineRule="auto"/>
              <w:cnfStyle w:val="000000100000"/>
              <w:rPr>
                <w:rFonts w:eastAsia="Times New Roman"/>
                <w:b/>
                <w:color w:val="000000"/>
                <w:lang w:eastAsia="en-AU"/>
              </w:rPr>
            </w:pPr>
          </w:p>
        </w:tc>
        <w:tc>
          <w:tcPr>
            <w:tcW w:w="1134" w:type="dxa"/>
          </w:tcPr>
          <w:p w:rsidR="00FC3AD4" w:rsidRPr="00DA65C1" w:rsidRDefault="00514A1F" w:rsidP="00535DAB">
            <w:pPr>
              <w:spacing w:before="0" w:after="0" w:line="240" w:lineRule="auto"/>
              <w:ind w:right="98"/>
              <w:jc w:val="right"/>
              <w:cnfStyle w:val="000000100000"/>
              <w:rPr>
                <w:b/>
                <w:color w:val="000000"/>
              </w:rPr>
            </w:pPr>
            <w:r w:rsidRPr="00DA65C1">
              <w:rPr>
                <w:b/>
                <w:color w:val="000000"/>
              </w:rPr>
              <w:t>9.28</w:t>
            </w:r>
          </w:p>
        </w:tc>
        <w:tc>
          <w:tcPr>
            <w:tcW w:w="1134" w:type="dxa"/>
            <w:noWrap/>
            <w:hideMark/>
          </w:tcPr>
          <w:p w:rsidR="00FC3AD4" w:rsidRPr="00DA65C1" w:rsidRDefault="00FC3AD4" w:rsidP="00535DAB">
            <w:pPr>
              <w:spacing w:before="0" w:after="0" w:line="240" w:lineRule="auto"/>
              <w:ind w:right="98"/>
              <w:jc w:val="right"/>
              <w:cnfStyle w:val="000000100000"/>
              <w:rPr>
                <w:rFonts w:eastAsia="Times New Roman"/>
                <w:b/>
                <w:color w:val="000000"/>
                <w:lang w:eastAsia="en-AU"/>
              </w:rPr>
            </w:pPr>
            <w:r w:rsidRPr="00DA65C1">
              <w:rPr>
                <w:b/>
                <w:color w:val="000000"/>
              </w:rPr>
              <w:t>135.8</w:t>
            </w:r>
          </w:p>
        </w:tc>
        <w:tc>
          <w:tcPr>
            <w:tcW w:w="1843" w:type="dxa"/>
            <w:tcBorders>
              <w:right w:val="nil"/>
            </w:tcBorders>
            <w:noWrap/>
            <w:hideMark/>
          </w:tcPr>
          <w:p w:rsidR="00FC3AD4" w:rsidRPr="00DA65C1" w:rsidRDefault="00FC3AD4" w:rsidP="00DA65C1">
            <w:pPr>
              <w:spacing w:before="0" w:after="0" w:line="240" w:lineRule="auto"/>
              <w:cnfStyle w:val="000000100000"/>
              <w:rPr>
                <w:rFonts w:eastAsia="Times New Roman"/>
                <w:b/>
                <w:color w:val="000000"/>
                <w:lang w:eastAsia="en-AU"/>
              </w:rPr>
            </w:pPr>
          </w:p>
        </w:tc>
      </w:tr>
    </w:tbl>
    <w:p w:rsidR="00747B29" w:rsidRDefault="00747B29" w:rsidP="00DA65C1"/>
    <w:p w:rsidR="00747B29" w:rsidRDefault="00747B29" w:rsidP="00DA65C1">
      <w:pPr>
        <w:pStyle w:val="Caption"/>
        <w:keepNext/>
      </w:pPr>
      <w:r>
        <w:lastRenderedPageBreak/>
        <w:t>Table A2</w:t>
      </w:r>
      <w:r w:rsidR="00DA65C1">
        <w:t>:</w:t>
      </w:r>
      <w:r>
        <w:t xml:space="preserve"> Median battery </w:t>
      </w:r>
      <w:r w:rsidR="0005005A">
        <w:t>mass</w:t>
      </w:r>
      <w:r>
        <w:t xml:space="preserve"> by Statistical code from the ABS (2013) data</w:t>
      </w:r>
      <w:r w:rsidR="00013E1E">
        <w:t xml:space="preserve"> (FYE 2009/2010)</w:t>
      </w:r>
    </w:p>
    <w:tbl>
      <w:tblPr>
        <w:tblStyle w:val="Style2"/>
        <w:tblW w:w="8785" w:type="dxa"/>
        <w:tblInd w:w="108" w:type="dxa"/>
        <w:tblLook w:val="04A0"/>
      </w:tblPr>
      <w:tblGrid>
        <w:gridCol w:w="1034"/>
        <w:gridCol w:w="6095"/>
        <w:gridCol w:w="1697"/>
      </w:tblGrid>
      <w:tr w:rsidR="00BD78C2" w:rsidRPr="00727CFE" w:rsidTr="000A4AE0">
        <w:trPr>
          <w:cnfStyle w:val="100000000000"/>
          <w:trHeight w:val="300"/>
        </w:trPr>
        <w:tc>
          <w:tcPr>
            <w:cnfStyle w:val="001000000000"/>
            <w:tcW w:w="993" w:type="dxa"/>
            <w:tcBorders>
              <w:bottom w:val="single" w:sz="8" w:space="0" w:color="FFFFFF" w:themeColor="background2"/>
            </w:tcBorders>
          </w:tcPr>
          <w:p w:rsidR="00BD78C2" w:rsidRPr="0046706C" w:rsidRDefault="00BD78C2" w:rsidP="00BD78C2">
            <w:pPr>
              <w:spacing w:before="0" w:after="0" w:line="240" w:lineRule="auto"/>
              <w:jc w:val="left"/>
              <w:rPr>
                <w:rFonts w:eastAsia="Times New Roman"/>
                <w:lang w:eastAsia="en-AU"/>
              </w:rPr>
            </w:pPr>
            <w:r>
              <w:rPr>
                <w:rFonts w:eastAsia="Times New Roman"/>
                <w:lang w:eastAsia="en-AU"/>
              </w:rPr>
              <w:t>Category</w:t>
            </w:r>
          </w:p>
        </w:tc>
        <w:tc>
          <w:tcPr>
            <w:tcW w:w="6095" w:type="dxa"/>
            <w:noWrap/>
          </w:tcPr>
          <w:p w:rsidR="00BD78C2" w:rsidRPr="0046706C" w:rsidRDefault="00BD78C2" w:rsidP="00DA65C1">
            <w:pPr>
              <w:spacing w:before="0" w:after="0" w:line="240" w:lineRule="auto"/>
              <w:cnfStyle w:val="100000000000"/>
              <w:rPr>
                <w:rFonts w:eastAsia="Times New Roman"/>
                <w:lang w:eastAsia="en-AU"/>
              </w:rPr>
            </w:pPr>
            <w:r>
              <w:rPr>
                <w:rFonts w:eastAsia="Times New Roman"/>
                <w:lang w:eastAsia="en-AU"/>
              </w:rPr>
              <w:t>Description</w:t>
            </w:r>
          </w:p>
        </w:tc>
        <w:tc>
          <w:tcPr>
            <w:tcW w:w="1697" w:type="dxa"/>
            <w:noWrap/>
          </w:tcPr>
          <w:p w:rsidR="00BD78C2" w:rsidRPr="0046706C" w:rsidRDefault="00BD78C2" w:rsidP="00DA65C1">
            <w:pPr>
              <w:spacing w:before="0" w:after="0" w:line="240" w:lineRule="auto"/>
              <w:jc w:val="center"/>
              <w:cnfStyle w:val="100000000000"/>
              <w:rPr>
                <w:rFonts w:eastAsia="Times New Roman"/>
                <w:lang w:eastAsia="en-AU"/>
              </w:rPr>
            </w:pPr>
            <w:r w:rsidRPr="0046706C">
              <w:rPr>
                <w:rFonts w:eastAsia="Times New Roman"/>
                <w:lang w:eastAsia="en-AU"/>
              </w:rPr>
              <w:t xml:space="preserve">Median battery </w:t>
            </w:r>
            <w:r>
              <w:rPr>
                <w:rFonts w:eastAsia="Times New Roman"/>
                <w:lang w:eastAsia="en-AU"/>
              </w:rPr>
              <w:t>mass</w:t>
            </w:r>
            <w:r w:rsidRPr="0046706C">
              <w:rPr>
                <w:rFonts w:eastAsia="Times New Roman"/>
                <w:lang w:eastAsia="en-AU"/>
              </w:rPr>
              <w:t xml:space="preserve"> (kg)</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(1)</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8507101077 Lead-acid type electric accumulators of a kind used as replacement components in passenger motor vehicles</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sidRPr="00727CFE">
              <w:rPr>
                <w:rFonts w:eastAsia="Times New Roman"/>
                <w:color w:val="000000"/>
                <w:lang w:eastAsia="en-AU"/>
              </w:rPr>
              <w:t>17.6</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(2)</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850710 Lead-acid electric accumulators (incl. separators therefor); of a kind used for starting piston engines (a)</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Pr>
                <w:rFonts w:eastAsia="Times New Roman"/>
                <w:color w:val="000000"/>
                <w:lang w:eastAsia="en-AU"/>
              </w:rPr>
              <w:t>12.8</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(3)</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8507109090 Lead-acid accumulators; of a kind used for starting piston engines (excl those used as replacement components in passenger and other motor vehicles)</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sidRPr="00727CFE">
              <w:rPr>
                <w:rFonts w:eastAsia="Times New Roman"/>
                <w:color w:val="000000"/>
                <w:lang w:eastAsia="en-AU"/>
              </w:rPr>
              <w:t>3.8</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(4)</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8507200081 Lead-acid type electric accumulators (excl those of a kind used for starting piston engines; those used for traction purposes; and regulated seal valve types with capacity &gt; 65 amps/hr at C20)</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Pr>
                <w:rFonts w:eastAsia="Times New Roman"/>
                <w:color w:val="000000"/>
                <w:lang w:eastAsia="en-AU"/>
              </w:rPr>
              <w:t>10.6</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(5)</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8507109078 Lead-acid electric accumulators; of a kind used for starting piston engines</w:t>
            </w:r>
            <w:r>
              <w:rPr>
                <w:rFonts w:eastAsia="Times New Roman"/>
                <w:color w:val="000000"/>
                <w:lang w:eastAsia="en-AU"/>
              </w:rPr>
              <w:t xml:space="preserve"> </w:t>
            </w:r>
            <w:r w:rsidRPr="00727CFE">
              <w:rPr>
                <w:rFonts w:eastAsia="Times New Roman"/>
                <w:color w:val="000000"/>
                <w:lang w:eastAsia="en-AU"/>
              </w:rPr>
              <w:t>for motor vehicles (excl those used as replacement components in passenger motor vehicles)</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sidRPr="00727CFE">
              <w:rPr>
                <w:rFonts w:eastAsia="Times New Roman"/>
                <w:color w:val="000000"/>
                <w:lang w:eastAsia="en-AU"/>
              </w:rPr>
              <w:t>4.</w:t>
            </w:r>
            <w:r>
              <w:rPr>
                <w:rFonts w:eastAsia="Times New Roman"/>
                <w:color w:val="000000"/>
                <w:lang w:eastAsia="en-AU"/>
              </w:rPr>
              <w:t>6</w:t>
            </w:r>
          </w:p>
        </w:tc>
      </w:tr>
      <w:tr w:rsidR="00BD78C2" w:rsidRPr="00727CFE" w:rsidTr="000A4AE0">
        <w:trPr>
          <w:trHeight w:val="300"/>
        </w:trPr>
        <w:tc>
          <w:tcPr>
            <w:cnfStyle w:val="001000000000"/>
            <w:tcW w:w="993" w:type="dxa"/>
            <w:tcBorders>
              <w:bottom w:val="single" w:sz="8" w:space="0" w:color="FFFFFF" w:themeColor="background2"/>
            </w:tcBorders>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(6)</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8507200079 Lead-acid electric accumulators (</w:t>
            </w:r>
            <w:proofErr w:type="spellStart"/>
            <w:r w:rsidRPr="00727CFE">
              <w:rPr>
                <w:rFonts w:eastAsia="Times New Roman"/>
                <w:color w:val="000000"/>
                <w:lang w:eastAsia="en-AU"/>
              </w:rPr>
              <w:t>incl</w:t>
            </w:r>
            <w:proofErr w:type="spellEnd"/>
            <w:r w:rsidRPr="00727CFE">
              <w:rPr>
                <w:rFonts w:eastAsia="Times New Roman"/>
                <w:color w:val="000000"/>
                <w:lang w:eastAsia="en-AU"/>
              </w:rPr>
              <w:t xml:space="preserve"> separators </w:t>
            </w:r>
            <w:proofErr w:type="spellStart"/>
            <w:r w:rsidRPr="00727CFE">
              <w:rPr>
                <w:rFonts w:eastAsia="Times New Roman"/>
                <w:color w:val="000000"/>
                <w:lang w:eastAsia="en-AU"/>
              </w:rPr>
              <w:t>therefor</w:t>
            </w:r>
            <w:proofErr w:type="spellEnd"/>
            <w:r w:rsidRPr="00727CFE">
              <w:rPr>
                <w:rFonts w:eastAsia="Times New Roman"/>
                <w:color w:val="000000"/>
                <w:lang w:eastAsia="en-AU"/>
              </w:rPr>
              <w:t>); for traction purposes (excl those used for starting piston engines)</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sidRPr="00727CFE">
              <w:rPr>
                <w:rFonts w:eastAsia="Times New Roman"/>
                <w:color w:val="000000"/>
                <w:lang w:eastAsia="en-AU"/>
              </w:rPr>
              <w:t>25.</w:t>
            </w:r>
            <w:r>
              <w:rPr>
                <w:rFonts w:eastAsia="Times New Roman"/>
                <w:color w:val="000000"/>
                <w:lang w:eastAsia="en-AU"/>
              </w:rPr>
              <w:t>2</w:t>
            </w:r>
          </w:p>
        </w:tc>
      </w:tr>
      <w:tr w:rsidR="00BD78C2" w:rsidRPr="00727CFE" w:rsidTr="000A4AE0">
        <w:trPr>
          <w:trHeight w:val="300"/>
        </w:trPr>
        <w:tc>
          <w:tcPr>
            <w:cnfStyle w:val="001000000000"/>
            <w:tcW w:w="993" w:type="dxa"/>
            <w:shd w:val="clear" w:color="auto" w:fill="B1005D" w:themeFill="accent1"/>
          </w:tcPr>
          <w:p w:rsidR="00BD78C2" w:rsidRPr="00BD78C2" w:rsidRDefault="00BD78C2" w:rsidP="00BD78C2">
            <w:pPr>
              <w:spacing w:before="0" w:after="0" w:line="240" w:lineRule="auto"/>
              <w:jc w:val="left"/>
              <w:rPr>
                <w:rFonts w:eastAsia="Times New Roman"/>
                <w:color w:val="FFFFFF" w:themeColor="background1"/>
                <w:lang w:eastAsia="en-AU"/>
              </w:rPr>
            </w:pPr>
            <w:r w:rsidRPr="00BD78C2">
              <w:rPr>
                <w:rFonts w:eastAsia="Times New Roman"/>
                <w:color w:val="FFFFFF" w:themeColor="background1"/>
                <w:lang w:eastAsia="en-AU"/>
              </w:rPr>
              <w:t>(7)</w:t>
            </w:r>
          </w:p>
        </w:tc>
        <w:tc>
          <w:tcPr>
            <w:tcW w:w="6095" w:type="dxa"/>
            <w:noWrap/>
            <w:hideMark/>
          </w:tcPr>
          <w:p w:rsidR="00BD78C2" w:rsidRPr="00727CFE" w:rsidRDefault="00BD78C2" w:rsidP="00DA65C1">
            <w:pPr>
              <w:spacing w:before="0" w:after="0" w:line="240" w:lineRule="auto"/>
              <w:cnfStyle w:val="000000000000"/>
              <w:rPr>
                <w:rFonts w:eastAsia="Times New Roman"/>
                <w:color w:val="000000"/>
                <w:lang w:eastAsia="en-AU"/>
              </w:rPr>
            </w:pPr>
            <w:r w:rsidRPr="00727CFE">
              <w:rPr>
                <w:rFonts w:eastAsia="Times New Roman"/>
                <w:color w:val="000000"/>
                <w:lang w:eastAsia="en-AU"/>
              </w:rPr>
              <w:t>8507200080 Lead-acid accumulators of regulated sealed valve type with a capacity greater than 65 Amp/hr at C20 (for 20 hour rate) at 25 degrees Celsius (excl. for traction purposes; or lead-acid; of a kind used for starting piston engines)</w:t>
            </w:r>
          </w:p>
        </w:tc>
        <w:tc>
          <w:tcPr>
            <w:tcW w:w="1697" w:type="dxa"/>
            <w:noWrap/>
            <w:hideMark/>
          </w:tcPr>
          <w:p w:rsidR="00BD78C2" w:rsidRPr="00727CFE" w:rsidRDefault="00BD78C2" w:rsidP="00DA65C1">
            <w:pPr>
              <w:spacing w:before="0" w:after="0" w:line="240" w:lineRule="auto"/>
              <w:ind w:right="597"/>
              <w:jc w:val="right"/>
              <w:cnfStyle w:val="000000000000"/>
              <w:rPr>
                <w:rFonts w:eastAsia="Times New Roman"/>
                <w:color w:val="000000"/>
                <w:lang w:eastAsia="en-AU"/>
              </w:rPr>
            </w:pPr>
            <w:r w:rsidRPr="00727CFE">
              <w:rPr>
                <w:rFonts w:eastAsia="Times New Roman"/>
                <w:color w:val="000000"/>
                <w:lang w:eastAsia="en-AU"/>
              </w:rPr>
              <w:t>24.5</w:t>
            </w:r>
          </w:p>
        </w:tc>
      </w:tr>
    </w:tbl>
    <w:p w:rsidR="0046706C" w:rsidRDefault="0046706C" w:rsidP="00DA65C1"/>
    <w:p w:rsidR="00441554" w:rsidRDefault="00441554" w:rsidP="00DA65C1">
      <w:pPr>
        <w:pStyle w:val="Caption"/>
      </w:pPr>
    </w:p>
    <w:p w:rsidR="00441554" w:rsidRDefault="00441554" w:rsidP="00DA65C1">
      <w:pPr>
        <w:pStyle w:val="Caption"/>
      </w:pPr>
      <w:r>
        <w:t>Table A3</w:t>
      </w:r>
      <w:r w:rsidR="00DA65C1">
        <w:t>:</w:t>
      </w:r>
      <w:r>
        <w:t xml:space="preserve"> Imports of </w:t>
      </w:r>
      <w:r w:rsidR="000042BA">
        <w:t>lead-acid</w:t>
      </w:r>
      <w:r>
        <w:t xml:space="preserve"> batteries calculated from ABS (2013) data (</w:t>
      </w:r>
      <w:proofErr w:type="spellStart"/>
      <w:r>
        <w:t>kt</w:t>
      </w:r>
      <w:proofErr w:type="spellEnd"/>
      <w:r>
        <w:t>/y</w:t>
      </w:r>
      <w:r w:rsidR="00BD78C2">
        <w:t>ear</w:t>
      </w:r>
      <w:r>
        <w:t>)</w:t>
      </w:r>
    </w:p>
    <w:tbl>
      <w:tblPr>
        <w:tblStyle w:val="ColorfulGrid1"/>
        <w:tblW w:w="6448" w:type="dxa"/>
        <w:tblInd w:w="108" w:type="dxa"/>
        <w:tblLook w:val="04A0"/>
      </w:tblPr>
      <w:tblGrid>
        <w:gridCol w:w="1183"/>
        <w:gridCol w:w="1053"/>
        <w:gridCol w:w="1053"/>
        <w:gridCol w:w="1053"/>
        <w:gridCol w:w="1053"/>
        <w:gridCol w:w="1053"/>
      </w:tblGrid>
      <w:tr w:rsidR="00441554" w:rsidRPr="00D669E8" w:rsidTr="00857DF8">
        <w:trPr>
          <w:cnfStyle w:val="100000000000"/>
          <w:trHeight w:val="300"/>
        </w:trPr>
        <w:tc>
          <w:tcPr>
            <w:cnfStyle w:val="001000000000"/>
            <w:tcW w:w="1183" w:type="dxa"/>
            <w:tcBorders>
              <w:left w:val="nil"/>
            </w:tcBorders>
            <w:noWrap/>
            <w:hideMark/>
          </w:tcPr>
          <w:p w:rsidR="00441554" w:rsidRPr="0046706C" w:rsidRDefault="00441554" w:rsidP="00660C1A">
            <w:pPr>
              <w:spacing w:before="0" w:after="0" w:line="240" w:lineRule="auto"/>
              <w:jc w:val="left"/>
              <w:rPr>
                <w:rFonts w:eastAsia="Times New Roman"/>
                <w:lang w:eastAsia="en-AU"/>
              </w:rPr>
            </w:pPr>
            <w:r w:rsidRPr="0046706C">
              <w:rPr>
                <w:rFonts w:eastAsia="Times New Roman"/>
                <w:lang w:eastAsia="en-AU"/>
              </w:rPr>
              <w:t>Category</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2008/09</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2009/10</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2010/11</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2011/12</w:t>
            </w:r>
          </w:p>
        </w:tc>
        <w:tc>
          <w:tcPr>
            <w:tcW w:w="1053" w:type="dxa"/>
            <w:tcBorders>
              <w:right w:val="nil"/>
            </w:tcBorders>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2012/13</w:t>
            </w:r>
          </w:p>
        </w:tc>
      </w:tr>
      <w:tr w:rsidR="00BD78C2" w:rsidRPr="00D669E8" w:rsidTr="00857DF8">
        <w:trPr>
          <w:cnfStyle w:val="00000010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(1)</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51.55</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59.02</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62.00</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64.23</w:t>
            </w:r>
          </w:p>
        </w:tc>
        <w:tc>
          <w:tcPr>
            <w:tcW w:w="1053" w:type="dxa"/>
            <w:tcBorders>
              <w:right w:val="nil"/>
            </w:tcBorders>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63.96</w:t>
            </w:r>
          </w:p>
        </w:tc>
      </w:tr>
      <w:tr w:rsidR="00BD78C2" w:rsidRPr="00D669E8" w:rsidTr="00857DF8">
        <w:trPr>
          <w:cnfStyle w:val="00000001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(2)</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40.45</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44.95</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44.39</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49.14</w:t>
            </w:r>
          </w:p>
        </w:tc>
        <w:tc>
          <w:tcPr>
            <w:tcW w:w="1053" w:type="dxa"/>
            <w:tcBorders>
              <w:right w:val="nil"/>
            </w:tcBorders>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50.56</w:t>
            </w:r>
          </w:p>
        </w:tc>
      </w:tr>
      <w:tr w:rsidR="00BD78C2" w:rsidRPr="00D669E8" w:rsidTr="00857DF8">
        <w:trPr>
          <w:cnfStyle w:val="00000010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(3)</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8.63</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9.02</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12.47</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10.50</w:t>
            </w:r>
          </w:p>
        </w:tc>
        <w:tc>
          <w:tcPr>
            <w:tcW w:w="1053" w:type="dxa"/>
            <w:tcBorders>
              <w:right w:val="nil"/>
            </w:tcBorders>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10.51</w:t>
            </w:r>
          </w:p>
        </w:tc>
      </w:tr>
      <w:tr w:rsidR="00BD78C2" w:rsidRPr="00D669E8" w:rsidTr="00857DF8">
        <w:trPr>
          <w:cnfStyle w:val="00000001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(4)</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4.08</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5.88</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6.35</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6.53</w:t>
            </w:r>
          </w:p>
        </w:tc>
        <w:tc>
          <w:tcPr>
            <w:tcW w:w="1053" w:type="dxa"/>
            <w:tcBorders>
              <w:right w:val="nil"/>
            </w:tcBorders>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6.37</w:t>
            </w:r>
          </w:p>
        </w:tc>
      </w:tr>
      <w:tr w:rsidR="00BD78C2" w:rsidRPr="00D669E8" w:rsidTr="00857DF8">
        <w:trPr>
          <w:cnfStyle w:val="00000010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(5)</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1.13</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1.05</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2.06</w:t>
            </w:r>
          </w:p>
        </w:tc>
        <w:tc>
          <w:tcPr>
            <w:tcW w:w="1053" w:type="dxa"/>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2.54</w:t>
            </w:r>
          </w:p>
        </w:tc>
        <w:tc>
          <w:tcPr>
            <w:tcW w:w="1053" w:type="dxa"/>
            <w:tcBorders>
              <w:right w:val="nil"/>
            </w:tcBorders>
            <w:noWrap/>
            <w:vAlign w:val="bottom"/>
          </w:tcPr>
          <w:p w:rsidR="00BD78C2" w:rsidRPr="00D669E8" w:rsidRDefault="00BD78C2" w:rsidP="00DA65C1">
            <w:pPr>
              <w:spacing w:before="0" w:after="0" w:line="240" w:lineRule="auto"/>
              <w:jc w:val="right"/>
              <w:cnfStyle w:val="000000100000"/>
              <w:rPr>
                <w:rFonts w:eastAsia="Times New Roman"/>
                <w:color w:val="000000"/>
                <w:lang w:eastAsia="en-AU"/>
              </w:rPr>
            </w:pPr>
            <w:r>
              <w:rPr>
                <w:color w:val="000000"/>
                <w:szCs w:val="22"/>
              </w:rPr>
              <w:t>4.07</w:t>
            </w:r>
          </w:p>
        </w:tc>
      </w:tr>
      <w:tr w:rsidR="00BD78C2" w:rsidRPr="00D669E8" w:rsidTr="00857DF8">
        <w:trPr>
          <w:cnfStyle w:val="00000001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(6)</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2.29</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2.74</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3.72</w:t>
            </w:r>
          </w:p>
        </w:tc>
        <w:tc>
          <w:tcPr>
            <w:tcW w:w="1053" w:type="dxa"/>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5.49</w:t>
            </w:r>
          </w:p>
        </w:tc>
        <w:tc>
          <w:tcPr>
            <w:tcW w:w="1053" w:type="dxa"/>
            <w:tcBorders>
              <w:right w:val="nil"/>
            </w:tcBorders>
            <w:noWrap/>
            <w:vAlign w:val="bottom"/>
          </w:tcPr>
          <w:p w:rsidR="00BD78C2" w:rsidRPr="00D669E8" w:rsidRDefault="00BD78C2" w:rsidP="00DA65C1">
            <w:pPr>
              <w:spacing w:before="0" w:after="0" w:line="240" w:lineRule="auto"/>
              <w:jc w:val="right"/>
              <w:cnfStyle w:val="000000010000"/>
              <w:rPr>
                <w:rFonts w:eastAsia="Times New Roman"/>
                <w:color w:val="000000"/>
                <w:lang w:eastAsia="en-AU"/>
              </w:rPr>
            </w:pPr>
            <w:r>
              <w:rPr>
                <w:color w:val="000000"/>
                <w:szCs w:val="22"/>
              </w:rPr>
              <w:t>3.99</w:t>
            </w:r>
          </w:p>
        </w:tc>
      </w:tr>
      <w:tr w:rsidR="00BD78C2" w:rsidRPr="00D669E8" w:rsidTr="00857DF8">
        <w:trPr>
          <w:cnfStyle w:val="00000010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(7)</w:t>
            </w:r>
          </w:p>
        </w:tc>
        <w:tc>
          <w:tcPr>
            <w:tcW w:w="1053" w:type="dxa"/>
            <w:noWrap/>
            <w:vAlign w:val="bottom"/>
          </w:tcPr>
          <w:p w:rsidR="00BD78C2" w:rsidRDefault="00BD78C2" w:rsidP="00DA65C1">
            <w:pPr>
              <w:spacing w:before="0" w:after="0" w:line="240" w:lineRule="auto"/>
              <w:jc w:val="right"/>
              <w:cnfStyle w:val="000000100000"/>
              <w:rPr>
                <w:rFonts w:eastAsia="Times New Roman"/>
                <w:color w:val="000000"/>
                <w:lang w:eastAsia="en-AU"/>
              </w:rPr>
            </w:pPr>
            <w:r>
              <w:rPr>
                <w:color w:val="000000"/>
                <w:szCs w:val="22"/>
              </w:rPr>
              <w:t>19.48</w:t>
            </w:r>
          </w:p>
        </w:tc>
        <w:tc>
          <w:tcPr>
            <w:tcW w:w="1053" w:type="dxa"/>
            <w:noWrap/>
            <w:vAlign w:val="bottom"/>
          </w:tcPr>
          <w:p w:rsidR="00BD78C2" w:rsidRDefault="00BD78C2" w:rsidP="00DA65C1">
            <w:pPr>
              <w:spacing w:before="0" w:after="0" w:line="240" w:lineRule="auto"/>
              <w:jc w:val="right"/>
              <w:cnfStyle w:val="000000100000"/>
              <w:rPr>
                <w:rFonts w:eastAsia="Times New Roman"/>
                <w:color w:val="000000"/>
                <w:lang w:eastAsia="en-AU"/>
              </w:rPr>
            </w:pPr>
            <w:r>
              <w:rPr>
                <w:color w:val="000000"/>
                <w:szCs w:val="22"/>
              </w:rPr>
              <w:t>23.87</w:t>
            </w:r>
          </w:p>
        </w:tc>
        <w:tc>
          <w:tcPr>
            <w:tcW w:w="1053" w:type="dxa"/>
            <w:noWrap/>
            <w:vAlign w:val="bottom"/>
          </w:tcPr>
          <w:p w:rsidR="00BD78C2" w:rsidRDefault="00BD78C2" w:rsidP="00DA65C1">
            <w:pPr>
              <w:spacing w:before="0" w:after="0" w:line="240" w:lineRule="auto"/>
              <w:jc w:val="right"/>
              <w:cnfStyle w:val="000000100000"/>
              <w:rPr>
                <w:rFonts w:eastAsia="Times New Roman"/>
                <w:color w:val="000000"/>
                <w:lang w:eastAsia="en-AU"/>
              </w:rPr>
            </w:pPr>
            <w:r>
              <w:rPr>
                <w:color w:val="000000"/>
                <w:szCs w:val="22"/>
              </w:rPr>
              <w:t>25.41</w:t>
            </w:r>
          </w:p>
        </w:tc>
        <w:tc>
          <w:tcPr>
            <w:tcW w:w="1053" w:type="dxa"/>
            <w:noWrap/>
            <w:vAlign w:val="bottom"/>
          </w:tcPr>
          <w:p w:rsidR="00BD78C2" w:rsidRDefault="00BD78C2" w:rsidP="00DA65C1">
            <w:pPr>
              <w:spacing w:before="0" w:after="0" w:line="240" w:lineRule="auto"/>
              <w:jc w:val="right"/>
              <w:cnfStyle w:val="000000100000"/>
              <w:rPr>
                <w:rFonts w:eastAsia="Times New Roman"/>
                <w:color w:val="000000"/>
                <w:lang w:eastAsia="en-AU"/>
              </w:rPr>
            </w:pPr>
            <w:r>
              <w:rPr>
                <w:color w:val="000000"/>
                <w:szCs w:val="22"/>
              </w:rPr>
              <w:t>30.89</w:t>
            </w:r>
          </w:p>
        </w:tc>
        <w:tc>
          <w:tcPr>
            <w:tcW w:w="1053" w:type="dxa"/>
            <w:tcBorders>
              <w:right w:val="nil"/>
            </w:tcBorders>
            <w:noWrap/>
            <w:vAlign w:val="bottom"/>
          </w:tcPr>
          <w:p w:rsidR="00BD78C2" w:rsidRDefault="00BD78C2" w:rsidP="00DA65C1">
            <w:pPr>
              <w:spacing w:before="0" w:after="0" w:line="240" w:lineRule="auto"/>
              <w:jc w:val="right"/>
              <w:cnfStyle w:val="000000100000"/>
              <w:rPr>
                <w:rFonts w:eastAsia="Times New Roman"/>
                <w:color w:val="000000"/>
                <w:lang w:eastAsia="en-AU"/>
              </w:rPr>
            </w:pPr>
            <w:r>
              <w:rPr>
                <w:color w:val="000000"/>
                <w:szCs w:val="22"/>
              </w:rPr>
              <w:t>30.52</w:t>
            </w:r>
          </w:p>
        </w:tc>
      </w:tr>
      <w:tr w:rsidR="00441554" w:rsidRPr="00DA65C1" w:rsidTr="00857DF8">
        <w:trPr>
          <w:cnfStyle w:val="000000010000"/>
          <w:trHeight w:val="300"/>
        </w:trPr>
        <w:tc>
          <w:tcPr>
            <w:cnfStyle w:val="001000000000"/>
            <w:tcW w:w="1183" w:type="dxa"/>
            <w:noWrap/>
          </w:tcPr>
          <w:p w:rsidR="00441554" w:rsidRPr="00DA65C1" w:rsidRDefault="002C61A0" w:rsidP="00BD78C2">
            <w:pPr>
              <w:spacing w:before="0" w:after="0" w:line="240" w:lineRule="auto"/>
              <w:jc w:val="left"/>
              <w:rPr>
                <w:rFonts w:eastAsia="Times New Roman"/>
                <w:b/>
                <w:lang w:eastAsia="en-AU"/>
              </w:rPr>
            </w:pPr>
            <w:r w:rsidRPr="00DA65C1">
              <w:rPr>
                <w:rFonts w:eastAsia="Times New Roman"/>
                <w:b/>
                <w:lang w:eastAsia="en-AU"/>
              </w:rPr>
              <w:t>TOTAL</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127.57</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146.43</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156.40</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169.28</w:t>
            </w:r>
          </w:p>
        </w:tc>
        <w:tc>
          <w:tcPr>
            <w:tcW w:w="1053" w:type="dxa"/>
            <w:tcBorders>
              <w:right w:val="nil"/>
            </w:tcBorders>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169.23</w:t>
            </w:r>
          </w:p>
        </w:tc>
      </w:tr>
    </w:tbl>
    <w:p w:rsidR="00441554" w:rsidRDefault="00441554" w:rsidP="00DA65C1">
      <w:r>
        <w:br w:type="page"/>
      </w:r>
    </w:p>
    <w:p w:rsidR="00441554" w:rsidRDefault="00441554" w:rsidP="00DA65C1">
      <w:pPr>
        <w:pStyle w:val="Caption"/>
      </w:pPr>
      <w:r>
        <w:lastRenderedPageBreak/>
        <w:t>Table A4</w:t>
      </w:r>
      <w:r w:rsidR="00DA65C1">
        <w:t>:</w:t>
      </w:r>
      <w:r>
        <w:t xml:space="preserve"> Imports of </w:t>
      </w:r>
      <w:r w:rsidR="000042BA">
        <w:t>lead-acid</w:t>
      </w:r>
      <w:r>
        <w:t xml:space="preserve"> batteries calculated from ABS (2013) data (millions/y</w:t>
      </w:r>
      <w:r w:rsidR="00BD78C2">
        <w:t>ear</w:t>
      </w:r>
      <w:r>
        <w:t>)</w:t>
      </w:r>
    </w:p>
    <w:tbl>
      <w:tblPr>
        <w:tblStyle w:val="ColorfulGrid1"/>
        <w:tblW w:w="6553" w:type="dxa"/>
        <w:tblInd w:w="108" w:type="dxa"/>
        <w:tblLook w:val="04A0"/>
      </w:tblPr>
      <w:tblGrid>
        <w:gridCol w:w="1183"/>
        <w:gridCol w:w="1085"/>
        <w:gridCol w:w="980"/>
        <w:gridCol w:w="1053"/>
        <w:gridCol w:w="1053"/>
        <w:gridCol w:w="1199"/>
      </w:tblGrid>
      <w:tr w:rsidR="00441554" w:rsidRPr="00D669E8" w:rsidTr="00857DF8">
        <w:trPr>
          <w:cnfStyle w:val="100000000000"/>
          <w:trHeight w:val="300"/>
        </w:trPr>
        <w:tc>
          <w:tcPr>
            <w:cnfStyle w:val="001000000000"/>
            <w:tcW w:w="1183" w:type="dxa"/>
            <w:tcBorders>
              <w:left w:val="nil"/>
            </w:tcBorders>
            <w:noWrap/>
            <w:hideMark/>
          </w:tcPr>
          <w:p w:rsidR="00441554" w:rsidRPr="0046706C" w:rsidRDefault="00441554" w:rsidP="00DA65C1">
            <w:pPr>
              <w:spacing w:before="0" w:after="0" w:line="240" w:lineRule="auto"/>
              <w:rPr>
                <w:rFonts w:eastAsia="Times New Roman"/>
                <w:lang w:eastAsia="en-AU"/>
              </w:rPr>
            </w:pPr>
            <w:r w:rsidRPr="0046706C">
              <w:rPr>
                <w:rFonts w:eastAsia="Times New Roman"/>
                <w:lang w:eastAsia="en-AU"/>
              </w:rPr>
              <w:t>Category</w:t>
            </w:r>
          </w:p>
        </w:tc>
        <w:tc>
          <w:tcPr>
            <w:tcW w:w="1085"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2008/09</w:t>
            </w:r>
          </w:p>
        </w:tc>
        <w:tc>
          <w:tcPr>
            <w:tcW w:w="980"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2009/10</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2010/11</w:t>
            </w:r>
          </w:p>
        </w:tc>
        <w:tc>
          <w:tcPr>
            <w:tcW w:w="1053" w:type="dxa"/>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2011/12</w:t>
            </w:r>
          </w:p>
        </w:tc>
        <w:tc>
          <w:tcPr>
            <w:tcW w:w="1199" w:type="dxa"/>
            <w:tcBorders>
              <w:right w:val="nil"/>
            </w:tcBorders>
            <w:noWrap/>
            <w:hideMark/>
          </w:tcPr>
          <w:p w:rsidR="00441554" w:rsidRPr="0046706C" w:rsidRDefault="00441554" w:rsidP="00DA65C1">
            <w:pPr>
              <w:spacing w:before="0" w:after="0" w:line="240" w:lineRule="auto"/>
              <w:jc w:val="right"/>
              <w:cnfStyle w:val="100000000000"/>
              <w:rPr>
                <w:rFonts w:eastAsia="Times New Roman"/>
                <w:lang w:eastAsia="en-AU"/>
              </w:rPr>
            </w:pPr>
            <w:r w:rsidRPr="0046706C">
              <w:rPr>
                <w:rFonts w:eastAsia="Times New Roman"/>
                <w:lang w:eastAsia="en-AU"/>
              </w:rPr>
              <w:t>2012/13</w:t>
            </w:r>
          </w:p>
        </w:tc>
      </w:tr>
      <w:tr w:rsidR="00BD78C2" w:rsidRPr="00D669E8" w:rsidTr="00857DF8">
        <w:trPr>
          <w:cnfStyle w:val="00000010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(1)</w:t>
            </w:r>
          </w:p>
        </w:tc>
        <w:tc>
          <w:tcPr>
            <w:tcW w:w="1085"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3.25</w:t>
            </w:r>
          </w:p>
        </w:tc>
        <w:tc>
          <w:tcPr>
            <w:tcW w:w="980"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3.70</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3.94</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3.95</w:t>
            </w:r>
          </w:p>
        </w:tc>
        <w:tc>
          <w:tcPr>
            <w:tcW w:w="1199" w:type="dxa"/>
            <w:tcBorders>
              <w:right w:val="nil"/>
            </w:tcBorders>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3.99</w:t>
            </w:r>
          </w:p>
        </w:tc>
      </w:tr>
      <w:tr w:rsidR="00BD78C2" w:rsidRPr="00D669E8" w:rsidTr="00857DF8">
        <w:trPr>
          <w:cnfStyle w:val="00000001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(2)</w:t>
            </w:r>
          </w:p>
        </w:tc>
        <w:tc>
          <w:tcPr>
            <w:tcW w:w="1085"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1.96</w:t>
            </w:r>
          </w:p>
        </w:tc>
        <w:tc>
          <w:tcPr>
            <w:tcW w:w="980"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2.20</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2.35</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2.37</w:t>
            </w:r>
          </w:p>
        </w:tc>
        <w:tc>
          <w:tcPr>
            <w:tcW w:w="1199" w:type="dxa"/>
            <w:tcBorders>
              <w:right w:val="nil"/>
            </w:tcBorders>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2.39</w:t>
            </w:r>
          </w:p>
        </w:tc>
      </w:tr>
      <w:tr w:rsidR="00BD78C2" w:rsidRPr="00D669E8" w:rsidTr="00857DF8">
        <w:trPr>
          <w:cnfStyle w:val="00000010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(3)</w:t>
            </w:r>
          </w:p>
        </w:tc>
        <w:tc>
          <w:tcPr>
            <w:tcW w:w="1085"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1.06</w:t>
            </w:r>
          </w:p>
        </w:tc>
        <w:tc>
          <w:tcPr>
            <w:tcW w:w="980"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1.09</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1.14</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1.20</w:t>
            </w:r>
          </w:p>
        </w:tc>
        <w:tc>
          <w:tcPr>
            <w:tcW w:w="1199" w:type="dxa"/>
            <w:tcBorders>
              <w:right w:val="nil"/>
            </w:tcBorders>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1.30</w:t>
            </w:r>
          </w:p>
        </w:tc>
      </w:tr>
      <w:tr w:rsidR="00BD78C2" w:rsidRPr="00D669E8" w:rsidTr="00857DF8">
        <w:trPr>
          <w:cnfStyle w:val="00000001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(4)</w:t>
            </w:r>
          </w:p>
        </w:tc>
        <w:tc>
          <w:tcPr>
            <w:tcW w:w="1085"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0.41</w:t>
            </w:r>
          </w:p>
        </w:tc>
        <w:tc>
          <w:tcPr>
            <w:tcW w:w="980"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0.52</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0.56</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0.58</w:t>
            </w:r>
          </w:p>
        </w:tc>
        <w:tc>
          <w:tcPr>
            <w:tcW w:w="1199" w:type="dxa"/>
            <w:tcBorders>
              <w:right w:val="nil"/>
            </w:tcBorders>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0.60</w:t>
            </w:r>
          </w:p>
        </w:tc>
      </w:tr>
      <w:tr w:rsidR="00BD78C2" w:rsidRPr="00D669E8" w:rsidTr="00857DF8">
        <w:trPr>
          <w:cnfStyle w:val="00000010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(5)</w:t>
            </w:r>
          </w:p>
        </w:tc>
        <w:tc>
          <w:tcPr>
            <w:tcW w:w="1085"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0.04</w:t>
            </w:r>
          </w:p>
        </w:tc>
        <w:tc>
          <w:tcPr>
            <w:tcW w:w="980"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0.05</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0.11</w:t>
            </w:r>
          </w:p>
        </w:tc>
        <w:tc>
          <w:tcPr>
            <w:tcW w:w="1053" w:type="dxa"/>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0.15</w:t>
            </w:r>
          </w:p>
        </w:tc>
        <w:tc>
          <w:tcPr>
            <w:tcW w:w="1199" w:type="dxa"/>
            <w:tcBorders>
              <w:right w:val="nil"/>
            </w:tcBorders>
            <w:noWrap/>
            <w:hideMark/>
          </w:tcPr>
          <w:p w:rsidR="00BD78C2" w:rsidRPr="00D669E8"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0.16</w:t>
            </w:r>
          </w:p>
        </w:tc>
      </w:tr>
      <w:tr w:rsidR="00BD78C2" w:rsidRPr="00D669E8" w:rsidTr="00857DF8">
        <w:trPr>
          <w:cnfStyle w:val="000000010000"/>
          <w:trHeight w:val="300"/>
        </w:trPr>
        <w:tc>
          <w:tcPr>
            <w:cnfStyle w:val="001000000000"/>
            <w:tcW w:w="1183" w:type="dxa"/>
            <w:noWrap/>
            <w:hideMark/>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(6)</w:t>
            </w:r>
          </w:p>
        </w:tc>
        <w:tc>
          <w:tcPr>
            <w:tcW w:w="1085"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0.11</w:t>
            </w:r>
          </w:p>
        </w:tc>
        <w:tc>
          <w:tcPr>
            <w:tcW w:w="980"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0.10</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0.14</w:t>
            </w:r>
          </w:p>
        </w:tc>
        <w:tc>
          <w:tcPr>
            <w:tcW w:w="1053" w:type="dxa"/>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0.20</w:t>
            </w:r>
          </w:p>
        </w:tc>
        <w:tc>
          <w:tcPr>
            <w:tcW w:w="1199" w:type="dxa"/>
            <w:tcBorders>
              <w:right w:val="nil"/>
            </w:tcBorders>
            <w:noWrap/>
            <w:hideMark/>
          </w:tcPr>
          <w:p w:rsidR="00BD78C2" w:rsidRPr="00D669E8" w:rsidRDefault="00BD78C2"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0.17</w:t>
            </w:r>
          </w:p>
        </w:tc>
      </w:tr>
      <w:tr w:rsidR="00BD78C2" w:rsidRPr="00D669E8" w:rsidTr="00857DF8">
        <w:trPr>
          <w:cnfStyle w:val="000000100000"/>
          <w:trHeight w:val="300"/>
        </w:trPr>
        <w:tc>
          <w:tcPr>
            <w:cnfStyle w:val="001000000000"/>
            <w:tcW w:w="1183" w:type="dxa"/>
            <w:noWrap/>
          </w:tcPr>
          <w:p w:rsidR="00BD78C2" w:rsidRPr="00BD78C2" w:rsidRDefault="00BD78C2" w:rsidP="00BD78C2">
            <w:pPr>
              <w:spacing w:before="0" w:after="0" w:line="240" w:lineRule="auto"/>
              <w:jc w:val="left"/>
              <w:rPr>
                <w:rFonts w:eastAsia="Times New Roman"/>
                <w:lang w:eastAsia="en-AU"/>
              </w:rPr>
            </w:pPr>
            <w:r w:rsidRPr="00BD78C2">
              <w:rPr>
                <w:rFonts w:eastAsia="Times New Roman"/>
                <w:lang w:eastAsia="en-AU"/>
              </w:rPr>
              <w:t>(7)</w:t>
            </w:r>
          </w:p>
        </w:tc>
        <w:tc>
          <w:tcPr>
            <w:tcW w:w="1085" w:type="dxa"/>
            <w:noWrap/>
          </w:tcPr>
          <w:p w:rsidR="00BD78C2"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2.16</w:t>
            </w:r>
          </w:p>
        </w:tc>
        <w:tc>
          <w:tcPr>
            <w:tcW w:w="980" w:type="dxa"/>
            <w:noWrap/>
          </w:tcPr>
          <w:p w:rsidR="00BD78C2"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2.08</w:t>
            </w:r>
          </w:p>
        </w:tc>
        <w:tc>
          <w:tcPr>
            <w:tcW w:w="1053" w:type="dxa"/>
            <w:noWrap/>
          </w:tcPr>
          <w:p w:rsidR="00BD78C2"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2.12</w:t>
            </w:r>
          </w:p>
        </w:tc>
        <w:tc>
          <w:tcPr>
            <w:tcW w:w="1053" w:type="dxa"/>
            <w:noWrap/>
          </w:tcPr>
          <w:p w:rsidR="00BD78C2"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2.28</w:t>
            </w:r>
          </w:p>
        </w:tc>
        <w:tc>
          <w:tcPr>
            <w:tcW w:w="1199" w:type="dxa"/>
            <w:tcBorders>
              <w:right w:val="nil"/>
            </w:tcBorders>
            <w:noWrap/>
          </w:tcPr>
          <w:p w:rsidR="00BD78C2" w:rsidRDefault="00BD78C2"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2.70</w:t>
            </w:r>
          </w:p>
        </w:tc>
      </w:tr>
      <w:tr w:rsidR="00441554" w:rsidRPr="00DA65C1" w:rsidTr="00857DF8">
        <w:trPr>
          <w:cnfStyle w:val="000000010000"/>
          <w:trHeight w:val="300"/>
        </w:trPr>
        <w:tc>
          <w:tcPr>
            <w:cnfStyle w:val="001000000000"/>
            <w:tcW w:w="1183" w:type="dxa"/>
            <w:noWrap/>
          </w:tcPr>
          <w:p w:rsidR="00441554" w:rsidRPr="00DA65C1" w:rsidRDefault="002C61A0" w:rsidP="00DA65C1">
            <w:pPr>
              <w:spacing w:before="0" w:after="0" w:line="240" w:lineRule="auto"/>
              <w:rPr>
                <w:rFonts w:eastAsia="Times New Roman"/>
                <w:b/>
                <w:lang w:eastAsia="en-AU"/>
              </w:rPr>
            </w:pPr>
            <w:r w:rsidRPr="00DA65C1">
              <w:rPr>
                <w:rFonts w:eastAsia="Times New Roman"/>
                <w:b/>
                <w:lang w:eastAsia="en-AU"/>
              </w:rPr>
              <w:t>TOTAL</w:t>
            </w:r>
          </w:p>
        </w:tc>
        <w:tc>
          <w:tcPr>
            <w:tcW w:w="1085"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8.99</w:t>
            </w:r>
          </w:p>
        </w:tc>
        <w:tc>
          <w:tcPr>
            <w:tcW w:w="980"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9.76</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10.36</w:t>
            </w:r>
          </w:p>
        </w:tc>
        <w:tc>
          <w:tcPr>
            <w:tcW w:w="1053" w:type="dxa"/>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10.73</w:t>
            </w:r>
          </w:p>
        </w:tc>
        <w:tc>
          <w:tcPr>
            <w:tcW w:w="1199" w:type="dxa"/>
            <w:tcBorders>
              <w:right w:val="nil"/>
            </w:tcBorders>
            <w:noWrap/>
          </w:tcPr>
          <w:p w:rsidR="00441554" w:rsidRPr="00DA65C1" w:rsidRDefault="00441554" w:rsidP="00DA65C1">
            <w:pPr>
              <w:spacing w:before="0" w:after="0" w:line="240" w:lineRule="auto"/>
              <w:jc w:val="right"/>
              <w:cnfStyle w:val="000000010000"/>
              <w:rPr>
                <w:rFonts w:eastAsia="Times New Roman"/>
                <w:b/>
                <w:color w:val="000000"/>
                <w:lang w:eastAsia="en-AU"/>
              </w:rPr>
            </w:pPr>
            <w:r w:rsidRPr="00DA65C1">
              <w:rPr>
                <w:rFonts w:eastAsia="Times New Roman"/>
                <w:b/>
                <w:color w:val="000000"/>
                <w:lang w:eastAsia="en-AU"/>
              </w:rPr>
              <w:t>11.31</w:t>
            </w:r>
          </w:p>
        </w:tc>
      </w:tr>
    </w:tbl>
    <w:p w:rsidR="00441554" w:rsidRDefault="00441554" w:rsidP="00DA65C1"/>
    <w:p w:rsidR="0046706C" w:rsidRDefault="00441554" w:rsidP="00DA65C1">
      <w:pPr>
        <w:pStyle w:val="Caption"/>
      </w:pPr>
      <w:r>
        <w:t>Table A5</w:t>
      </w:r>
      <w:r w:rsidR="00DA65C1">
        <w:t>:</w:t>
      </w:r>
      <w:r w:rsidR="0046706C">
        <w:t xml:space="preserve"> Imports of </w:t>
      </w:r>
      <w:r w:rsidR="000042BA">
        <w:t>lead-acid</w:t>
      </w:r>
      <w:r w:rsidR="0046706C">
        <w:t xml:space="preserve"> batteries calculated from ABS</w:t>
      </w:r>
      <w:r w:rsidR="00DC2944">
        <w:t xml:space="preserve"> (2013)</w:t>
      </w:r>
      <w:r w:rsidR="0046706C">
        <w:t xml:space="preserve"> data (</w:t>
      </w:r>
      <w:proofErr w:type="spellStart"/>
      <w:r w:rsidR="0046706C">
        <w:t>kt</w:t>
      </w:r>
      <w:proofErr w:type="spellEnd"/>
      <w:r w:rsidR="0046706C">
        <w:t>/y</w:t>
      </w:r>
      <w:r w:rsidR="00BD78C2">
        <w:t>ear</w:t>
      </w:r>
      <w:r w:rsidR="0046706C">
        <w:t>)</w:t>
      </w:r>
    </w:p>
    <w:tbl>
      <w:tblPr>
        <w:tblStyle w:val="ColorfulGrid1"/>
        <w:tblW w:w="6683" w:type="dxa"/>
        <w:tblInd w:w="108" w:type="dxa"/>
        <w:tblLook w:val="04A0"/>
      </w:tblPr>
      <w:tblGrid>
        <w:gridCol w:w="1418"/>
        <w:gridCol w:w="980"/>
        <w:gridCol w:w="1053"/>
        <w:gridCol w:w="1053"/>
        <w:gridCol w:w="1053"/>
        <w:gridCol w:w="1126"/>
      </w:tblGrid>
      <w:tr w:rsidR="0046706C" w:rsidRPr="00DA65C1" w:rsidTr="00857DF8">
        <w:trPr>
          <w:cnfStyle w:val="100000000000"/>
          <w:trHeight w:val="300"/>
        </w:trPr>
        <w:tc>
          <w:tcPr>
            <w:cnfStyle w:val="001000000000"/>
            <w:tcW w:w="1418" w:type="dxa"/>
            <w:tcBorders>
              <w:left w:val="nil"/>
            </w:tcBorders>
            <w:noWrap/>
            <w:hideMark/>
          </w:tcPr>
          <w:p w:rsidR="0046706C" w:rsidRPr="00DA65C1" w:rsidRDefault="00BD78C2" w:rsidP="00BD78C2">
            <w:pPr>
              <w:spacing w:before="0" w:after="0" w:line="240" w:lineRule="auto"/>
              <w:rPr>
                <w:rFonts w:eastAsia="Times New Roman"/>
                <w:lang w:eastAsia="en-AU"/>
              </w:rPr>
            </w:pPr>
            <w:r>
              <w:rPr>
                <w:rFonts w:eastAsia="Times New Roman"/>
                <w:lang w:eastAsia="en-AU"/>
              </w:rPr>
              <w:t>Battery size</w:t>
            </w:r>
          </w:p>
        </w:tc>
        <w:tc>
          <w:tcPr>
            <w:tcW w:w="980" w:type="dxa"/>
            <w:noWrap/>
            <w:hideMark/>
          </w:tcPr>
          <w:p w:rsidR="0046706C" w:rsidRPr="00DA65C1" w:rsidRDefault="0046706C" w:rsidP="00DA65C1">
            <w:pPr>
              <w:spacing w:before="0" w:after="0" w:line="240" w:lineRule="auto"/>
              <w:jc w:val="right"/>
              <w:cnfStyle w:val="100000000000"/>
              <w:rPr>
                <w:rFonts w:eastAsia="Times New Roman"/>
                <w:lang w:eastAsia="en-AU"/>
              </w:rPr>
            </w:pPr>
            <w:r w:rsidRPr="00DA65C1">
              <w:rPr>
                <w:rFonts w:eastAsia="Times New Roman"/>
                <w:lang w:eastAsia="en-AU"/>
              </w:rPr>
              <w:t>2008/09</w:t>
            </w:r>
          </w:p>
        </w:tc>
        <w:tc>
          <w:tcPr>
            <w:tcW w:w="1053" w:type="dxa"/>
            <w:noWrap/>
            <w:hideMark/>
          </w:tcPr>
          <w:p w:rsidR="0046706C" w:rsidRPr="00DA65C1" w:rsidRDefault="0046706C" w:rsidP="00DA65C1">
            <w:pPr>
              <w:spacing w:before="0" w:after="0" w:line="240" w:lineRule="auto"/>
              <w:jc w:val="right"/>
              <w:cnfStyle w:val="100000000000"/>
              <w:rPr>
                <w:rFonts w:eastAsia="Times New Roman"/>
                <w:lang w:eastAsia="en-AU"/>
              </w:rPr>
            </w:pPr>
            <w:r w:rsidRPr="00DA65C1">
              <w:rPr>
                <w:rFonts w:eastAsia="Times New Roman"/>
                <w:lang w:eastAsia="en-AU"/>
              </w:rPr>
              <w:t>2009/10</w:t>
            </w:r>
          </w:p>
        </w:tc>
        <w:tc>
          <w:tcPr>
            <w:tcW w:w="1053" w:type="dxa"/>
            <w:noWrap/>
            <w:hideMark/>
          </w:tcPr>
          <w:p w:rsidR="0046706C" w:rsidRPr="00DA65C1" w:rsidRDefault="0046706C" w:rsidP="00DA65C1">
            <w:pPr>
              <w:spacing w:before="0" w:after="0" w:line="240" w:lineRule="auto"/>
              <w:jc w:val="right"/>
              <w:cnfStyle w:val="100000000000"/>
              <w:rPr>
                <w:rFonts w:eastAsia="Times New Roman"/>
                <w:lang w:eastAsia="en-AU"/>
              </w:rPr>
            </w:pPr>
            <w:r w:rsidRPr="00DA65C1">
              <w:rPr>
                <w:rFonts w:eastAsia="Times New Roman"/>
                <w:lang w:eastAsia="en-AU"/>
              </w:rPr>
              <w:t>2010/11</w:t>
            </w:r>
          </w:p>
        </w:tc>
        <w:tc>
          <w:tcPr>
            <w:tcW w:w="1053" w:type="dxa"/>
            <w:noWrap/>
            <w:hideMark/>
          </w:tcPr>
          <w:p w:rsidR="0046706C" w:rsidRPr="00DA65C1" w:rsidRDefault="0046706C" w:rsidP="00DA65C1">
            <w:pPr>
              <w:spacing w:before="0" w:after="0" w:line="240" w:lineRule="auto"/>
              <w:jc w:val="right"/>
              <w:cnfStyle w:val="100000000000"/>
              <w:rPr>
                <w:rFonts w:eastAsia="Times New Roman"/>
                <w:lang w:eastAsia="en-AU"/>
              </w:rPr>
            </w:pPr>
            <w:r w:rsidRPr="00DA65C1">
              <w:rPr>
                <w:rFonts w:eastAsia="Times New Roman"/>
                <w:lang w:eastAsia="en-AU"/>
              </w:rPr>
              <w:t>2011/12</w:t>
            </w:r>
          </w:p>
        </w:tc>
        <w:tc>
          <w:tcPr>
            <w:tcW w:w="1126" w:type="dxa"/>
            <w:tcBorders>
              <w:right w:val="nil"/>
            </w:tcBorders>
            <w:noWrap/>
            <w:hideMark/>
          </w:tcPr>
          <w:p w:rsidR="0046706C" w:rsidRPr="00DA65C1" w:rsidRDefault="0046706C" w:rsidP="00DA65C1">
            <w:pPr>
              <w:spacing w:before="0" w:after="0" w:line="240" w:lineRule="auto"/>
              <w:jc w:val="right"/>
              <w:cnfStyle w:val="100000000000"/>
              <w:rPr>
                <w:rFonts w:eastAsia="Times New Roman"/>
                <w:lang w:eastAsia="en-AU"/>
              </w:rPr>
            </w:pPr>
            <w:r w:rsidRPr="00DA65C1">
              <w:rPr>
                <w:rFonts w:eastAsia="Times New Roman"/>
                <w:lang w:eastAsia="en-AU"/>
              </w:rPr>
              <w:t>2012/13</w:t>
            </w:r>
          </w:p>
        </w:tc>
      </w:tr>
      <w:tr w:rsidR="0046706C" w:rsidRPr="009614A5"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0-1</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0.0</w:t>
            </w:r>
            <w:r>
              <w:rPr>
                <w:rFonts w:eastAsia="Times New Roman"/>
                <w:color w:val="000000"/>
                <w:lang w:eastAsia="en-AU"/>
              </w:rPr>
              <w:t>8</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0.</w:t>
            </w:r>
            <w:r>
              <w:rPr>
                <w:rFonts w:eastAsia="Times New Roman"/>
                <w:color w:val="000000"/>
                <w:lang w:eastAsia="en-AU"/>
              </w:rPr>
              <w:t>20</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0.14</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0.05</w:t>
            </w:r>
          </w:p>
        </w:tc>
        <w:tc>
          <w:tcPr>
            <w:tcW w:w="1126" w:type="dxa"/>
            <w:tcBorders>
              <w:right w:val="nil"/>
            </w:tcBorders>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0.1</w:t>
            </w:r>
            <w:r>
              <w:rPr>
                <w:rFonts w:eastAsia="Times New Roman"/>
                <w:color w:val="000000"/>
                <w:lang w:eastAsia="en-AU"/>
              </w:rPr>
              <w:t>4</w:t>
            </w:r>
          </w:p>
        </w:tc>
      </w:tr>
      <w:tr w:rsidR="0046706C" w:rsidRPr="009614A5"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1-5</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4.</w:t>
            </w:r>
            <w:r>
              <w:rPr>
                <w:rFonts w:eastAsia="Times New Roman"/>
                <w:color w:val="000000"/>
                <w:lang w:eastAsia="en-AU"/>
              </w:rPr>
              <w:t>20</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4.61</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4.34</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4.7</w:t>
            </w:r>
            <w:r>
              <w:rPr>
                <w:rFonts w:eastAsia="Times New Roman"/>
                <w:color w:val="000000"/>
                <w:lang w:eastAsia="en-AU"/>
              </w:rPr>
              <w:t>6</w:t>
            </w:r>
          </w:p>
        </w:tc>
        <w:tc>
          <w:tcPr>
            <w:tcW w:w="1126" w:type="dxa"/>
            <w:tcBorders>
              <w:right w:val="nil"/>
            </w:tcBorders>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6.43</w:t>
            </w:r>
          </w:p>
        </w:tc>
      </w:tr>
      <w:tr w:rsidR="0046706C" w:rsidRPr="009614A5"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5-20</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73.01</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76.48</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101.10</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90.67</w:t>
            </w:r>
          </w:p>
        </w:tc>
        <w:tc>
          <w:tcPr>
            <w:tcW w:w="1126" w:type="dxa"/>
            <w:tcBorders>
              <w:right w:val="nil"/>
            </w:tcBorders>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89.15</w:t>
            </w:r>
          </w:p>
        </w:tc>
      </w:tr>
      <w:tr w:rsidR="0046706C" w:rsidRPr="009614A5"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20-50</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45.5</w:t>
            </w:r>
            <w:r>
              <w:rPr>
                <w:rFonts w:eastAsia="Times New Roman"/>
                <w:color w:val="000000"/>
                <w:lang w:eastAsia="en-AU"/>
              </w:rPr>
              <w:t>9</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59.05</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42.94</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67.62</w:t>
            </w:r>
          </w:p>
        </w:tc>
        <w:tc>
          <w:tcPr>
            <w:tcW w:w="1126" w:type="dxa"/>
            <w:tcBorders>
              <w:right w:val="nil"/>
            </w:tcBorders>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65.9</w:t>
            </w:r>
            <w:r>
              <w:rPr>
                <w:rFonts w:eastAsia="Times New Roman"/>
                <w:color w:val="000000"/>
                <w:lang w:eastAsia="en-AU"/>
              </w:rPr>
              <w:t>3</w:t>
            </w:r>
          </w:p>
        </w:tc>
      </w:tr>
      <w:tr w:rsidR="0046706C" w:rsidRPr="009614A5"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50-100</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3.29</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3.93</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5.52</w:t>
            </w:r>
          </w:p>
        </w:tc>
        <w:tc>
          <w:tcPr>
            <w:tcW w:w="1053" w:type="dxa"/>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4.</w:t>
            </w:r>
            <w:r>
              <w:rPr>
                <w:rFonts w:eastAsia="Times New Roman"/>
                <w:color w:val="000000"/>
                <w:lang w:eastAsia="en-AU"/>
              </w:rPr>
              <w:t>40</w:t>
            </w:r>
          </w:p>
        </w:tc>
        <w:tc>
          <w:tcPr>
            <w:tcW w:w="1126" w:type="dxa"/>
            <w:tcBorders>
              <w:right w:val="nil"/>
            </w:tcBorders>
            <w:noWrap/>
            <w:hideMark/>
          </w:tcPr>
          <w:p w:rsidR="0046706C" w:rsidRPr="009614A5" w:rsidRDefault="0046706C" w:rsidP="00DA65C1">
            <w:pPr>
              <w:spacing w:before="0" w:after="0" w:line="240" w:lineRule="auto"/>
              <w:jc w:val="right"/>
              <w:cnfStyle w:val="000000100000"/>
              <w:rPr>
                <w:rFonts w:eastAsia="Times New Roman"/>
                <w:color w:val="000000"/>
                <w:lang w:eastAsia="en-AU"/>
              </w:rPr>
            </w:pPr>
            <w:r w:rsidRPr="009614A5">
              <w:rPr>
                <w:rFonts w:eastAsia="Times New Roman"/>
                <w:color w:val="000000"/>
                <w:lang w:eastAsia="en-AU"/>
              </w:rPr>
              <w:t>5.</w:t>
            </w:r>
            <w:r>
              <w:rPr>
                <w:rFonts w:eastAsia="Times New Roman"/>
                <w:color w:val="000000"/>
                <w:lang w:eastAsia="en-AU"/>
              </w:rPr>
              <w:t>40</w:t>
            </w:r>
          </w:p>
        </w:tc>
      </w:tr>
      <w:tr w:rsidR="0046706C" w:rsidRPr="009614A5"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100-3000</w:t>
            </w:r>
            <w:r w:rsidR="00BD78C2">
              <w:rPr>
                <w:rFonts w:eastAsia="Times New Roman"/>
                <w:lang w:eastAsia="en-AU"/>
              </w:rPr>
              <w:t xml:space="preserve"> kg</w:t>
            </w:r>
          </w:p>
        </w:tc>
        <w:tc>
          <w:tcPr>
            <w:tcW w:w="980"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1.40</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2.16</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2.35</w:t>
            </w:r>
          </w:p>
        </w:tc>
        <w:tc>
          <w:tcPr>
            <w:tcW w:w="1053" w:type="dxa"/>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sidRPr="009614A5">
              <w:rPr>
                <w:rFonts w:eastAsia="Times New Roman"/>
                <w:color w:val="000000"/>
                <w:lang w:eastAsia="en-AU"/>
              </w:rPr>
              <w:t>1.7</w:t>
            </w:r>
            <w:r>
              <w:rPr>
                <w:rFonts w:eastAsia="Times New Roman"/>
                <w:color w:val="000000"/>
                <w:lang w:eastAsia="en-AU"/>
              </w:rPr>
              <w:t>8</w:t>
            </w:r>
          </w:p>
        </w:tc>
        <w:tc>
          <w:tcPr>
            <w:tcW w:w="1126" w:type="dxa"/>
            <w:tcBorders>
              <w:right w:val="nil"/>
            </w:tcBorders>
            <w:noWrap/>
            <w:hideMark/>
          </w:tcPr>
          <w:p w:rsidR="0046706C" w:rsidRPr="009614A5"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2.18</w:t>
            </w:r>
          </w:p>
        </w:tc>
      </w:tr>
      <w:tr w:rsidR="0046706C" w:rsidRPr="00DA65C1" w:rsidTr="00857DF8">
        <w:trPr>
          <w:cnfStyle w:val="000000100000"/>
          <w:trHeight w:val="300"/>
        </w:trPr>
        <w:tc>
          <w:tcPr>
            <w:cnfStyle w:val="001000000000"/>
            <w:tcW w:w="1418" w:type="dxa"/>
            <w:noWrap/>
            <w:hideMark/>
          </w:tcPr>
          <w:p w:rsidR="0046706C" w:rsidRPr="00DA65C1" w:rsidRDefault="002C61A0" w:rsidP="00DA65C1">
            <w:pPr>
              <w:spacing w:before="0" w:after="0" w:line="240" w:lineRule="auto"/>
              <w:rPr>
                <w:rFonts w:eastAsia="Times New Roman"/>
                <w:b/>
                <w:lang w:eastAsia="en-AU"/>
              </w:rPr>
            </w:pPr>
            <w:r w:rsidRPr="00DA65C1">
              <w:rPr>
                <w:rFonts w:eastAsia="Times New Roman"/>
                <w:b/>
                <w:lang w:eastAsia="en-AU"/>
              </w:rPr>
              <w:t>TOTAL</w:t>
            </w:r>
          </w:p>
        </w:tc>
        <w:tc>
          <w:tcPr>
            <w:tcW w:w="980" w:type="dxa"/>
            <w:noWrap/>
            <w:hideMark/>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127.57</w:t>
            </w:r>
          </w:p>
        </w:tc>
        <w:tc>
          <w:tcPr>
            <w:tcW w:w="1053" w:type="dxa"/>
            <w:noWrap/>
            <w:hideMark/>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146.43</w:t>
            </w:r>
          </w:p>
        </w:tc>
        <w:tc>
          <w:tcPr>
            <w:tcW w:w="1053" w:type="dxa"/>
            <w:noWrap/>
            <w:hideMark/>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156.40</w:t>
            </w:r>
          </w:p>
        </w:tc>
        <w:tc>
          <w:tcPr>
            <w:tcW w:w="1053" w:type="dxa"/>
            <w:noWrap/>
            <w:hideMark/>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169.28</w:t>
            </w:r>
          </w:p>
        </w:tc>
        <w:tc>
          <w:tcPr>
            <w:tcW w:w="1126" w:type="dxa"/>
            <w:tcBorders>
              <w:right w:val="nil"/>
            </w:tcBorders>
            <w:noWrap/>
            <w:hideMark/>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169.23</w:t>
            </w:r>
          </w:p>
        </w:tc>
      </w:tr>
    </w:tbl>
    <w:p w:rsidR="0046706C" w:rsidRDefault="0046706C" w:rsidP="00DA65C1"/>
    <w:p w:rsidR="0046706C" w:rsidRDefault="00441554" w:rsidP="00DA65C1">
      <w:pPr>
        <w:pStyle w:val="Caption"/>
      </w:pPr>
      <w:r>
        <w:t>Table A6</w:t>
      </w:r>
      <w:r w:rsidR="00DA65C1">
        <w:t>:</w:t>
      </w:r>
      <w:r w:rsidR="0046706C">
        <w:t xml:space="preserve"> Imports of </w:t>
      </w:r>
      <w:r w:rsidR="000042BA">
        <w:t>lead-acid</w:t>
      </w:r>
      <w:r w:rsidR="0046706C">
        <w:t xml:space="preserve"> batteries calculated from ABS</w:t>
      </w:r>
      <w:r w:rsidR="00DC2944">
        <w:t xml:space="preserve"> (2013)</w:t>
      </w:r>
      <w:r w:rsidR="0046706C">
        <w:t xml:space="preserve"> data (millions/y</w:t>
      </w:r>
      <w:r w:rsidR="00BD78C2">
        <w:t>ear</w:t>
      </w:r>
      <w:r w:rsidR="0046706C">
        <w:t>)</w:t>
      </w:r>
    </w:p>
    <w:tbl>
      <w:tblPr>
        <w:tblStyle w:val="ColorfulGrid1"/>
        <w:tblW w:w="6651" w:type="dxa"/>
        <w:tblInd w:w="108" w:type="dxa"/>
        <w:tblLook w:val="04A0"/>
      </w:tblPr>
      <w:tblGrid>
        <w:gridCol w:w="1418"/>
        <w:gridCol w:w="980"/>
        <w:gridCol w:w="980"/>
        <w:gridCol w:w="1053"/>
        <w:gridCol w:w="1053"/>
        <w:gridCol w:w="1167"/>
      </w:tblGrid>
      <w:tr w:rsidR="0046706C" w:rsidRPr="00D669E8" w:rsidTr="00857DF8">
        <w:trPr>
          <w:cnfStyle w:val="100000000000"/>
          <w:trHeight w:val="300"/>
        </w:trPr>
        <w:tc>
          <w:tcPr>
            <w:cnfStyle w:val="001000000000"/>
            <w:tcW w:w="1418" w:type="dxa"/>
            <w:tcBorders>
              <w:left w:val="nil"/>
            </w:tcBorders>
            <w:noWrap/>
            <w:hideMark/>
          </w:tcPr>
          <w:p w:rsidR="0046706C" w:rsidRPr="0046706C" w:rsidRDefault="00BD78C2" w:rsidP="00DA65C1">
            <w:pPr>
              <w:spacing w:before="0" w:after="0" w:line="240" w:lineRule="auto"/>
              <w:rPr>
                <w:rFonts w:eastAsia="Times New Roman"/>
                <w:lang w:eastAsia="en-AU"/>
              </w:rPr>
            </w:pPr>
            <w:r>
              <w:rPr>
                <w:rFonts w:eastAsia="Times New Roman"/>
                <w:lang w:eastAsia="en-AU"/>
              </w:rPr>
              <w:t>Battery size</w:t>
            </w:r>
          </w:p>
        </w:tc>
        <w:tc>
          <w:tcPr>
            <w:tcW w:w="980" w:type="dxa"/>
            <w:noWrap/>
            <w:hideMark/>
          </w:tcPr>
          <w:p w:rsidR="0046706C" w:rsidRPr="0046706C" w:rsidRDefault="0046706C" w:rsidP="00DA65C1">
            <w:pPr>
              <w:spacing w:before="0" w:after="0" w:line="240" w:lineRule="auto"/>
              <w:jc w:val="right"/>
              <w:cnfStyle w:val="100000000000"/>
              <w:rPr>
                <w:rFonts w:eastAsia="Times New Roman"/>
                <w:lang w:eastAsia="en-AU"/>
              </w:rPr>
            </w:pPr>
            <w:r w:rsidRPr="0046706C">
              <w:rPr>
                <w:rFonts w:eastAsia="Times New Roman"/>
                <w:lang w:eastAsia="en-AU"/>
              </w:rPr>
              <w:t>2008/09</w:t>
            </w:r>
          </w:p>
        </w:tc>
        <w:tc>
          <w:tcPr>
            <w:tcW w:w="980" w:type="dxa"/>
            <w:noWrap/>
            <w:hideMark/>
          </w:tcPr>
          <w:p w:rsidR="0046706C" w:rsidRPr="0046706C" w:rsidRDefault="0046706C" w:rsidP="00DA65C1">
            <w:pPr>
              <w:spacing w:before="0" w:after="0" w:line="240" w:lineRule="auto"/>
              <w:jc w:val="right"/>
              <w:cnfStyle w:val="100000000000"/>
              <w:rPr>
                <w:rFonts w:eastAsia="Times New Roman"/>
                <w:lang w:eastAsia="en-AU"/>
              </w:rPr>
            </w:pPr>
            <w:r w:rsidRPr="0046706C">
              <w:rPr>
                <w:rFonts w:eastAsia="Times New Roman"/>
                <w:lang w:eastAsia="en-AU"/>
              </w:rPr>
              <w:t>2009/10</w:t>
            </w:r>
          </w:p>
        </w:tc>
        <w:tc>
          <w:tcPr>
            <w:tcW w:w="1053" w:type="dxa"/>
            <w:noWrap/>
            <w:hideMark/>
          </w:tcPr>
          <w:p w:rsidR="0046706C" w:rsidRPr="0046706C" w:rsidRDefault="0046706C" w:rsidP="00DA65C1">
            <w:pPr>
              <w:spacing w:before="0" w:after="0" w:line="240" w:lineRule="auto"/>
              <w:jc w:val="right"/>
              <w:cnfStyle w:val="100000000000"/>
              <w:rPr>
                <w:rFonts w:eastAsia="Times New Roman"/>
                <w:lang w:eastAsia="en-AU"/>
              </w:rPr>
            </w:pPr>
            <w:r w:rsidRPr="0046706C">
              <w:rPr>
                <w:rFonts w:eastAsia="Times New Roman"/>
                <w:lang w:eastAsia="en-AU"/>
              </w:rPr>
              <w:t>2010/11</w:t>
            </w:r>
          </w:p>
        </w:tc>
        <w:tc>
          <w:tcPr>
            <w:tcW w:w="1053" w:type="dxa"/>
            <w:noWrap/>
            <w:hideMark/>
          </w:tcPr>
          <w:p w:rsidR="0046706C" w:rsidRPr="0046706C" w:rsidRDefault="0046706C" w:rsidP="00DA65C1">
            <w:pPr>
              <w:spacing w:before="0" w:after="0" w:line="240" w:lineRule="auto"/>
              <w:jc w:val="right"/>
              <w:cnfStyle w:val="100000000000"/>
              <w:rPr>
                <w:rFonts w:eastAsia="Times New Roman"/>
                <w:lang w:eastAsia="en-AU"/>
              </w:rPr>
            </w:pPr>
            <w:r w:rsidRPr="0046706C">
              <w:rPr>
                <w:rFonts w:eastAsia="Times New Roman"/>
                <w:lang w:eastAsia="en-AU"/>
              </w:rPr>
              <w:t>2011/12</w:t>
            </w:r>
          </w:p>
        </w:tc>
        <w:tc>
          <w:tcPr>
            <w:tcW w:w="1167" w:type="dxa"/>
            <w:tcBorders>
              <w:right w:val="nil"/>
            </w:tcBorders>
            <w:noWrap/>
            <w:hideMark/>
          </w:tcPr>
          <w:p w:rsidR="0046706C" w:rsidRPr="0046706C" w:rsidRDefault="0046706C" w:rsidP="00DA65C1">
            <w:pPr>
              <w:spacing w:before="0" w:after="0" w:line="240" w:lineRule="auto"/>
              <w:jc w:val="right"/>
              <w:cnfStyle w:val="100000000000"/>
              <w:rPr>
                <w:rFonts w:eastAsia="Times New Roman"/>
                <w:lang w:eastAsia="en-AU"/>
              </w:rPr>
            </w:pPr>
            <w:r w:rsidRPr="0046706C">
              <w:rPr>
                <w:rFonts w:eastAsia="Times New Roman"/>
                <w:lang w:eastAsia="en-AU"/>
              </w:rPr>
              <w:t>2012/13</w:t>
            </w:r>
          </w:p>
        </w:tc>
      </w:tr>
      <w:tr w:rsidR="0046706C" w:rsidRPr="00D669E8"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0-1</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r w:rsidRPr="00D669E8">
              <w:rPr>
                <w:rFonts w:eastAsia="Times New Roman"/>
                <w:color w:val="000000"/>
                <w:lang w:eastAsia="en-AU"/>
              </w:rPr>
              <w:t>29</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0.50</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r w:rsidRPr="00D669E8">
              <w:rPr>
                <w:rFonts w:eastAsia="Times New Roman"/>
                <w:color w:val="000000"/>
                <w:lang w:eastAsia="en-AU"/>
              </w:rPr>
              <w:t>4</w:t>
            </w:r>
            <w:r>
              <w:rPr>
                <w:rFonts w:eastAsia="Times New Roman"/>
                <w:color w:val="000000"/>
                <w:lang w:eastAsia="en-AU"/>
              </w:rPr>
              <w:t>5</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r w:rsidRPr="00D669E8">
              <w:rPr>
                <w:rFonts w:eastAsia="Times New Roman"/>
                <w:color w:val="000000"/>
                <w:lang w:eastAsia="en-AU"/>
              </w:rPr>
              <w:t>42</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w:t>
            </w:r>
            <w:r w:rsidRPr="00D669E8">
              <w:rPr>
                <w:rFonts w:eastAsia="Times New Roman"/>
                <w:color w:val="000000"/>
                <w:lang w:eastAsia="en-AU"/>
              </w:rPr>
              <w:t>5</w:t>
            </w:r>
            <w:r>
              <w:rPr>
                <w:rFonts w:eastAsia="Times New Roman"/>
                <w:color w:val="000000"/>
                <w:lang w:eastAsia="en-AU"/>
              </w:rPr>
              <w:t>5</w:t>
            </w:r>
          </w:p>
        </w:tc>
      </w:tr>
      <w:tr w:rsidR="0046706C" w:rsidRPr="00D669E8"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1-5</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49</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2</w:t>
            </w:r>
            <w:r>
              <w:rPr>
                <w:rFonts w:eastAsia="Times New Roman"/>
                <w:color w:val="000000"/>
                <w:lang w:eastAsia="en-AU"/>
              </w:rPr>
              <w:t>3</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28</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40</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77</w:t>
            </w:r>
          </w:p>
        </w:tc>
      </w:tr>
      <w:tr w:rsidR="0046706C" w:rsidRPr="00D669E8"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5-20</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5</w:t>
            </w:r>
            <w:r>
              <w:rPr>
                <w:rFonts w:eastAsia="Times New Roman"/>
                <w:color w:val="000000"/>
                <w:lang w:eastAsia="en-AU"/>
              </w:rPr>
              <w:t>.</w:t>
            </w:r>
            <w:r w:rsidRPr="00D669E8">
              <w:rPr>
                <w:rFonts w:eastAsia="Times New Roman"/>
                <w:color w:val="000000"/>
                <w:lang w:eastAsia="en-AU"/>
              </w:rPr>
              <w:t>45</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5</w:t>
            </w:r>
            <w:r>
              <w:rPr>
                <w:rFonts w:eastAsia="Times New Roman"/>
                <w:color w:val="000000"/>
                <w:lang w:eastAsia="en-AU"/>
              </w:rPr>
              <w:t>.</w:t>
            </w:r>
            <w:r w:rsidRPr="00D669E8">
              <w:rPr>
                <w:rFonts w:eastAsia="Times New Roman"/>
                <w:color w:val="000000"/>
                <w:lang w:eastAsia="en-AU"/>
              </w:rPr>
              <w:t>6</w:t>
            </w:r>
            <w:r>
              <w:rPr>
                <w:rFonts w:eastAsia="Times New Roman"/>
                <w:color w:val="000000"/>
                <w:lang w:eastAsia="en-AU"/>
              </w:rPr>
              <w:t>7</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7</w:t>
            </w:r>
            <w:r>
              <w:rPr>
                <w:rFonts w:eastAsia="Times New Roman"/>
                <w:color w:val="000000"/>
                <w:lang w:eastAsia="en-AU"/>
              </w:rPr>
              <w:t>.</w:t>
            </w:r>
            <w:r w:rsidRPr="00D669E8">
              <w:rPr>
                <w:rFonts w:eastAsia="Times New Roman"/>
                <w:color w:val="000000"/>
                <w:lang w:eastAsia="en-AU"/>
              </w:rPr>
              <w:t>06</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6</w:t>
            </w:r>
            <w:r>
              <w:rPr>
                <w:rFonts w:eastAsia="Times New Roman"/>
                <w:color w:val="000000"/>
                <w:lang w:eastAsia="en-AU"/>
              </w:rPr>
              <w:t>.</w:t>
            </w:r>
            <w:r w:rsidRPr="00D669E8">
              <w:rPr>
                <w:rFonts w:eastAsia="Times New Roman"/>
                <w:color w:val="000000"/>
                <w:lang w:eastAsia="en-AU"/>
              </w:rPr>
              <w:t>30</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sidRPr="00D669E8">
              <w:rPr>
                <w:rFonts w:eastAsia="Times New Roman"/>
                <w:color w:val="000000"/>
                <w:lang w:eastAsia="en-AU"/>
              </w:rPr>
              <w:t>6</w:t>
            </w:r>
            <w:r>
              <w:rPr>
                <w:rFonts w:eastAsia="Times New Roman"/>
                <w:color w:val="000000"/>
                <w:lang w:eastAsia="en-AU"/>
              </w:rPr>
              <w:t>.</w:t>
            </w:r>
            <w:r w:rsidRPr="00D669E8">
              <w:rPr>
                <w:rFonts w:eastAsia="Times New Roman"/>
                <w:color w:val="000000"/>
                <w:lang w:eastAsia="en-AU"/>
              </w:rPr>
              <w:t>4</w:t>
            </w:r>
            <w:r>
              <w:rPr>
                <w:rFonts w:eastAsia="Times New Roman"/>
                <w:color w:val="000000"/>
                <w:lang w:eastAsia="en-AU"/>
              </w:rPr>
              <w:t>5</w:t>
            </w:r>
          </w:p>
        </w:tc>
      </w:tr>
      <w:tr w:rsidR="0046706C" w:rsidRPr="00D669E8"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20-50</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6</w:t>
            </w:r>
            <w:r>
              <w:rPr>
                <w:rFonts w:eastAsia="Times New Roman"/>
                <w:color w:val="000000"/>
                <w:lang w:eastAsia="en-AU"/>
              </w:rPr>
              <w:t>9</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2</w:t>
            </w:r>
            <w:r>
              <w:rPr>
                <w:rFonts w:eastAsia="Times New Roman"/>
                <w:color w:val="000000"/>
                <w:lang w:eastAsia="en-AU"/>
              </w:rPr>
              <w:t>.</w:t>
            </w:r>
            <w:r w:rsidRPr="00D669E8">
              <w:rPr>
                <w:rFonts w:eastAsia="Times New Roman"/>
                <w:color w:val="000000"/>
                <w:lang w:eastAsia="en-AU"/>
              </w:rPr>
              <w:t>28</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1</w:t>
            </w:r>
            <w:r>
              <w:rPr>
                <w:rFonts w:eastAsia="Times New Roman"/>
                <w:color w:val="000000"/>
                <w:lang w:eastAsia="en-AU"/>
              </w:rPr>
              <w:t>.</w:t>
            </w:r>
            <w:r w:rsidRPr="00D669E8">
              <w:rPr>
                <w:rFonts w:eastAsia="Times New Roman"/>
                <w:color w:val="000000"/>
                <w:lang w:eastAsia="en-AU"/>
              </w:rPr>
              <w:t>4</w:t>
            </w:r>
            <w:r>
              <w:rPr>
                <w:rFonts w:eastAsia="Times New Roman"/>
                <w:color w:val="000000"/>
                <w:lang w:eastAsia="en-AU"/>
              </w:rPr>
              <w:t>7</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2</w:t>
            </w:r>
            <w:r>
              <w:rPr>
                <w:rFonts w:eastAsia="Times New Roman"/>
                <w:color w:val="000000"/>
                <w:lang w:eastAsia="en-AU"/>
              </w:rPr>
              <w:t>.</w:t>
            </w:r>
            <w:r w:rsidRPr="00D669E8">
              <w:rPr>
                <w:rFonts w:eastAsia="Times New Roman"/>
                <w:color w:val="000000"/>
                <w:lang w:eastAsia="en-AU"/>
              </w:rPr>
              <w:t>5</w:t>
            </w:r>
            <w:r>
              <w:rPr>
                <w:rFonts w:eastAsia="Times New Roman"/>
                <w:color w:val="000000"/>
                <w:lang w:eastAsia="en-AU"/>
              </w:rPr>
              <w:t>2</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sidRPr="00D669E8">
              <w:rPr>
                <w:rFonts w:eastAsia="Times New Roman"/>
                <w:color w:val="000000"/>
                <w:lang w:eastAsia="en-AU"/>
              </w:rPr>
              <w:t>2</w:t>
            </w:r>
            <w:r>
              <w:rPr>
                <w:rFonts w:eastAsia="Times New Roman"/>
                <w:color w:val="000000"/>
                <w:lang w:eastAsia="en-AU"/>
              </w:rPr>
              <w:t>.</w:t>
            </w:r>
            <w:r w:rsidRPr="00D669E8">
              <w:rPr>
                <w:rFonts w:eastAsia="Times New Roman"/>
                <w:color w:val="000000"/>
                <w:lang w:eastAsia="en-AU"/>
              </w:rPr>
              <w:t>4</w:t>
            </w:r>
            <w:r>
              <w:rPr>
                <w:rFonts w:eastAsia="Times New Roman"/>
                <w:color w:val="000000"/>
                <w:lang w:eastAsia="en-AU"/>
              </w:rPr>
              <w:t>3</w:t>
            </w:r>
          </w:p>
        </w:tc>
      </w:tr>
      <w:tr w:rsidR="0046706C" w:rsidRPr="00D669E8" w:rsidTr="00857DF8">
        <w:trPr>
          <w:cnfStyle w:val="00000010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50-100</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0.05</w:t>
            </w:r>
          </w:p>
        </w:tc>
        <w:tc>
          <w:tcPr>
            <w:tcW w:w="980"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6</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9</w:t>
            </w:r>
          </w:p>
        </w:tc>
        <w:tc>
          <w:tcPr>
            <w:tcW w:w="1053" w:type="dxa"/>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7</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100000"/>
              <w:rPr>
                <w:rFonts w:eastAsia="Times New Roman"/>
                <w:color w:val="000000"/>
                <w:lang w:eastAsia="en-AU"/>
              </w:rPr>
            </w:pPr>
            <w:r>
              <w:rPr>
                <w:rFonts w:eastAsia="Times New Roman"/>
                <w:color w:val="000000"/>
                <w:lang w:eastAsia="en-AU"/>
              </w:rPr>
              <w:t>0.10</w:t>
            </w:r>
          </w:p>
        </w:tc>
      </w:tr>
      <w:tr w:rsidR="0046706C" w:rsidRPr="00D669E8" w:rsidTr="00857DF8">
        <w:trPr>
          <w:cnfStyle w:val="000000010000"/>
          <w:trHeight w:val="300"/>
        </w:trPr>
        <w:tc>
          <w:tcPr>
            <w:cnfStyle w:val="001000000000"/>
            <w:tcW w:w="1418" w:type="dxa"/>
            <w:noWrap/>
            <w:hideMark/>
          </w:tcPr>
          <w:p w:rsidR="0046706C" w:rsidRPr="0046706C" w:rsidRDefault="0046706C" w:rsidP="00DA65C1">
            <w:pPr>
              <w:spacing w:before="0" w:after="0" w:line="240" w:lineRule="auto"/>
              <w:rPr>
                <w:rFonts w:eastAsia="Times New Roman"/>
                <w:lang w:eastAsia="en-AU"/>
              </w:rPr>
            </w:pPr>
            <w:r w:rsidRPr="0046706C">
              <w:rPr>
                <w:rFonts w:eastAsia="Times New Roman"/>
                <w:lang w:eastAsia="en-AU"/>
              </w:rPr>
              <w:t>100-3000</w:t>
            </w:r>
            <w:r w:rsidR="00BD78C2">
              <w:rPr>
                <w:rFonts w:eastAsia="Times New Roman"/>
                <w:lang w:eastAsia="en-AU"/>
              </w:rPr>
              <w:t xml:space="preserve"> kg</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0.01</w:t>
            </w:r>
          </w:p>
        </w:tc>
        <w:tc>
          <w:tcPr>
            <w:tcW w:w="980"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1</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0.02</w:t>
            </w:r>
          </w:p>
        </w:tc>
        <w:tc>
          <w:tcPr>
            <w:tcW w:w="1053" w:type="dxa"/>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w:t>
            </w:r>
            <w:r w:rsidRPr="00D669E8">
              <w:rPr>
                <w:rFonts w:eastAsia="Times New Roman"/>
                <w:color w:val="000000"/>
                <w:lang w:eastAsia="en-AU"/>
              </w:rPr>
              <w:t>1</w:t>
            </w:r>
          </w:p>
        </w:tc>
        <w:tc>
          <w:tcPr>
            <w:tcW w:w="1167" w:type="dxa"/>
            <w:tcBorders>
              <w:bottom w:val="single" w:sz="4" w:space="0" w:color="FFFFFF" w:themeColor="background1"/>
              <w:right w:val="nil"/>
            </w:tcBorders>
            <w:noWrap/>
            <w:hideMark/>
          </w:tcPr>
          <w:p w:rsidR="0046706C" w:rsidRPr="00D669E8" w:rsidRDefault="0046706C" w:rsidP="00DA65C1">
            <w:pPr>
              <w:spacing w:before="0" w:after="0" w:line="240" w:lineRule="auto"/>
              <w:jc w:val="right"/>
              <w:cnfStyle w:val="000000010000"/>
              <w:rPr>
                <w:rFonts w:eastAsia="Times New Roman"/>
                <w:color w:val="000000"/>
                <w:lang w:eastAsia="en-AU"/>
              </w:rPr>
            </w:pPr>
            <w:r>
              <w:rPr>
                <w:rFonts w:eastAsia="Times New Roman"/>
                <w:color w:val="000000"/>
                <w:lang w:eastAsia="en-AU"/>
              </w:rPr>
              <w:t>0.02</w:t>
            </w:r>
          </w:p>
        </w:tc>
      </w:tr>
      <w:tr w:rsidR="0046706C" w:rsidRPr="00DA65C1" w:rsidTr="00857DF8">
        <w:trPr>
          <w:cnfStyle w:val="000000100000"/>
          <w:trHeight w:val="300"/>
        </w:trPr>
        <w:tc>
          <w:tcPr>
            <w:cnfStyle w:val="001000000000"/>
            <w:tcW w:w="1418" w:type="dxa"/>
            <w:noWrap/>
          </w:tcPr>
          <w:p w:rsidR="0046706C" w:rsidRPr="00DA65C1" w:rsidRDefault="002C61A0" w:rsidP="00DA65C1">
            <w:pPr>
              <w:spacing w:before="0" w:after="0" w:line="240" w:lineRule="auto"/>
              <w:rPr>
                <w:rFonts w:eastAsia="Times New Roman"/>
                <w:b/>
                <w:lang w:eastAsia="en-AU"/>
              </w:rPr>
            </w:pPr>
            <w:r w:rsidRPr="00DA65C1">
              <w:rPr>
                <w:rFonts w:eastAsia="Times New Roman"/>
                <w:b/>
                <w:lang w:eastAsia="en-AU"/>
              </w:rPr>
              <w:t>TOTAL</w:t>
            </w:r>
          </w:p>
        </w:tc>
        <w:tc>
          <w:tcPr>
            <w:tcW w:w="980" w:type="dxa"/>
            <w:noWrap/>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8.99</w:t>
            </w:r>
          </w:p>
        </w:tc>
        <w:tc>
          <w:tcPr>
            <w:tcW w:w="980" w:type="dxa"/>
            <w:noWrap/>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9.76</w:t>
            </w:r>
          </w:p>
        </w:tc>
        <w:tc>
          <w:tcPr>
            <w:tcW w:w="1053" w:type="dxa"/>
            <w:noWrap/>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10.36</w:t>
            </w:r>
          </w:p>
        </w:tc>
        <w:tc>
          <w:tcPr>
            <w:tcW w:w="1053" w:type="dxa"/>
            <w:noWrap/>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10.73</w:t>
            </w:r>
          </w:p>
        </w:tc>
        <w:tc>
          <w:tcPr>
            <w:tcW w:w="1167" w:type="dxa"/>
            <w:tcBorders>
              <w:right w:val="nil"/>
            </w:tcBorders>
            <w:noWrap/>
          </w:tcPr>
          <w:p w:rsidR="0046706C" w:rsidRPr="00DA65C1" w:rsidRDefault="0046706C" w:rsidP="00DA65C1">
            <w:pPr>
              <w:spacing w:before="0" w:after="0" w:line="240" w:lineRule="auto"/>
              <w:jc w:val="right"/>
              <w:cnfStyle w:val="000000100000"/>
              <w:rPr>
                <w:rFonts w:eastAsia="Times New Roman"/>
                <w:b/>
                <w:color w:val="000000"/>
                <w:lang w:eastAsia="en-AU"/>
              </w:rPr>
            </w:pPr>
            <w:r w:rsidRPr="00DA65C1">
              <w:rPr>
                <w:rFonts w:eastAsia="Times New Roman"/>
                <w:b/>
                <w:color w:val="000000"/>
                <w:lang w:eastAsia="en-AU"/>
              </w:rPr>
              <w:t>11.31</w:t>
            </w:r>
          </w:p>
        </w:tc>
      </w:tr>
    </w:tbl>
    <w:p w:rsidR="00F134AB" w:rsidRDefault="00F134AB" w:rsidP="00DA65C1"/>
    <w:p w:rsidR="00747B29" w:rsidRPr="00747B29" w:rsidRDefault="00747B29"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Default="000A5930" w:rsidP="00DA65C1"/>
    <w:p w:rsidR="000A5930" w:rsidRPr="000A5930" w:rsidRDefault="000A5930" w:rsidP="00DA65C1"/>
    <w:p w:rsidR="00EC0236" w:rsidRDefault="00C77D6C" w:rsidP="00DA65C1">
      <w:pPr>
        <w:spacing w:line="240" w:lineRule="auto"/>
      </w:pPr>
      <w:r w:rsidRPr="00C77D6C">
        <w:rPr>
          <w:noProof/>
          <w:lang w:eastAsia="en-AU"/>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7557035" cy="10684042"/>
            <wp:effectExtent l="19050" t="0" r="3811" b="0"/>
            <wp:wrapNone/>
            <wp:docPr id="169"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27"/>
                    <a:stretch>
                      <a:fillRect/>
                    </a:stretch>
                  </pic:blipFill>
                  <pic:spPr>
                    <a:xfrm>
                      <a:off x="0" y="0"/>
                      <a:ext cx="7557035" cy="10684042"/>
                    </a:xfrm>
                    <a:prstGeom prst="rect">
                      <a:avLst/>
                    </a:prstGeom>
                  </pic:spPr>
                </pic:pic>
              </a:graphicData>
            </a:graphic>
          </wp:anchor>
        </w:drawing>
      </w:r>
    </w:p>
    <w:p w:rsidR="00863291" w:rsidRDefault="00863291" w:rsidP="00DA65C1">
      <w:pPr>
        <w:spacing w:line="240" w:lineRule="auto"/>
      </w:pPr>
    </w:p>
    <w:sectPr w:rsidR="00863291" w:rsidSect="00766C00">
      <w:headerReference w:type="default" r:id="rId28"/>
      <w:footerReference w:type="default" r:id="rId29"/>
      <w:pgSz w:w="11899" w:h="16838"/>
      <w:pgMar w:top="1418" w:right="1134" w:bottom="993" w:left="1134" w:header="709" w:footer="528"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9C7" w:rsidRDefault="005E59C7">
      <w:pPr>
        <w:spacing w:line="240" w:lineRule="auto"/>
      </w:pPr>
      <w:r>
        <w:separator/>
      </w:r>
    </w:p>
  </w:endnote>
  <w:endnote w:type="continuationSeparator" w:id="0">
    <w:p w:rsidR="005E59C7" w:rsidRDefault="005E59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Times Regular">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48" w:rsidRDefault="00697A48" w:rsidP="00766C00">
    <w:pPr>
      <w:pStyle w:val="Footer"/>
      <w:spacing w:before="240"/>
    </w:pPr>
    <w:r>
      <w:rPr>
        <w:noProof/>
        <w:lang w:eastAsia="en-AU"/>
      </w:rPr>
      <w:drawing>
        <wp:anchor distT="0" distB="0" distL="114300" distR="114300" simplePos="0" relativeHeight="251679232" behindDoc="1" locked="0" layoutInCell="1" allowOverlap="1">
          <wp:simplePos x="0" y="0"/>
          <wp:positionH relativeFrom="page">
            <wp:posOffset>707390</wp:posOffset>
          </wp:positionH>
          <wp:positionV relativeFrom="paragraph">
            <wp:posOffset>-50718</wp:posOffset>
          </wp:positionV>
          <wp:extent cx="6096757" cy="56725"/>
          <wp:effectExtent l="0" t="0" r="0" b="635"/>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6096757" cy="56725"/>
                  </a:xfrm>
                  <a:prstGeom prst="rect">
                    <a:avLst/>
                  </a:prstGeom>
                  <a:noFill/>
                  <a:ln>
                    <a:noFill/>
                  </a:ln>
                </pic:spPr>
              </pic:pic>
            </a:graphicData>
          </a:graphic>
        </wp:anchor>
      </w:drawing>
    </w:r>
    <w:r w:rsidRPr="000A6C66">
      <w:rPr>
        <w:noProof/>
        <w:sz w:val="16"/>
        <w:szCs w:val="16"/>
        <w:lang w:eastAsia="en-AU"/>
      </w:rPr>
      <w:t>A REVIEW OF DATA ON LEAD-ACID BATTERIES ENTERING AUSTRALIA AND ARISING AS WASTE</w:t>
    </w:r>
    <w:r w:rsidRPr="00B34F88">
      <w:rPr>
        <w:noProof/>
        <w:lang w:eastAsia="en-AU"/>
      </w:rPr>
      <w:t xml:space="preserve"> </w:t>
    </w:r>
    <w:r w:rsidRPr="00B34F88">
      <w:rPr>
        <w:noProof/>
        <w:lang w:eastAsia="en-AU"/>
      </w:rPr>
      <w:drawing>
        <wp:anchor distT="0" distB="0" distL="114300" distR="114300" simplePos="0" relativeHeight="251677184" behindDoc="1" locked="0" layoutInCell="1" allowOverlap="1">
          <wp:simplePos x="0" y="0"/>
          <wp:positionH relativeFrom="column">
            <wp:posOffset>5631903</wp:posOffset>
          </wp:positionH>
          <wp:positionV relativeFrom="paragraph">
            <wp:posOffset>-2230</wp:posOffset>
          </wp:positionV>
          <wp:extent cx="480681" cy="510363"/>
          <wp:effectExtent l="19050" t="0" r="0" b="0"/>
          <wp:wrapNone/>
          <wp:docPr id="16"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2"/>
                  <a:srcRect t="-15217"/>
                  <a:stretch>
                    <a:fillRect/>
                  </a:stretch>
                </pic:blipFill>
                <pic:spPr>
                  <a:xfrm>
                    <a:off x="0" y="0"/>
                    <a:ext cx="480681" cy="510363"/>
                  </a:xfrm>
                  <a:prstGeom prst="rect">
                    <a:avLst/>
                  </a:prstGeom>
                </pic:spPr>
              </pic:pic>
            </a:graphicData>
          </a:graphic>
        </wp:anchor>
      </w:drawing>
    </w:r>
    <w:r w:rsidR="007637BE">
      <w:rPr>
        <w:noProof/>
        <w:lang w:eastAsia="en-AU"/>
      </w:rPr>
      <w:pict>
        <v:shapetype id="_x0000_t202" coordsize="21600,21600" o:spt="202" path="m,l,21600r21600,l21600,xe">
          <v:stroke joinstyle="miter"/>
          <v:path gradientshapeok="t" o:connecttype="rect"/>
        </v:shapetype>
        <v:shape id="Text Box 11" o:spid="_x0000_s4099" type="#_x0000_t202" style="position:absolute;left:0;text-align:left;margin-left:233.75pt;margin-top:6.45pt;width:198pt;height:2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" filled="f" stroked="f">
          <v:textbox inset="0,0,0,0">
            <w:txbxContent>
              <w:p w:rsidR="00697A48" w:rsidRPr="00766C00" w:rsidRDefault="00697A48" w:rsidP="006C05A3">
                <w:pPr>
                  <w:jc w:val="right"/>
                  <w:rPr>
                    <w:sz w:val="16"/>
                  </w:rPr>
                </w:pPr>
                <w:r w:rsidRPr="00812A5F">
                  <w:rPr>
                    <w:caps/>
                    <w:sz w:val="16"/>
                  </w:rPr>
                  <w:t xml:space="preserve"> </w:t>
                </w:r>
                <w:r w:rsidR="007637BE" w:rsidRPr="00766C00">
                  <w:rPr>
                    <w:sz w:val="16"/>
                  </w:rPr>
                  <w:fldChar w:fldCharType="begin"/>
                </w:r>
                <w:r w:rsidRPr="00766C00">
                  <w:rPr>
                    <w:sz w:val="16"/>
                  </w:rPr>
                  <w:instrText xml:space="preserve"> PAGE </w:instrText>
                </w:r>
                <w:r w:rsidR="007637BE" w:rsidRPr="00766C00">
                  <w:rPr>
                    <w:sz w:val="16"/>
                  </w:rPr>
                  <w:fldChar w:fldCharType="separate"/>
                </w:r>
                <w:r w:rsidR="00831690">
                  <w:rPr>
                    <w:noProof/>
                    <w:sz w:val="16"/>
                  </w:rPr>
                  <w:t>iv</w:t>
                </w:r>
                <w:r w:rsidR="007637BE" w:rsidRPr="00766C00">
                  <w:rPr>
                    <w:sz w:val="16"/>
                  </w:rPr>
                  <w:fldChar w:fldCharType="end"/>
                </w:r>
                <w:r w:rsidRPr="00766C00">
                  <w:rPr>
                    <w:sz w:val="16"/>
                  </w:rPr>
                  <w:t xml:space="preserve"> </w:t>
                </w:r>
              </w:p>
            </w:txbxContent>
          </v:textbox>
          <w10:wrap type="tight"/>
        </v:shape>
      </w:pict>
    </w:r>
  </w:p>
  <w:p w:rsidR="00697A48" w:rsidRPr="006C05A3" w:rsidRDefault="00697A48" w:rsidP="006C05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48" w:rsidRPr="000A6C66" w:rsidRDefault="00697A48" w:rsidP="000A6C66">
    <w:pPr>
      <w:pStyle w:val="Footer"/>
      <w:spacing w:before="240"/>
      <w:rPr>
        <w:sz w:val="16"/>
        <w:szCs w:val="16"/>
      </w:rPr>
    </w:pPr>
    <w:r w:rsidRPr="000A6C66">
      <w:rPr>
        <w:noProof/>
        <w:sz w:val="18"/>
        <w:szCs w:val="18"/>
        <w:lang w:eastAsia="en-AU"/>
      </w:rPr>
      <w:drawing>
        <wp:anchor distT="0" distB="0" distL="114300" distR="114300" simplePos="0" relativeHeight="251668992" behindDoc="1" locked="0" layoutInCell="1" allowOverlap="1">
          <wp:simplePos x="0" y="0"/>
          <wp:positionH relativeFrom="page">
            <wp:posOffset>707943</wp:posOffset>
          </wp:positionH>
          <wp:positionV relativeFrom="paragraph">
            <wp:posOffset>-56515</wp:posOffset>
          </wp:positionV>
          <wp:extent cx="6096757" cy="56725"/>
          <wp:effectExtent l="0" t="0" r="0" b="63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6096757" cy="56725"/>
                  </a:xfrm>
                  <a:prstGeom prst="rect">
                    <a:avLst/>
                  </a:prstGeom>
                  <a:noFill/>
                  <a:ln>
                    <a:noFill/>
                  </a:ln>
                </pic:spPr>
              </pic:pic>
            </a:graphicData>
          </a:graphic>
        </wp:anchor>
      </w:drawing>
    </w:r>
    <w:r w:rsidRPr="000A6C66">
      <w:rPr>
        <w:noProof/>
        <w:sz w:val="18"/>
        <w:szCs w:val="18"/>
        <w:lang w:eastAsia="en-AU"/>
      </w:rPr>
      <w:drawing>
        <wp:anchor distT="0" distB="0" distL="114300" distR="114300" simplePos="0" relativeHeight="251672064" behindDoc="1" locked="0" layoutInCell="1" allowOverlap="1">
          <wp:simplePos x="0" y="0"/>
          <wp:positionH relativeFrom="column">
            <wp:posOffset>5631815</wp:posOffset>
          </wp:positionH>
          <wp:positionV relativeFrom="paragraph">
            <wp:posOffset>-40005</wp:posOffset>
          </wp:positionV>
          <wp:extent cx="480060" cy="509905"/>
          <wp:effectExtent l="0" t="0" r="0" b="4445"/>
          <wp:wrapNone/>
          <wp:docPr id="29"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2"/>
                  <a:srcRect t="-15217"/>
                  <a:stretch>
                    <a:fillRect/>
                  </a:stretch>
                </pic:blipFill>
                <pic:spPr>
                  <a:xfrm>
                    <a:off x="0" y="0"/>
                    <a:ext cx="480060" cy="509905"/>
                  </a:xfrm>
                  <a:prstGeom prst="rect">
                    <a:avLst/>
                  </a:prstGeom>
                </pic:spPr>
              </pic:pic>
            </a:graphicData>
          </a:graphic>
        </wp:anchor>
      </w:drawing>
    </w:r>
    <w:r w:rsidRPr="000A6C66">
      <w:rPr>
        <w:noProof/>
        <w:sz w:val="16"/>
        <w:szCs w:val="16"/>
        <w:lang w:eastAsia="en-AU"/>
      </w:rPr>
      <w:t>A REVIEW OF DATA ON LEAD-ACID BATTERIES ENTERING AUSTRALIA AND ARISING AS WASTE</w:t>
    </w:r>
    <w:r w:rsidRPr="000A6C66">
      <w:rPr>
        <w:sz w:val="16"/>
        <w:szCs w:val="16"/>
      </w:rPr>
      <w:t xml:space="preserve"> </w:t>
    </w:r>
    <w:r w:rsidRPr="000A6C66">
      <w:rPr>
        <w:sz w:val="16"/>
        <w:szCs w:val="16"/>
      </w:rPr>
      <w:tab/>
    </w:r>
    <w:r w:rsidR="007637BE" w:rsidRPr="000A6C66">
      <w:rPr>
        <w:sz w:val="16"/>
        <w:szCs w:val="16"/>
      </w:rPr>
      <w:fldChar w:fldCharType="begin"/>
    </w:r>
    <w:r w:rsidRPr="000A6C66">
      <w:rPr>
        <w:sz w:val="16"/>
        <w:szCs w:val="16"/>
      </w:rPr>
      <w:instrText xml:space="preserve"> PAGE   \* MERGEFORMAT </w:instrText>
    </w:r>
    <w:r w:rsidR="007637BE" w:rsidRPr="000A6C66">
      <w:rPr>
        <w:sz w:val="16"/>
        <w:szCs w:val="16"/>
      </w:rPr>
      <w:fldChar w:fldCharType="separate"/>
    </w:r>
    <w:r w:rsidR="00831690">
      <w:rPr>
        <w:noProof/>
        <w:sz w:val="16"/>
        <w:szCs w:val="16"/>
      </w:rPr>
      <w:t>19</w:t>
    </w:r>
    <w:r w:rsidR="007637BE" w:rsidRPr="000A6C66">
      <w:rPr>
        <w:noProof/>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9C7" w:rsidRDefault="005E59C7">
      <w:pPr>
        <w:spacing w:line="240" w:lineRule="auto"/>
      </w:pPr>
      <w:r>
        <w:separator/>
      </w:r>
    </w:p>
  </w:footnote>
  <w:footnote w:type="continuationSeparator" w:id="0">
    <w:p w:rsidR="005E59C7" w:rsidRDefault="005E59C7">
      <w:pPr>
        <w:spacing w:line="240" w:lineRule="auto"/>
      </w:pPr>
      <w:r>
        <w:continuationSeparator/>
      </w:r>
    </w:p>
  </w:footnote>
  <w:footnote w:id="1">
    <w:p w:rsidR="00697A48" w:rsidRDefault="00697A48" w:rsidP="005E7ABE">
      <w:pPr>
        <w:pStyle w:val="FootnoteText"/>
      </w:pPr>
      <w:r>
        <w:rPr>
          <w:rStyle w:val="FootnoteReference"/>
        </w:rPr>
        <w:footnoteRef/>
      </w:r>
      <w:r>
        <w:t xml:space="preserve"> </w:t>
      </w:r>
      <w:r w:rsidRPr="00EE53AF">
        <w:rPr>
          <w:sz w:val="20"/>
          <w:szCs w:val="20"/>
        </w:rPr>
        <w:t xml:space="preserve">Note that all the batteries are assumed to be the average </w:t>
      </w:r>
      <w:r>
        <w:rPr>
          <w:sz w:val="20"/>
          <w:szCs w:val="20"/>
        </w:rPr>
        <w:t>mass</w:t>
      </w:r>
      <w:r w:rsidRPr="00EE53AF">
        <w:rPr>
          <w:sz w:val="20"/>
          <w:szCs w:val="20"/>
        </w:rPr>
        <w:t xml:space="preserve"> estimated by Warnken ISE (2010), and the numbers presented incorporate both quoted and back-calculated numbers from the Warnken ISE study.</w:t>
      </w:r>
    </w:p>
  </w:footnote>
  <w:footnote w:id="2">
    <w:p w:rsidR="00697A48" w:rsidRPr="006107B8" w:rsidRDefault="00697A48" w:rsidP="00D269BB">
      <w:pPr>
        <w:pStyle w:val="FootnoteText"/>
        <w:rPr>
          <w:sz w:val="20"/>
          <w:szCs w:val="20"/>
        </w:rPr>
      </w:pPr>
      <w:r>
        <w:rPr>
          <w:rStyle w:val="FootnoteReference"/>
        </w:rPr>
        <w:footnoteRef/>
      </w:r>
      <w:r>
        <w:t xml:space="preserve"> </w:t>
      </w:r>
      <w:r w:rsidRPr="006107B8">
        <w:rPr>
          <w:sz w:val="20"/>
          <w:szCs w:val="20"/>
        </w:rPr>
        <w:t xml:space="preserve">Note that all the batteries are assumed to be the average </w:t>
      </w:r>
      <w:r>
        <w:rPr>
          <w:sz w:val="20"/>
          <w:szCs w:val="20"/>
        </w:rPr>
        <w:t>mass</w:t>
      </w:r>
      <w:r w:rsidRPr="006107B8">
        <w:rPr>
          <w:sz w:val="20"/>
          <w:szCs w:val="20"/>
        </w:rPr>
        <w:t xml:space="preserve"> estimated by Warnken ISE (2010), and the numbers presented incorporate both quoted and back-calculated numbers from the Warnken ISE study.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48" w:rsidRPr="00D042C7" w:rsidRDefault="007637BE" w:rsidP="003A58CF">
    <w:r>
      <w:rPr>
        <w:noProof/>
        <w:lang w:eastAsia="en-AU"/>
      </w:rPr>
      <w:pict>
        <v:shapetype id="_x0000_t202" coordsize="21600,21600" o:spt="202" path="m,l,21600r21600,l21600,xe">
          <v:stroke joinstyle="miter"/>
          <v:path gradientshapeok="t" o:connecttype="rect"/>
        </v:shapetype>
        <v:shape id="Text Box 4" o:spid="_x0000_s4103" type="#_x0000_t202" style="position:absolute;left:0;text-align:left;margin-left:283.35pt;margin-top:-1.8pt;width:198pt;height:2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4drwIAAKo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" filled="f" stroked="f">
          <v:textbox inset="0,0,0,0">
            <w:txbxContent>
              <w:p w:rsidR="00697A48" w:rsidRPr="000E1A2F" w:rsidRDefault="00697A48" w:rsidP="003A58CF">
                <w:pPr>
                  <w:jc w:val="right"/>
                </w:pPr>
                <w:r>
                  <w:rPr>
                    <w:caps/>
                    <w:sz w:val="16"/>
                  </w:rPr>
                  <w:t>JUNE 2014</w:t>
                </w:r>
              </w:p>
            </w:txbxContent>
          </v:textbox>
          <w10:wrap type="tight"/>
        </v:shape>
      </w:pict>
    </w:r>
    <w:r>
      <w:rPr>
        <w:noProof/>
        <w:lang w:eastAsia="en-AU"/>
      </w:rPr>
      <w:pict>
        <v:shape id="Text Box 3" o:spid="_x0000_s4102" type="#_x0000_t202" style="position:absolute;left:0;text-align:left;margin-left:0;margin-top:-1.8pt;width:198pt;height: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YGsgIAALE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" filled="f" stroked="f">
          <v:textbox inset="0,0,0,0">
            <w:txbxContent>
              <w:p w:rsidR="00697A48" w:rsidRPr="009341F3" w:rsidRDefault="00697A48"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r>
                  <w:rPr>
                    <w:caps/>
                    <w:sz w:val="16"/>
                  </w:rPr>
                  <w:t>, uts</w:t>
                </w:r>
              </w:p>
            </w:txbxContent>
          </v:textbox>
          <w10:wrap type="t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48" w:rsidRPr="00E11CDC" w:rsidRDefault="007637BE" w:rsidP="00E11CDC">
    <w:r>
      <w:rPr>
        <w:noProof/>
        <w:lang w:eastAsia="en-AU"/>
      </w:rPr>
      <w:pict>
        <v:shapetype id="_x0000_t202" coordsize="21600,21600" o:spt="202" path="m,l,21600r21600,l21600,xe">
          <v:stroke joinstyle="miter"/>
          <v:path gradientshapeok="t" o:connecttype="rect"/>
        </v:shapetype>
        <v:shape id="_x0000_s4101" type="#_x0000_t202" style="position:absolute;left:0;text-align:left;margin-left:286pt;margin-top:-6.65pt;width:198pt;height:2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FBsgIAALA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" filled="f" stroked="f">
          <v:textbox inset="0,0,0,0">
            <w:txbxContent>
              <w:p w:rsidR="00697A48" w:rsidRPr="000E1A2F" w:rsidRDefault="00697A48" w:rsidP="00E11CDC">
                <w:pPr>
                  <w:jc w:val="right"/>
                </w:pPr>
                <w:r>
                  <w:rPr>
                    <w:caps/>
                    <w:sz w:val="16"/>
                  </w:rPr>
                  <w:t>JUNE 2014</w:t>
                </w:r>
              </w:p>
            </w:txbxContent>
          </v:textbox>
          <w10:wrap type="tight"/>
        </v:shape>
      </w:pict>
    </w:r>
    <w:r>
      <w:rPr>
        <w:noProof/>
        <w:lang w:eastAsia="en-AU"/>
      </w:rPr>
      <w:pict>
        <v:shape id="_x0000_s4100" type="#_x0000_t202" style="position:absolute;left:0;text-align:left;margin-left:0;margin-top:-6.65pt;width:198pt;height:26.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s8sgIAALA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" filled="f" stroked="f">
          <v:textbox inset="0,0,0,0">
            <w:txbxContent>
              <w:p w:rsidR="00697A48" w:rsidRPr="009341F3" w:rsidRDefault="00697A48" w:rsidP="00E11CDC">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r>
                  <w:rPr>
                    <w:caps/>
                    <w:sz w:val="16"/>
                  </w:rPr>
                  <w:t>, uts</w:t>
                </w:r>
              </w:p>
            </w:txbxContent>
          </v:textbox>
          <w10:wrap type="tigh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A48" w:rsidRPr="00D042C7" w:rsidRDefault="007637BE" w:rsidP="003A58CF">
    <w:r>
      <w:rPr>
        <w:noProof/>
        <w:lang w:eastAsia="en-AU"/>
      </w:rPr>
      <w:pict>
        <v:shapetype id="_x0000_t202" coordsize="21600,21600" o:spt="202" path="m,l,21600r21600,l21600,xe">
          <v:stroke joinstyle="miter"/>
          <v:path gradientshapeok="t" o:connecttype="rect"/>
        </v:shapetype>
        <v:shape id="_x0000_s4098" type="#_x0000_t202" style="position:absolute;left:0;text-align:left;margin-left:286pt;margin-top:-6.65pt;width:198pt;height:2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P2sQIAALA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" filled="f" stroked="f">
          <v:textbox inset="0,0,0,0">
            <w:txbxContent>
              <w:p w:rsidR="000A6C66" w:rsidRPr="000E1A2F" w:rsidRDefault="000A6C66" w:rsidP="003A58CF">
                <w:pPr>
                  <w:jc w:val="right"/>
                </w:pPr>
                <w:r>
                  <w:rPr>
                    <w:caps/>
                    <w:sz w:val="16"/>
                  </w:rPr>
                  <w:t>JUNE 2014</w:t>
                </w:r>
              </w:p>
            </w:txbxContent>
          </v:textbox>
          <w10:wrap type="tight"/>
        </v:shape>
      </w:pict>
    </w:r>
    <w:r>
      <w:rPr>
        <w:noProof/>
        <w:lang w:eastAsia="en-AU"/>
      </w:rPr>
      <w:pict>
        <v:shape id="_x0000_s4097" type="#_x0000_t202" style="position:absolute;left:0;text-align:left;margin-left:0;margin-top:-6.65pt;width:198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WswIAALA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" filled="f" stroked="f">
          <v:textbox inset="0,0,0,0">
            <w:txbxContent>
              <w:p w:rsidR="000A6C66" w:rsidRPr="009341F3" w:rsidRDefault="000A6C66"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r>
                  <w:rPr>
                    <w:caps/>
                    <w:sz w:val="16"/>
                  </w:rPr>
                  <w:t>, uts</w:t>
                </w:r>
              </w:p>
            </w:txbxContent>
          </v:textbox>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6C07"/>
    <w:multiLevelType w:val="hybridMultilevel"/>
    <w:tmpl w:val="ADBC7316"/>
    <w:lvl w:ilvl="0" w:tplc="5C0E1E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5D44B69"/>
    <w:multiLevelType w:val="hybridMultilevel"/>
    <w:tmpl w:val="AA10A5A0"/>
    <w:lvl w:ilvl="0" w:tplc="10E6B18A">
      <w:start w:val="1"/>
      <w:numFmt w:val="decimal"/>
      <w:lvlText w:val="%1)"/>
      <w:lvlJc w:val="left"/>
      <w:pPr>
        <w:ind w:left="1080" w:hanging="360"/>
      </w:pPr>
      <w:rPr>
        <w:rFonts w:eastAsiaTheme="minorHAnsi"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12EC284C"/>
    <w:multiLevelType w:val="hybridMultilevel"/>
    <w:tmpl w:val="D9FC1A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85F3770"/>
    <w:multiLevelType w:val="hybridMultilevel"/>
    <w:tmpl w:val="890285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1795A6E"/>
    <w:multiLevelType w:val="hybridMultilevel"/>
    <w:tmpl w:val="BAF040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3FA4CE9"/>
    <w:multiLevelType w:val="hybridMultilevel"/>
    <w:tmpl w:val="9444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8251F67"/>
    <w:multiLevelType w:val="hybridMultilevel"/>
    <w:tmpl w:val="2AE6179C"/>
    <w:lvl w:ilvl="0" w:tplc="5DE816C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B281CA0"/>
    <w:multiLevelType w:val="hybridMultilevel"/>
    <w:tmpl w:val="71403826"/>
    <w:lvl w:ilvl="0" w:tplc="56009C60">
      <w:start w:val="1"/>
      <w:numFmt w:val="bullet"/>
      <w:pStyle w:val="ListParagraph"/>
      <w:lvlText w:val="&gt;"/>
      <w:lvlJc w:val="left"/>
      <w:pPr>
        <w:tabs>
          <w:tab w:val="num" w:pos="284"/>
        </w:tabs>
        <w:ind w:left="567"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5865735"/>
    <w:multiLevelType w:val="hybridMultilevel"/>
    <w:tmpl w:val="A1A24A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9D73F1"/>
    <w:multiLevelType w:val="hybridMultilevel"/>
    <w:tmpl w:val="53348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8BF0DFF"/>
    <w:multiLevelType w:val="hybridMultilevel"/>
    <w:tmpl w:val="57F6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DC4BFB"/>
    <w:multiLevelType w:val="hybridMultilevel"/>
    <w:tmpl w:val="9A205632"/>
    <w:lvl w:ilvl="0" w:tplc="611A7CD6">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EC337AE"/>
    <w:multiLevelType w:val="hybridMultilevel"/>
    <w:tmpl w:val="E03293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4387F63"/>
    <w:multiLevelType w:val="hybridMultilevel"/>
    <w:tmpl w:val="B33E00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67BC6DE4"/>
    <w:multiLevelType w:val="hybridMultilevel"/>
    <w:tmpl w:val="E7AC34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B852697"/>
    <w:multiLevelType w:val="multilevel"/>
    <w:tmpl w:val="31EC7AA4"/>
    <w:lvl w:ilvl="0">
      <w:start w:val="1"/>
      <w:numFmt w:val="decimal"/>
      <w:pStyle w:val="Heading1"/>
      <w:lvlText w:val="%1"/>
      <w:lvlJc w:val="left"/>
      <w:pPr>
        <w:ind w:left="432" w:hanging="432"/>
      </w:pPr>
    </w:lvl>
    <w:lvl w:ilvl="1">
      <w:start w:val="1"/>
      <w:numFmt w:val="decimal"/>
      <w:pStyle w:val="Heading2"/>
      <w:lvlText w:val="%1.%2"/>
      <w:lvlJc w:val="left"/>
      <w:pPr>
        <w:ind w:left="3270"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B677E43"/>
    <w:multiLevelType w:val="hybridMultilevel"/>
    <w:tmpl w:val="CDE44B32"/>
    <w:lvl w:ilvl="0" w:tplc="3060416A">
      <w:start w:val="122"/>
      <w:numFmt w:val="bullet"/>
      <w:lvlText w:val="-"/>
      <w:lvlJc w:val="left"/>
      <w:pPr>
        <w:ind w:left="1080" w:hanging="360"/>
      </w:pPr>
      <w:rPr>
        <w:rFonts w:ascii="Calibri" w:eastAsia="Cambria"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16"/>
  </w:num>
  <w:num w:numId="3">
    <w:abstractNumId w:val="15"/>
  </w:num>
  <w:num w:numId="4">
    <w:abstractNumId w:val="10"/>
  </w:num>
  <w:num w:numId="5">
    <w:abstractNumId w:val="0"/>
  </w:num>
  <w:num w:numId="6">
    <w:abstractNumId w:val="4"/>
  </w:num>
  <w:num w:numId="7">
    <w:abstractNumId w:val="14"/>
  </w:num>
  <w:num w:numId="8">
    <w:abstractNumId w:val="12"/>
  </w:num>
  <w:num w:numId="9">
    <w:abstractNumId w:val="6"/>
  </w:num>
  <w:num w:numId="10">
    <w:abstractNumId w:val="2"/>
  </w:num>
  <w:num w:numId="11">
    <w:abstractNumId w:val="9"/>
  </w:num>
  <w:num w:numId="12">
    <w:abstractNumId w:val="11"/>
  </w:num>
  <w:num w:numId="13">
    <w:abstractNumId w:val="1"/>
  </w:num>
  <w:num w:numId="14">
    <w:abstractNumId w:val="3"/>
  </w:num>
  <w:num w:numId="15">
    <w:abstractNumId w:val="8"/>
  </w:num>
  <w:num w:numId="16">
    <w:abstractNumId w:val="5"/>
  </w:num>
  <w:num w:numId="17">
    <w:abstractNumId w:val="17"/>
  </w:num>
  <w:num w:numId="18">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rsids>
    <w:rsidRoot w:val="00C86E0C"/>
    <w:rsid w:val="0000076F"/>
    <w:rsid w:val="00000DEF"/>
    <w:rsid w:val="000031F2"/>
    <w:rsid w:val="000042BA"/>
    <w:rsid w:val="0000524B"/>
    <w:rsid w:val="00013939"/>
    <w:rsid w:val="00013E1E"/>
    <w:rsid w:val="00016781"/>
    <w:rsid w:val="00017B20"/>
    <w:rsid w:val="000212E2"/>
    <w:rsid w:val="00022637"/>
    <w:rsid w:val="00022C68"/>
    <w:rsid w:val="00022F21"/>
    <w:rsid w:val="00023207"/>
    <w:rsid w:val="000247F4"/>
    <w:rsid w:val="00025FC7"/>
    <w:rsid w:val="00026427"/>
    <w:rsid w:val="00027835"/>
    <w:rsid w:val="00027C09"/>
    <w:rsid w:val="000305DF"/>
    <w:rsid w:val="00030A2B"/>
    <w:rsid w:val="0003213F"/>
    <w:rsid w:val="0003278B"/>
    <w:rsid w:val="000335DE"/>
    <w:rsid w:val="000357A4"/>
    <w:rsid w:val="0003646B"/>
    <w:rsid w:val="00040D51"/>
    <w:rsid w:val="00041AC4"/>
    <w:rsid w:val="00042913"/>
    <w:rsid w:val="0005005A"/>
    <w:rsid w:val="00053936"/>
    <w:rsid w:val="000567B3"/>
    <w:rsid w:val="00060012"/>
    <w:rsid w:val="000601F9"/>
    <w:rsid w:val="00061851"/>
    <w:rsid w:val="000619EF"/>
    <w:rsid w:val="00061F70"/>
    <w:rsid w:val="00062EFE"/>
    <w:rsid w:val="00063F88"/>
    <w:rsid w:val="0007028F"/>
    <w:rsid w:val="000728B7"/>
    <w:rsid w:val="000730F5"/>
    <w:rsid w:val="000751C3"/>
    <w:rsid w:val="000755CD"/>
    <w:rsid w:val="0007566A"/>
    <w:rsid w:val="00077320"/>
    <w:rsid w:val="00081EE5"/>
    <w:rsid w:val="0009009E"/>
    <w:rsid w:val="00092235"/>
    <w:rsid w:val="00096C55"/>
    <w:rsid w:val="000A0589"/>
    <w:rsid w:val="000A16C4"/>
    <w:rsid w:val="000A3086"/>
    <w:rsid w:val="000A3506"/>
    <w:rsid w:val="000A4AE0"/>
    <w:rsid w:val="000A4F3E"/>
    <w:rsid w:val="000A577C"/>
    <w:rsid w:val="000A5930"/>
    <w:rsid w:val="000A68C1"/>
    <w:rsid w:val="000A6A3B"/>
    <w:rsid w:val="000A6C66"/>
    <w:rsid w:val="000B0F26"/>
    <w:rsid w:val="000B110E"/>
    <w:rsid w:val="000B1475"/>
    <w:rsid w:val="000B19F4"/>
    <w:rsid w:val="000B33E8"/>
    <w:rsid w:val="000B44CF"/>
    <w:rsid w:val="000B59BF"/>
    <w:rsid w:val="000C13E4"/>
    <w:rsid w:val="000C1A2B"/>
    <w:rsid w:val="000C2A45"/>
    <w:rsid w:val="000C601A"/>
    <w:rsid w:val="000C60CF"/>
    <w:rsid w:val="000C7859"/>
    <w:rsid w:val="000D00F9"/>
    <w:rsid w:val="000D1F91"/>
    <w:rsid w:val="000D20D5"/>
    <w:rsid w:val="000D37E0"/>
    <w:rsid w:val="000D4F4A"/>
    <w:rsid w:val="000D5B6D"/>
    <w:rsid w:val="000E1AB6"/>
    <w:rsid w:val="000E1D3D"/>
    <w:rsid w:val="000E2B93"/>
    <w:rsid w:val="000E3082"/>
    <w:rsid w:val="000E521E"/>
    <w:rsid w:val="000E6A5F"/>
    <w:rsid w:val="000E6D35"/>
    <w:rsid w:val="000F004B"/>
    <w:rsid w:val="000F0824"/>
    <w:rsid w:val="000F3488"/>
    <w:rsid w:val="000F4B14"/>
    <w:rsid w:val="000F4CE8"/>
    <w:rsid w:val="000F6B0F"/>
    <w:rsid w:val="000F6C11"/>
    <w:rsid w:val="00102789"/>
    <w:rsid w:val="00103466"/>
    <w:rsid w:val="00104C1B"/>
    <w:rsid w:val="0010565C"/>
    <w:rsid w:val="00110BA0"/>
    <w:rsid w:val="001111C2"/>
    <w:rsid w:val="001121E5"/>
    <w:rsid w:val="001127D4"/>
    <w:rsid w:val="001176B1"/>
    <w:rsid w:val="00120BEE"/>
    <w:rsid w:val="00121448"/>
    <w:rsid w:val="0012186D"/>
    <w:rsid w:val="0012189B"/>
    <w:rsid w:val="00121C00"/>
    <w:rsid w:val="0012264E"/>
    <w:rsid w:val="001233A9"/>
    <w:rsid w:val="001307C6"/>
    <w:rsid w:val="001334D4"/>
    <w:rsid w:val="00133549"/>
    <w:rsid w:val="00133B2A"/>
    <w:rsid w:val="001341B8"/>
    <w:rsid w:val="00134EBF"/>
    <w:rsid w:val="00137A6D"/>
    <w:rsid w:val="001413FD"/>
    <w:rsid w:val="00141C46"/>
    <w:rsid w:val="00142742"/>
    <w:rsid w:val="00144E21"/>
    <w:rsid w:val="0015041D"/>
    <w:rsid w:val="00150B44"/>
    <w:rsid w:val="00153E64"/>
    <w:rsid w:val="00154AC9"/>
    <w:rsid w:val="0015539C"/>
    <w:rsid w:val="001577F3"/>
    <w:rsid w:val="00157B13"/>
    <w:rsid w:val="00157EE9"/>
    <w:rsid w:val="001611F3"/>
    <w:rsid w:val="0016245A"/>
    <w:rsid w:val="001636D7"/>
    <w:rsid w:val="00165C4E"/>
    <w:rsid w:val="00171AF7"/>
    <w:rsid w:val="00172582"/>
    <w:rsid w:val="0017288A"/>
    <w:rsid w:val="0017302A"/>
    <w:rsid w:val="001778AC"/>
    <w:rsid w:val="00181AFF"/>
    <w:rsid w:val="00181EE4"/>
    <w:rsid w:val="0018478A"/>
    <w:rsid w:val="0018712D"/>
    <w:rsid w:val="0019342A"/>
    <w:rsid w:val="00194314"/>
    <w:rsid w:val="001A1933"/>
    <w:rsid w:val="001A2B47"/>
    <w:rsid w:val="001A41B2"/>
    <w:rsid w:val="001A4381"/>
    <w:rsid w:val="001B736F"/>
    <w:rsid w:val="001B7997"/>
    <w:rsid w:val="001C07C6"/>
    <w:rsid w:val="001C0BFB"/>
    <w:rsid w:val="001C0C16"/>
    <w:rsid w:val="001C0F82"/>
    <w:rsid w:val="001C1616"/>
    <w:rsid w:val="001C3108"/>
    <w:rsid w:val="001C370E"/>
    <w:rsid w:val="001C57CB"/>
    <w:rsid w:val="001D0734"/>
    <w:rsid w:val="001D0F4A"/>
    <w:rsid w:val="001D0FCE"/>
    <w:rsid w:val="001D138E"/>
    <w:rsid w:val="001D28F4"/>
    <w:rsid w:val="001D3BB7"/>
    <w:rsid w:val="001D3E82"/>
    <w:rsid w:val="001D4C7A"/>
    <w:rsid w:val="001D56C9"/>
    <w:rsid w:val="001D5AB6"/>
    <w:rsid w:val="001E09A8"/>
    <w:rsid w:val="001E138E"/>
    <w:rsid w:val="001E214C"/>
    <w:rsid w:val="001E2DEC"/>
    <w:rsid w:val="001E2E02"/>
    <w:rsid w:val="001E4DDB"/>
    <w:rsid w:val="001E5F0F"/>
    <w:rsid w:val="001F0F92"/>
    <w:rsid w:val="001F416C"/>
    <w:rsid w:val="001F4C13"/>
    <w:rsid w:val="001F577A"/>
    <w:rsid w:val="001F68AF"/>
    <w:rsid w:val="00201864"/>
    <w:rsid w:val="002018B1"/>
    <w:rsid w:val="00202472"/>
    <w:rsid w:val="00203201"/>
    <w:rsid w:val="00205B5F"/>
    <w:rsid w:val="00205CC5"/>
    <w:rsid w:val="002064F7"/>
    <w:rsid w:val="00207048"/>
    <w:rsid w:val="00210BEE"/>
    <w:rsid w:val="0021115E"/>
    <w:rsid w:val="00216CAF"/>
    <w:rsid w:val="00217CE2"/>
    <w:rsid w:val="00217D9E"/>
    <w:rsid w:val="00222026"/>
    <w:rsid w:val="00222AA3"/>
    <w:rsid w:val="00223E6B"/>
    <w:rsid w:val="00224B4F"/>
    <w:rsid w:val="00227005"/>
    <w:rsid w:val="00230001"/>
    <w:rsid w:val="002313A5"/>
    <w:rsid w:val="0023233F"/>
    <w:rsid w:val="0023308D"/>
    <w:rsid w:val="002330C7"/>
    <w:rsid w:val="00236D07"/>
    <w:rsid w:val="0024209E"/>
    <w:rsid w:val="0024226A"/>
    <w:rsid w:val="00244E57"/>
    <w:rsid w:val="00245490"/>
    <w:rsid w:val="002527B4"/>
    <w:rsid w:val="00252910"/>
    <w:rsid w:val="00253617"/>
    <w:rsid w:val="0025432C"/>
    <w:rsid w:val="00254D0C"/>
    <w:rsid w:val="00256A82"/>
    <w:rsid w:val="00257CB0"/>
    <w:rsid w:val="00261977"/>
    <w:rsid w:val="002628C4"/>
    <w:rsid w:val="00263EE2"/>
    <w:rsid w:val="00264D99"/>
    <w:rsid w:val="00265866"/>
    <w:rsid w:val="002669CC"/>
    <w:rsid w:val="00270844"/>
    <w:rsid w:val="002756FB"/>
    <w:rsid w:val="00276784"/>
    <w:rsid w:val="002808C7"/>
    <w:rsid w:val="0028483C"/>
    <w:rsid w:val="00285282"/>
    <w:rsid w:val="002863BC"/>
    <w:rsid w:val="00292429"/>
    <w:rsid w:val="002927C3"/>
    <w:rsid w:val="00295DD6"/>
    <w:rsid w:val="002A00AC"/>
    <w:rsid w:val="002A1F60"/>
    <w:rsid w:val="002A3354"/>
    <w:rsid w:val="002A4FCE"/>
    <w:rsid w:val="002A545B"/>
    <w:rsid w:val="002A62EF"/>
    <w:rsid w:val="002A7619"/>
    <w:rsid w:val="002A79BD"/>
    <w:rsid w:val="002B2716"/>
    <w:rsid w:val="002B3744"/>
    <w:rsid w:val="002B3983"/>
    <w:rsid w:val="002B4FC7"/>
    <w:rsid w:val="002B5459"/>
    <w:rsid w:val="002B6A41"/>
    <w:rsid w:val="002B77B5"/>
    <w:rsid w:val="002B7838"/>
    <w:rsid w:val="002C05B9"/>
    <w:rsid w:val="002C06A9"/>
    <w:rsid w:val="002C154F"/>
    <w:rsid w:val="002C61A0"/>
    <w:rsid w:val="002C637A"/>
    <w:rsid w:val="002C77E4"/>
    <w:rsid w:val="002D4366"/>
    <w:rsid w:val="002D4CB4"/>
    <w:rsid w:val="002E0864"/>
    <w:rsid w:val="002E3199"/>
    <w:rsid w:val="002E781B"/>
    <w:rsid w:val="002F01E8"/>
    <w:rsid w:val="002F31BB"/>
    <w:rsid w:val="002F5ED2"/>
    <w:rsid w:val="002F7436"/>
    <w:rsid w:val="00300BC0"/>
    <w:rsid w:val="00302D3A"/>
    <w:rsid w:val="00302DE4"/>
    <w:rsid w:val="003031B5"/>
    <w:rsid w:val="003035E0"/>
    <w:rsid w:val="00305B04"/>
    <w:rsid w:val="00305EDE"/>
    <w:rsid w:val="00306029"/>
    <w:rsid w:val="0030694D"/>
    <w:rsid w:val="00307AA5"/>
    <w:rsid w:val="00310429"/>
    <w:rsid w:val="00310F3B"/>
    <w:rsid w:val="00313B1E"/>
    <w:rsid w:val="00313E66"/>
    <w:rsid w:val="0031534E"/>
    <w:rsid w:val="003159E9"/>
    <w:rsid w:val="003167F2"/>
    <w:rsid w:val="00317ABF"/>
    <w:rsid w:val="00317EB8"/>
    <w:rsid w:val="003200E2"/>
    <w:rsid w:val="00321A06"/>
    <w:rsid w:val="003227C5"/>
    <w:rsid w:val="0032498B"/>
    <w:rsid w:val="00324B98"/>
    <w:rsid w:val="003261A6"/>
    <w:rsid w:val="003305FF"/>
    <w:rsid w:val="00332001"/>
    <w:rsid w:val="00332316"/>
    <w:rsid w:val="0033296B"/>
    <w:rsid w:val="0033323C"/>
    <w:rsid w:val="003332EE"/>
    <w:rsid w:val="00333E77"/>
    <w:rsid w:val="00334A05"/>
    <w:rsid w:val="00336439"/>
    <w:rsid w:val="00336529"/>
    <w:rsid w:val="00343A35"/>
    <w:rsid w:val="00343AFA"/>
    <w:rsid w:val="003443F4"/>
    <w:rsid w:val="00344446"/>
    <w:rsid w:val="003522F4"/>
    <w:rsid w:val="00353171"/>
    <w:rsid w:val="00353AFB"/>
    <w:rsid w:val="00353B79"/>
    <w:rsid w:val="00355D1F"/>
    <w:rsid w:val="0035698D"/>
    <w:rsid w:val="0036129E"/>
    <w:rsid w:val="0036183C"/>
    <w:rsid w:val="003668DE"/>
    <w:rsid w:val="00367E52"/>
    <w:rsid w:val="003706CF"/>
    <w:rsid w:val="00372FEA"/>
    <w:rsid w:val="003745C3"/>
    <w:rsid w:val="003756BF"/>
    <w:rsid w:val="0037698A"/>
    <w:rsid w:val="003802F2"/>
    <w:rsid w:val="0038089E"/>
    <w:rsid w:val="0038132C"/>
    <w:rsid w:val="00382311"/>
    <w:rsid w:val="003850ED"/>
    <w:rsid w:val="00385158"/>
    <w:rsid w:val="00390A13"/>
    <w:rsid w:val="00390CC8"/>
    <w:rsid w:val="00391BBA"/>
    <w:rsid w:val="00391F27"/>
    <w:rsid w:val="003925B0"/>
    <w:rsid w:val="00392665"/>
    <w:rsid w:val="003945A2"/>
    <w:rsid w:val="0039466F"/>
    <w:rsid w:val="003954B3"/>
    <w:rsid w:val="00396385"/>
    <w:rsid w:val="00396D2E"/>
    <w:rsid w:val="003A1409"/>
    <w:rsid w:val="003A388B"/>
    <w:rsid w:val="003A3B35"/>
    <w:rsid w:val="003A3F36"/>
    <w:rsid w:val="003A5016"/>
    <w:rsid w:val="003A537C"/>
    <w:rsid w:val="003A58CF"/>
    <w:rsid w:val="003A58F0"/>
    <w:rsid w:val="003B2276"/>
    <w:rsid w:val="003B3106"/>
    <w:rsid w:val="003B3167"/>
    <w:rsid w:val="003B5419"/>
    <w:rsid w:val="003B6206"/>
    <w:rsid w:val="003C0ABC"/>
    <w:rsid w:val="003C2852"/>
    <w:rsid w:val="003C2E63"/>
    <w:rsid w:val="003C34AD"/>
    <w:rsid w:val="003C496A"/>
    <w:rsid w:val="003C5EE9"/>
    <w:rsid w:val="003D047C"/>
    <w:rsid w:val="003D095A"/>
    <w:rsid w:val="003D0C59"/>
    <w:rsid w:val="003D3F90"/>
    <w:rsid w:val="003D7C34"/>
    <w:rsid w:val="003E15CA"/>
    <w:rsid w:val="003E369E"/>
    <w:rsid w:val="003E4416"/>
    <w:rsid w:val="003E4FD4"/>
    <w:rsid w:val="003E7680"/>
    <w:rsid w:val="003F100A"/>
    <w:rsid w:val="003F1BC5"/>
    <w:rsid w:val="003F5826"/>
    <w:rsid w:val="003F7930"/>
    <w:rsid w:val="003F7A93"/>
    <w:rsid w:val="00400C7A"/>
    <w:rsid w:val="0040261C"/>
    <w:rsid w:val="0040389B"/>
    <w:rsid w:val="0040422A"/>
    <w:rsid w:val="00405F08"/>
    <w:rsid w:val="00406655"/>
    <w:rsid w:val="004076EF"/>
    <w:rsid w:val="00407AFA"/>
    <w:rsid w:val="0041373C"/>
    <w:rsid w:val="004142A7"/>
    <w:rsid w:val="0041483A"/>
    <w:rsid w:val="004167DC"/>
    <w:rsid w:val="004176F0"/>
    <w:rsid w:val="004218B5"/>
    <w:rsid w:val="004225D3"/>
    <w:rsid w:val="00423E4E"/>
    <w:rsid w:val="0042474B"/>
    <w:rsid w:val="004254CA"/>
    <w:rsid w:val="00427537"/>
    <w:rsid w:val="004304B7"/>
    <w:rsid w:val="00432BFA"/>
    <w:rsid w:val="00433034"/>
    <w:rsid w:val="004345D0"/>
    <w:rsid w:val="004348FD"/>
    <w:rsid w:val="004354ED"/>
    <w:rsid w:val="00435675"/>
    <w:rsid w:val="00440CDD"/>
    <w:rsid w:val="00441554"/>
    <w:rsid w:val="00441721"/>
    <w:rsid w:val="00442AF8"/>
    <w:rsid w:val="004454A8"/>
    <w:rsid w:val="00445794"/>
    <w:rsid w:val="00447D06"/>
    <w:rsid w:val="00447E70"/>
    <w:rsid w:val="00451250"/>
    <w:rsid w:val="00451CD3"/>
    <w:rsid w:val="00454EA4"/>
    <w:rsid w:val="00455C00"/>
    <w:rsid w:val="00461605"/>
    <w:rsid w:val="00461CF8"/>
    <w:rsid w:val="004627A2"/>
    <w:rsid w:val="00463BC1"/>
    <w:rsid w:val="00463CE8"/>
    <w:rsid w:val="0046706C"/>
    <w:rsid w:val="004671A4"/>
    <w:rsid w:val="00470680"/>
    <w:rsid w:val="00470887"/>
    <w:rsid w:val="004710D7"/>
    <w:rsid w:val="00473417"/>
    <w:rsid w:val="00474139"/>
    <w:rsid w:val="00475C24"/>
    <w:rsid w:val="004765EA"/>
    <w:rsid w:val="0048134E"/>
    <w:rsid w:val="00481413"/>
    <w:rsid w:val="00484DF0"/>
    <w:rsid w:val="004852C1"/>
    <w:rsid w:val="00485CA8"/>
    <w:rsid w:val="00486311"/>
    <w:rsid w:val="00486F09"/>
    <w:rsid w:val="004946F1"/>
    <w:rsid w:val="004951FE"/>
    <w:rsid w:val="00495A1E"/>
    <w:rsid w:val="00496036"/>
    <w:rsid w:val="004967CA"/>
    <w:rsid w:val="00496848"/>
    <w:rsid w:val="00497D3B"/>
    <w:rsid w:val="004A3F09"/>
    <w:rsid w:val="004A536A"/>
    <w:rsid w:val="004A54FA"/>
    <w:rsid w:val="004A5BFB"/>
    <w:rsid w:val="004A6D94"/>
    <w:rsid w:val="004A730B"/>
    <w:rsid w:val="004B0F65"/>
    <w:rsid w:val="004B1946"/>
    <w:rsid w:val="004B3DA7"/>
    <w:rsid w:val="004B431C"/>
    <w:rsid w:val="004B4E07"/>
    <w:rsid w:val="004C04E4"/>
    <w:rsid w:val="004C37FA"/>
    <w:rsid w:val="004C5E8E"/>
    <w:rsid w:val="004C6447"/>
    <w:rsid w:val="004C646D"/>
    <w:rsid w:val="004D0062"/>
    <w:rsid w:val="004D1714"/>
    <w:rsid w:val="004D2415"/>
    <w:rsid w:val="004D2D06"/>
    <w:rsid w:val="004D4F87"/>
    <w:rsid w:val="004D5A2B"/>
    <w:rsid w:val="004D5DBD"/>
    <w:rsid w:val="004D67AB"/>
    <w:rsid w:val="004E07A5"/>
    <w:rsid w:val="004E4357"/>
    <w:rsid w:val="004E69BC"/>
    <w:rsid w:val="004E7200"/>
    <w:rsid w:val="004E7E7F"/>
    <w:rsid w:val="004F2CD5"/>
    <w:rsid w:val="004F7843"/>
    <w:rsid w:val="00502B91"/>
    <w:rsid w:val="00503D4D"/>
    <w:rsid w:val="005116F5"/>
    <w:rsid w:val="00511A21"/>
    <w:rsid w:val="00511B41"/>
    <w:rsid w:val="00511FD4"/>
    <w:rsid w:val="005122FB"/>
    <w:rsid w:val="00514A1F"/>
    <w:rsid w:val="00514C49"/>
    <w:rsid w:val="00521028"/>
    <w:rsid w:val="00521335"/>
    <w:rsid w:val="00521687"/>
    <w:rsid w:val="00522F4E"/>
    <w:rsid w:val="00523B39"/>
    <w:rsid w:val="00523E11"/>
    <w:rsid w:val="0052624F"/>
    <w:rsid w:val="0052638B"/>
    <w:rsid w:val="005269C9"/>
    <w:rsid w:val="00527151"/>
    <w:rsid w:val="0052731C"/>
    <w:rsid w:val="00530660"/>
    <w:rsid w:val="00530BF5"/>
    <w:rsid w:val="00531380"/>
    <w:rsid w:val="00531A6C"/>
    <w:rsid w:val="0053445F"/>
    <w:rsid w:val="0053447E"/>
    <w:rsid w:val="00534A68"/>
    <w:rsid w:val="00535DAB"/>
    <w:rsid w:val="00536732"/>
    <w:rsid w:val="00537870"/>
    <w:rsid w:val="00540A54"/>
    <w:rsid w:val="005417E1"/>
    <w:rsid w:val="00542B3B"/>
    <w:rsid w:val="00546081"/>
    <w:rsid w:val="005467F2"/>
    <w:rsid w:val="0055265F"/>
    <w:rsid w:val="0055274C"/>
    <w:rsid w:val="00553110"/>
    <w:rsid w:val="00554D00"/>
    <w:rsid w:val="00555D70"/>
    <w:rsid w:val="0056179C"/>
    <w:rsid w:val="00561F9A"/>
    <w:rsid w:val="00563E30"/>
    <w:rsid w:val="00566822"/>
    <w:rsid w:val="0056706E"/>
    <w:rsid w:val="00572CBB"/>
    <w:rsid w:val="00573070"/>
    <w:rsid w:val="00576382"/>
    <w:rsid w:val="00577B0A"/>
    <w:rsid w:val="00580496"/>
    <w:rsid w:val="005840C2"/>
    <w:rsid w:val="00584931"/>
    <w:rsid w:val="00586D02"/>
    <w:rsid w:val="00586F23"/>
    <w:rsid w:val="00587737"/>
    <w:rsid w:val="00590B35"/>
    <w:rsid w:val="00590F1A"/>
    <w:rsid w:val="00591B6D"/>
    <w:rsid w:val="00592C35"/>
    <w:rsid w:val="00592C73"/>
    <w:rsid w:val="00592EBC"/>
    <w:rsid w:val="005937CB"/>
    <w:rsid w:val="00594276"/>
    <w:rsid w:val="0059702C"/>
    <w:rsid w:val="005974F3"/>
    <w:rsid w:val="005A4306"/>
    <w:rsid w:val="005A7AFE"/>
    <w:rsid w:val="005B0C51"/>
    <w:rsid w:val="005B3EC0"/>
    <w:rsid w:val="005B4486"/>
    <w:rsid w:val="005B46C9"/>
    <w:rsid w:val="005B48E3"/>
    <w:rsid w:val="005C2310"/>
    <w:rsid w:val="005C3C83"/>
    <w:rsid w:val="005C4D12"/>
    <w:rsid w:val="005D190F"/>
    <w:rsid w:val="005D2591"/>
    <w:rsid w:val="005D261B"/>
    <w:rsid w:val="005D3C50"/>
    <w:rsid w:val="005D51D1"/>
    <w:rsid w:val="005D55FC"/>
    <w:rsid w:val="005D5F01"/>
    <w:rsid w:val="005D7824"/>
    <w:rsid w:val="005E035A"/>
    <w:rsid w:val="005E1B1F"/>
    <w:rsid w:val="005E59C7"/>
    <w:rsid w:val="005E760C"/>
    <w:rsid w:val="005E7ABE"/>
    <w:rsid w:val="005F273D"/>
    <w:rsid w:val="005F4156"/>
    <w:rsid w:val="005F6A96"/>
    <w:rsid w:val="005F7044"/>
    <w:rsid w:val="005F76F6"/>
    <w:rsid w:val="00600B3D"/>
    <w:rsid w:val="00607D2D"/>
    <w:rsid w:val="00610223"/>
    <w:rsid w:val="006107B8"/>
    <w:rsid w:val="00615B64"/>
    <w:rsid w:val="006173B0"/>
    <w:rsid w:val="00617678"/>
    <w:rsid w:val="00617E6B"/>
    <w:rsid w:val="006206AA"/>
    <w:rsid w:val="00621487"/>
    <w:rsid w:val="00621991"/>
    <w:rsid w:val="006227A9"/>
    <w:rsid w:val="0062441C"/>
    <w:rsid w:val="00624D7B"/>
    <w:rsid w:val="00627CFF"/>
    <w:rsid w:val="0063088B"/>
    <w:rsid w:val="00633697"/>
    <w:rsid w:val="00634144"/>
    <w:rsid w:val="0063523A"/>
    <w:rsid w:val="00636C48"/>
    <w:rsid w:val="0064095F"/>
    <w:rsid w:val="00641DDD"/>
    <w:rsid w:val="00642093"/>
    <w:rsid w:val="0064435E"/>
    <w:rsid w:val="00644937"/>
    <w:rsid w:val="00646BD5"/>
    <w:rsid w:val="00646D89"/>
    <w:rsid w:val="00647B98"/>
    <w:rsid w:val="00652855"/>
    <w:rsid w:val="00655CCB"/>
    <w:rsid w:val="00657EBF"/>
    <w:rsid w:val="0066017A"/>
    <w:rsid w:val="00660C1A"/>
    <w:rsid w:val="00661708"/>
    <w:rsid w:val="00664C73"/>
    <w:rsid w:val="00670337"/>
    <w:rsid w:val="00671426"/>
    <w:rsid w:val="00671598"/>
    <w:rsid w:val="00671926"/>
    <w:rsid w:val="00673370"/>
    <w:rsid w:val="00673AF8"/>
    <w:rsid w:val="006741E6"/>
    <w:rsid w:val="00676669"/>
    <w:rsid w:val="00681440"/>
    <w:rsid w:val="0068315E"/>
    <w:rsid w:val="00683DE0"/>
    <w:rsid w:val="00685DAB"/>
    <w:rsid w:val="0068651E"/>
    <w:rsid w:val="00686EA3"/>
    <w:rsid w:val="0069307E"/>
    <w:rsid w:val="0069315A"/>
    <w:rsid w:val="00693507"/>
    <w:rsid w:val="00693C57"/>
    <w:rsid w:val="00693CEC"/>
    <w:rsid w:val="00694A2E"/>
    <w:rsid w:val="00694E4C"/>
    <w:rsid w:val="00697368"/>
    <w:rsid w:val="00697A48"/>
    <w:rsid w:val="006A0105"/>
    <w:rsid w:val="006A0198"/>
    <w:rsid w:val="006A0514"/>
    <w:rsid w:val="006A2422"/>
    <w:rsid w:val="006A4B91"/>
    <w:rsid w:val="006A63E2"/>
    <w:rsid w:val="006B01FE"/>
    <w:rsid w:val="006B0209"/>
    <w:rsid w:val="006B022A"/>
    <w:rsid w:val="006B040A"/>
    <w:rsid w:val="006B202C"/>
    <w:rsid w:val="006B43BB"/>
    <w:rsid w:val="006B5A3C"/>
    <w:rsid w:val="006B7682"/>
    <w:rsid w:val="006C05A3"/>
    <w:rsid w:val="006C14B0"/>
    <w:rsid w:val="006C4098"/>
    <w:rsid w:val="006C551A"/>
    <w:rsid w:val="006C6D40"/>
    <w:rsid w:val="006D0458"/>
    <w:rsid w:val="006D0694"/>
    <w:rsid w:val="006D0AD8"/>
    <w:rsid w:val="006D0C0A"/>
    <w:rsid w:val="006D1A76"/>
    <w:rsid w:val="006D1C9F"/>
    <w:rsid w:val="006D2849"/>
    <w:rsid w:val="006D4990"/>
    <w:rsid w:val="006D5D9B"/>
    <w:rsid w:val="006D6456"/>
    <w:rsid w:val="006D655B"/>
    <w:rsid w:val="006D70EA"/>
    <w:rsid w:val="006D74AB"/>
    <w:rsid w:val="006D775B"/>
    <w:rsid w:val="006E1930"/>
    <w:rsid w:val="006E206D"/>
    <w:rsid w:val="006E2DA8"/>
    <w:rsid w:val="006E3103"/>
    <w:rsid w:val="006E32E6"/>
    <w:rsid w:val="006E4DEA"/>
    <w:rsid w:val="006F14A4"/>
    <w:rsid w:val="006F1831"/>
    <w:rsid w:val="006F1F5E"/>
    <w:rsid w:val="006F2CDD"/>
    <w:rsid w:val="006F2D3B"/>
    <w:rsid w:val="006F4AD5"/>
    <w:rsid w:val="006F55B0"/>
    <w:rsid w:val="006F5812"/>
    <w:rsid w:val="006F7505"/>
    <w:rsid w:val="006F75CA"/>
    <w:rsid w:val="006F7AF2"/>
    <w:rsid w:val="00702E37"/>
    <w:rsid w:val="007055F3"/>
    <w:rsid w:val="007063ED"/>
    <w:rsid w:val="00707D69"/>
    <w:rsid w:val="00710905"/>
    <w:rsid w:val="00711EAD"/>
    <w:rsid w:val="00711FAD"/>
    <w:rsid w:val="007126DD"/>
    <w:rsid w:val="00716D34"/>
    <w:rsid w:val="00717CE0"/>
    <w:rsid w:val="00722B25"/>
    <w:rsid w:val="00722E7B"/>
    <w:rsid w:val="00723BC5"/>
    <w:rsid w:val="00724B5C"/>
    <w:rsid w:val="0073048C"/>
    <w:rsid w:val="00730670"/>
    <w:rsid w:val="00730ACF"/>
    <w:rsid w:val="00730BC4"/>
    <w:rsid w:val="00731939"/>
    <w:rsid w:val="00731A17"/>
    <w:rsid w:val="00732E4A"/>
    <w:rsid w:val="00733E6C"/>
    <w:rsid w:val="00734BB9"/>
    <w:rsid w:val="007359AF"/>
    <w:rsid w:val="007374CC"/>
    <w:rsid w:val="00740053"/>
    <w:rsid w:val="007410DB"/>
    <w:rsid w:val="00742204"/>
    <w:rsid w:val="007432F1"/>
    <w:rsid w:val="007450F9"/>
    <w:rsid w:val="00746E71"/>
    <w:rsid w:val="00747B29"/>
    <w:rsid w:val="00750963"/>
    <w:rsid w:val="00750A76"/>
    <w:rsid w:val="0075157F"/>
    <w:rsid w:val="00752666"/>
    <w:rsid w:val="0075387C"/>
    <w:rsid w:val="0075483C"/>
    <w:rsid w:val="00756649"/>
    <w:rsid w:val="00760979"/>
    <w:rsid w:val="00761E41"/>
    <w:rsid w:val="007631DE"/>
    <w:rsid w:val="007633C6"/>
    <w:rsid w:val="007637BE"/>
    <w:rsid w:val="0076485C"/>
    <w:rsid w:val="00764C05"/>
    <w:rsid w:val="00766AD7"/>
    <w:rsid w:val="00766C00"/>
    <w:rsid w:val="00766EC0"/>
    <w:rsid w:val="00770035"/>
    <w:rsid w:val="00770C73"/>
    <w:rsid w:val="00771229"/>
    <w:rsid w:val="007725FE"/>
    <w:rsid w:val="00772D89"/>
    <w:rsid w:val="00775161"/>
    <w:rsid w:val="007751D8"/>
    <w:rsid w:val="00775630"/>
    <w:rsid w:val="0077588B"/>
    <w:rsid w:val="007763BF"/>
    <w:rsid w:val="007778CC"/>
    <w:rsid w:val="00780299"/>
    <w:rsid w:val="00785370"/>
    <w:rsid w:val="00791883"/>
    <w:rsid w:val="007920A1"/>
    <w:rsid w:val="00792D2F"/>
    <w:rsid w:val="007932C8"/>
    <w:rsid w:val="0079710E"/>
    <w:rsid w:val="007A509F"/>
    <w:rsid w:val="007A578F"/>
    <w:rsid w:val="007A7FC7"/>
    <w:rsid w:val="007B084D"/>
    <w:rsid w:val="007B126C"/>
    <w:rsid w:val="007B1F1A"/>
    <w:rsid w:val="007B28CF"/>
    <w:rsid w:val="007B3795"/>
    <w:rsid w:val="007B4D68"/>
    <w:rsid w:val="007B6FAB"/>
    <w:rsid w:val="007B7968"/>
    <w:rsid w:val="007C0536"/>
    <w:rsid w:val="007C275A"/>
    <w:rsid w:val="007C3E49"/>
    <w:rsid w:val="007C4B51"/>
    <w:rsid w:val="007C6E81"/>
    <w:rsid w:val="007D011B"/>
    <w:rsid w:val="007D1E0D"/>
    <w:rsid w:val="007D4BB9"/>
    <w:rsid w:val="007D5797"/>
    <w:rsid w:val="007D6651"/>
    <w:rsid w:val="007D78BE"/>
    <w:rsid w:val="007E077A"/>
    <w:rsid w:val="007E07DD"/>
    <w:rsid w:val="007E1403"/>
    <w:rsid w:val="007E526E"/>
    <w:rsid w:val="007E726E"/>
    <w:rsid w:val="007F015D"/>
    <w:rsid w:val="007F0924"/>
    <w:rsid w:val="007F1355"/>
    <w:rsid w:val="007F1467"/>
    <w:rsid w:val="007F18BF"/>
    <w:rsid w:val="007F4CF9"/>
    <w:rsid w:val="007F5562"/>
    <w:rsid w:val="007F6F7B"/>
    <w:rsid w:val="007F7FA9"/>
    <w:rsid w:val="008004C3"/>
    <w:rsid w:val="00801673"/>
    <w:rsid w:val="00801F36"/>
    <w:rsid w:val="00807BC1"/>
    <w:rsid w:val="00810116"/>
    <w:rsid w:val="00810C0A"/>
    <w:rsid w:val="008113AA"/>
    <w:rsid w:val="00813448"/>
    <w:rsid w:val="0081463B"/>
    <w:rsid w:val="00822723"/>
    <w:rsid w:val="00825104"/>
    <w:rsid w:val="00826546"/>
    <w:rsid w:val="00826B0D"/>
    <w:rsid w:val="0083037B"/>
    <w:rsid w:val="0083149B"/>
    <w:rsid w:val="00831690"/>
    <w:rsid w:val="00831CBA"/>
    <w:rsid w:val="008322E8"/>
    <w:rsid w:val="00833D26"/>
    <w:rsid w:val="008361BB"/>
    <w:rsid w:val="008369DC"/>
    <w:rsid w:val="00837E70"/>
    <w:rsid w:val="00843F97"/>
    <w:rsid w:val="00846703"/>
    <w:rsid w:val="00852A35"/>
    <w:rsid w:val="00855334"/>
    <w:rsid w:val="00857DF8"/>
    <w:rsid w:val="00857EA4"/>
    <w:rsid w:val="00863291"/>
    <w:rsid w:val="00863730"/>
    <w:rsid w:val="008637B0"/>
    <w:rsid w:val="00866DC7"/>
    <w:rsid w:val="00867B94"/>
    <w:rsid w:val="00870ACC"/>
    <w:rsid w:val="008710F1"/>
    <w:rsid w:val="00874FAB"/>
    <w:rsid w:val="008803F0"/>
    <w:rsid w:val="008854D4"/>
    <w:rsid w:val="00886213"/>
    <w:rsid w:val="0088756E"/>
    <w:rsid w:val="00887929"/>
    <w:rsid w:val="008902C0"/>
    <w:rsid w:val="00892760"/>
    <w:rsid w:val="00893065"/>
    <w:rsid w:val="008949D4"/>
    <w:rsid w:val="008A0A09"/>
    <w:rsid w:val="008A1564"/>
    <w:rsid w:val="008A2C39"/>
    <w:rsid w:val="008A3C8E"/>
    <w:rsid w:val="008A5D34"/>
    <w:rsid w:val="008A6263"/>
    <w:rsid w:val="008A7A3D"/>
    <w:rsid w:val="008B31E1"/>
    <w:rsid w:val="008B5CD1"/>
    <w:rsid w:val="008B6459"/>
    <w:rsid w:val="008C0FC4"/>
    <w:rsid w:val="008C1EFF"/>
    <w:rsid w:val="008C322A"/>
    <w:rsid w:val="008C3344"/>
    <w:rsid w:val="008D3D4A"/>
    <w:rsid w:val="008D7C82"/>
    <w:rsid w:val="008E0C93"/>
    <w:rsid w:val="008E12D6"/>
    <w:rsid w:val="008E1A76"/>
    <w:rsid w:val="008E33B6"/>
    <w:rsid w:val="008E3A29"/>
    <w:rsid w:val="008E603E"/>
    <w:rsid w:val="008E6FF3"/>
    <w:rsid w:val="008F07DD"/>
    <w:rsid w:val="008F3281"/>
    <w:rsid w:val="008F5D81"/>
    <w:rsid w:val="008F619B"/>
    <w:rsid w:val="008F77EA"/>
    <w:rsid w:val="008F7C52"/>
    <w:rsid w:val="0090036E"/>
    <w:rsid w:val="0090363F"/>
    <w:rsid w:val="00905CBA"/>
    <w:rsid w:val="00905DD2"/>
    <w:rsid w:val="00906297"/>
    <w:rsid w:val="009076CF"/>
    <w:rsid w:val="0091077D"/>
    <w:rsid w:val="00910A34"/>
    <w:rsid w:val="009215A9"/>
    <w:rsid w:val="00921A9D"/>
    <w:rsid w:val="00926434"/>
    <w:rsid w:val="009277B9"/>
    <w:rsid w:val="00930030"/>
    <w:rsid w:val="00930809"/>
    <w:rsid w:val="00930E87"/>
    <w:rsid w:val="00931060"/>
    <w:rsid w:val="009319D1"/>
    <w:rsid w:val="00931DCC"/>
    <w:rsid w:val="00936D82"/>
    <w:rsid w:val="00937437"/>
    <w:rsid w:val="00937934"/>
    <w:rsid w:val="00944C20"/>
    <w:rsid w:val="00945BCD"/>
    <w:rsid w:val="00945F15"/>
    <w:rsid w:val="009468DD"/>
    <w:rsid w:val="0094729C"/>
    <w:rsid w:val="009478C3"/>
    <w:rsid w:val="0094797B"/>
    <w:rsid w:val="00947F17"/>
    <w:rsid w:val="00953403"/>
    <w:rsid w:val="00953E69"/>
    <w:rsid w:val="00954223"/>
    <w:rsid w:val="00955CDB"/>
    <w:rsid w:val="00956375"/>
    <w:rsid w:val="00957D68"/>
    <w:rsid w:val="009626A3"/>
    <w:rsid w:val="00964F17"/>
    <w:rsid w:val="00964FA7"/>
    <w:rsid w:val="00965911"/>
    <w:rsid w:val="00966015"/>
    <w:rsid w:val="00966341"/>
    <w:rsid w:val="00966C94"/>
    <w:rsid w:val="009672D9"/>
    <w:rsid w:val="00967C8D"/>
    <w:rsid w:val="00967D0F"/>
    <w:rsid w:val="0097107B"/>
    <w:rsid w:val="00972069"/>
    <w:rsid w:val="009734B9"/>
    <w:rsid w:val="00976AB7"/>
    <w:rsid w:val="00976F5C"/>
    <w:rsid w:val="00977941"/>
    <w:rsid w:val="009825B2"/>
    <w:rsid w:val="00985AD0"/>
    <w:rsid w:val="00990266"/>
    <w:rsid w:val="00990945"/>
    <w:rsid w:val="00990C79"/>
    <w:rsid w:val="0099167B"/>
    <w:rsid w:val="00994DE6"/>
    <w:rsid w:val="00996687"/>
    <w:rsid w:val="00997FAA"/>
    <w:rsid w:val="009A029D"/>
    <w:rsid w:val="009A2D15"/>
    <w:rsid w:val="009A39C4"/>
    <w:rsid w:val="009A6554"/>
    <w:rsid w:val="009A6F59"/>
    <w:rsid w:val="009A7A65"/>
    <w:rsid w:val="009B0789"/>
    <w:rsid w:val="009B336D"/>
    <w:rsid w:val="009B38AF"/>
    <w:rsid w:val="009B5CAC"/>
    <w:rsid w:val="009B68CB"/>
    <w:rsid w:val="009B6944"/>
    <w:rsid w:val="009B6CE2"/>
    <w:rsid w:val="009C5933"/>
    <w:rsid w:val="009C7252"/>
    <w:rsid w:val="009D082E"/>
    <w:rsid w:val="009D1624"/>
    <w:rsid w:val="009D229F"/>
    <w:rsid w:val="009D4381"/>
    <w:rsid w:val="009D4DB4"/>
    <w:rsid w:val="009D6B82"/>
    <w:rsid w:val="009E0E05"/>
    <w:rsid w:val="009E133B"/>
    <w:rsid w:val="009E22FB"/>
    <w:rsid w:val="009E2605"/>
    <w:rsid w:val="009E2BDB"/>
    <w:rsid w:val="009E3713"/>
    <w:rsid w:val="009E4B67"/>
    <w:rsid w:val="009E5117"/>
    <w:rsid w:val="009E68A6"/>
    <w:rsid w:val="009E7137"/>
    <w:rsid w:val="009E72D0"/>
    <w:rsid w:val="009F0112"/>
    <w:rsid w:val="009F3A0D"/>
    <w:rsid w:val="009F4F12"/>
    <w:rsid w:val="009F500B"/>
    <w:rsid w:val="009F5CEE"/>
    <w:rsid w:val="009F6C1E"/>
    <w:rsid w:val="00A003D8"/>
    <w:rsid w:val="00A003E6"/>
    <w:rsid w:val="00A00976"/>
    <w:rsid w:val="00A00C57"/>
    <w:rsid w:val="00A05FF5"/>
    <w:rsid w:val="00A0705E"/>
    <w:rsid w:val="00A0714C"/>
    <w:rsid w:val="00A12209"/>
    <w:rsid w:val="00A138B0"/>
    <w:rsid w:val="00A13DB9"/>
    <w:rsid w:val="00A1450C"/>
    <w:rsid w:val="00A152E9"/>
    <w:rsid w:val="00A20606"/>
    <w:rsid w:val="00A215E5"/>
    <w:rsid w:val="00A22391"/>
    <w:rsid w:val="00A22B13"/>
    <w:rsid w:val="00A23CE4"/>
    <w:rsid w:val="00A2532C"/>
    <w:rsid w:val="00A26F0A"/>
    <w:rsid w:val="00A2722C"/>
    <w:rsid w:val="00A278A8"/>
    <w:rsid w:val="00A309E7"/>
    <w:rsid w:val="00A30AF5"/>
    <w:rsid w:val="00A338D8"/>
    <w:rsid w:val="00A37B25"/>
    <w:rsid w:val="00A4237B"/>
    <w:rsid w:val="00A461AC"/>
    <w:rsid w:val="00A47333"/>
    <w:rsid w:val="00A473CB"/>
    <w:rsid w:val="00A51CCD"/>
    <w:rsid w:val="00A55BC4"/>
    <w:rsid w:val="00A562A9"/>
    <w:rsid w:val="00A60DBE"/>
    <w:rsid w:val="00A61452"/>
    <w:rsid w:val="00A63064"/>
    <w:rsid w:val="00A63CB2"/>
    <w:rsid w:val="00A64072"/>
    <w:rsid w:val="00A642E1"/>
    <w:rsid w:val="00A64451"/>
    <w:rsid w:val="00A646C8"/>
    <w:rsid w:val="00A65AE5"/>
    <w:rsid w:val="00A6622D"/>
    <w:rsid w:val="00A67AE1"/>
    <w:rsid w:val="00A70C1E"/>
    <w:rsid w:val="00A70DA6"/>
    <w:rsid w:val="00A73E34"/>
    <w:rsid w:val="00A76A1D"/>
    <w:rsid w:val="00A77C3B"/>
    <w:rsid w:val="00A8338D"/>
    <w:rsid w:val="00A83572"/>
    <w:rsid w:val="00A84C78"/>
    <w:rsid w:val="00A86FD2"/>
    <w:rsid w:val="00A87040"/>
    <w:rsid w:val="00A87A63"/>
    <w:rsid w:val="00A90745"/>
    <w:rsid w:val="00A909B9"/>
    <w:rsid w:val="00A91723"/>
    <w:rsid w:val="00A91935"/>
    <w:rsid w:val="00A93179"/>
    <w:rsid w:val="00AA1279"/>
    <w:rsid w:val="00AA34B9"/>
    <w:rsid w:val="00AA64DD"/>
    <w:rsid w:val="00AB13C7"/>
    <w:rsid w:val="00AB1C48"/>
    <w:rsid w:val="00AB356A"/>
    <w:rsid w:val="00AB3F1F"/>
    <w:rsid w:val="00AB4538"/>
    <w:rsid w:val="00AB523B"/>
    <w:rsid w:val="00AB5367"/>
    <w:rsid w:val="00AB6318"/>
    <w:rsid w:val="00AC01FB"/>
    <w:rsid w:val="00AC128B"/>
    <w:rsid w:val="00AC2B43"/>
    <w:rsid w:val="00AC4050"/>
    <w:rsid w:val="00AC44F0"/>
    <w:rsid w:val="00AC4855"/>
    <w:rsid w:val="00AC54AA"/>
    <w:rsid w:val="00AC580B"/>
    <w:rsid w:val="00AC6FC8"/>
    <w:rsid w:val="00AD21FE"/>
    <w:rsid w:val="00AD3E82"/>
    <w:rsid w:val="00AD4B4C"/>
    <w:rsid w:val="00AD4F68"/>
    <w:rsid w:val="00AD5A86"/>
    <w:rsid w:val="00AD5D54"/>
    <w:rsid w:val="00AD7FD2"/>
    <w:rsid w:val="00AE2628"/>
    <w:rsid w:val="00AE2C5C"/>
    <w:rsid w:val="00AE7384"/>
    <w:rsid w:val="00AE7779"/>
    <w:rsid w:val="00AE7BE7"/>
    <w:rsid w:val="00AF0C3B"/>
    <w:rsid w:val="00AF1E65"/>
    <w:rsid w:val="00AF24C9"/>
    <w:rsid w:val="00AF2A7C"/>
    <w:rsid w:val="00AF2AE8"/>
    <w:rsid w:val="00AF3C5F"/>
    <w:rsid w:val="00AF4260"/>
    <w:rsid w:val="00AF6D00"/>
    <w:rsid w:val="00B006BA"/>
    <w:rsid w:val="00B0116F"/>
    <w:rsid w:val="00B03D08"/>
    <w:rsid w:val="00B046CE"/>
    <w:rsid w:val="00B054CC"/>
    <w:rsid w:val="00B06D8B"/>
    <w:rsid w:val="00B10C8B"/>
    <w:rsid w:val="00B114E1"/>
    <w:rsid w:val="00B13A4D"/>
    <w:rsid w:val="00B143D0"/>
    <w:rsid w:val="00B17189"/>
    <w:rsid w:val="00B23E40"/>
    <w:rsid w:val="00B240F1"/>
    <w:rsid w:val="00B2545F"/>
    <w:rsid w:val="00B259CC"/>
    <w:rsid w:val="00B31E62"/>
    <w:rsid w:val="00B33F58"/>
    <w:rsid w:val="00B34F88"/>
    <w:rsid w:val="00B36BFE"/>
    <w:rsid w:val="00B370D5"/>
    <w:rsid w:val="00B410E3"/>
    <w:rsid w:val="00B41498"/>
    <w:rsid w:val="00B41B8E"/>
    <w:rsid w:val="00B42E04"/>
    <w:rsid w:val="00B43537"/>
    <w:rsid w:val="00B43B98"/>
    <w:rsid w:val="00B43F3B"/>
    <w:rsid w:val="00B45612"/>
    <w:rsid w:val="00B5030E"/>
    <w:rsid w:val="00B52012"/>
    <w:rsid w:val="00B52154"/>
    <w:rsid w:val="00B521A6"/>
    <w:rsid w:val="00B539A2"/>
    <w:rsid w:val="00B53D3F"/>
    <w:rsid w:val="00B54516"/>
    <w:rsid w:val="00B55119"/>
    <w:rsid w:val="00B55397"/>
    <w:rsid w:val="00B5658C"/>
    <w:rsid w:val="00B603F2"/>
    <w:rsid w:val="00B60DDF"/>
    <w:rsid w:val="00B63573"/>
    <w:rsid w:val="00B6517F"/>
    <w:rsid w:val="00B67B47"/>
    <w:rsid w:val="00B7014C"/>
    <w:rsid w:val="00B71062"/>
    <w:rsid w:val="00B71092"/>
    <w:rsid w:val="00B71B2A"/>
    <w:rsid w:val="00B74185"/>
    <w:rsid w:val="00B7470C"/>
    <w:rsid w:val="00B753EB"/>
    <w:rsid w:val="00B864D9"/>
    <w:rsid w:val="00B86C00"/>
    <w:rsid w:val="00B87931"/>
    <w:rsid w:val="00B9284F"/>
    <w:rsid w:val="00B92A3E"/>
    <w:rsid w:val="00B9427C"/>
    <w:rsid w:val="00B95666"/>
    <w:rsid w:val="00B9735A"/>
    <w:rsid w:val="00B974C5"/>
    <w:rsid w:val="00B97CC1"/>
    <w:rsid w:val="00BA0533"/>
    <w:rsid w:val="00BA0ADE"/>
    <w:rsid w:val="00BA59DF"/>
    <w:rsid w:val="00BA7C78"/>
    <w:rsid w:val="00BA7FC5"/>
    <w:rsid w:val="00BB12E1"/>
    <w:rsid w:val="00BB1E4A"/>
    <w:rsid w:val="00BB2153"/>
    <w:rsid w:val="00BB6D86"/>
    <w:rsid w:val="00BB7841"/>
    <w:rsid w:val="00BB7844"/>
    <w:rsid w:val="00BC2929"/>
    <w:rsid w:val="00BC4101"/>
    <w:rsid w:val="00BC5D79"/>
    <w:rsid w:val="00BC7449"/>
    <w:rsid w:val="00BD093A"/>
    <w:rsid w:val="00BD25B2"/>
    <w:rsid w:val="00BD2CA7"/>
    <w:rsid w:val="00BD31A2"/>
    <w:rsid w:val="00BD4853"/>
    <w:rsid w:val="00BD4EB5"/>
    <w:rsid w:val="00BD5A1C"/>
    <w:rsid w:val="00BD7317"/>
    <w:rsid w:val="00BD78C2"/>
    <w:rsid w:val="00BE1992"/>
    <w:rsid w:val="00BE2405"/>
    <w:rsid w:val="00BE2F26"/>
    <w:rsid w:val="00BE3C63"/>
    <w:rsid w:val="00BE44D1"/>
    <w:rsid w:val="00BE538F"/>
    <w:rsid w:val="00BE5677"/>
    <w:rsid w:val="00BE7617"/>
    <w:rsid w:val="00BE7DE0"/>
    <w:rsid w:val="00BF2ADA"/>
    <w:rsid w:val="00BF3422"/>
    <w:rsid w:val="00BF3656"/>
    <w:rsid w:val="00BF4001"/>
    <w:rsid w:val="00BF610F"/>
    <w:rsid w:val="00BF78F4"/>
    <w:rsid w:val="00C00969"/>
    <w:rsid w:val="00C00D37"/>
    <w:rsid w:val="00C00F83"/>
    <w:rsid w:val="00C01E23"/>
    <w:rsid w:val="00C04FE1"/>
    <w:rsid w:val="00C06D21"/>
    <w:rsid w:val="00C06ED8"/>
    <w:rsid w:val="00C1082A"/>
    <w:rsid w:val="00C13E75"/>
    <w:rsid w:val="00C320C6"/>
    <w:rsid w:val="00C329FC"/>
    <w:rsid w:val="00C33C73"/>
    <w:rsid w:val="00C401A2"/>
    <w:rsid w:val="00C40873"/>
    <w:rsid w:val="00C4133A"/>
    <w:rsid w:val="00C447F7"/>
    <w:rsid w:val="00C46B1C"/>
    <w:rsid w:val="00C46B8C"/>
    <w:rsid w:val="00C476C2"/>
    <w:rsid w:val="00C4782C"/>
    <w:rsid w:val="00C51530"/>
    <w:rsid w:val="00C51577"/>
    <w:rsid w:val="00C51F17"/>
    <w:rsid w:val="00C522B5"/>
    <w:rsid w:val="00C524A6"/>
    <w:rsid w:val="00C53E17"/>
    <w:rsid w:val="00C54C62"/>
    <w:rsid w:val="00C56F54"/>
    <w:rsid w:val="00C57585"/>
    <w:rsid w:val="00C63842"/>
    <w:rsid w:val="00C64C51"/>
    <w:rsid w:val="00C65B16"/>
    <w:rsid w:val="00C66351"/>
    <w:rsid w:val="00C6666A"/>
    <w:rsid w:val="00C70E7C"/>
    <w:rsid w:val="00C746B9"/>
    <w:rsid w:val="00C752F2"/>
    <w:rsid w:val="00C7546B"/>
    <w:rsid w:val="00C75F35"/>
    <w:rsid w:val="00C76828"/>
    <w:rsid w:val="00C77D6C"/>
    <w:rsid w:val="00C8244E"/>
    <w:rsid w:val="00C82604"/>
    <w:rsid w:val="00C82FDB"/>
    <w:rsid w:val="00C83571"/>
    <w:rsid w:val="00C83FD2"/>
    <w:rsid w:val="00C84E12"/>
    <w:rsid w:val="00C84FBD"/>
    <w:rsid w:val="00C86586"/>
    <w:rsid w:val="00C86E0C"/>
    <w:rsid w:val="00C87EB1"/>
    <w:rsid w:val="00C95740"/>
    <w:rsid w:val="00C97309"/>
    <w:rsid w:val="00C97947"/>
    <w:rsid w:val="00CA3A36"/>
    <w:rsid w:val="00CA3AE1"/>
    <w:rsid w:val="00CA3C47"/>
    <w:rsid w:val="00CA42E3"/>
    <w:rsid w:val="00CA5352"/>
    <w:rsid w:val="00CA5E42"/>
    <w:rsid w:val="00CB01B4"/>
    <w:rsid w:val="00CB33BC"/>
    <w:rsid w:val="00CB40CE"/>
    <w:rsid w:val="00CB4FE1"/>
    <w:rsid w:val="00CB59C9"/>
    <w:rsid w:val="00CB5E28"/>
    <w:rsid w:val="00CB69FB"/>
    <w:rsid w:val="00CC10E8"/>
    <w:rsid w:val="00CC1357"/>
    <w:rsid w:val="00CC218F"/>
    <w:rsid w:val="00CC2467"/>
    <w:rsid w:val="00CC2E1B"/>
    <w:rsid w:val="00CC3DA1"/>
    <w:rsid w:val="00CC45D1"/>
    <w:rsid w:val="00CC7B01"/>
    <w:rsid w:val="00CD0677"/>
    <w:rsid w:val="00CD125A"/>
    <w:rsid w:val="00CD2E42"/>
    <w:rsid w:val="00CD5869"/>
    <w:rsid w:val="00CD5A19"/>
    <w:rsid w:val="00CD5F09"/>
    <w:rsid w:val="00CD603A"/>
    <w:rsid w:val="00CE190F"/>
    <w:rsid w:val="00CE1D46"/>
    <w:rsid w:val="00CE2A1E"/>
    <w:rsid w:val="00CE3E35"/>
    <w:rsid w:val="00CE6CB1"/>
    <w:rsid w:val="00CE79FA"/>
    <w:rsid w:val="00CF13C6"/>
    <w:rsid w:val="00CF265A"/>
    <w:rsid w:val="00CF2912"/>
    <w:rsid w:val="00CF3C48"/>
    <w:rsid w:val="00CF511B"/>
    <w:rsid w:val="00D011F7"/>
    <w:rsid w:val="00D05B9C"/>
    <w:rsid w:val="00D06772"/>
    <w:rsid w:val="00D06F8F"/>
    <w:rsid w:val="00D13EAB"/>
    <w:rsid w:val="00D15F0F"/>
    <w:rsid w:val="00D2220C"/>
    <w:rsid w:val="00D2288C"/>
    <w:rsid w:val="00D25B73"/>
    <w:rsid w:val="00D269BB"/>
    <w:rsid w:val="00D269D7"/>
    <w:rsid w:val="00D26F36"/>
    <w:rsid w:val="00D31899"/>
    <w:rsid w:val="00D31A46"/>
    <w:rsid w:val="00D33CEF"/>
    <w:rsid w:val="00D3508B"/>
    <w:rsid w:val="00D36018"/>
    <w:rsid w:val="00D3717D"/>
    <w:rsid w:val="00D378F9"/>
    <w:rsid w:val="00D37F35"/>
    <w:rsid w:val="00D40BB9"/>
    <w:rsid w:val="00D40F24"/>
    <w:rsid w:val="00D41086"/>
    <w:rsid w:val="00D42A03"/>
    <w:rsid w:val="00D42C03"/>
    <w:rsid w:val="00D4392C"/>
    <w:rsid w:val="00D43AF0"/>
    <w:rsid w:val="00D43FD0"/>
    <w:rsid w:val="00D4420C"/>
    <w:rsid w:val="00D465ED"/>
    <w:rsid w:val="00D576E2"/>
    <w:rsid w:val="00D6091D"/>
    <w:rsid w:val="00D60E13"/>
    <w:rsid w:val="00D62287"/>
    <w:rsid w:val="00D6256F"/>
    <w:rsid w:val="00D63B4F"/>
    <w:rsid w:val="00D77684"/>
    <w:rsid w:val="00D7777C"/>
    <w:rsid w:val="00D777A9"/>
    <w:rsid w:val="00D779E6"/>
    <w:rsid w:val="00D861F8"/>
    <w:rsid w:val="00D863F7"/>
    <w:rsid w:val="00D924AC"/>
    <w:rsid w:val="00D937A1"/>
    <w:rsid w:val="00D93D1E"/>
    <w:rsid w:val="00D94545"/>
    <w:rsid w:val="00D94768"/>
    <w:rsid w:val="00D97126"/>
    <w:rsid w:val="00D977AA"/>
    <w:rsid w:val="00DA1400"/>
    <w:rsid w:val="00DA1413"/>
    <w:rsid w:val="00DA16BE"/>
    <w:rsid w:val="00DA33C9"/>
    <w:rsid w:val="00DA3B4A"/>
    <w:rsid w:val="00DA65C1"/>
    <w:rsid w:val="00DA72AE"/>
    <w:rsid w:val="00DB001D"/>
    <w:rsid w:val="00DB3438"/>
    <w:rsid w:val="00DB38F9"/>
    <w:rsid w:val="00DB3AF3"/>
    <w:rsid w:val="00DB56B2"/>
    <w:rsid w:val="00DB5819"/>
    <w:rsid w:val="00DB7982"/>
    <w:rsid w:val="00DC0D53"/>
    <w:rsid w:val="00DC2944"/>
    <w:rsid w:val="00DC3512"/>
    <w:rsid w:val="00DC394A"/>
    <w:rsid w:val="00DC3F30"/>
    <w:rsid w:val="00DC48A5"/>
    <w:rsid w:val="00DC5360"/>
    <w:rsid w:val="00DC578B"/>
    <w:rsid w:val="00DD18DC"/>
    <w:rsid w:val="00DD1A40"/>
    <w:rsid w:val="00DD212A"/>
    <w:rsid w:val="00DD481B"/>
    <w:rsid w:val="00DE3679"/>
    <w:rsid w:val="00DE418D"/>
    <w:rsid w:val="00DE5609"/>
    <w:rsid w:val="00DE5881"/>
    <w:rsid w:val="00DE5EC6"/>
    <w:rsid w:val="00DE64CE"/>
    <w:rsid w:val="00DE728E"/>
    <w:rsid w:val="00DF2151"/>
    <w:rsid w:val="00DF4E92"/>
    <w:rsid w:val="00E01432"/>
    <w:rsid w:val="00E021A1"/>
    <w:rsid w:val="00E065C5"/>
    <w:rsid w:val="00E0699B"/>
    <w:rsid w:val="00E07025"/>
    <w:rsid w:val="00E079FC"/>
    <w:rsid w:val="00E07EC8"/>
    <w:rsid w:val="00E112BB"/>
    <w:rsid w:val="00E11CDC"/>
    <w:rsid w:val="00E13CFD"/>
    <w:rsid w:val="00E1454E"/>
    <w:rsid w:val="00E14AF8"/>
    <w:rsid w:val="00E1568B"/>
    <w:rsid w:val="00E15A0D"/>
    <w:rsid w:val="00E22C66"/>
    <w:rsid w:val="00E2369E"/>
    <w:rsid w:val="00E23C39"/>
    <w:rsid w:val="00E24853"/>
    <w:rsid w:val="00E27493"/>
    <w:rsid w:val="00E27ADF"/>
    <w:rsid w:val="00E30D2E"/>
    <w:rsid w:val="00E3182A"/>
    <w:rsid w:val="00E329F1"/>
    <w:rsid w:val="00E33629"/>
    <w:rsid w:val="00E33DF7"/>
    <w:rsid w:val="00E427E4"/>
    <w:rsid w:val="00E45AE7"/>
    <w:rsid w:val="00E505E7"/>
    <w:rsid w:val="00E50886"/>
    <w:rsid w:val="00E565FD"/>
    <w:rsid w:val="00E6371B"/>
    <w:rsid w:val="00E6556C"/>
    <w:rsid w:val="00E65BB9"/>
    <w:rsid w:val="00E6678D"/>
    <w:rsid w:val="00E66B4B"/>
    <w:rsid w:val="00E66C57"/>
    <w:rsid w:val="00E6708F"/>
    <w:rsid w:val="00E6791B"/>
    <w:rsid w:val="00E70776"/>
    <w:rsid w:val="00E74A0A"/>
    <w:rsid w:val="00E75312"/>
    <w:rsid w:val="00E75C6C"/>
    <w:rsid w:val="00E75D16"/>
    <w:rsid w:val="00E768B5"/>
    <w:rsid w:val="00E77208"/>
    <w:rsid w:val="00E772B5"/>
    <w:rsid w:val="00E776F1"/>
    <w:rsid w:val="00E776FB"/>
    <w:rsid w:val="00E77FDB"/>
    <w:rsid w:val="00E81184"/>
    <w:rsid w:val="00E81270"/>
    <w:rsid w:val="00E822BF"/>
    <w:rsid w:val="00E823E6"/>
    <w:rsid w:val="00E8294E"/>
    <w:rsid w:val="00E837F4"/>
    <w:rsid w:val="00E9060A"/>
    <w:rsid w:val="00E908D8"/>
    <w:rsid w:val="00E90BDD"/>
    <w:rsid w:val="00E9189F"/>
    <w:rsid w:val="00E96E60"/>
    <w:rsid w:val="00E9732D"/>
    <w:rsid w:val="00E9775E"/>
    <w:rsid w:val="00E9776F"/>
    <w:rsid w:val="00EA1F3B"/>
    <w:rsid w:val="00EA24E2"/>
    <w:rsid w:val="00EA4DC8"/>
    <w:rsid w:val="00EB1533"/>
    <w:rsid w:val="00EB34D4"/>
    <w:rsid w:val="00EB55A1"/>
    <w:rsid w:val="00EB5CA3"/>
    <w:rsid w:val="00EB5FA7"/>
    <w:rsid w:val="00EB6757"/>
    <w:rsid w:val="00EC0236"/>
    <w:rsid w:val="00EC49B1"/>
    <w:rsid w:val="00EC5C52"/>
    <w:rsid w:val="00EC617D"/>
    <w:rsid w:val="00ED01C8"/>
    <w:rsid w:val="00ED0A04"/>
    <w:rsid w:val="00ED11A7"/>
    <w:rsid w:val="00ED16B7"/>
    <w:rsid w:val="00ED34AD"/>
    <w:rsid w:val="00ED698D"/>
    <w:rsid w:val="00EE141D"/>
    <w:rsid w:val="00EE1EFB"/>
    <w:rsid w:val="00EE4611"/>
    <w:rsid w:val="00EE53AF"/>
    <w:rsid w:val="00EE5817"/>
    <w:rsid w:val="00EE5C28"/>
    <w:rsid w:val="00EE705D"/>
    <w:rsid w:val="00EE77D5"/>
    <w:rsid w:val="00EE7C71"/>
    <w:rsid w:val="00EF06FF"/>
    <w:rsid w:val="00EF0CAE"/>
    <w:rsid w:val="00EF16F0"/>
    <w:rsid w:val="00EF18F7"/>
    <w:rsid w:val="00EF20FA"/>
    <w:rsid w:val="00EF3437"/>
    <w:rsid w:val="00EF5100"/>
    <w:rsid w:val="00EF5414"/>
    <w:rsid w:val="00EF6F83"/>
    <w:rsid w:val="00EF7C55"/>
    <w:rsid w:val="00F00716"/>
    <w:rsid w:val="00F02982"/>
    <w:rsid w:val="00F02B65"/>
    <w:rsid w:val="00F02CFB"/>
    <w:rsid w:val="00F03609"/>
    <w:rsid w:val="00F038FA"/>
    <w:rsid w:val="00F05B39"/>
    <w:rsid w:val="00F072B1"/>
    <w:rsid w:val="00F134AB"/>
    <w:rsid w:val="00F16222"/>
    <w:rsid w:val="00F21FF0"/>
    <w:rsid w:val="00F25448"/>
    <w:rsid w:val="00F260D2"/>
    <w:rsid w:val="00F26FC9"/>
    <w:rsid w:val="00F274F9"/>
    <w:rsid w:val="00F31CFD"/>
    <w:rsid w:val="00F3208E"/>
    <w:rsid w:val="00F33547"/>
    <w:rsid w:val="00F37ABC"/>
    <w:rsid w:val="00F42215"/>
    <w:rsid w:val="00F43770"/>
    <w:rsid w:val="00F43D1A"/>
    <w:rsid w:val="00F46299"/>
    <w:rsid w:val="00F47802"/>
    <w:rsid w:val="00F5043E"/>
    <w:rsid w:val="00F507EB"/>
    <w:rsid w:val="00F51DC7"/>
    <w:rsid w:val="00F52C89"/>
    <w:rsid w:val="00F52D4A"/>
    <w:rsid w:val="00F56A2D"/>
    <w:rsid w:val="00F56B84"/>
    <w:rsid w:val="00F57103"/>
    <w:rsid w:val="00F57740"/>
    <w:rsid w:val="00F6091C"/>
    <w:rsid w:val="00F61346"/>
    <w:rsid w:val="00F631CF"/>
    <w:rsid w:val="00F64E89"/>
    <w:rsid w:val="00F64F09"/>
    <w:rsid w:val="00F70579"/>
    <w:rsid w:val="00F72438"/>
    <w:rsid w:val="00F7631A"/>
    <w:rsid w:val="00F803EF"/>
    <w:rsid w:val="00F840F9"/>
    <w:rsid w:val="00F86798"/>
    <w:rsid w:val="00F86967"/>
    <w:rsid w:val="00F9106B"/>
    <w:rsid w:val="00F91389"/>
    <w:rsid w:val="00F91894"/>
    <w:rsid w:val="00F956E0"/>
    <w:rsid w:val="00F96107"/>
    <w:rsid w:val="00F96DA9"/>
    <w:rsid w:val="00F97461"/>
    <w:rsid w:val="00FA039A"/>
    <w:rsid w:val="00FA0A01"/>
    <w:rsid w:val="00FA207E"/>
    <w:rsid w:val="00FA4A09"/>
    <w:rsid w:val="00FA4F80"/>
    <w:rsid w:val="00FA5D9E"/>
    <w:rsid w:val="00FA70F4"/>
    <w:rsid w:val="00FB28C5"/>
    <w:rsid w:val="00FB5EFF"/>
    <w:rsid w:val="00FB77C2"/>
    <w:rsid w:val="00FC3AD4"/>
    <w:rsid w:val="00FD2422"/>
    <w:rsid w:val="00FD512F"/>
    <w:rsid w:val="00FD6F27"/>
    <w:rsid w:val="00FE3D52"/>
    <w:rsid w:val="00FE4AE9"/>
    <w:rsid w:val="00FE686C"/>
    <w:rsid w:val="00FE7B45"/>
    <w:rsid w:val="00FF03AD"/>
    <w:rsid w:val="00FF2F46"/>
    <w:rsid w:val="00FF527D"/>
    <w:rsid w:val="00FF5488"/>
    <w:rsid w:val="00FF70F9"/>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qFormat="1"/>
    <w:lsdException w:name="toc 1" w:uiPriority="39" w:qFormat="1"/>
    <w:lsdException w:name="toc 2" w:uiPriority="39" w:qFormat="1"/>
    <w:lsdException w:name="toc 3" w:uiPriority="39"/>
    <w:lsdException w:name="footnote text" w:uiPriority="99"/>
    <w:lsdException w:name="annotation text" w:uiPriority="99"/>
    <w:lsdException w:name="caption" w:uiPriority="35" w:qFormat="1"/>
    <w:lsdException w:name="table of figures" w:uiPriority="99" w:qFormat="1"/>
    <w:lsdException w:name="footnote reference" w:uiPriority="99"/>
    <w:lsdException w:name="annotation reference" w:uiPriority="99"/>
    <w:lsdException w:name="Hyperlink" w:uiPriority="99"/>
    <w:lsdException w:name="Normal (Web)" w:uiPriority="99"/>
    <w:lsdException w:name="annotation subject" w:uiPriority="99"/>
    <w:lsdException w:name="No List" w:uiPriority="99"/>
    <w:lsdException w:name="Balloon Text" w:uiPriority="99"/>
    <w:lsdException w:name="Table Grid" w:uiPriority="59"/>
    <w:lsdException w:name="List Paragraph" w:uiPriority="34" w:qFormat="1"/>
    <w:lsdException w:name="Subtle Emphasis" w:uiPriority="19" w:qFormat="1"/>
    <w:lsdException w:name="TOC Heading" w:uiPriority="39" w:qFormat="1"/>
  </w:latentStyles>
  <w:style w:type="paragraph" w:default="1" w:styleId="Normal">
    <w:name w:val="Normal"/>
    <w:aliases w:val="Normal / Body Text"/>
    <w:qFormat/>
    <w:rsid w:val="00CC10E8"/>
    <w:pPr>
      <w:spacing w:before="60" w:after="200" w:line="252" w:lineRule="auto"/>
      <w:jc w:val="both"/>
    </w:pPr>
    <w:rPr>
      <w:rFonts w:ascii="Calibri" w:hAnsi="Calibri"/>
      <w:sz w:val="22"/>
      <w:lang w:val="en-AU"/>
    </w:rPr>
  </w:style>
  <w:style w:type="paragraph" w:styleId="Heading1">
    <w:name w:val="heading 1"/>
    <w:aliases w:val="Main Head"/>
    <w:basedOn w:val="Normal"/>
    <w:next w:val="Normal"/>
    <w:link w:val="Heading1Char"/>
    <w:uiPriority w:val="9"/>
    <w:qFormat/>
    <w:rsid w:val="000C2A45"/>
    <w:pPr>
      <w:keepNext/>
      <w:keepLines/>
      <w:pageBreakBefore/>
      <w:numPr>
        <w:numId w:val="3"/>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autoRedefine/>
    <w:uiPriority w:val="9"/>
    <w:unhideWhenUsed/>
    <w:qFormat/>
    <w:rsid w:val="00BA7FC5"/>
    <w:pPr>
      <w:keepNext/>
      <w:keepLines/>
      <w:numPr>
        <w:ilvl w:val="1"/>
        <w:numId w:val="3"/>
      </w:numPr>
      <w:spacing w:before="360" w:after="120"/>
      <w:ind w:left="567"/>
      <w:outlineLvl w:val="1"/>
    </w:pPr>
    <w:rPr>
      <w:rFonts w:asciiTheme="majorHAnsi" w:eastAsia="Times New Roman" w:hAnsiTheme="majorHAnsi"/>
      <w:b/>
      <w:bCs/>
      <w:sz w:val="28"/>
    </w:rPr>
  </w:style>
  <w:style w:type="paragraph" w:styleId="Heading3">
    <w:name w:val="heading 3"/>
    <w:aliases w:val="Subhead"/>
    <w:basedOn w:val="Normal"/>
    <w:next w:val="Normal"/>
    <w:link w:val="Heading3Char"/>
    <w:uiPriority w:val="9"/>
    <w:unhideWhenUsed/>
    <w:qFormat/>
    <w:rsid w:val="000C2A45"/>
    <w:pPr>
      <w:keepNext/>
      <w:keepLines/>
      <w:numPr>
        <w:ilvl w:val="2"/>
        <w:numId w:val="3"/>
      </w:numPr>
      <w:spacing w:before="240"/>
      <w:outlineLvl w:val="2"/>
    </w:pPr>
    <w:rPr>
      <w:rFonts w:asciiTheme="majorHAnsi" w:eastAsia="Times New Roman" w:hAnsiTheme="majorHAnsi"/>
      <w:b/>
      <w:bCs/>
      <w:sz w:val="28"/>
    </w:rPr>
  </w:style>
  <w:style w:type="paragraph" w:styleId="Heading4">
    <w:name w:val="heading 4"/>
    <w:aliases w:val="2nd Subheading"/>
    <w:basedOn w:val="Normal"/>
    <w:next w:val="Normal"/>
    <w:link w:val="Heading4Char"/>
    <w:qFormat/>
    <w:rsid w:val="000C2A45"/>
    <w:pPr>
      <w:keepNext/>
      <w:keepLines/>
      <w:spacing w:before="200"/>
      <w:outlineLvl w:val="3"/>
    </w:pPr>
    <w:rPr>
      <w:rFonts w:eastAsiaTheme="majorEastAsia" w:cstheme="majorBidi"/>
      <w:bCs/>
      <w:iCs/>
      <w:sz w:val="28"/>
      <w:u w:val="single"/>
    </w:rPr>
  </w:style>
  <w:style w:type="paragraph" w:styleId="Heading5">
    <w:name w:val="heading 5"/>
    <w:basedOn w:val="Normal"/>
    <w:next w:val="Normal"/>
    <w:link w:val="Heading5Char"/>
    <w:rsid w:val="000C2A45"/>
    <w:pPr>
      <w:keepNext/>
      <w:keepLines/>
      <w:numPr>
        <w:ilvl w:val="4"/>
        <w:numId w:val="3"/>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rsid w:val="000C2A45"/>
    <w:pPr>
      <w:keepNext/>
      <w:keepLines/>
      <w:numPr>
        <w:ilvl w:val="5"/>
        <w:numId w:val="3"/>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rsid w:val="000C2A45"/>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0C2A45"/>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0C2A45"/>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0C2A45"/>
    <w:rPr>
      <w:rFonts w:ascii="Calibri" w:eastAsia="Times New Roman" w:hAnsi="Calibri"/>
      <w:b/>
      <w:bCs/>
      <w:caps/>
      <w:color w:val="B0005C"/>
      <w:kern w:val="32"/>
      <w:sz w:val="40"/>
      <w:szCs w:val="32"/>
      <w:lang w:val="en-AU"/>
    </w:rPr>
  </w:style>
  <w:style w:type="paragraph" w:styleId="ListParagraph">
    <w:name w:val="List Paragraph"/>
    <w:basedOn w:val="Normal"/>
    <w:link w:val="ListParagraphChar"/>
    <w:uiPriority w:val="34"/>
    <w:qFormat/>
    <w:rsid w:val="00AC6FC8"/>
    <w:pPr>
      <w:numPr>
        <w:numId w:val="1"/>
      </w:numPr>
      <w:contextualSpacing/>
    </w:pPr>
  </w:style>
  <w:style w:type="character" w:customStyle="1" w:styleId="Heading2Char">
    <w:name w:val="Heading 2 Char"/>
    <w:aliases w:val="Head Char"/>
    <w:link w:val="Heading2"/>
    <w:uiPriority w:val="9"/>
    <w:rsid w:val="00BA7FC5"/>
    <w:rPr>
      <w:rFonts w:asciiTheme="majorHAnsi" w:eastAsia="Times New Roman" w:hAnsiTheme="majorHAnsi"/>
      <w:b/>
      <w:bCs/>
      <w:sz w:val="28"/>
      <w:lang w:val="en-AU"/>
    </w:rPr>
  </w:style>
  <w:style w:type="character" w:customStyle="1" w:styleId="Heading3Char">
    <w:name w:val="Heading 3 Char"/>
    <w:aliases w:val="Subhead Char"/>
    <w:link w:val="Heading3"/>
    <w:uiPriority w:val="9"/>
    <w:rsid w:val="000C2A45"/>
    <w:rPr>
      <w:rFonts w:asciiTheme="majorHAnsi" w:eastAsia="Times New Roman" w:hAnsiTheme="majorHAnsi"/>
      <w:b/>
      <w:bCs/>
      <w:sz w:val="28"/>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B11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642093"/>
    <w:pPr>
      <w:spacing w:before="240" w:after="120"/>
    </w:pPr>
    <w:rPr>
      <w:rFonts w:asciiTheme="minorHAnsi" w:hAnsiTheme="minorHAnsi"/>
      <w:b/>
      <w:caps/>
      <w:szCs w:val="22"/>
      <w:u w:val="single"/>
    </w:rPr>
  </w:style>
  <w:style w:type="paragraph" w:styleId="TOC2">
    <w:name w:val="toc 2"/>
    <w:basedOn w:val="TOC1"/>
    <w:next w:val="Normal"/>
    <w:autoRedefine/>
    <w:uiPriority w:val="39"/>
    <w:unhideWhenUsed/>
    <w:qFormat/>
    <w:rsid w:val="00B17189"/>
    <w:pPr>
      <w:tabs>
        <w:tab w:val="left" w:pos="502"/>
        <w:tab w:val="right" w:pos="9639"/>
      </w:tabs>
      <w:spacing w:before="0" w:after="40"/>
    </w:pPr>
    <w:rPr>
      <w:rFonts w:asciiTheme="majorHAnsi" w:hAnsiTheme="majorHAnsi" w:cstheme="majorHAnsi"/>
      <w:caps w:val="0"/>
      <w:noProof/>
      <w:u w:val="none"/>
      <w:lang w:val="en-US"/>
    </w:rPr>
  </w:style>
  <w:style w:type="paragraph" w:styleId="TOC3">
    <w:name w:val="toc 3"/>
    <w:basedOn w:val="TOC2"/>
    <w:next w:val="Normal"/>
    <w:autoRedefine/>
    <w:uiPriority w:val="39"/>
    <w:unhideWhenUsed/>
    <w:rsid w:val="006C05A3"/>
    <w:pPr>
      <w:tabs>
        <w:tab w:val="clear" w:pos="502"/>
        <w:tab w:val="left" w:pos="709"/>
      </w:tabs>
    </w:pPr>
    <w:rPr>
      <w:b w:val="0"/>
    </w:rPr>
  </w:style>
  <w:style w:type="paragraph" w:styleId="TOC4">
    <w:name w:val="toc 4"/>
    <w:basedOn w:val="Normal"/>
    <w:next w:val="Normal"/>
    <w:autoRedefine/>
    <w:uiPriority w:val="39"/>
    <w:unhideWhenUsed/>
    <w:rsid w:val="00737D8B"/>
    <w:pPr>
      <w:spacing w:before="0" w:after="0"/>
    </w:pPr>
    <w:rPr>
      <w:rFonts w:asciiTheme="minorHAnsi" w:hAnsiTheme="minorHAnsi"/>
      <w:szCs w:val="22"/>
    </w:rPr>
  </w:style>
  <w:style w:type="paragraph" w:styleId="TOC5">
    <w:name w:val="toc 5"/>
    <w:basedOn w:val="Normal"/>
    <w:next w:val="Normal"/>
    <w:autoRedefine/>
    <w:uiPriority w:val="39"/>
    <w:unhideWhenUsed/>
    <w:rsid w:val="00737D8B"/>
    <w:pPr>
      <w:spacing w:before="0" w:after="0"/>
    </w:pPr>
    <w:rPr>
      <w:rFonts w:asciiTheme="minorHAnsi" w:hAnsiTheme="minorHAnsi"/>
      <w:szCs w:val="22"/>
    </w:rPr>
  </w:style>
  <w:style w:type="paragraph" w:styleId="TOC6">
    <w:name w:val="toc 6"/>
    <w:basedOn w:val="Normal"/>
    <w:next w:val="Normal"/>
    <w:autoRedefine/>
    <w:uiPriority w:val="39"/>
    <w:unhideWhenUsed/>
    <w:rsid w:val="00737D8B"/>
    <w:pPr>
      <w:spacing w:before="0" w:after="0"/>
    </w:pPr>
    <w:rPr>
      <w:rFonts w:asciiTheme="minorHAnsi" w:hAnsiTheme="minorHAnsi"/>
      <w:szCs w:val="22"/>
    </w:rPr>
  </w:style>
  <w:style w:type="paragraph" w:styleId="TOC7">
    <w:name w:val="toc 7"/>
    <w:basedOn w:val="Normal"/>
    <w:next w:val="Normal"/>
    <w:autoRedefine/>
    <w:uiPriority w:val="39"/>
    <w:unhideWhenUsed/>
    <w:rsid w:val="00737D8B"/>
    <w:pPr>
      <w:spacing w:before="0" w:after="0"/>
    </w:pPr>
    <w:rPr>
      <w:rFonts w:asciiTheme="minorHAnsi" w:hAnsiTheme="minorHAnsi"/>
      <w:szCs w:val="22"/>
    </w:rPr>
  </w:style>
  <w:style w:type="paragraph" w:styleId="TOC8">
    <w:name w:val="toc 8"/>
    <w:basedOn w:val="Normal"/>
    <w:next w:val="Normal"/>
    <w:autoRedefine/>
    <w:uiPriority w:val="39"/>
    <w:unhideWhenUsed/>
    <w:rsid w:val="00737D8B"/>
    <w:pPr>
      <w:spacing w:before="0" w:after="0"/>
    </w:pPr>
    <w:rPr>
      <w:rFonts w:asciiTheme="minorHAnsi" w:hAnsiTheme="minorHAnsi"/>
      <w:szCs w:val="22"/>
    </w:rPr>
  </w:style>
  <w:style w:type="paragraph" w:styleId="TOC9">
    <w:name w:val="toc 9"/>
    <w:basedOn w:val="Normal"/>
    <w:next w:val="Normal"/>
    <w:autoRedefine/>
    <w:uiPriority w:val="39"/>
    <w:unhideWhenUsed/>
    <w:rsid w:val="00737D8B"/>
    <w:pPr>
      <w:spacing w:before="0" w:after="0"/>
    </w:pPr>
    <w:rPr>
      <w:rFonts w:asciiTheme="minorHAnsi" w:hAnsiTheme="minorHAnsi"/>
      <w:szCs w:val="22"/>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AC6FC8"/>
    <w:pPr>
      <w:tabs>
        <w:tab w:val="right" w:pos="8647"/>
      </w:tabs>
      <w:spacing w:line="340" w:lineRule="atLeast"/>
    </w:pPr>
    <w:rPr>
      <w:b w:val="0"/>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6D0AD8"/>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uiPriority w:val="99"/>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uiPriority w:val="99"/>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0C2A45"/>
    <w:rPr>
      <w:rFonts w:ascii="Calibri" w:eastAsiaTheme="majorEastAsia" w:hAnsi="Calibri" w:cstheme="majorBidi"/>
      <w:bCs/>
      <w:iCs/>
      <w:sz w:val="28"/>
      <w:u w:val="single"/>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AC6FC8"/>
    <w:pPr>
      <w:numPr>
        <w:numId w:val="2"/>
      </w:numPr>
      <w:spacing w:before="120" w:after="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AC6FC8"/>
    <w:rPr>
      <w:rFonts w:ascii="Calibri" w:hAnsi="Calibri"/>
      <w:sz w:val="22"/>
      <w:lang w:val="en-AU"/>
    </w:rPr>
  </w:style>
  <w:style w:type="character" w:customStyle="1" w:styleId="listChar">
    <w:name w:val="list Char"/>
    <w:basedOn w:val="ListParagraphChar"/>
    <w:link w:val="List1"/>
    <w:rsid w:val="00AC6FC8"/>
    <w:rPr>
      <w:rFonts w:ascii="Calibri" w:hAnsi="Calibri"/>
      <w:sz w:val="22"/>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AC6FC8"/>
    <w:pPr>
      <w:numPr>
        <w:ilvl w:val="1"/>
      </w:numPr>
    </w:pPr>
  </w:style>
  <w:style w:type="paragraph" w:customStyle="1" w:styleId="ToTandToF">
    <w:name w:val="ToT and ToF"/>
    <w:basedOn w:val="Normal"/>
    <w:link w:val="ToTandToFChar"/>
    <w:qFormat/>
    <w:rsid w:val="00CB01B4"/>
    <w:pPr>
      <w:pBdr>
        <w:bottom w:val="single" w:sz="4" w:space="1" w:color="auto"/>
      </w:pBdr>
      <w:spacing w:before="120" w:after="120" w:line="240" w:lineRule="auto"/>
    </w:pPr>
    <w:rPr>
      <w:b/>
      <w:sz w:val="28"/>
    </w:rPr>
  </w:style>
  <w:style w:type="character" w:customStyle="1" w:styleId="SecondlevellistChar">
    <w:name w:val="Second level list Char"/>
    <w:basedOn w:val="listChar"/>
    <w:link w:val="Secondlevellist"/>
    <w:rsid w:val="00AC6FC8"/>
    <w:rPr>
      <w:rFonts w:ascii="Calibri" w:hAnsi="Calibri"/>
      <w:sz w:val="22"/>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0C2A45"/>
    <w:rPr>
      <w:rFonts w:asciiTheme="majorHAnsi" w:eastAsiaTheme="majorEastAsia" w:hAnsiTheme="majorHAnsi" w:cstheme="majorBidi"/>
      <w:color w:val="58002D" w:themeColor="accent1" w:themeShade="7F"/>
      <w:sz w:val="22"/>
      <w:lang w:val="en-AU"/>
    </w:rPr>
  </w:style>
  <w:style w:type="character" w:customStyle="1" w:styleId="Heading6Char">
    <w:name w:val="Heading 6 Char"/>
    <w:basedOn w:val="DefaultParagraphFont"/>
    <w:link w:val="Heading6"/>
    <w:rsid w:val="000C2A45"/>
    <w:rPr>
      <w:rFonts w:asciiTheme="majorHAnsi" w:eastAsiaTheme="majorEastAsia" w:hAnsiTheme="majorHAnsi" w:cstheme="majorBidi"/>
      <w:i/>
      <w:iCs/>
      <w:color w:val="58002D" w:themeColor="accent1" w:themeShade="7F"/>
      <w:sz w:val="22"/>
      <w:lang w:val="en-AU"/>
    </w:rPr>
  </w:style>
  <w:style w:type="character" w:customStyle="1" w:styleId="Heading7Char">
    <w:name w:val="Heading 7 Char"/>
    <w:basedOn w:val="DefaultParagraphFont"/>
    <w:link w:val="Heading7"/>
    <w:rsid w:val="000C2A45"/>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rsid w:val="000C2A4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0C2A45"/>
    <w:rPr>
      <w:rFonts w:asciiTheme="majorHAnsi" w:eastAsiaTheme="majorEastAsia" w:hAnsiTheme="majorHAnsi" w:cstheme="majorBidi"/>
      <w:i/>
      <w:iCs/>
      <w:color w:val="404040" w:themeColor="text1" w:themeTint="BF"/>
      <w:sz w:val="20"/>
      <w:szCs w:val="20"/>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table" w:styleId="LightList-Accent1">
    <w:name w:val="Light List Accent 1"/>
    <w:basedOn w:val="TableNormal"/>
    <w:rsid w:val="00536732"/>
    <w:tblPr>
      <w:tblStyleRowBandSize w:val="1"/>
      <w:tblStyleColBandSize w:val="1"/>
      <w:tblInd w:w="0" w:type="dxa"/>
      <w:tblBorders>
        <w:top w:val="single" w:sz="8" w:space="0" w:color="B1005D" w:themeColor="accent1"/>
        <w:left w:val="single" w:sz="8" w:space="0" w:color="B1005D" w:themeColor="accent1"/>
        <w:bottom w:val="single" w:sz="8" w:space="0" w:color="B1005D" w:themeColor="accent1"/>
        <w:right w:val="single" w:sz="8" w:space="0" w:color="B1005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1005D" w:themeFill="accent1"/>
      </w:tcPr>
    </w:tblStylePr>
    <w:tblStylePr w:type="lastRow">
      <w:pPr>
        <w:spacing w:before="0" w:after="0" w:line="240" w:lineRule="auto"/>
      </w:pPr>
      <w:rPr>
        <w:b/>
        <w:bCs/>
      </w:rPr>
      <w:tblPr/>
      <w:tcPr>
        <w:tcBorders>
          <w:top w:val="double" w:sz="6" w:space="0" w:color="B1005D" w:themeColor="accent1"/>
          <w:left w:val="single" w:sz="8" w:space="0" w:color="B1005D" w:themeColor="accent1"/>
          <w:bottom w:val="single" w:sz="8" w:space="0" w:color="B1005D" w:themeColor="accent1"/>
          <w:right w:val="single" w:sz="8" w:space="0" w:color="B1005D" w:themeColor="accent1"/>
        </w:tcBorders>
      </w:tcPr>
    </w:tblStylePr>
    <w:tblStylePr w:type="firstCol">
      <w:rPr>
        <w:b/>
        <w:bCs/>
      </w:rPr>
    </w:tblStylePr>
    <w:tblStylePr w:type="lastCol">
      <w:rPr>
        <w:b/>
        <w:bCs/>
      </w:rPr>
    </w:tblStylePr>
    <w:tblStylePr w:type="band1Vert">
      <w:tblPr/>
      <w:tcPr>
        <w:tcBorders>
          <w:top w:val="single" w:sz="8" w:space="0" w:color="B1005D" w:themeColor="accent1"/>
          <w:left w:val="single" w:sz="8" w:space="0" w:color="B1005D" w:themeColor="accent1"/>
          <w:bottom w:val="single" w:sz="8" w:space="0" w:color="B1005D" w:themeColor="accent1"/>
          <w:right w:val="single" w:sz="8" w:space="0" w:color="B1005D" w:themeColor="accent1"/>
        </w:tcBorders>
      </w:tcPr>
    </w:tblStylePr>
    <w:tblStylePr w:type="band1Horz">
      <w:tblPr/>
      <w:tcPr>
        <w:tcBorders>
          <w:top w:val="single" w:sz="8" w:space="0" w:color="B1005D" w:themeColor="accent1"/>
          <w:left w:val="single" w:sz="8" w:space="0" w:color="B1005D" w:themeColor="accent1"/>
          <w:bottom w:val="single" w:sz="8" w:space="0" w:color="B1005D" w:themeColor="accent1"/>
          <w:right w:val="single" w:sz="8" w:space="0" w:color="B1005D" w:themeColor="accent1"/>
        </w:tcBorders>
      </w:tcPr>
    </w:tblStylePr>
  </w:style>
  <w:style w:type="table" w:styleId="LightList-Accent2">
    <w:name w:val="Light List Accent 2"/>
    <w:basedOn w:val="TableNormal"/>
    <w:rsid w:val="00536732"/>
    <w:tblPr>
      <w:tblStyleRowBandSize w:val="1"/>
      <w:tblStyleColBandSize w:val="1"/>
      <w:tblInd w:w="0" w:type="dxa"/>
      <w:tblBorders>
        <w:top w:val="single" w:sz="8" w:space="0" w:color="B1A495" w:themeColor="accent2"/>
        <w:left w:val="single" w:sz="8" w:space="0" w:color="B1A495" w:themeColor="accent2"/>
        <w:bottom w:val="single" w:sz="8" w:space="0" w:color="B1A495" w:themeColor="accent2"/>
        <w:right w:val="single" w:sz="8" w:space="0" w:color="B1A49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1A495" w:themeFill="accent2"/>
      </w:tcPr>
    </w:tblStylePr>
    <w:tblStylePr w:type="lastRow">
      <w:pPr>
        <w:spacing w:before="0" w:after="0" w:line="240" w:lineRule="auto"/>
      </w:pPr>
      <w:rPr>
        <w:b/>
        <w:bCs/>
      </w:rPr>
      <w:tblPr/>
      <w:tcPr>
        <w:tcBorders>
          <w:top w:val="double" w:sz="6" w:space="0" w:color="B1A495" w:themeColor="accent2"/>
          <w:left w:val="single" w:sz="8" w:space="0" w:color="B1A495" w:themeColor="accent2"/>
          <w:bottom w:val="single" w:sz="8" w:space="0" w:color="B1A495" w:themeColor="accent2"/>
          <w:right w:val="single" w:sz="8" w:space="0" w:color="B1A495" w:themeColor="accent2"/>
        </w:tcBorders>
      </w:tcPr>
    </w:tblStylePr>
    <w:tblStylePr w:type="firstCol">
      <w:rPr>
        <w:b/>
        <w:bCs/>
      </w:rPr>
    </w:tblStylePr>
    <w:tblStylePr w:type="lastCol">
      <w:rPr>
        <w:b/>
        <w:bCs/>
      </w:rPr>
    </w:tblStylePr>
    <w:tblStylePr w:type="band1Vert">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tblStylePr w:type="band1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style>
  <w:style w:type="paragraph" w:styleId="FootnoteText">
    <w:name w:val="footnote text"/>
    <w:basedOn w:val="Normal"/>
    <w:link w:val="FootnoteTextChar"/>
    <w:uiPriority w:val="99"/>
    <w:rsid w:val="007F0924"/>
    <w:pPr>
      <w:spacing w:before="0" w:after="0" w:line="240" w:lineRule="auto"/>
    </w:pPr>
    <w:rPr>
      <w:sz w:val="24"/>
    </w:rPr>
  </w:style>
  <w:style w:type="character" w:customStyle="1" w:styleId="FootnoteTextChar">
    <w:name w:val="Footnote Text Char"/>
    <w:basedOn w:val="DefaultParagraphFont"/>
    <w:link w:val="FootnoteText"/>
    <w:uiPriority w:val="99"/>
    <w:rsid w:val="007F0924"/>
    <w:rPr>
      <w:rFonts w:ascii="Calibri" w:hAnsi="Calibri"/>
      <w:sz w:val="24"/>
      <w:szCs w:val="24"/>
      <w:lang w:val="en-AU"/>
    </w:rPr>
  </w:style>
  <w:style w:type="character" w:styleId="FootnoteReference">
    <w:name w:val="footnote reference"/>
    <w:basedOn w:val="DefaultParagraphFont"/>
    <w:uiPriority w:val="99"/>
    <w:rsid w:val="007F0924"/>
    <w:rPr>
      <w:vertAlign w:val="superscript"/>
    </w:rPr>
  </w:style>
  <w:style w:type="character" w:styleId="CommentReference">
    <w:name w:val="annotation reference"/>
    <w:basedOn w:val="DefaultParagraphFont"/>
    <w:uiPriority w:val="99"/>
    <w:rsid w:val="00DE64CE"/>
    <w:rPr>
      <w:sz w:val="18"/>
      <w:szCs w:val="18"/>
    </w:rPr>
  </w:style>
  <w:style w:type="paragraph" w:styleId="CommentText">
    <w:name w:val="annotation text"/>
    <w:basedOn w:val="Normal"/>
    <w:link w:val="CommentTextChar"/>
    <w:uiPriority w:val="99"/>
    <w:rsid w:val="00DE64CE"/>
    <w:pPr>
      <w:spacing w:line="240" w:lineRule="auto"/>
    </w:pPr>
    <w:rPr>
      <w:sz w:val="24"/>
    </w:rPr>
  </w:style>
  <w:style w:type="character" w:customStyle="1" w:styleId="CommentTextChar">
    <w:name w:val="Comment Text Char"/>
    <w:basedOn w:val="DefaultParagraphFont"/>
    <w:link w:val="CommentText"/>
    <w:uiPriority w:val="99"/>
    <w:rsid w:val="00DE64CE"/>
    <w:rPr>
      <w:rFonts w:ascii="Calibri" w:hAnsi="Calibri"/>
      <w:sz w:val="24"/>
      <w:szCs w:val="24"/>
      <w:lang w:val="en-AU"/>
    </w:rPr>
  </w:style>
  <w:style w:type="paragraph" w:styleId="CommentSubject">
    <w:name w:val="annotation subject"/>
    <w:basedOn w:val="CommentText"/>
    <w:next w:val="CommentText"/>
    <w:link w:val="CommentSubjectChar"/>
    <w:uiPriority w:val="99"/>
    <w:rsid w:val="00DE64CE"/>
    <w:rPr>
      <w:b/>
      <w:bCs/>
      <w:sz w:val="20"/>
      <w:szCs w:val="20"/>
    </w:rPr>
  </w:style>
  <w:style w:type="character" w:customStyle="1" w:styleId="CommentSubjectChar">
    <w:name w:val="Comment Subject Char"/>
    <w:basedOn w:val="CommentTextChar"/>
    <w:link w:val="CommentSubject"/>
    <w:uiPriority w:val="99"/>
    <w:rsid w:val="00DE64CE"/>
    <w:rPr>
      <w:rFonts w:ascii="Calibri" w:hAnsi="Calibri"/>
      <w:b/>
      <w:bCs/>
      <w:sz w:val="24"/>
      <w:szCs w:val="24"/>
      <w:lang w:val="en-AU"/>
    </w:rPr>
  </w:style>
  <w:style w:type="paragraph" w:styleId="Revision">
    <w:name w:val="Revision"/>
    <w:hidden/>
    <w:rsid w:val="00121C00"/>
    <w:rPr>
      <w:rFonts w:ascii="Calibri" w:hAnsi="Calibri"/>
      <w:sz w:val="22"/>
      <w:lang w:val="en-AU"/>
    </w:rPr>
  </w:style>
  <w:style w:type="table" w:styleId="ColorfulList-Accent2">
    <w:name w:val="Colorful List Accent 2"/>
    <w:basedOn w:val="TableNormal"/>
    <w:rsid w:val="0052133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5F4" w:themeFill="accent2"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8E4" w:themeFill="accent2" w:themeFillTint="3F"/>
      </w:tcPr>
    </w:tblStylePr>
    <w:tblStylePr w:type="band1Horz">
      <w:tblPr/>
      <w:tcPr>
        <w:shd w:val="clear" w:color="auto" w:fill="EFECE9" w:themeFill="accent2" w:themeFillTint="33"/>
      </w:tcPr>
    </w:tblStylePr>
  </w:style>
  <w:style w:type="paragraph" w:styleId="DocumentMap">
    <w:name w:val="Document Map"/>
    <w:basedOn w:val="Normal"/>
    <w:link w:val="DocumentMapChar"/>
    <w:rsid w:val="006D1A76"/>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rsid w:val="006D1A76"/>
    <w:rPr>
      <w:rFonts w:ascii="Lucida Grande" w:hAnsi="Lucida Grande" w:cs="Lucida Grande"/>
      <w:lang w:val="en-AU"/>
    </w:rPr>
  </w:style>
  <w:style w:type="table" w:styleId="ColorfulShading-Accent2">
    <w:name w:val="Colorful Shading Accent 2"/>
    <w:basedOn w:val="TableNormal"/>
    <w:rsid w:val="00DD1A40"/>
    <w:rPr>
      <w:color w:val="000000" w:themeColor="text1"/>
    </w:rPr>
    <w:tblPr>
      <w:tblStyleRowBandSize w:val="1"/>
      <w:tblStyleColBandSize w:val="1"/>
      <w:tblInd w:w="0" w:type="dxa"/>
      <w:tblBorders>
        <w:top w:val="single" w:sz="24" w:space="0" w:color="B1A495" w:themeColor="accent2"/>
        <w:left w:val="single" w:sz="4" w:space="0" w:color="B1A495" w:themeColor="accent2"/>
        <w:bottom w:val="single" w:sz="4" w:space="0" w:color="B1A495" w:themeColor="accent2"/>
        <w:right w:val="single" w:sz="4" w:space="0" w:color="B1A495"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5F4" w:themeFill="accent2" w:themeFillTint="19"/>
    </w:tcPr>
    <w:tblStylePr w:type="firstRow">
      <w:rPr>
        <w:b/>
        <w:bCs/>
      </w:rPr>
      <w:tblPr/>
      <w:tcPr>
        <w:tcBorders>
          <w:top w:val="nil"/>
          <w:left w:val="nil"/>
          <w:bottom w:val="single" w:sz="24" w:space="0" w:color="B1A4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6253" w:themeFill="accent2" w:themeFillShade="99"/>
      </w:tcPr>
    </w:tblStylePr>
    <w:tblStylePr w:type="firstCol">
      <w:rPr>
        <w:color w:val="FFFFFF" w:themeColor="background1"/>
      </w:rPr>
      <w:tblPr/>
      <w:tcPr>
        <w:tcBorders>
          <w:top w:val="nil"/>
          <w:left w:val="nil"/>
          <w:bottom w:val="nil"/>
          <w:right w:val="nil"/>
          <w:insideH w:val="single" w:sz="4" w:space="0" w:color="706253" w:themeColor="accent2" w:themeShade="99"/>
          <w:insideV w:val="nil"/>
        </w:tcBorders>
        <w:shd w:val="clear" w:color="auto" w:fill="70625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06253" w:themeFill="accent2" w:themeFillShade="99"/>
      </w:tcPr>
    </w:tblStylePr>
    <w:tblStylePr w:type="band1Vert">
      <w:tblPr/>
      <w:tcPr>
        <w:shd w:val="clear" w:color="auto" w:fill="DFDAD4" w:themeFill="accent2" w:themeFillTint="66"/>
      </w:tcPr>
    </w:tblStylePr>
    <w:tblStylePr w:type="band1Horz">
      <w:tblPr/>
      <w:tcPr>
        <w:shd w:val="clear" w:color="auto" w:fill="D8D1C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rsid w:val="00E07025"/>
    <w:rPr>
      <w:color w:val="000000" w:themeColor="text1"/>
    </w:rPr>
    <w:tblPr>
      <w:tblStyleRowBandSize w:val="1"/>
      <w:tblStyleColBandSize w:val="1"/>
      <w:tblInd w:w="0" w:type="dxa"/>
      <w:tblBorders>
        <w:top w:val="single" w:sz="24" w:space="0" w:color="640034" w:themeColor="accent4"/>
        <w:left w:val="single" w:sz="4" w:space="0" w:color="E6DFDC" w:themeColor="accent3"/>
        <w:bottom w:val="single" w:sz="4" w:space="0" w:color="E6DFDC" w:themeColor="accent3"/>
        <w:right w:val="single" w:sz="4" w:space="0" w:color="E6DFD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BFB" w:themeFill="accent3" w:themeFillTint="19"/>
    </w:tcPr>
    <w:tblStylePr w:type="firstRow">
      <w:rPr>
        <w:b/>
        <w:bCs/>
      </w:rPr>
      <w:tblPr/>
      <w:tcPr>
        <w:tcBorders>
          <w:top w:val="nil"/>
          <w:left w:val="nil"/>
          <w:bottom w:val="single" w:sz="24" w:space="0" w:color="64003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E73" w:themeFill="accent3" w:themeFillShade="99"/>
      </w:tcPr>
    </w:tblStylePr>
    <w:tblStylePr w:type="firstCol">
      <w:rPr>
        <w:color w:val="FFFFFF" w:themeColor="background1"/>
      </w:rPr>
      <w:tblPr/>
      <w:tcPr>
        <w:tcBorders>
          <w:top w:val="nil"/>
          <w:left w:val="nil"/>
          <w:bottom w:val="nil"/>
          <w:right w:val="nil"/>
          <w:insideH w:val="single" w:sz="4" w:space="0" w:color="9B7E73" w:themeColor="accent3" w:themeShade="99"/>
          <w:insideV w:val="nil"/>
        </w:tcBorders>
        <w:shd w:val="clear" w:color="auto" w:fill="9B7E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B7E73" w:themeFill="accent3" w:themeFillShade="99"/>
      </w:tcPr>
    </w:tblStylePr>
    <w:tblStylePr w:type="band1Vert">
      <w:tblPr/>
      <w:tcPr>
        <w:shd w:val="clear" w:color="auto" w:fill="F5F2F1" w:themeFill="accent3" w:themeFillTint="66"/>
      </w:tcPr>
    </w:tblStylePr>
    <w:tblStylePr w:type="band1Horz">
      <w:tblPr/>
      <w:tcPr>
        <w:shd w:val="clear" w:color="auto" w:fill="F2EEED" w:themeFill="accent3" w:themeFillTint="7F"/>
      </w:tcPr>
    </w:tblStylePr>
  </w:style>
  <w:style w:type="table" w:styleId="LightList-Accent3">
    <w:name w:val="Light List Accent 3"/>
    <w:basedOn w:val="TableNormal"/>
    <w:rsid w:val="00A309E7"/>
    <w:tblPr>
      <w:tblStyleRowBandSize w:val="1"/>
      <w:tblStyleColBandSize w:val="1"/>
      <w:tblInd w:w="0" w:type="dxa"/>
      <w:tblBorders>
        <w:top w:val="single" w:sz="8" w:space="0" w:color="E6DFDC" w:themeColor="accent3"/>
        <w:left w:val="single" w:sz="8" w:space="0" w:color="E6DFDC" w:themeColor="accent3"/>
        <w:bottom w:val="single" w:sz="8" w:space="0" w:color="E6DFDC" w:themeColor="accent3"/>
        <w:right w:val="single" w:sz="8" w:space="0" w:color="E6DFD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DFDC" w:themeFill="accent3"/>
      </w:tcPr>
    </w:tblStylePr>
    <w:tblStylePr w:type="lastRow">
      <w:pPr>
        <w:spacing w:before="0" w:after="0" w:line="240" w:lineRule="auto"/>
      </w:pPr>
      <w:rPr>
        <w:b/>
        <w:bCs/>
      </w:rPr>
      <w:tblPr/>
      <w:tcPr>
        <w:tcBorders>
          <w:top w:val="double" w:sz="6" w:space="0" w:color="E6DFDC" w:themeColor="accent3"/>
          <w:left w:val="single" w:sz="8" w:space="0" w:color="E6DFDC" w:themeColor="accent3"/>
          <w:bottom w:val="single" w:sz="8" w:space="0" w:color="E6DFDC" w:themeColor="accent3"/>
          <w:right w:val="single" w:sz="8" w:space="0" w:color="E6DFDC" w:themeColor="accent3"/>
        </w:tcBorders>
      </w:tcPr>
    </w:tblStylePr>
    <w:tblStylePr w:type="firstCol">
      <w:rPr>
        <w:b/>
        <w:bCs/>
      </w:rPr>
    </w:tblStylePr>
    <w:tblStylePr w:type="lastCol">
      <w:rPr>
        <w:b/>
        <w:bCs/>
      </w:rPr>
    </w:tblStylePr>
    <w:tblStylePr w:type="band1Vert">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tblStylePr w:type="band1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style>
  <w:style w:type="paragraph" w:styleId="Title">
    <w:name w:val="Title"/>
    <w:basedOn w:val="Normal"/>
    <w:next w:val="Normal"/>
    <w:link w:val="TitleChar"/>
    <w:rsid w:val="00210BEE"/>
    <w:pPr>
      <w:pBdr>
        <w:bottom w:val="single" w:sz="8" w:space="4" w:color="B1005D" w:themeColor="accent1"/>
      </w:pBdr>
      <w:spacing w:before="0" w:after="300" w:line="240" w:lineRule="auto"/>
      <w:contextualSpacing/>
    </w:pPr>
    <w:rPr>
      <w:rFonts w:asciiTheme="majorHAnsi" w:eastAsiaTheme="majorEastAsia" w:hAnsiTheme="majorHAnsi" w:cstheme="majorBidi"/>
      <w:color w:val="A59685" w:themeColor="text2" w:themeShade="BF"/>
      <w:spacing w:val="5"/>
      <w:kern w:val="28"/>
      <w:sz w:val="52"/>
      <w:szCs w:val="52"/>
    </w:rPr>
  </w:style>
  <w:style w:type="character" w:customStyle="1" w:styleId="TitleChar">
    <w:name w:val="Title Char"/>
    <w:basedOn w:val="DefaultParagraphFont"/>
    <w:link w:val="Title"/>
    <w:rsid w:val="00210BEE"/>
    <w:rPr>
      <w:rFonts w:asciiTheme="majorHAnsi" w:eastAsiaTheme="majorEastAsia" w:hAnsiTheme="majorHAnsi" w:cstheme="majorBidi"/>
      <w:color w:val="A59685" w:themeColor="text2" w:themeShade="BF"/>
      <w:spacing w:val="5"/>
      <w:kern w:val="28"/>
      <w:sz w:val="52"/>
      <w:szCs w:val="52"/>
      <w:lang w:val="en-AU"/>
    </w:rPr>
  </w:style>
  <w:style w:type="table" w:styleId="LightGrid-Accent2">
    <w:name w:val="Light Grid Accent 2"/>
    <w:basedOn w:val="TableNormal"/>
    <w:rsid w:val="001C3108"/>
    <w:tblPr>
      <w:tblStyleRowBandSize w:val="1"/>
      <w:tblStyleColBandSize w:val="1"/>
      <w:tblInd w:w="0" w:type="dxa"/>
      <w:tblBorders>
        <w:top w:val="single" w:sz="8" w:space="0" w:color="B1A495" w:themeColor="accent2"/>
        <w:left w:val="single" w:sz="8" w:space="0" w:color="B1A495" w:themeColor="accent2"/>
        <w:bottom w:val="single" w:sz="8" w:space="0" w:color="B1A495" w:themeColor="accent2"/>
        <w:right w:val="single" w:sz="8" w:space="0" w:color="B1A495" w:themeColor="accent2"/>
        <w:insideH w:val="single" w:sz="8" w:space="0" w:color="B1A495" w:themeColor="accent2"/>
        <w:insideV w:val="single" w:sz="8" w:space="0" w:color="B1A495"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1A495" w:themeColor="accent2"/>
          <w:left w:val="single" w:sz="8" w:space="0" w:color="B1A495" w:themeColor="accent2"/>
          <w:bottom w:val="single" w:sz="18" w:space="0" w:color="B1A495" w:themeColor="accent2"/>
          <w:right w:val="single" w:sz="8" w:space="0" w:color="B1A495" w:themeColor="accent2"/>
          <w:insideH w:val="nil"/>
          <w:insideV w:val="single" w:sz="8" w:space="0" w:color="B1A49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A495" w:themeColor="accent2"/>
          <w:left w:val="single" w:sz="8" w:space="0" w:color="B1A495" w:themeColor="accent2"/>
          <w:bottom w:val="single" w:sz="8" w:space="0" w:color="B1A495" w:themeColor="accent2"/>
          <w:right w:val="single" w:sz="8" w:space="0" w:color="B1A495" w:themeColor="accent2"/>
          <w:insideH w:val="nil"/>
          <w:insideV w:val="single" w:sz="8" w:space="0" w:color="B1A49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tblStylePr w:type="band1Vert">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shd w:val="clear" w:color="auto" w:fill="EBE8E4" w:themeFill="accent2" w:themeFillTint="3F"/>
      </w:tcPr>
    </w:tblStylePr>
    <w:tblStylePr w:type="band1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insideV w:val="single" w:sz="8" w:space="0" w:color="B1A495" w:themeColor="accent2"/>
        </w:tcBorders>
        <w:shd w:val="clear" w:color="auto" w:fill="EBE8E4" w:themeFill="accent2" w:themeFillTint="3F"/>
      </w:tcPr>
    </w:tblStylePr>
    <w:tblStylePr w:type="band2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insideV w:val="single" w:sz="8" w:space="0" w:color="B1A495" w:themeColor="accent2"/>
        </w:tcBorders>
      </w:tcPr>
    </w:tblStylePr>
  </w:style>
  <w:style w:type="paragraph" w:styleId="NormalWeb">
    <w:name w:val="Normal (Web)"/>
    <w:basedOn w:val="Normal"/>
    <w:uiPriority w:val="99"/>
    <w:rsid w:val="00B36BFE"/>
    <w:rPr>
      <w:rFonts w:ascii="Times New Roman" w:hAnsi="Times New Roman"/>
      <w:sz w:val="24"/>
    </w:rPr>
  </w:style>
  <w:style w:type="character" w:styleId="SubtleEmphasis">
    <w:name w:val="Subtle Emphasis"/>
    <w:uiPriority w:val="19"/>
    <w:qFormat/>
    <w:rsid w:val="00530BF5"/>
    <w:rPr>
      <w:rFonts w:cs="Times New Roman"/>
      <w:i/>
      <w:iCs/>
      <w:color w:val="808080"/>
    </w:rPr>
  </w:style>
  <w:style w:type="table" w:styleId="LightGrid-Accent3">
    <w:name w:val="Light Grid Accent 3"/>
    <w:basedOn w:val="TableNormal"/>
    <w:rsid w:val="00CE3E35"/>
    <w:tblPr>
      <w:tblStyleRowBandSize w:val="1"/>
      <w:tblStyleColBandSize w:val="1"/>
      <w:tblInd w:w="0" w:type="dxa"/>
      <w:tblBorders>
        <w:top w:val="single" w:sz="8" w:space="0" w:color="E6DFDC" w:themeColor="accent3"/>
        <w:left w:val="single" w:sz="8" w:space="0" w:color="E6DFDC" w:themeColor="accent3"/>
        <w:bottom w:val="single" w:sz="8" w:space="0" w:color="E6DFDC" w:themeColor="accent3"/>
        <w:right w:val="single" w:sz="8" w:space="0" w:color="E6DFDC" w:themeColor="accent3"/>
        <w:insideH w:val="single" w:sz="8" w:space="0" w:color="E6DFDC" w:themeColor="accent3"/>
        <w:insideV w:val="single" w:sz="8" w:space="0" w:color="E6DFD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DFDC" w:themeColor="accent3"/>
          <w:left w:val="single" w:sz="8" w:space="0" w:color="E6DFDC" w:themeColor="accent3"/>
          <w:bottom w:val="single" w:sz="18" w:space="0" w:color="E6DFDC" w:themeColor="accent3"/>
          <w:right w:val="single" w:sz="8" w:space="0" w:color="E6DFDC" w:themeColor="accent3"/>
          <w:insideH w:val="nil"/>
          <w:insideV w:val="single" w:sz="8" w:space="0" w:color="E6DF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DFDC" w:themeColor="accent3"/>
          <w:left w:val="single" w:sz="8" w:space="0" w:color="E6DFDC" w:themeColor="accent3"/>
          <w:bottom w:val="single" w:sz="8" w:space="0" w:color="E6DFDC" w:themeColor="accent3"/>
          <w:right w:val="single" w:sz="8" w:space="0" w:color="E6DFDC" w:themeColor="accent3"/>
          <w:insideH w:val="nil"/>
          <w:insideV w:val="single" w:sz="8" w:space="0" w:color="E6DF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tblStylePr w:type="band1Vert">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shd w:val="clear" w:color="auto" w:fill="F8F6F6" w:themeFill="accent3" w:themeFillTint="3F"/>
      </w:tcPr>
    </w:tblStylePr>
    <w:tblStylePr w:type="band1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insideV w:val="single" w:sz="8" w:space="0" w:color="E6DFDC" w:themeColor="accent3"/>
        </w:tcBorders>
        <w:shd w:val="clear" w:color="auto" w:fill="F8F6F6" w:themeFill="accent3" w:themeFillTint="3F"/>
      </w:tcPr>
    </w:tblStylePr>
    <w:tblStylePr w:type="band2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insideV w:val="single" w:sz="8" w:space="0" w:color="E6DFDC" w:themeColor="accent3"/>
        </w:tcBorders>
      </w:tcPr>
    </w:tblStylePr>
  </w:style>
  <w:style w:type="paragraph" w:customStyle="1" w:styleId="xmsolistparagraph">
    <w:name w:val="x_msolistparagraph"/>
    <w:basedOn w:val="Normal"/>
    <w:rsid w:val="007C275A"/>
    <w:pPr>
      <w:spacing w:before="100" w:beforeAutospacing="1" w:after="100" w:afterAutospacing="1" w:line="240" w:lineRule="auto"/>
    </w:pPr>
    <w:rPr>
      <w:rFonts w:ascii="Times New Roman" w:eastAsia="Times New Roman" w:hAnsi="Times New Roman"/>
      <w:sz w:val="24"/>
      <w:lang w:eastAsia="en-AU"/>
    </w:rPr>
  </w:style>
  <w:style w:type="character" w:styleId="PlaceholderText">
    <w:name w:val="Placeholder Text"/>
    <w:basedOn w:val="DefaultParagraphFont"/>
    <w:rsid w:val="007E140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qFormat="1"/>
    <w:lsdException w:name="toc 1" w:uiPriority="39" w:qFormat="1"/>
    <w:lsdException w:name="toc 2" w:uiPriority="39" w:qFormat="1"/>
    <w:lsdException w:name="toc 3" w:uiPriority="39"/>
    <w:lsdException w:name="footnote text" w:uiPriority="99"/>
    <w:lsdException w:name="annotation text" w:uiPriority="99"/>
    <w:lsdException w:name="caption" w:uiPriority="35" w:qFormat="1"/>
    <w:lsdException w:name="table of figures" w:uiPriority="99" w:qFormat="1"/>
    <w:lsdException w:name="footnote reference" w:uiPriority="99"/>
    <w:lsdException w:name="annotation reference" w:uiPriority="99"/>
    <w:lsdException w:name="Hyperlink" w:uiPriority="99"/>
    <w:lsdException w:name="Normal (Web)" w:uiPriority="99"/>
    <w:lsdException w:name="annotation subject" w:uiPriority="99"/>
    <w:lsdException w:name="No List" w:uiPriority="99"/>
    <w:lsdException w:name="Balloon Text" w:uiPriority="99"/>
    <w:lsdException w:name="Table Grid" w:uiPriority="59"/>
    <w:lsdException w:name="List Paragraph" w:uiPriority="34" w:qFormat="1"/>
    <w:lsdException w:name="Subtle Emphasis" w:uiPriority="19" w:qFormat="1"/>
    <w:lsdException w:name="TOC Heading" w:uiPriority="39" w:qFormat="1"/>
  </w:latentStyles>
  <w:style w:type="paragraph" w:default="1" w:styleId="Normal">
    <w:name w:val="Normal"/>
    <w:aliases w:val="Normal / Body Text"/>
    <w:qFormat/>
    <w:rsid w:val="00CC10E8"/>
    <w:pPr>
      <w:spacing w:before="60" w:after="200" w:line="252" w:lineRule="auto"/>
      <w:jc w:val="both"/>
    </w:pPr>
    <w:rPr>
      <w:rFonts w:ascii="Calibri" w:hAnsi="Calibri"/>
      <w:sz w:val="22"/>
      <w:lang w:val="en-AU"/>
    </w:rPr>
  </w:style>
  <w:style w:type="paragraph" w:styleId="Heading1">
    <w:name w:val="heading 1"/>
    <w:aliases w:val="Main Head"/>
    <w:basedOn w:val="Normal"/>
    <w:next w:val="Normal"/>
    <w:link w:val="Heading1Char"/>
    <w:uiPriority w:val="9"/>
    <w:qFormat/>
    <w:rsid w:val="000C2A45"/>
    <w:pPr>
      <w:keepNext/>
      <w:keepLines/>
      <w:pageBreakBefore/>
      <w:numPr>
        <w:numId w:val="3"/>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autoRedefine/>
    <w:uiPriority w:val="9"/>
    <w:unhideWhenUsed/>
    <w:qFormat/>
    <w:rsid w:val="00BA7FC5"/>
    <w:pPr>
      <w:keepNext/>
      <w:keepLines/>
      <w:numPr>
        <w:ilvl w:val="1"/>
        <w:numId w:val="3"/>
      </w:numPr>
      <w:spacing w:before="360" w:after="120"/>
      <w:ind w:left="567"/>
      <w:outlineLvl w:val="1"/>
    </w:pPr>
    <w:rPr>
      <w:rFonts w:asciiTheme="majorHAnsi" w:eastAsia="Times New Roman" w:hAnsiTheme="majorHAnsi"/>
      <w:b/>
      <w:bCs/>
      <w:sz w:val="28"/>
    </w:rPr>
  </w:style>
  <w:style w:type="paragraph" w:styleId="Heading3">
    <w:name w:val="heading 3"/>
    <w:aliases w:val="Subhead"/>
    <w:basedOn w:val="Normal"/>
    <w:next w:val="Normal"/>
    <w:link w:val="Heading3Char"/>
    <w:uiPriority w:val="9"/>
    <w:unhideWhenUsed/>
    <w:qFormat/>
    <w:rsid w:val="000C2A45"/>
    <w:pPr>
      <w:keepNext/>
      <w:keepLines/>
      <w:numPr>
        <w:ilvl w:val="2"/>
        <w:numId w:val="3"/>
      </w:numPr>
      <w:spacing w:before="240"/>
      <w:outlineLvl w:val="2"/>
    </w:pPr>
    <w:rPr>
      <w:rFonts w:asciiTheme="majorHAnsi" w:eastAsia="Times New Roman" w:hAnsiTheme="majorHAnsi"/>
      <w:b/>
      <w:bCs/>
      <w:sz w:val="28"/>
    </w:rPr>
  </w:style>
  <w:style w:type="paragraph" w:styleId="Heading4">
    <w:name w:val="heading 4"/>
    <w:aliases w:val="2nd Subheading"/>
    <w:basedOn w:val="Normal"/>
    <w:next w:val="Normal"/>
    <w:link w:val="Heading4Char"/>
    <w:qFormat/>
    <w:rsid w:val="000C2A45"/>
    <w:pPr>
      <w:keepNext/>
      <w:keepLines/>
      <w:spacing w:before="200"/>
      <w:outlineLvl w:val="3"/>
    </w:pPr>
    <w:rPr>
      <w:rFonts w:eastAsiaTheme="majorEastAsia" w:cstheme="majorBidi"/>
      <w:bCs/>
      <w:iCs/>
      <w:sz w:val="28"/>
      <w:u w:val="single"/>
    </w:rPr>
  </w:style>
  <w:style w:type="paragraph" w:styleId="Heading5">
    <w:name w:val="heading 5"/>
    <w:basedOn w:val="Normal"/>
    <w:next w:val="Normal"/>
    <w:link w:val="Heading5Char"/>
    <w:rsid w:val="000C2A45"/>
    <w:pPr>
      <w:keepNext/>
      <w:keepLines/>
      <w:numPr>
        <w:ilvl w:val="4"/>
        <w:numId w:val="3"/>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rsid w:val="000C2A45"/>
    <w:pPr>
      <w:keepNext/>
      <w:keepLines/>
      <w:numPr>
        <w:ilvl w:val="5"/>
        <w:numId w:val="3"/>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rsid w:val="000C2A45"/>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0C2A45"/>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0C2A45"/>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0C2A45"/>
    <w:rPr>
      <w:rFonts w:ascii="Calibri" w:eastAsia="Times New Roman" w:hAnsi="Calibri"/>
      <w:b/>
      <w:bCs/>
      <w:caps/>
      <w:color w:val="B0005C"/>
      <w:kern w:val="32"/>
      <w:sz w:val="40"/>
      <w:szCs w:val="32"/>
      <w:lang w:val="en-AU"/>
    </w:rPr>
  </w:style>
  <w:style w:type="paragraph" w:styleId="ListParagraph">
    <w:name w:val="List Paragraph"/>
    <w:basedOn w:val="Normal"/>
    <w:link w:val="ListParagraphChar"/>
    <w:uiPriority w:val="34"/>
    <w:qFormat/>
    <w:rsid w:val="00AC6FC8"/>
    <w:pPr>
      <w:numPr>
        <w:numId w:val="1"/>
      </w:numPr>
      <w:contextualSpacing/>
    </w:pPr>
  </w:style>
  <w:style w:type="character" w:customStyle="1" w:styleId="Heading2Char">
    <w:name w:val="Heading 2 Char"/>
    <w:aliases w:val="Head Char"/>
    <w:link w:val="Heading2"/>
    <w:uiPriority w:val="9"/>
    <w:rsid w:val="00BA7FC5"/>
    <w:rPr>
      <w:rFonts w:asciiTheme="majorHAnsi" w:eastAsia="Times New Roman" w:hAnsiTheme="majorHAnsi"/>
      <w:b/>
      <w:bCs/>
      <w:sz w:val="28"/>
      <w:lang w:val="en-AU"/>
    </w:rPr>
  </w:style>
  <w:style w:type="character" w:customStyle="1" w:styleId="Heading3Char">
    <w:name w:val="Heading 3 Char"/>
    <w:aliases w:val="Subhead Char"/>
    <w:link w:val="Heading3"/>
    <w:uiPriority w:val="9"/>
    <w:rsid w:val="000C2A45"/>
    <w:rPr>
      <w:rFonts w:asciiTheme="majorHAnsi" w:eastAsia="Times New Roman" w:hAnsiTheme="majorHAnsi"/>
      <w:b/>
      <w:bCs/>
      <w:sz w:val="28"/>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B11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642093"/>
    <w:pPr>
      <w:spacing w:before="240" w:after="120"/>
    </w:pPr>
    <w:rPr>
      <w:rFonts w:asciiTheme="minorHAnsi" w:hAnsiTheme="minorHAnsi"/>
      <w:b/>
      <w:caps/>
      <w:szCs w:val="22"/>
      <w:u w:val="single"/>
    </w:rPr>
  </w:style>
  <w:style w:type="paragraph" w:styleId="TOC2">
    <w:name w:val="toc 2"/>
    <w:basedOn w:val="TOC1"/>
    <w:next w:val="Normal"/>
    <w:autoRedefine/>
    <w:uiPriority w:val="39"/>
    <w:unhideWhenUsed/>
    <w:qFormat/>
    <w:rsid w:val="00B17189"/>
    <w:pPr>
      <w:tabs>
        <w:tab w:val="left" w:pos="502"/>
        <w:tab w:val="right" w:pos="9639"/>
      </w:tabs>
      <w:spacing w:before="0" w:after="40"/>
    </w:pPr>
    <w:rPr>
      <w:rFonts w:asciiTheme="majorHAnsi" w:hAnsiTheme="majorHAnsi" w:cstheme="majorHAnsi"/>
      <w:caps w:val="0"/>
      <w:noProof/>
      <w:u w:val="none"/>
      <w:lang w:val="en-US"/>
    </w:rPr>
  </w:style>
  <w:style w:type="paragraph" w:styleId="TOC3">
    <w:name w:val="toc 3"/>
    <w:basedOn w:val="TOC2"/>
    <w:next w:val="Normal"/>
    <w:autoRedefine/>
    <w:uiPriority w:val="39"/>
    <w:unhideWhenUsed/>
    <w:rsid w:val="006C05A3"/>
    <w:pPr>
      <w:tabs>
        <w:tab w:val="clear" w:pos="502"/>
        <w:tab w:val="left" w:pos="709"/>
      </w:tabs>
    </w:pPr>
    <w:rPr>
      <w:b w:val="0"/>
    </w:rPr>
  </w:style>
  <w:style w:type="paragraph" w:styleId="TOC4">
    <w:name w:val="toc 4"/>
    <w:basedOn w:val="Normal"/>
    <w:next w:val="Normal"/>
    <w:autoRedefine/>
    <w:uiPriority w:val="39"/>
    <w:unhideWhenUsed/>
    <w:rsid w:val="00737D8B"/>
    <w:pPr>
      <w:spacing w:before="0" w:after="0"/>
    </w:pPr>
    <w:rPr>
      <w:rFonts w:asciiTheme="minorHAnsi" w:hAnsiTheme="minorHAnsi"/>
      <w:szCs w:val="22"/>
    </w:rPr>
  </w:style>
  <w:style w:type="paragraph" w:styleId="TOC5">
    <w:name w:val="toc 5"/>
    <w:basedOn w:val="Normal"/>
    <w:next w:val="Normal"/>
    <w:autoRedefine/>
    <w:uiPriority w:val="39"/>
    <w:unhideWhenUsed/>
    <w:rsid w:val="00737D8B"/>
    <w:pPr>
      <w:spacing w:before="0" w:after="0"/>
    </w:pPr>
    <w:rPr>
      <w:rFonts w:asciiTheme="minorHAnsi" w:hAnsiTheme="minorHAnsi"/>
      <w:szCs w:val="22"/>
    </w:rPr>
  </w:style>
  <w:style w:type="paragraph" w:styleId="TOC6">
    <w:name w:val="toc 6"/>
    <w:basedOn w:val="Normal"/>
    <w:next w:val="Normal"/>
    <w:autoRedefine/>
    <w:uiPriority w:val="39"/>
    <w:unhideWhenUsed/>
    <w:rsid w:val="00737D8B"/>
    <w:pPr>
      <w:spacing w:before="0" w:after="0"/>
    </w:pPr>
    <w:rPr>
      <w:rFonts w:asciiTheme="minorHAnsi" w:hAnsiTheme="minorHAnsi"/>
      <w:szCs w:val="22"/>
    </w:rPr>
  </w:style>
  <w:style w:type="paragraph" w:styleId="TOC7">
    <w:name w:val="toc 7"/>
    <w:basedOn w:val="Normal"/>
    <w:next w:val="Normal"/>
    <w:autoRedefine/>
    <w:uiPriority w:val="39"/>
    <w:unhideWhenUsed/>
    <w:rsid w:val="00737D8B"/>
    <w:pPr>
      <w:spacing w:before="0" w:after="0"/>
    </w:pPr>
    <w:rPr>
      <w:rFonts w:asciiTheme="minorHAnsi" w:hAnsiTheme="minorHAnsi"/>
      <w:szCs w:val="22"/>
    </w:rPr>
  </w:style>
  <w:style w:type="paragraph" w:styleId="TOC8">
    <w:name w:val="toc 8"/>
    <w:basedOn w:val="Normal"/>
    <w:next w:val="Normal"/>
    <w:autoRedefine/>
    <w:uiPriority w:val="39"/>
    <w:unhideWhenUsed/>
    <w:rsid w:val="00737D8B"/>
    <w:pPr>
      <w:spacing w:before="0" w:after="0"/>
    </w:pPr>
    <w:rPr>
      <w:rFonts w:asciiTheme="minorHAnsi" w:hAnsiTheme="minorHAnsi"/>
      <w:szCs w:val="22"/>
    </w:rPr>
  </w:style>
  <w:style w:type="paragraph" w:styleId="TOC9">
    <w:name w:val="toc 9"/>
    <w:basedOn w:val="Normal"/>
    <w:next w:val="Normal"/>
    <w:autoRedefine/>
    <w:uiPriority w:val="39"/>
    <w:unhideWhenUsed/>
    <w:rsid w:val="00737D8B"/>
    <w:pPr>
      <w:spacing w:before="0" w:after="0"/>
    </w:pPr>
    <w:rPr>
      <w:rFonts w:asciiTheme="minorHAnsi" w:hAnsiTheme="minorHAnsi"/>
      <w:szCs w:val="22"/>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AC6FC8"/>
    <w:pPr>
      <w:tabs>
        <w:tab w:val="right" w:pos="8647"/>
      </w:tabs>
      <w:spacing w:line="340" w:lineRule="atLeast"/>
    </w:pPr>
    <w:rPr>
      <w:b w:val="0"/>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6D0AD8"/>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uiPriority w:val="99"/>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uiPriority w:val="99"/>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0C2A45"/>
    <w:rPr>
      <w:rFonts w:ascii="Calibri" w:eastAsiaTheme="majorEastAsia" w:hAnsi="Calibri" w:cstheme="majorBidi"/>
      <w:bCs/>
      <w:iCs/>
      <w:sz w:val="28"/>
      <w:u w:val="single"/>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AC6FC8"/>
    <w:pPr>
      <w:numPr>
        <w:numId w:val="2"/>
      </w:numPr>
      <w:spacing w:before="120" w:after="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AC6FC8"/>
    <w:rPr>
      <w:rFonts w:ascii="Calibri" w:hAnsi="Calibri"/>
      <w:sz w:val="22"/>
      <w:lang w:val="en-AU"/>
    </w:rPr>
  </w:style>
  <w:style w:type="character" w:customStyle="1" w:styleId="listChar">
    <w:name w:val="list Char"/>
    <w:basedOn w:val="ListParagraphChar"/>
    <w:link w:val="List1"/>
    <w:rsid w:val="00AC6FC8"/>
    <w:rPr>
      <w:rFonts w:ascii="Calibri" w:hAnsi="Calibri"/>
      <w:sz w:val="22"/>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AC6FC8"/>
    <w:pPr>
      <w:numPr>
        <w:ilvl w:val="1"/>
      </w:numPr>
    </w:pPr>
  </w:style>
  <w:style w:type="paragraph" w:customStyle="1" w:styleId="ToTandToF">
    <w:name w:val="ToT and ToF"/>
    <w:basedOn w:val="Normal"/>
    <w:link w:val="ToTandToFChar"/>
    <w:qFormat/>
    <w:rsid w:val="00CB01B4"/>
    <w:pPr>
      <w:pBdr>
        <w:bottom w:val="single" w:sz="4" w:space="1" w:color="auto"/>
      </w:pBdr>
      <w:spacing w:before="120" w:after="120" w:line="240" w:lineRule="auto"/>
    </w:pPr>
    <w:rPr>
      <w:b/>
      <w:sz w:val="28"/>
    </w:rPr>
  </w:style>
  <w:style w:type="character" w:customStyle="1" w:styleId="SecondlevellistChar">
    <w:name w:val="Second level list Char"/>
    <w:basedOn w:val="listChar"/>
    <w:link w:val="Secondlevellist"/>
    <w:rsid w:val="00AC6FC8"/>
    <w:rPr>
      <w:rFonts w:ascii="Calibri" w:hAnsi="Calibri"/>
      <w:sz w:val="22"/>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0C2A45"/>
    <w:rPr>
      <w:rFonts w:asciiTheme="majorHAnsi" w:eastAsiaTheme="majorEastAsia" w:hAnsiTheme="majorHAnsi" w:cstheme="majorBidi"/>
      <w:color w:val="58002D" w:themeColor="accent1" w:themeShade="7F"/>
      <w:sz w:val="22"/>
      <w:lang w:val="en-AU"/>
    </w:rPr>
  </w:style>
  <w:style w:type="character" w:customStyle="1" w:styleId="Heading6Char">
    <w:name w:val="Heading 6 Char"/>
    <w:basedOn w:val="DefaultParagraphFont"/>
    <w:link w:val="Heading6"/>
    <w:rsid w:val="000C2A45"/>
    <w:rPr>
      <w:rFonts w:asciiTheme="majorHAnsi" w:eastAsiaTheme="majorEastAsia" w:hAnsiTheme="majorHAnsi" w:cstheme="majorBidi"/>
      <w:i/>
      <w:iCs/>
      <w:color w:val="58002D" w:themeColor="accent1" w:themeShade="7F"/>
      <w:sz w:val="22"/>
      <w:lang w:val="en-AU"/>
    </w:rPr>
  </w:style>
  <w:style w:type="character" w:customStyle="1" w:styleId="Heading7Char">
    <w:name w:val="Heading 7 Char"/>
    <w:basedOn w:val="DefaultParagraphFont"/>
    <w:link w:val="Heading7"/>
    <w:rsid w:val="000C2A45"/>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rsid w:val="000C2A4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0C2A45"/>
    <w:rPr>
      <w:rFonts w:asciiTheme="majorHAnsi" w:eastAsiaTheme="majorEastAsia" w:hAnsiTheme="majorHAnsi" w:cstheme="majorBidi"/>
      <w:i/>
      <w:iCs/>
      <w:color w:val="404040" w:themeColor="text1" w:themeTint="BF"/>
      <w:sz w:val="20"/>
      <w:szCs w:val="20"/>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table" w:styleId="LightList-Accent1">
    <w:name w:val="Light List Accent 1"/>
    <w:basedOn w:val="TableNormal"/>
    <w:rsid w:val="00536732"/>
    <w:tblPr>
      <w:tblStyleRowBandSize w:val="1"/>
      <w:tblStyleColBandSize w:val="1"/>
      <w:tblInd w:w="0" w:type="dxa"/>
      <w:tblBorders>
        <w:top w:val="single" w:sz="8" w:space="0" w:color="B1005D" w:themeColor="accent1"/>
        <w:left w:val="single" w:sz="8" w:space="0" w:color="B1005D" w:themeColor="accent1"/>
        <w:bottom w:val="single" w:sz="8" w:space="0" w:color="B1005D" w:themeColor="accent1"/>
        <w:right w:val="single" w:sz="8" w:space="0" w:color="B1005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1005D" w:themeFill="accent1"/>
      </w:tcPr>
    </w:tblStylePr>
    <w:tblStylePr w:type="lastRow">
      <w:pPr>
        <w:spacing w:before="0" w:after="0" w:line="240" w:lineRule="auto"/>
      </w:pPr>
      <w:rPr>
        <w:b/>
        <w:bCs/>
      </w:rPr>
      <w:tblPr/>
      <w:tcPr>
        <w:tcBorders>
          <w:top w:val="double" w:sz="6" w:space="0" w:color="B1005D" w:themeColor="accent1"/>
          <w:left w:val="single" w:sz="8" w:space="0" w:color="B1005D" w:themeColor="accent1"/>
          <w:bottom w:val="single" w:sz="8" w:space="0" w:color="B1005D" w:themeColor="accent1"/>
          <w:right w:val="single" w:sz="8" w:space="0" w:color="B1005D" w:themeColor="accent1"/>
        </w:tcBorders>
      </w:tcPr>
    </w:tblStylePr>
    <w:tblStylePr w:type="firstCol">
      <w:rPr>
        <w:b/>
        <w:bCs/>
      </w:rPr>
    </w:tblStylePr>
    <w:tblStylePr w:type="lastCol">
      <w:rPr>
        <w:b/>
        <w:bCs/>
      </w:rPr>
    </w:tblStylePr>
    <w:tblStylePr w:type="band1Vert">
      <w:tblPr/>
      <w:tcPr>
        <w:tcBorders>
          <w:top w:val="single" w:sz="8" w:space="0" w:color="B1005D" w:themeColor="accent1"/>
          <w:left w:val="single" w:sz="8" w:space="0" w:color="B1005D" w:themeColor="accent1"/>
          <w:bottom w:val="single" w:sz="8" w:space="0" w:color="B1005D" w:themeColor="accent1"/>
          <w:right w:val="single" w:sz="8" w:space="0" w:color="B1005D" w:themeColor="accent1"/>
        </w:tcBorders>
      </w:tcPr>
    </w:tblStylePr>
    <w:tblStylePr w:type="band1Horz">
      <w:tblPr/>
      <w:tcPr>
        <w:tcBorders>
          <w:top w:val="single" w:sz="8" w:space="0" w:color="B1005D" w:themeColor="accent1"/>
          <w:left w:val="single" w:sz="8" w:space="0" w:color="B1005D" w:themeColor="accent1"/>
          <w:bottom w:val="single" w:sz="8" w:space="0" w:color="B1005D" w:themeColor="accent1"/>
          <w:right w:val="single" w:sz="8" w:space="0" w:color="B1005D" w:themeColor="accent1"/>
        </w:tcBorders>
      </w:tcPr>
    </w:tblStylePr>
  </w:style>
  <w:style w:type="table" w:styleId="LightList-Accent2">
    <w:name w:val="Light List Accent 2"/>
    <w:basedOn w:val="TableNormal"/>
    <w:rsid w:val="00536732"/>
    <w:tblPr>
      <w:tblStyleRowBandSize w:val="1"/>
      <w:tblStyleColBandSize w:val="1"/>
      <w:tblInd w:w="0" w:type="dxa"/>
      <w:tblBorders>
        <w:top w:val="single" w:sz="8" w:space="0" w:color="B1A495" w:themeColor="accent2"/>
        <w:left w:val="single" w:sz="8" w:space="0" w:color="B1A495" w:themeColor="accent2"/>
        <w:bottom w:val="single" w:sz="8" w:space="0" w:color="B1A495" w:themeColor="accent2"/>
        <w:right w:val="single" w:sz="8" w:space="0" w:color="B1A49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1A495" w:themeFill="accent2"/>
      </w:tcPr>
    </w:tblStylePr>
    <w:tblStylePr w:type="lastRow">
      <w:pPr>
        <w:spacing w:before="0" w:after="0" w:line="240" w:lineRule="auto"/>
      </w:pPr>
      <w:rPr>
        <w:b/>
        <w:bCs/>
      </w:rPr>
      <w:tblPr/>
      <w:tcPr>
        <w:tcBorders>
          <w:top w:val="double" w:sz="6" w:space="0" w:color="B1A495" w:themeColor="accent2"/>
          <w:left w:val="single" w:sz="8" w:space="0" w:color="B1A495" w:themeColor="accent2"/>
          <w:bottom w:val="single" w:sz="8" w:space="0" w:color="B1A495" w:themeColor="accent2"/>
          <w:right w:val="single" w:sz="8" w:space="0" w:color="B1A495" w:themeColor="accent2"/>
        </w:tcBorders>
      </w:tcPr>
    </w:tblStylePr>
    <w:tblStylePr w:type="firstCol">
      <w:rPr>
        <w:b/>
        <w:bCs/>
      </w:rPr>
    </w:tblStylePr>
    <w:tblStylePr w:type="lastCol">
      <w:rPr>
        <w:b/>
        <w:bCs/>
      </w:rPr>
    </w:tblStylePr>
    <w:tblStylePr w:type="band1Vert">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tblStylePr w:type="band1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style>
  <w:style w:type="paragraph" w:styleId="FootnoteText">
    <w:name w:val="footnote text"/>
    <w:basedOn w:val="Normal"/>
    <w:link w:val="FootnoteTextChar"/>
    <w:uiPriority w:val="99"/>
    <w:rsid w:val="007F0924"/>
    <w:pPr>
      <w:spacing w:before="0" w:after="0" w:line="240" w:lineRule="auto"/>
    </w:pPr>
    <w:rPr>
      <w:sz w:val="24"/>
    </w:rPr>
  </w:style>
  <w:style w:type="character" w:customStyle="1" w:styleId="FootnoteTextChar">
    <w:name w:val="Footnote Text Char"/>
    <w:basedOn w:val="DefaultParagraphFont"/>
    <w:link w:val="FootnoteText"/>
    <w:uiPriority w:val="99"/>
    <w:rsid w:val="007F0924"/>
    <w:rPr>
      <w:rFonts w:ascii="Calibri" w:hAnsi="Calibri"/>
      <w:sz w:val="24"/>
      <w:szCs w:val="24"/>
      <w:lang w:val="en-AU"/>
    </w:rPr>
  </w:style>
  <w:style w:type="character" w:styleId="FootnoteReference">
    <w:name w:val="footnote reference"/>
    <w:basedOn w:val="DefaultParagraphFont"/>
    <w:uiPriority w:val="99"/>
    <w:rsid w:val="007F0924"/>
    <w:rPr>
      <w:vertAlign w:val="superscript"/>
    </w:rPr>
  </w:style>
  <w:style w:type="character" w:styleId="CommentReference">
    <w:name w:val="annotation reference"/>
    <w:basedOn w:val="DefaultParagraphFont"/>
    <w:uiPriority w:val="99"/>
    <w:rsid w:val="00DE64CE"/>
    <w:rPr>
      <w:sz w:val="18"/>
      <w:szCs w:val="18"/>
    </w:rPr>
  </w:style>
  <w:style w:type="paragraph" w:styleId="CommentText">
    <w:name w:val="annotation text"/>
    <w:basedOn w:val="Normal"/>
    <w:link w:val="CommentTextChar"/>
    <w:uiPriority w:val="99"/>
    <w:rsid w:val="00DE64CE"/>
    <w:pPr>
      <w:spacing w:line="240" w:lineRule="auto"/>
    </w:pPr>
    <w:rPr>
      <w:sz w:val="24"/>
    </w:rPr>
  </w:style>
  <w:style w:type="character" w:customStyle="1" w:styleId="CommentTextChar">
    <w:name w:val="Comment Text Char"/>
    <w:basedOn w:val="DefaultParagraphFont"/>
    <w:link w:val="CommentText"/>
    <w:uiPriority w:val="99"/>
    <w:rsid w:val="00DE64CE"/>
    <w:rPr>
      <w:rFonts w:ascii="Calibri" w:hAnsi="Calibri"/>
      <w:sz w:val="24"/>
      <w:szCs w:val="24"/>
      <w:lang w:val="en-AU"/>
    </w:rPr>
  </w:style>
  <w:style w:type="paragraph" w:styleId="CommentSubject">
    <w:name w:val="annotation subject"/>
    <w:basedOn w:val="CommentText"/>
    <w:next w:val="CommentText"/>
    <w:link w:val="CommentSubjectChar"/>
    <w:uiPriority w:val="99"/>
    <w:rsid w:val="00DE64CE"/>
    <w:rPr>
      <w:b/>
      <w:bCs/>
      <w:sz w:val="20"/>
      <w:szCs w:val="20"/>
    </w:rPr>
  </w:style>
  <w:style w:type="character" w:customStyle="1" w:styleId="CommentSubjectChar">
    <w:name w:val="Comment Subject Char"/>
    <w:basedOn w:val="CommentTextChar"/>
    <w:link w:val="CommentSubject"/>
    <w:uiPriority w:val="99"/>
    <w:rsid w:val="00DE64CE"/>
    <w:rPr>
      <w:rFonts w:ascii="Calibri" w:hAnsi="Calibri"/>
      <w:b/>
      <w:bCs/>
      <w:sz w:val="24"/>
      <w:szCs w:val="24"/>
      <w:lang w:val="en-AU"/>
    </w:rPr>
  </w:style>
  <w:style w:type="paragraph" w:styleId="Revision">
    <w:name w:val="Revision"/>
    <w:hidden/>
    <w:rsid w:val="00121C00"/>
    <w:rPr>
      <w:rFonts w:ascii="Calibri" w:hAnsi="Calibri"/>
      <w:sz w:val="22"/>
      <w:lang w:val="en-AU"/>
    </w:rPr>
  </w:style>
  <w:style w:type="table" w:styleId="ColorfulList-Accent2">
    <w:name w:val="Colorful List Accent 2"/>
    <w:basedOn w:val="TableNormal"/>
    <w:rsid w:val="0052133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5F4" w:themeFill="accent2"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8E4" w:themeFill="accent2" w:themeFillTint="3F"/>
      </w:tcPr>
    </w:tblStylePr>
    <w:tblStylePr w:type="band1Horz">
      <w:tblPr/>
      <w:tcPr>
        <w:shd w:val="clear" w:color="auto" w:fill="EFECE9" w:themeFill="accent2" w:themeFillTint="33"/>
      </w:tcPr>
    </w:tblStylePr>
  </w:style>
  <w:style w:type="paragraph" w:styleId="DocumentMap">
    <w:name w:val="Document Map"/>
    <w:basedOn w:val="Normal"/>
    <w:link w:val="DocumentMapChar"/>
    <w:rsid w:val="006D1A76"/>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rsid w:val="006D1A76"/>
    <w:rPr>
      <w:rFonts w:ascii="Lucida Grande" w:hAnsi="Lucida Grande" w:cs="Lucida Grande"/>
      <w:lang w:val="en-AU"/>
    </w:rPr>
  </w:style>
  <w:style w:type="table" w:styleId="ColorfulShading-Accent2">
    <w:name w:val="Colorful Shading Accent 2"/>
    <w:basedOn w:val="TableNormal"/>
    <w:rsid w:val="00DD1A40"/>
    <w:rPr>
      <w:color w:val="000000" w:themeColor="text1"/>
    </w:rPr>
    <w:tblPr>
      <w:tblStyleRowBandSize w:val="1"/>
      <w:tblStyleColBandSize w:val="1"/>
      <w:tblInd w:w="0" w:type="dxa"/>
      <w:tblBorders>
        <w:top w:val="single" w:sz="24" w:space="0" w:color="B1A495" w:themeColor="accent2"/>
        <w:left w:val="single" w:sz="4" w:space="0" w:color="B1A495" w:themeColor="accent2"/>
        <w:bottom w:val="single" w:sz="4" w:space="0" w:color="B1A495" w:themeColor="accent2"/>
        <w:right w:val="single" w:sz="4" w:space="0" w:color="B1A495"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5F4" w:themeFill="accent2" w:themeFillTint="19"/>
    </w:tcPr>
    <w:tblStylePr w:type="firstRow">
      <w:rPr>
        <w:b/>
        <w:bCs/>
      </w:rPr>
      <w:tblPr/>
      <w:tcPr>
        <w:tcBorders>
          <w:top w:val="nil"/>
          <w:left w:val="nil"/>
          <w:bottom w:val="single" w:sz="24" w:space="0" w:color="B1A4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6253" w:themeFill="accent2" w:themeFillShade="99"/>
      </w:tcPr>
    </w:tblStylePr>
    <w:tblStylePr w:type="firstCol">
      <w:rPr>
        <w:color w:val="FFFFFF" w:themeColor="background1"/>
      </w:rPr>
      <w:tblPr/>
      <w:tcPr>
        <w:tcBorders>
          <w:top w:val="nil"/>
          <w:left w:val="nil"/>
          <w:bottom w:val="nil"/>
          <w:right w:val="nil"/>
          <w:insideH w:val="single" w:sz="4" w:space="0" w:color="706253" w:themeColor="accent2" w:themeShade="99"/>
          <w:insideV w:val="nil"/>
        </w:tcBorders>
        <w:shd w:val="clear" w:color="auto" w:fill="70625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06253" w:themeFill="accent2" w:themeFillShade="99"/>
      </w:tcPr>
    </w:tblStylePr>
    <w:tblStylePr w:type="band1Vert">
      <w:tblPr/>
      <w:tcPr>
        <w:shd w:val="clear" w:color="auto" w:fill="DFDAD4" w:themeFill="accent2" w:themeFillTint="66"/>
      </w:tcPr>
    </w:tblStylePr>
    <w:tblStylePr w:type="band1Horz">
      <w:tblPr/>
      <w:tcPr>
        <w:shd w:val="clear" w:color="auto" w:fill="D8D1C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rsid w:val="00E07025"/>
    <w:rPr>
      <w:color w:val="000000" w:themeColor="text1"/>
    </w:rPr>
    <w:tblPr>
      <w:tblStyleRowBandSize w:val="1"/>
      <w:tblStyleColBandSize w:val="1"/>
      <w:tblInd w:w="0" w:type="dxa"/>
      <w:tblBorders>
        <w:top w:val="single" w:sz="24" w:space="0" w:color="640034" w:themeColor="accent4"/>
        <w:left w:val="single" w:sz="4" w:space="0" w:color="E6DFDC" w:themeColor="accent3"/>
        <w:bottom w:val="single" w:sz="4" w:space="0" w:color="E6DFDC" w:themeColor="accent3"/>
        <w:right w:val="single" w:sz="4" w:space="0" w:color="E6DFDC"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BFB" w:themeFill="accent3" w:themeFillTint="19"/>
    </w:tcPr>
    <w:tblStylePr w:type="firstRow">
      <w:rPr>
        <w:b/>
        <w:bCs/>
      </w:rPr>
      <w:tblPr/>
      <w:tcPr>
        <w:tcBorders>
          <w:top w:val="nil"/>
          <w:left w:val="nil"/>
          <w:bottom w:val="single" w:sz="24" w:space="0" w:color="64003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E73" w:themeFill="accent3" w:themeFillShade="99"/>
      </w:tcPr>
    </w:tblStylePr>
    <w:tblStylePr w:type="firstCol">
      <w:rPr>
        <w:color w:val="FFFFFF" w:themeColor="background1"/>
      </w:rPr>
      <w:tblPr/>
      <w:tcPr>
        <w:tcBorders>
          <w:top w:val="nil"/>
          <w:left w:val="nil"/>
          <w:bottom w:val="nil"/>
          <w:right w:val="nil"/>
          <w:insideH w:val="single" w:sz="4" w:space="0" w:color="9B7E73" w:themeColor="accent3" w:themeShade="99"/>
          <w:insideV w:val="nil"/>
        </w:tcBorders>
        <w:shd w:val="clear" w:color="auto" w:fill="9B7E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B7E73" w:themeFill="accent3" w:themeFillShade="99"/>
      </w:tcPr>
    </w:tblStylePr>
    <w:tblStylePr w:type="band1Vert">
      <w:tblPr/>
      <w:tcPr>
        <w:shd w:val="clear" w:color="auto" w:fill="F5F2F1" w:themeFill="accent3" w:themeFillTint="66"/>
      </w:tcPr>
    </w:tblStylePr>
    <w:tblStylePr w:type="band1Horz">
      <w:tblPr/>
      <w:tcPr>
        <w:shd w:val="clear" w:color="auto" w:fill="F2EEED" w:themeFill="accent3" w:themeFillTint="7F"/>
      </w:tcPr>
    </w:tblStylePr>
  </w:style>
  <w:style w:type="table" w:styleId="LightList-Accent3">
    <w:name w:val="Light List Accent 3"/>
    <w:basedOn w:val="TableNormal"/>
    <w:rsid w:val="00A309E7"/>
    <w:tblPr>
      <w:tblStyleRowBandSize w:val="1"/>
      <w:tblStyleColBandSize w:val="1"/>
      <w:tblInd w:w="0" w:type="dxa"/>
      <w:tblBorders>
        <w:top w:val="single" w:sz="8" w:space="0" w:color="E6DFDC" w:themeColor="accent3"/>
        <w:left w:val="single" w:sz="8" w:space="0" w:color="E6DFDC" w:themeColor="accent3"/>
        <w:bottom w:val="single" w:sz="8" w:space="0" w:color="E6DFDC" w:themeColor="accent3"/>
        <w:right w:val="single" w:sz="8" w:space="0" w:color="E6DFD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DFDC" w:themeFill="accent3"/>
      </w:tcPr>
    </w:tblStylePr>
    <w:tblStylePr w:type="lastRow">
      <w:pPr>
        <w:spacing w:before="0" w:after="0" w:line="240" w:lineRule="auto"/>
      </w:pPr>
      <w:rPr>
        <w:b/>
        <w:bCs/>
      </w:rPr>
      <w:tblPr/>
      <w:tcPr>
        <w:tcBorders>
          <w:top w:val="double" w:sz="6" w:space="0" w:color="E6DFDC" w:themeColor="accent3"/>
          <w:left w:val="single" w:sz="8" w:space="0" w:color="E6DFDC" w:themeColor="accent3"/>
          <w:bottom w:val="single" w:sz="8" w:space="0" w:color="E6DFDC" w:themeColor="accent3"/>
          <w:right w:val="single" w:sz="8" w:space="0" w:color="E6DFDC" w:themeColor="accent3"/>
        </w:tcBorders>
      </w:tcPr>
    </w:tblStylePr>
    <w:tblStylePr w:type="firstCol">
      <w:rPr>
        <w:b/>
        <w:bCs/>
      </w:rPr>
    </w:tblStylePr>
    <w:tblStylePr w:type="lastCol">
      <w:rPr>
        <w:b/>
        <w:bCs/>
      </w:rPr>
    </w:tblStylePr>
    <w:tblStylePr w:type="band1Vert">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tblStylePr w:type="band1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style>
  <w:style w:type="paragraph" w:styleId="Title">
    <w:name w:val="Title"/>
    <w:basedOn w:val="Normal"/>
    <w:next w:val="Normal"/>
    <w:link w:val="TitleChar"/>
    <w:rsid w:val="00210BEE"/>
    <w:pPr>
      <w:pBdr>
        <w:bottom w:val="single" w:sz="8" w:space="4" w:color="B1005D" w:themeColor="accent1"/>
      </w:pBdr>
      <w:spacing w:before="0" w:after="300" w:line="240" w:lineRule="auto"/>
      <w:contextualSpacing/>
    </w:pPr>
    <w:rPr>
      <w:rFonts w:asciiTheme="majorHAnsi" w:eastAsiaTheme="majorEastAsia" w:hAnsiTheme="majorHAnsi" w:cstheme="majorBidi"/>
      <w:color w:val="A59685" w:themeColor="text2" w:themeShade="BF"/>
      <w:spacing w:val="5"/>
      <w:kern w:val="28"/>
      <w:sz w:val="52"/>
      <w:szCs w:val="52"/>
    </w:rPr>
  </w:style>
  <w:style w:type="character" w:customStyle="1" w:styleId="TitleChar">
    <w:name w:val="Title Char"/>
    <w:basedOn w:val="DefaultParagraphFont"/>
    <w:link w:val="Title"/>
    <w:rsid w:val="00210BEE"/>
    <w:rPr>
      <w:rFonts w:asciiTheme="majorHAnsi" w:eastAsiaTheme="majorEastAsia" w:hAnsiTheme="majorHAnsi" w:cstheme="majorBidi"/>
      <w:color w:val="A59685" w:themeColor="text2" w:themeShade="BF"/>
      <w:spacing w:val="5"/>
      <w:kern w:val="28"/>
      <w:sz w:val="52"/>
      <w:szCs w:val="52"/>
      <w:lang w:val="en-AU"/>
    </w:rPr>
  </w:style>
  <w:style w:type="table" w:styleId="LightGrid-Accent2">
    <w:name w:val="Light Grid Accent 2"/>
    <w:basedOn w:val="TableNormal"/>
    <w:rsid w:val="001C3108"/>
    <w:tblPr>
      <w:tblStyleRowBandSize w:val="1"/>
      <w:tblStyleColBandSize w:val="1"/>
      <w:tblInd w:w="0" w:type="dxa"/>
      <w:tblBorders>
        <w:top w:val="single" w:sz="8" w:space="0" w:color="B1A495" w:themeColor="accent2"/>
        <w:left w:val="single" w:sz="8" w:space="0" w:color="B1A495" w:themeColor="accent2"/>
        <w:bottom w:val="single" w:sz="8" w:space="0" w:color="B1A495" w:themeColor="accent2"/>
        <w:right w:val="single" w:sz="8" w:space="0" w:color="B1A495" w:themeColor="accent2"/>
        <w:insideH w:val="single" w:sz="8" w:space="0" w:color="B1A495" w:themeColor="accent2"/>
        <w:insideV w:val="single" w:sz="8" w:space="0" w:color="B1A495"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1A495" w:themeColor="accent2"/>
          <w:left w:val="single" w:sz="8" w:space="0" w:color="B1A495" w:themeColor="accent2"/>
          <w:bottom w:val="single" w:sz="18" w:space="0" w:color="B1A495" w:themeColor="accent2"/>
          <w:right w:val="single" w:sz="8" w:space="0" w:color="B1A495" w:themeColor="accent2"/>
          <w:insideH w:val="nil"/>
          <w:insideV w:val="single" w:sz="8" w:space="0" w:color="B1A49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A495" w:themeColor="accent2"/>
          <w:left w:val="single" w:sz="8" w:space="0" w:color="B1A495" w:themeColor="accent2"/>
          <w:bottom w:val="single" w:sz="8" w:space="0" w:color="B1A495" w:themeColor="accent2"/>
          <w:right w:val="single" w:sz="8" w:space="0" w:color="B1A495" w:themeColor="accent2"/>
          <w:insideH w:val="nil"/>
          <w:insideV w:val="single" w:sz="8" w:space="0" w:color="B1A49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tcPr>
    </w:tblStylePr>
    <w:tblStylePr w:type="band1Vert">
      <w:tblPr/>
      <w:tcPr>
        <w:tcBorders>
          <w:top w:val="single" w:sz="8" w:space="0" w:color="B1A495" w:themeColor="accent2"/>
          <w:left w:val="single" w:sz="8" w:space="0" w:color="B1A495" w:themeColor="accent2"/>
          <w:bottom w:val="single" w:sz="8" w:space="0" w:color="B1A495" w:themeColor="accent2"/>
          <w:right w:val="single" w:sz="8" w:space="0" w:color="B1A495" w:themeColor="accent2"/>
        </w:tcBorders>
        <w:shd w:val="clear" w:color="auto" w:fill="EBE8E4" w:themeFill="accent2" w:themeFillTint="3F"/>
      </w:tcPr>
    </w:tblStylePr>
    <w:tblStylePr w:type="band1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insideV w:val="single" w:sz="8" w:space="0" w:color="B1A495" w:themeColor="accent2"/>
        </w:tcBorders>
        <w:shd w:val="clear" w:color="auto" w:fill="EBE8E4" w:themeFill="accent2" w:themeFillTint="3F"/>
      </w:tcPr>
    </w:tblStylePr>
    <w:tblStylePr w:type="band2Horz">
      <w:tblPr/>
      <w:tcPr>
        <w:tcBorders>
          <w:top w:val="single" w:sz="8" w:space="0" w:color="B1A495" w:themeColor="accent2"/>
          <w:left w:val="single" w:sz="8" w:space="0" w:color="B1A495" w:themeColor="accent2"/>
          <w:bottom w:val="single" w:sz="8" w:space="0" w:color="B1A495" w:themeColor="accent2"/>
          <w:right w:val="single" w:sz="8" w:space="0" w:color="B1A495" w:themeColor="accent2"/>
          <w:insideV w:val="single" w:sz="8" w:space="0" w:color="B1A495" w:themeColor="accent2"/>
        </w:tcBorders>
      </w:tcPr>
    </w:tblStylePr>
  </w:style>
  <w:style w:type="paragraph" w:styleId="NormalWeb">
    <w:name w:val="Normal (Web)"/>
    <w:basedOn w:val="Normal"/>
    <w:uiPriority w:val="99"/>
    <w:rsid w:val="00B36BFE"/>
    <w:rPr>
      <w:rFonts w:ascii="Times New Roman" w:hAnsi="Times New Roman"/>
      <w:sz w:val="24"/>
    </w:rPr>
  </w:style>
  <w:style w:type="character" w:styleId="SubtleEmphasis">
    <w:name w:val="Subtle Emphasis"/>
    <w:uiPriority w:val="19"/>
    <w:qFormat/>
    <w:rsid w:val="00530BF5"/>
    <w:rPr>
      <w:rFonts w:cs="Times New Roman"/>
      <w:i/>
      <w:iCs/>
      <w:color w:val="808080"/>
    </w:rPr>
  </w:style>
  <w:style w:type="table" w:styleId="LightGrid-Accent3">
    <w:name w:val="Light Grid Accent 3"/>
    <w:basedOn w:val="TableNormal"/>
    <w:rsid w:val="00CE3E35"/>
    <w:tblPr>
      <w:tblStyleRowBandSize w:val="1"/>
      <w:tblStyleColBandSize w:val="1"/>
      <w:tblInd w:w="0" w:type="dxa"/>
      <w:tblBorders>
        <w:top w:val="single" w:sz="8" w:space="0" w:color="E6DFDC" w:themeColor="accent3"/>
        <w:left w:val="single" w:sz="8" w:space="0" w:color="E6DFDC" w:themeColor="accent3"/>
        <w:bottom w:val="single" w:sz="8" w:space="0" w:color="E6DFDC" w:themeColor="accent3"/>
        <w:right w:val="single" w:sz="8" w:space="0" w:color="E6DFDC" w:themeColor="accent3"/>
        <w:insideH w:val="single" w:sz="8" w:space="0" w:color="E6DFDC" w:themeColor="accent3"/>
        <w:insideV w:val="single" w:sz="8" w:space="0" w:color="E6DFDC"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DFDC" w:themeColor="accent3"/>
          <w:left w:val="single" w:sz="8" w:space="0" w:color="E6DFDC" w:themeColor="accent3"/>
          <w:bottom w:val="single" w:sz="18" w:space="0" w:color="E6DFDC" w:themeColor="accent3"/>
          <w:right w:val="single" w:sz="8" w:space="0" w:color="E6DFDC" w:themeColor="accent3"/>
          <w:insideH w:val="nil"/>
          <w:insideV w:val="single" w:sz="8" w:space="0" w:color="E6DF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DFDC" w:themeColor="accent3"/>
          <w:left w:val="single" w:sz="8" w:space="0" w:color="E6DFDC" w:themeColor="accent3"/>
          <w:bottom w:val="single" w:sz="8" w:space="0" w:color="E6DFDC" w:themeColor="accent3"/>
          <w:right w:val="single" w:sz="8" w:space="0" w:color="E6DFDC" w:themeColor="accent3"/>
          <w:insideH w:val="nil"/>
          <w:insideV w:val="single" w:sz="8" w:space="0" w:color="E6DF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tcPr>
    </w:tblStylePr>
    <w:tblStylePr w:type="band1Vert">
      <w:tblPr/>
      <w:tcPr>
        <w:tcBorders>
          <w:top w:val="single" w:sz="8" w:space="0" w:color="E6DFDC" w:themeColor="accent3"/>
          <w:left w:val="single" w:sz="8" w:space="0" w:color="E6DFDC" w:themeColor="accent3"/>
          <w:bottom w:val="single" w:sz="8" w:space="0" w:color="E6DFDC" w:themeColor="accent3"/>
          <w:right w:val="single" w:sz="8" w:space="0" w:color="E6DFDC" w:themeColor="accent3"/>
        </w:tcBorders>
        <w:shd w:val="clear" w:color="auto" w:fill="F8F6F6" w:themeFill="accent3" w:themeFillTint="3F"/>
      </w:tcPr>
    </w:tblStylePr>
    <w:tblStylePr w:type="band1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insideV w:val="single" w:sz="8" w:space="0" w:color="E6DFDC" w:themeColor="accent3"/>
        </w:tcBorders>
        <w:shd w:val="clear" w:color="auto" w:fill="F8F6F6" w:themeFill="accent3" w:themeFillTint="3F"/>
      </w:tcPr>
    </w:tblStylePr>
    <w:tblStylePr w:type="band2Horz">
      <w:tblPr/>
      <w:tcPr>
        <w:tcBorders>
          <w:top w:val="single" w:sz="8" w:space="0" w:color="E6DFDC" w:themeColor="accent3"/>
          <w:left w:val="single" w:sz="8" w:space="0" w:color="E6DFDC" w:themeColor="accent3"/>
          <w:bottom w:val="single" w:sz="8" w:space="0" w:color="E6DFDC" w:themeColor="accent3"/>
          <w:right w:val="single" w:sz="8" w:space="0" w:color="E6DFDC" w:themeColor="accent3"/>
          <w:insideV w:val="single" w:sz="8" w:space="0" w:color="E6DFDC" w:themeColor="accent3"/>
        </w:tcBorders>
      </w:tcPr>
    </w:tblStylePr>
  </w:style>
  <w:style w:type="paragraph" w:customStyle="1" w:styleId="xmsolistparagraph">
    <w:name w:val="x_msolistparagraph"/>
    <w:basedOn w:val="Normal"/>
    <w:rsid w:val="007C275A"/>
    <w:pPr>
      <w:spacing w:before="100" w:beforeAutospacing="1" w:after="100" w:afterAutospacing="1" w:line="240" w:lineRule="auto"/>
    </w:pPr>
    <w:rPr>
      <w:rFonts w:ascii="Times New Roman" w:eastAsia="Times New Roman" w:hAnsi="Times New Roman"/>
      <w:sz w:val="24"/>
      <w:lang w:eastAsia="en-AU"/>
    </w:rPr>
  </w:style>
  <w:style w:type="character" w:styleId="PlaceholderText">
    <w:name w:val="Placeholder Text"/>
    <w:basedOn w:val="DefaultParagraphFont"/>
    <w:rsid w:val="007E1403"/>
    <w:rPr>
      <w:color w:val="808080"/>
    </w:rPr>
  </w:style>
</w:styles>
</file>

<file path=word/webSettings.xml><?xml version="1.0" encoding="utf-8"?>
<w:webSettings xmlns:r="http://schemas.openxmlformats.org/officeDocument/2006/relationships" xmlns:w="http://schemas.openxmlformats.org/wordprocessingml/2006/main">
  <w:divs>
    <w:div w:id="56978313">
      <w:bodyDiv w:val="1"/>
      <w:marLeft w:val="0"/>
      <w:marRight w:val="0"/>
      <w:marTop w:val="0"/>
      <w:marBottom w:val="0"/>
      <w:divBdr>
        <w:top w:val="none" w:sz="0" w:space="0" w:color="auto"/>
        <w:left w:val="none" w:sz="0" w:space="0" w:color="auto"/>
        <w:bottom w:val="none" w:sz="0" w:space="0" w:color="auto"/>
        <w:right w:val="none" w:sz="0" w:space="0" w:color="auto"/>
      </w:divBdr>
    </w:div>
    <w:div w:id="138965095">
      <w:bodyDiv w:val="1"/>
      <w:marLeft w:val="0"/>
      <w:marRight w:val="0"/>
      <w:marTop w:val="0"/>
      <w:marBottom w:val="0"/>
      <w:divBdr>
        <w:top w:val="none" w:sz="0" w:space="0" w:color="auto"/>
        <w:left w:val="none" w:sz="0" w:space="0" w:color="auto"/>
        <w:bottom w:val="none" w:sz="0" w:space="0" w:color="auto"/>
        <w:right w:val="none" w:sz="0" w:space="0" w:color="auto"/>
      </w:divBdr>
    </w:div>
    <w:div w:id="146438448">
      <w:bodyDiv w:val="1"/>
      <w:marLeft w:val="0"/>
      <w:marRight w:val="0"/>
      <w:marTop w:val="0"/>
      <w:marBottom w:val="0"/>
      <w:divBdr>
        <w:top w:val="none" w:sz="0" w:space="0" w:color="auto"/>
        <w:left w:val="none" w:sz="0" w:space="0" w:color="auto"/>
        <w:bottom w:val="none" w:sz="0" w:space="0" w:color="auto"/>
        <w:right w:val="none" w:sz="0" w:space="0" w:color="auto"/>
      </w:divBdr>
    </w:div>
    <w:div w:id="382825195">
      <w:bodyDiv w:val="1"/>
      <w:marLeft w:val="0"/>
      <w:marRight w:val="0"/>
      <w:marTop w:val="0"/>
      <w:marBottom w:val="0"/>
      <w:divBdr>
        <w:top w:val="none" w:sz="0" w:space="0" w:color="auto"/>
        <w:left w:val="none" w:sz="0" w:space="0" w:color="auto"/>
        <w:bottom w:val="none" w:sz="0" w:space="0" w:color="auto"/>
        <w:right w:val="none" w:sz="0" w:space="0" w:color="auto"/>
      </w:divBdr>
      <w:divsChild>
        <w:div w:id="1805275579">
          <w:marLeft w:val="0"/>
          <w:marRight w:val="0"/>
          <w:marTop w:val="0"/>
          <w:marBottom w:val="0"/>
          <w:divBdr>
            <w:top w:val="none" w:sz="0" w:space="0" w:color="auto"/>
            <w:left w:val="none" w:sz="0" w:space="0" w:color="auto"/>
            <w:bottom w:val="none" w:sz="0" w:space="0" w:color="auto"/>
            <w:right w:val="none" w:sz="0" w:space="0" w:color="auto"/>
          </w:divBdr>
          <w:divsChild>
            <w:div w:id="161168241">
              <w:marLeft w:val="0"/>
              <w:marRight w:val="0"/>
              <w:marTop w:val="0"/>
              <w:marBottom w:val="0"/>
              <w:divBdr>
                <w:top w:val="none" w:sz="0" w:space="0" w:color="auto"/>
                <w:left w:val="none" w:sz="0" w:space="0" w:color="auto"/>
                <w:bottom w:val="none" w:sz="0" w:space="0" w:color="auto"/>
                <w:right w:val="none" w:sz="0" w:space="0" w:color="auto"/>
              </w:divBdr>
              <w:divsChild>
                <w:div w:id="1086271665">
                  <w:marLeft w:val="0"/>
                  <w:marRight w:val="0"/>
                  <w:marTop w:val="0"/>
                  <w:marBottom w:val="0"/>
                  <w:divBdr>
                    <w:top w:val="none" w:sz="0" w:space="0" w:color="auto"/>
                    <w:left w:val="none" w:sz="0" w:space="0" w:color="auto"/>
                    <w:bottom w:val="none" w:sz="0" w:space="0" w:color="auto"/>
                    <w:right w:val="none" w:sz="0" w:space="0" w:color="auto"/>
                  </w:divBdr>
                  <w:divsChild>
                    <w:div w:id="4589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46540">
      <w:bodyDiv w:val="1"/>
      <w:marLeft w:val="0"/>
      <w:marRight w:val="0"/>
      <w:marTop w:val="0"/>
      <w:marBottom w:val="0"/>
      <w:divBdr>
        <w:top w:val="none" w:sz="0" w:space="0" w:color="auto"/>
        <w:left w:val="none" w:sz="0" w:space="0" w:color="auto"/>
        <w:bottom w:val="none" w:sz="0" w:space="0" w:color="auto"/>
        <w:right w:val="none" w:sz="0" w:space="0" w:color="auto"/>
      </w:divBdr>
    </w:div>
    <w:div w:id="526791448">
      <w:bodyDiv w:val="1"/>
      <w:marLeft w:val="0"/>
      <w:marRight w:val="0"/>
      <w:marTop w:val="0"/>
      <w:marBottom w:val="0"/>
      <w:divBdr>
        <w:top w:val="none" w:sz="0" w:space="0" w:color="auto"/>
        <w:left w:val="none" w:sz="0" w:space="0" w:color="auto"/>
        <w:bottom w:val="none" w:sz="0" w:space="0" w:color="auto"/>
        <w:right w:val="none" w:sz="0" w:space="0" w:color="auto"/>
      </w:divBdr>
      <w:divsChild>
        <w:div w:id="1720058270">
          <w:marLeft w:val="0"/>
          <w:marRight w:val="0"/>
          <w:marTop w:val="0"/>
          <w:marBottom w:val="0"/>
          <w:divBdr>
            <w:top w:val="none" w:sz="0" w:space="0" w:color="auto"/>
            <w:left w:val="none" w:sz="0" w:space="0" w:color="auto"/>
            <w:bottom w:val="none" w:sz="0" w:space="0" w:color="auto"/>
            <w:right w:val="none" w:sz="0" w:space="0" w:color="auto"/>
          </w:divBdr>
          <w:divsChild>
            <w:div w:id="1218395757">
              <w:marLeft w:val="0"/>
              <w:marRight w:val="0"/>
              <w:marTop w:val="0"/>
              <w:marBottom w:val="0"/>
              <w:divBdr>
                <w:top w:val="none" w:sz="0" w:space="0" w:color="auto"/>
                <w:left w:val="none" w:sz="0" w:space="0" w:color="auto"/>
                <w:bottom w:val="none" w:sz="0" w:space="0" w:color="auto"/>
                <w:right w:val="none" w:sz="0" w:space="0" w:color="auto"/>
              </w:divBdr>
              <w:divsChild>
                <w:div w:id="971715099">
                  <w:marLeft w:val="0"/>
                  <w:marRight w:val="0"/>
                  <w:marTop w:val="0"/>
                  <w:marBottom w:val="0"/>
                  <w:divBdr>
                    <w:top w:val="none" w:sz="0" w:space="0" w:color="auto"/>
                    <w:left w:val="none" w:sz="0" w:space="0" w:color="auto"/>
                    <w:bottom w:val="none" w:sz="0" w:space="0" w:color="auto"/>
                    <w:right w:val="none" w:sz="0" w:space="0" w:color="auto"/>
                  </w:divBdr>
                  <w:divsChild>
                    <w:div w:id="13013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45043">
      <w:bodyDiv w:val="1"/>
      <w:marLeft w:val="0"/>
      <w:marRight w:val="0"/>
      <w:marTop w:val="0"/>
      <w:marBottom w:val="0"/>
      <w:divBdr>
        <w:top w:val="none" w:sz="0" w:space="0" w:color="auto"/>
        <w:left w:val="none" w:sz="0" w:space="0" w:color="auto"/>
        <w:bottom w:val="none" w:sz="0" w:space="0" w:color="auto"/>
        <w:right w:val="none" w:sz="0" w:space="0" w:color="auto"/>
      </w:divBdr>
      <w:divsChild>
        <w:div w:id="46610226">
          <w:marLeft w:val="0"/>
          <w:marRight w:val="0"/>
          <w:marTop w:val="0"/>
          <w:marBottom w:val="0"/>
          <w:divBdr>
            <w:top w:val="none" w:sz="0" w:space="0" w:color="auto"/>
            <w:left w:val="none" w:sz="0" w:space="0" w:color="auto"/>
            <w:bottom w:val="none" w:sz="0" w:space="0" w:color="auto"/>
            <w:right w:val="none" w:sz="0" w:space="0" w:color="auto"/>
          </w:divBdr>
          <w:divsChild>
            <w:div w:id="724719068">
              <w:marLeft w:val="0"/>
              <w:marRight w:val="0"/>
              <w:marTop w:val="0"/>
              <w:marBottom w:val="0"/>
              <w:divBdr>
                <w:top w:val="none" w:sz="0" w:space="0" w:color="auto"/>
                <w:left w:val="none" w:sz="0" w:space="0" w:color="auto"/>
                <w:bottom w:val="none" w:sz="0" w:space="0" w:color="auto"/>
                <w:right w:val="none" w:sz="0" w:space="0" w:color="auto"/>
              </w:divBdr>
              <w:divsChild>
                <w:div w:id="931594661">
                  <w:marLeft w:val="0"/>
                  <w:marRight w:val="0"/>
                  <w:marTop w:val="0"/>
                  <w:marBottom w:val="0"/>
                  <w:divBdr>
                    <w:top w:val="none" w:sz="0" w:space="0" w:color="auto"/>
                    <w:left w:val="none" w:sz="0" w:space="0" w:color="auto"/>
                    <w:bottom w:val="none" w:sz="0" w:space="0" w:color="auto"/>
                    <w:right w:val="none" w:sz="0" w:space="0" w:color="auto"/>
                  </w:divBdr>
                  <w:divsChild>
                    <w:div w:id="4843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83918">
      <w:bodyDiv w:val="1"/>
      <w:marLeft w:val="0"/>
      <w:marRight w:val="0"/>
      <w:marTop w:val="0"/>
      <w:marBottom w:val="0"/>
      <w:divBdr>
        <w:top w:val="none" w:sz="0" w:space="0" w:color="auto"/>
        <w:left w:val="none" w:sz="0" w:space="0" w:color="auto"/>
        <w:bottom w:val="none" w:sz="0" w:space="0" w:color="auto"/>
        <w:right w:val="none" w:sz="0" w:space="0" w:color="auto"/>
      </w:divBdr>
      <w:divsChild>
        <w:div w:id="1085345300">
          <w:marLeft w:val="0"/>
          <w:marRight w:val="0"/>
          <w:marTop w:val="0"/>
          <w:marBottom w:val="0"/>
          <w:divBdr>
            <w:top w:val="none" w:sz="0" w:space="0" w:color="auto"/>
            <w:left w:val="none" w:sz="0" w:space="0" w:color="auto"/>
            <w:bottom w:val="none" w:sz="0" w:space="0" w:color="auto"/>
            <w:right w:val="none" w:sz="0" w:space="0" w:color="auto"/>
          </w:divBdr>
          <w:divsChild>
            <w:div w:id="1683822755">
              <w:marLeft w:val="0"/>
              <w:marRight w:val="0"/>
              <w:marTop w:val="0"/>
              <w:marBottom w:val="0"/>
              <w:divBdr>
                <w:top w:val="none" w:sz="0" w:space="0" w:color="auto"/>
                <w:left w:val="none" w:sz="0" w:space="0" w:color="auto"/>
                <w:bottom w:val="none" w:sz="0" w:space="0" w:color="auto"/>
                <w:right w:val="none" w:sz="0" w:space="0" w:color="auto"/>
              </w:divBdr>
              <w:divsChild>
                <w:div w:id="262493149">
                  <w:marLeft w:val="0"/>
                  <w:marRight w:val="0"/>
                  <w:marTop w:val="0"/>
                  <w:marBottom w:val="0"/>
                  <w:divBdr>
                    <w:top w:val="none" w:sz="0" w:space="0" w:color="auto"/>
                    <w:left w:val="none" w:sz="0" w:space="0" w:color="auto"/>
                    <w:bottom w:val="none" w:sz="0" w:space="0" w:color="auto"/>
                    <w:right w:val="none" w:sz="0" w:space="0" w:color="auto"/>
                  </w:divBdr>
                  <w:divsChild>
                    <w:div w:id="10845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8504">
      <w:bodyDiv w:val="1"/>
      <w:marLeft w:val="0"/>
      <w:marRight w:val="0"/>
      <w:marTop w:val="0"/>
      <w:marBottom w:val="0"/>
      <w:divBdr>
        <w:top w:val="none" w:sz="0" w:space="0" w:color="auto"/>
        <w:left w:val="none" w:sz="0" w:space="0" w:color="auto"/>
        <w:bottom w:val="none" w:sz="0" w:space="0" w:color="auto"/>
        <w:right w:val="none" w:sz="0" w:space="0" w:color="auto"/>
      </w:divBdr>
    </w:div>
    <w:div w:id="912468872">
      <w:bodyDiv w:val="1"/>
      <w:marLeft w:val="0"/>
      <w:marRight w:val="0"/>
      <w:marTop w:val="0"/>
      <w:marBottom w:val="0"/>
      <w:divBdr>
        <w:top w:val="none" w:sz="0" w:space="0" w:color="auto"/>
        <w:left w:val="none" w:sz="0" w:space="0" w:color="auto"/>
        <w:bottom w:val="none" w:sz="0" w:space="0" w:color="auto"/>
        <w:right w:val="none" w:sz="0" w:space="0" w:color="auto"/>
      </w:divBdr>
      <w:divsChild>
        <w:div w:id="2055814747">
          <w:marLeft w:val="0"/>
          <w:marRight w:val="0"/>
          <w:marTop w:val="0"/>
          <w:marBottom w:val="0"/>
          <w:divBdr>
            <w:top w:val="none" w:sz="0" w:space="0" w:color="auto"/>
            <w:left w:val="none" w:sz="0" w:space="0" w:color="auto"/>
            <w:bottom w:val="none" w:sz="0" w:space="0" w:color="auto"/>
            <w:right w:val="none" w:sz="0" w:space="0" w:color="auto"/>
          </w:divBdr>
          <w:divsChild>
            <w:div w:id="190267046">
              <w:marLeft w:val="0"/>
              <w:marRight w:val="0"/>
              <w:marTop w:val="0"/>
              <w:marBottom w:val="0"/>
              <w:divBdr>
                <w:top w:val="none" w:sz="0" w:space="0" w:color="auto"/>
                <w:left w:val="none" w:sz="0" w:space="0" w:color="auto"/>
                <w:bottom w:val="none" w:sz="0" w:space="0" w:color="auto"/>
                <w:right w:val="none" w:sz="0" w:space="0" w:color="auto"/>
              </w:divBdr>
              <w:divsChild>
                <w:div w:id="1592157441">
                  <w:marLeft w:val="0"/>
                  <w:marRight w:val="0"/>
                  <w:marTop w:val="0"/>
                  <w:marBottom w:val="0"/>
                  <w:divBdr>
                    <w:top w:val="none" w:sz="0" w:space="0" w:color="auto"/>
                    <w:left w:val="none" w:sz="0" w:space="0" w:color="auto"/>
                    <w:bottom w:val="none" w:sz="0" w:space="0" w:color="auto"/>
                    <w:right w:val="none" w:sz="0" w:space="0" w:color="auto"/>
                  </w:divBdr>
                  <w:divsChild>
                    <w:div w:id="17604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7130">
      <w:bodyDiv w:val="1"/>
      <w:marLeft w:val="0"/>
      <w:marRight w:val="0"/>
      <w:marTop w:val="0"/>
      <w:marBottom w:val="0"/>
      <w:divBdr>
        <w:top w:val="none" w:sz="0" w:space="0" w:color="auto"/>
        <w:left w:val="none" w:sz="0" w:space="0" w:color="auto"/>
        <w:bottom w:val="none" w:sz="0" w:space="0" w:color="auto"/>
        <w:right w:val="none" w:sz="0" w:space="0" w:color="auto"/>
      </w:divBdr>
    </w:div>
    <w:div w:id="956064590">
      <w:bodyDiv w:val="1"/>
      <w:marLeft w:val="0"/>
      <w:marRight w:val="0"/>
      <w:marTop w:val="0"/>
      <w:marBottom w:val="0"/>
      <w:divBdr>
        <w:top w:val="none" w:sz="0" w:space="0" w:color="auto"/>
        <w:left w:val="none" w:sz="0" w:space="0" w:color="auto"/>
        <w:bottom w:val="none" w:sz="0" w:space="0" w:color="auto"/>
        <w:right w:val="none" w:sz="0" w:space="0" w:color="auto"/>
      </w:divBdr>
    </w:div>
    <w:div w:id="1053693084">
      <w:bodyDiv w:val="1"/>
      <w:marLeft w:val="0"/>
      <w:marRight w:val="0"/>
      <w:marTop w:val="0"/>
      <w:marBottom w:val="0"/>
      <w:divBdr>
        <w:top w:val="none" w:sz="0" w:space="0" w:color="auto"/>
        <w:left w:val="none" w:sz="0" w:space="0" w:color="auto"/>
        <w:bottom w:val="none" w:sz="0" w:space="0" w:color="auto"/>
        <w:right w:val="none" w:sz="0" w:space="0" w:color="auto"/>
      </w:divBdr>
      <w:divsChild>
        <w:div w:id="1851215255">
          <w:marLeft w:val="0"/>
          <w:marRight w:val="0"/>
          <w:marTop w:val="0"/>
          <w:marBottom w:val="0"/>
          <w:divBdr>
            <w:top w:val="none" w:sz="0" w:space="0" w:color="auto"/>
            <w:left w:val="none" w:sz="0" w:space="0" w:color="auto"/>
            <w:bottom w:val="none" w:sz="0" w:space="0" w:color="auto"/>
            <w:right w:val="none" w:sz="0" w:space="0" w:color="auto"/>
          </w:divBdr>
          <w:divsChild>
            <w:div w:id="615868126">
              <w:marLeft w:val="0"/>
              <w:marRight w:val="0"/>
              <w:marTop w:val="0"/>
              <w:marBottom w:val="0"/>
              <w:divBdr>
                <w:top w:val="none" w:sz="0" w:space="0" w:color="auto"/>
                <w:left w:val="none" w:sz="0" w:space="0" w:color="auto"/>
                <w:bottom w:val="none" w:sz="0" w:space="0" w:color="auto"/>
                <w:right w:val="none" w:sz="0" w:space="0" w:color="auto"/>
              </w:divBdr>
              <w:divsChild>
                <w:div w:id="1959144422">
                  <w:marLeft w:val="0"/>
                  <w:marRight w:val="0"/>
                  <w:marTop w:val="0"/>
                  <w:marBottom w:val="0"/>
                  <w:divBdr>
                    <w:top w:val="none" w:sz="0" w:space="0" w:color="auto"/>
                    <w:left w:val="none" w:sz="0" w:space="0" w:color="auto"/>
                    <w:bottom w:val="none" w:sz="0" w:space="0" w:color="auto"/>
                    <w:right w:val="none" w:sz="0" w:space="0" w:color="auto"/>
                  </w:divBdr>
                  <w:divsChild>
                    <w:div w:id="552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6676">
      <w:bodyDiv w:val="1"/>
      <w:marLeft w:val="0"/>
      <w:marRight w:val="0"/>
      <w:marTop w:val="0"/>
      <w:marBottom w:val="0"/>
      <w:divBdr>
        <w:top w:val="none" w:sz="0" w:space="0" w:color="auto"/>
        <w:left w:val="none" w:sz="0" w:space="0" w:color="auto"/>
        <w:bottom w:val="none" w:sz="0" w:space="0" w:color="auto"/>
        <w:right w:val="none" w:sz="0" w:space="0" w:color="auto"/>
      </w:divBdr>
    </w:div>
    <w:div w:id="1098404315">
      <w:bodyDiv w:val="1"/>
      <w:marLeft w:val="0"/>
      <w:marRight w:val="0"/>
      <w:marTop w:val="0"/>
      <w:marBottom w:val="0"/>
      <w:divBdr>
        <w:top w:val="none" w:sz="0" w:space="0" w:color="auto"/>
        <w:left w:val="none" w:sz="0" w:space="0" w:color="auto"/>
        <w:bottom w:val="none" w:sz="0" w:space="0" w:color="auto"/>
        <w:right w:val="none" w:sz="0" w:space="0" w:color="auto"/>
      </w:divBdr>
    </w:div>
    <w:div w:id="1208680843">
      <w:bodyDiv w:val="1"/>
      <w:marLeft w:val="0"/>
      <w:marRight w:val="0"/>
      <w:marTop w:val="0"/>
      <w:marBottom w:val="0"/>
      <w:divBdr>
        <w:top w:val="none" w:sz="0" w:space="0" w:color="auto"/>
        <w:left w:val="none" w:sz="0" w:space="0" w:color="auto"/>
        <w:bottom w:val="none" w:sz="0" w:space="0" w:color="auto"/>
        <w:right w:val="none" w:sz="0" w:space="0" w:color="auto"/>
      </w:divBdr>
      <w:divsChild>
        <w:div w:id="576670597">
          <w:marLeft w:val="0"/>
          <w:marRight w:val="0"/>
          <w:marTop w:val="0"/>
          <w:marBottom w:val="0"/>
          <w:divBdr>
            <w:top w:val="none" w:sz="0" w:space="0" w:color="auto"/>
            <w:left w:val="none" w:sz="0" w:space="0" w:color="auto"/>
            <w:bottom w:val="none" w:sz="0" w:space="0" w:color="auto"/>
            <w:right w:val="none" w:sz="0" w:space="0" w:color="auto"/>
          </w:divBdr>
          <w:divsChild>
            <w:div w:id="827869563">
              <w:marLeft w:val="0"/>
              <w:marRight w:val="0"/>
              <w:marTop w:val="0"/>
              <w:marBottom w:val="0"/>
              <w:divBdr>
                <w:top w:val="none" w:sz="0" w:space="0" w:color="auto"/>
                <w:left w:val="none" w:sz="0" w:space="0" w:color="auto"/>
                <w:bottom w:val="none" w:sz="0" w:space="0" w:color="auto"/>
                <w:right w:val="none" w:sz="0" w:space="0" w:color="auto"/>
              </w:divBdr>
              <w:divsChild>
                <w:div w:id="11549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4611">
      <w:bodyDiv w:val="1"/>
      <w:marLeft w:val="0"/>
      <w:marRight w:val="0"/>
      <w:marTop w:val="0"/>
      <w:marBottom w:val="0"/>
      <w:divBdr>
        <w:top w:val="none" w:sz="0" w:space="0" w:color="auto"/>
        <w:left w:val="none" w:sz="0" w:space="0" w:color="auto"/>
        <w:bottom w:val="none" w:sz="0" w:space="0" w:color="auto"/>
        <w:right w:val="none" w:sz="0" w:space="0" w:color="auto"/>
      </w:divBdr>
    </w:div>
    <w:div w:id="1708527666">
      <w:bodyDiv w:val="1"/>
      <w:marLeft w:val="0"/>
      <w:marRight w:val="0"/>
      <w:marTop w:val="0"/>
      <w:marBottom w:val="0"/>
      <w:divBdr>
        <w:top w:val="none" w:sz="0" w:space="0" w:color="auto"/>
        <w:left w:val="none" w:sz="0" w:space="0" w:color="auto"/>
        <w:bottom w:val="none" w:sz="0" w:space="0" w:color="auto"/>
        <w:right w:val="none" w:sz="0" w:space="0" w:color="auto"/>
      </w:divBdr>
    </w:div>
    <w:div w:id="1888493516">
      <w:bodyDiv w:val="1"/>
      <w:marLeft w:val="0"/>
      <w:marRight w:val="0"/>
      <w:marTop w:val="0"/>
      <w:marBottom w:val="0"/>
      <w:divBdr>
        <w:top w:val="none" w:sz="0" w:space="0" w:color="auto"/>
        <w:left w:val="none" w:sz="0" w:space="0" w:color="auto"/>
        <w:bottom w:val="none" w:sz="0" w:space="0" w:color="auto"/>
        <w:right w:val="none" w:sz="0" w:space="0" w:color="auto"/>
      </w:divBdr>
    </w:div>
    <w:div w:id="1924339491">
      <w:bodyDiv w:val="1"/>
      <w:marLeft w:val="0"/>
      <w:marRight w:val="0"/>
      <w:marTop w:val="0"/>
      <w:marBottom w:val="0"/>
      <w:divBdr>
        <w:top w:val="none" w:sz="0" w:space="0" w:color="auto"/>
        <w:left w:val="none" w:sz="0" w:space="0" w:color="auto"/>
        <w:bottom w:val="none" w:sz="0" w:space="0" w:color="auto"/>
        <w:right w:val="none" w:sz="0" w:space="0" w:color="auto"/>
      </w:divBdr>
    </w:div>
    <w:div w:id="1984849746">
      <w:bodyDiv w:val="1"/>
      <w:marLeft w:val="0"/>
      <w:marRight w:val="0"/>
      <w:marTop w:val="0"/>
      <w:marBottom w:val="0"/>
      <w:divBdr>
        <w:top w:val="none" w:sz="0" w:space="0" w:color="auto"/>
        <w:left w:val="none" w:sz="0" w:space="0" w:color="auto"/>
        <w:bottom w:val="none" w:sz="0" w:space="0" w:color="auto"/>
        <w:right w:val="none" w:sz="0" w:space="0" w:color="auto"/>
      </w:divBdr>
      <w:divsChild>
        <w:div w:id="724067558">
          <w:marLeft w:val="0"/>
          <w:marRight w:val="0"/>
          <w:marTop w:val="0"/>
          <w:marBottom w:val="0"/>
          <w:divBdr>
            <w:top w:val="none" w:sz="0" w:space="0" w:color="auto"/>
            <w:left w:val="none" w:sz="0" w:space="0" w:color="auto"/>
            <w:bottom w:val="none" w:sz="0" w:space="0" w:color="auto"/>
            <w:right w:val="none" w:sz="0" w:space="0" w:color="auto"/>
          </w:divBdr>
          <w:divsChild>
            <w:div w:id="2082674480">
              <w:marLeft w:val="0"/>
              <w:marRight w:val="0"/>
              <w:marTop w:val="0"/>
              <w:marBottom w:val="0"/>
              <w:divBdr>
                <w:top w:val="none" w:sz="0" w:space="0" w:color="auto"/>
                <w:left w:val="none" w:sz="0" w:space="0" w:color="auto"/>
                <w:bottom w:val="none" w:sz="0" w:space="0" w:color="auto"/>
                <w:right w:val="none" w:sz="0" w:space="0" w:color="auto"/>
              </w:divBdr>
              <w:divsChild>
                <w:div w:id="1399552966">
                  <w:marLeft w:val="0"/>
                  <w:marRight w:val="0"/>
                  <w:marTop w:val="0"/>
                  <w:marBottom w:val="0"/>
                  <w:divBdr>
                    <w:top w:val="none" w:sz="0" w:space="0" w:color="auto"/>
                    <w:left w:val="none" w:sz="0" w:space="0" w:color="auto"/>
                    <w:bottom w:val="none" w:sz="0" w:space="0" w:color="auto"/>
                    <w:right w:val="none" w:sz="0" w:space="0" w:color="auto"/>
                  </w:divBdr>
                  <w:divsChild>
                    <w:div w:id="4942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4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ts.edu.au/staff/steve.mohr" TargetMode="External"/><Relationship Id="rId18" Type="http://schemas.openxmlformats.org/officeDocument/2006/relationships/header" Target="header2.xml"/><Relationship Id="rId26" Type="http://schemas.openxmlformats.org/officeDocument/2006/relationships/hyperlink" Target="http://www.sita.com.au/community-education/site-tours-education/recycling-tips/car-batterie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isf.uts.edu.au" TargetMode="External"/><Relationship Id="rId17" Type="http://schemas.openxmlformats.org/officeDocument/2006/relationships/header" Target="header1.xml"/><Relationship Id="rId25" Type="http://schemas.openxmlformats.org/officeDocument/2006/relationships/hyperlink" Target="http://www.hydromet.com.au/services/battery-recycling" TargetMode="External"/><Relationship Id="rId2" Type="http://schemas.openxmlformats.org/officeDocument/2006/relationships/customXml" Target="../customXml/item2.xml"/><Relationship Id="rId16" Type="http://schemas.openxmlformats.org/officeDocument/2006/relationships/hyperlink" Target="http://www.isf.edu.au" TargetMode="External"/><Relationship Id="rId20" Type="http://schemas.openxmlformats.org/officeDocument/2006/relationships/image" Target="media/image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bs.gov.au/ausstats/abs@.nsf/0/8DF2F05EE6BCF565CA256A5B001BD78A"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hyperlink" Target="http://www.uts.edu.au/staff/damien.giurco"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ts.edu.au/staff/julian.fyfe"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E0BD8707484E48AB5FE3F3DD4414F0" ma:contentTypeVersion="0" ma:contentTypeDescription="Create a new document." ma:contentTypeScope="" ma:versionID="5c82b1fd120aaeb959bab43a8e14050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D577-3553-435C-993D-259E7896917C}">
  <ds:schemaRefs>
    <ds:schemaRef ds:uri="http://schemas.microsoft.com/sharepoint/v3/contenttype/forms"/>
  </ds:schemaRefs>
</ds:datastoreItem>
</file>

<file path=customXml/itemProps2.xml><?xml version="1.0" encoding="utf-8"?>
<ds:datastoreItem xmlns:ds="http://schemas.openxmlformats.org/officeDocument/2006/customXml" ds:itemID="{110E2EC9-4D2D-4FDA-8C98-48C09AC60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E38AF2-0157-45FA-9D78-26C73B6501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219A2E-65DF-4676-8268-E449853AD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6080</Words>
  <Characters>34656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UTS</Company>
  <LinksUpToDate>false</LinksUpToDate>
  <CharactersWithSpaces>40655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Data on Lead-acid Batteries Entering Australia and Arising as Waste</dc:title>
  <dc:creator>Institute for Sustainable Futures</dc:creator>
  <cp:lastModifiedBy>A00870</cp:lastModifiedBy>
  <cp:revision>3</cp:revision>
  <cp:lastPrinted>2014-06-24T00:51:00Z</cp:lastPrinted>
  <dcterms:created xsi:type="dcterms:W3CDTF">2014-06-24T01:06:00Z</dcterms:created>
  <dcterms:modified xsi:type="dcterms:W3CDTF">2014-09-30T01:22:00Z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0x01010059E0BD8707484E48AB5FE3F3DD4414F0</vt:lpwstr>
  </property>
  <property fmtid="{D5CDD505-2E9C-101B-9397-08002B2CF9AE}" pid="3" name="vti_description">
    <vt:lpwstr/>
  </property>
</Properties>
</file>